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224155</wp:posOffset>
            </wp:positionH>
            <wp:positionV relativeFrom="page">
              <wp:posOffset>152400</wp:posOffset>
            </wp:positionV>
            <wp:extent cx="2832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32735" cy="8255"/>
                    </a:xfrm>
                    <a:prstGeom prst="rect">
                      <a:avLst/>
                    </a:prstGeom>
                    <a:noFill/>
                  </pic:spPr>
                </pic:pic>
              </a:graphicData>
            </a:graphic>
          </wp:anchor>
        </w:drawing>
        <w:t>PROSPECTUS</w:t>
      </w:r>
    </w:p>
    <w:p>
      <w:pPr>
        <w:spacing w:after="0" w:line="20" w:lineRule="exact"/>
        <w:rPr>
          <w:sz w:val="24"/>
          <w:szCs w:val="24"/>
          <w:color w:val="auto"/>
        </w:rPr>
      </w:pPr>
      <w:r>
        <w:rPr>
          <w:sz w:val="24"/>
          <w:szCs w:val="24"/>
          <w:color w:val="auto"/>
        </w:rPr>
        <w:br w:type="column"/>
      </w:r>
    </w:p>
    <w:p>
      <w:pPr>
        <w:jc w:val="right"/>
        <w:ind w:right="1139"/>
        <w:spacing w:after="0"/>
        <w:rPr>
          <w:sz w:val="20"/>
          <w:szCs w:val="20"/>
          <w:color w:val="auto"/>
        </w:rPr>
      </w:pPr>
      <w:r>
        <w:rPr>
          <w:rFonts w:ascii="Arial" w:cs="Arial" w:eastAsia="Arial" w:hAnsi="Arial"/>
          <w:sz w:val="15"/>
          <w:szCs w:val="15"/>
          <w:b w:val="1"/>
          <w:bCs w:val="1"/>
          <w:color w:val="auto"/>
        </w:rPr>
        <w:t>Filed Pursuant to Rule 424(b)(3)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-1368425</wp:posOffset>
            </wp:positionH>
            <wp:positionV relativeFrom="paragraph">
              <wp:posOffset>-170180</wp:posOffset>
            </wp:positionV>
            <wp:extent cx="2832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2735" cy="8255"/>
                    </a:xfrm>
                    <a:prstGeom prst="rect">
                      <a:avLst/>
                    </a:prstGeom>
                    <a:noFill/>
                  </pic:spPr>
                </pic:pic>
              </a:graphicData>
            </a:graphic>
          </wp:anchor>
        </w:drawing>
      </w:r>
    </w:p>
    <w:p>
      <w:pPr>
        <w:spacing w:after="0" w:line="24" w:lineRule="exact"/>
        <w:rPr>
          <w:sz w:val="24"/>
          <w:szCs w:val="24"/>
          <w:color w:val="auto"/>
        </w:rPr>
      </w:pPr>
    </w:p>
    <w:p>
      <w:pPr>
        <w:jc w:val="right"/>
        <w:ind w:right="1139"/>
        <w:spacing w:after="0"/>
        <w:rPr>
          <w:sz w:val="20"/>
          <w:szCs w:val="20"/>
          <w:color w:val="auto"/>
        </w:rPr>
      </w:pPr>
      <w:r>
        <w:rPr>
          <w:rFonts w:ascii="Arial" w:cs="Arial" w:eastAsia="Arial" w:hAnsi="Arial"/>
          <w:sz w:val="17"/>
          <w:szCs w:val="17"/>
          <w:b w:val="1"/>
          <w:bCs w:val="1"/>
          <w:color w:val="auto"/>
        </w:rPr>
        <w:t>Registration No. 333-180609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-2116455</wp:posOffset>
            </wp:positionH>
            <wp:positionV relativeFrom="paragraph">
              <wp:posOffset>66675</wp:posOffset>
            </wp:positionV>
            <wp:extent cx="1440180" cy="748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74803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940" w:space="720"/>
            <w:col w:w="3439"/>
          </w:cols>
          <w:pgMar w:left="360" w:top="336" w:right="1440" w:bottom="97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PROPOSED MERGER — YOUR VOTE IS VERY IMPORTANT</w:t>
      </w:r>
    </w:p>
    <w:p>
      <w:pPr>
        <w:spacing w:after="0" w:line="105" w:lineRule="exact"/>
        <w:rPr>
          <w:sz w:val="24"/>
          <w:szCs w:val="24"/>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Inc. (“</w:t>
      </w:r>
      <w:r>
        <w:rPr>
          <w:rFonts w:ascii="Arial" w:cs="Arial" w:eastAsia="Arial" w:hAnsi="Arial"/>
          <w:sz w:val="17"/>
          <w:szCs w:val="17"/>
          <w:b w:val="1"/>
          <w:bCs w:val="1"/>
          <w:color w:val="auto"/>
        </w:rPr>
        <w:t>Vringo</w:t>
      </w:r>
      <w:r>
        <w:rPr>
          <w:rFonts w:ascii="Arial" w:cs="Arial" w:eastAsia="Arial" w:hAnsi="Arial"/>
          <w:sz w:val="17"/>
          <w:szCs w:val="17"/>
          <w:color w:val="auto"/>
        </w:rPr>
        <w:t>”), VIP Merger Sub, Inc., a wholly-owned subsidiary of Vringo (“</w:t>
      </w:r>
      <w:r>
        <w:rPr>
          <w:rFonts w:ascii="Arial" w:cs="Arial" w:eastAsia="Arial" w:hAnsi="Arial"/>
          <w:sz w:val="17"/>
          <w:szCs w:val="17"/>
          <w:b w:val="1"/>
          <w:bCs w:val="1"/>
          <w:color w:val="auto"/>
        </w:rPr>
        <w:t>Merger Sub</w:t>
      </w:r>
      <w:r>
        <w:rPr>
          <w:rFonts w:ascii="Arial" w:cs="Arial" w:eastAsia="Arial" w:hAnsi="Arial"/>
          <w:sz w:val="17"/>
          <w:szCs w:val="17"/>
          <w:color w:val="auto"/>
        </w:rPr>
        <w:t>”), and Innovate/Protect, Inc. (“</w:t>
      </w:r>
      <w:r>
        <w:rPr>
          <w:rFonts w:ascii="Arial" w:cs="Arial" w:eastAsia="Arial" w:hAnsi="Arial"/>
          <w:sz w:val="17"/>
          <w:szCs w:val="17"/>
          <w:b w:val="1"/>
          <w:bCs w:val="1"/>
          <w:color w:val="auto"/>
        </w:rPr>
        <w:t>Innovate/Protect</w:t>
      </w:r>
      <w:r>
        <w:rPr>
          <w:rFonts w:ascii="Arial" w:cs="Arial" w:eastAsia="Arial" w:hAnsi="Arial"/>
          <w:sz w:val="17"/>
          <w:szCs w:val="17"/>
          <w:color w:val="auto"/>
        </w:rPr>
        <w:t>”) entered into a Merger Agreement on March 12, 2012 (as may be amended or modified, the “</w:t>
      </w:r>
      <w:r>
        <w:rPr>
          <w:rFonts w:ascii="Arial" w:cs="Arial" w:eastAsia="Arial" w:hAnsi="Arial"/>
          <w:sz w:val="17"/>
          <w:szCs w:val="17"/>
          <w:b w:val="1"/>
          <w:b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Innovate/Protect will merge with and into Merger Sub, with Merger Sub surviving the merger as a</w:t>
      </w:r>
      <w:r>
        <w:rPr>
          <w:rFonts w:ascii="Arial" w:cs="Arial" w:eastAsia="Arial" w:hAnsi="Arial"/>
          <w:sz w:val="17"/>
          <w:szCs w:val="17"/>
          <w:b w:val="1"/>
          <w:bCs w:val="1"/>
          <w:color w:val="auto"/>
        </w:rPr>
        <w:t xml:space="preserve"> </w:t>
      </w:r>
      <w:r>
        <w:rPr>
          <w:rFonts w:ascii="Arial" w:cs="Arial" w:eastAsia="Arial" w:hAnsi="Arial"/>
          <w:sz w:val="17"/>
          <w:szCs w:val="17"/>
          <w:color w:val="auto"/>
        </w:rPr>
        <w:t>wholly-owned subsidiary of Vringo (the “</w:t>
      </w:r>
      <w:r>
        <w:rPr>
          <w:rFonts w:ascii="Arial" w:cs="Arial" w:eastAsia="Arial" w:hAnsi="Arial"/>
          <w:sz w:val="17"/>
          <w:szCs w:val="17"/>
          <w:b w:val="1"/>
          <w:bCs w:val="1"/>
          <w:color w:val="auto"/>
        </w:rPr>
        <w:t>Merger</w:t>
      </w:r>
      <w:r>
        <w:rPr>
          <w:rFonts w:ascii="Arial" w:cs="Arial" w:eastAsia="Arial" w:hAnsi="Arial"/>
          <w:sz w:val="17"/>
          <w:szCs w:val="17"/>
          <w:color w:val="auto"/>
        </w:rPr>
        <w:t>”). The board of directors of Vringo has unanimously approved the Merger Agreement and the Merger. In addition, the board of directors of Innovate/Protect has unanimously approved the Merger Agreement and the Merger.</w:t>
      </w:r>
    </w:p>
    <w:p>
      <w:pPr>
        <w:spacing w:after="0" w:line="81" w:lineRule="exact"/>
        <w:rPr>
          <w:sz w:val="24"/>
          <w:szCs w:val="24"/>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 xml:space="preserve">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June 20,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5"/>
          <w:szCs w:val="15"/>
          <w:i w:val="1"/>
          <w:iCs w:val="1"/>
          <w:color w:val="auto"/>
        </w:rPr>
        <w:t xml:space="preserve">rata </w:t>
      </w:r>
      <w:r>
        <w:rPr>
          <w:rFonts w:ascii="Arial" w:cs="Arial" w:eastAsia="Arial" w:hAnsi="Arial"/>
          <w:sz w:val="15"/>
          <w:szCs w:val="15"/>
          <w:color w:val="auto"/>
        </w:rPr>
        <w:t>as-converted basis) an aggregate of 15,959,838 warrants to purchase an aggregate of 15,959,838 shares of Vringo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(without taking into account any shares of Vringo common stock held by Innovate/Protect stockholders prior to the completion of the Merger), the former stockholders of Innovate/Protect are expected to own approximately 55.98% of the outstanding common stock of the combined company (or 67.69% of the outstanding common stock of the combined company calculated on a fully diluted basis) and the current stockholders of Vringo are expected to own approximately 44.02% of the outstanding common stock of the combined company (or 32.31% of the outstanding common stock of the combined company calculated on a fully diluted basis).</w:t>
      </w:r>
    </w:p>
    <w:p>
      <w:pPr>
        <w:spacing w:after="0" w:line="78" w:lineRule="exact"/>
        <w:rPr>
          <w:sz w:val="24"/>
          <w:szCs w:val="24"/>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common stock is listed on the NYSE MKT (formerly, NYSE Amex) and trades under the symbol “VRNG.” On June 20, 2012, the latest practicable date before the printing of this proxy statement/prospectus, the closing sale price of Vringo common stock was $4.19 per share. Innovate/Protect is a privately held intellectual property company. Following the completion of the Merger, the combined company is expected to be publicly traded on the NYSE MKT.</w:t>
      </w:r>
    </w:p>
    <w:p>
      <w:pPr>
        <w:spacing w:after="0" w:line="62" w:lineRule="exact"/>
        <w:rPr>
          <w:sz w:val="24"/>
          <w:szCs w:val="24"/>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Vringo is soliciting proxies for use at an annual meeting of its stockholders to consider and vote upon (i) a proposal to approve the Merger, including, but not limited to the issuance of shares of Vringo common stock and Vringo preferred stock and warrants to purchase shares of Vringo common stock to the Innovate/Protect stockholders and warrantholder in connection with the Merger, (ii) a proposal to approve an amendment to Vringo’s certificate of incorporation to effect a reverse stock split of Vringo common stock within the range of one-for-two to one-for-four, (iii) a proposal to approve an amendment to Vringo’s certificate of incorporation to increase the number of authorized shares of Vringo common stock to up to a maximum of 150,000,000 shares, (iv) a proposal to elect seven (7) director nominees to the Vringo board of directors, (v) a proposal to approve the Vringo, Inc. 2012 Employee, Director and Consultant Equity Incentive Plan, (vi) a proposal to ratify the appointment of Vringo’s independent registered public accounting firm and (vii) an adjournment of the Vringo annual meeting, if necessary, to solicit additional proxies if there are not sufficient votes in favor of the proposals referred to in clauses (i) through (vi). </w:t>
      </w:r>
      <w:r>
        <w:rPr>
          <w:rFonts w:ascii="Arial" w:cs="Arial" w:eastAsia="Arial" w:hAnsi="Arial"/>
          <w:sz w:val="15"/>
          <w:szCs w:val="15"/>
          <w:b w:val="1"/>
          <w:bCs w:val="1"/>
          <w:color w:val="auto"/>
        </w:rPr>
        <w:t>The board of directors of Vringo recommends</w:t>
      </w:r>
      <w:r>
        <w:rPr>
          <w:rFonts w:ascii="Arial" w:cs="Arial" w:eastAsia="Arial" w:hAnsi="Arial"/>
          <w:sz w:val="15"/>
          <w:szCs w:val="15"/>
          <w:color w:val="auto"/>
        </w:rPr>
        <w:t xml:space="preserve"> </w:t>
      </w:r>
      <w:r>
        <w:rPr>
          <w:rFonts w:ascii="Arial" w:cs="Arial" w:eastAsia="Arial" w:hAnsi="Arial"/>
          <w:sz w:val="15"/>
          <w:szCs w:val="15"/>
          <w:b w:val="1"/>
          <w:bCs w:val="1"/>
          <w:color w:val="auto"/>
        </w:rPr>
        <w:t>that Vringo stockholders vote FOR each of the foregoing proposals. Approval of the foregoing proposals (i) through (iv) is necessary to complete the Merger</w:t>
      </w:r>
      <w:r>
        <w:rPr>
          <w:rFonts w:ascii="Arial" w:cs="Arial" w:eastAsia="Arial" w:hAnsi="Arial"/>
          <w:sz w:val="15"/>
          <w:szCs w:val="15"/>
          <w:color w:val="auto"/>
        </w:rPr>
        <w:t>.</w:t>
      </w:r>
    </w:p>
    <w:p>
      <w:pPr>
        <w:spacing w:after="0" w:line="53" w:lineRule="exact"/>
        <w:rPr>
          <w:sz w:val="24"/>
          <w:szCs w:val="24"/>
          <w:color w:val="auto"/>
        </w:rPr>
      </w:pPr>
    </w:p>
    <w:p>
      <w:pPr>
        <w:jc w:val="both"/>
        <w:ind w:left="40" w:right="1239" w:firstLine="251"/>
        <w:spacing w:after="0" w:line="25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Whether or not you plan to attend the Vringo annual meeting of stockholders, please submit</w:t>
      </w:r>
      <w:r>
        <w:rPr>
          <w:rFonts w:ascii="Arial" w:cs="Arial" w:eastAsia="Arial" w:hAnsi="Arial"/>
          <w:sz w:val="17"/>
          <w:szCs w:val="17"/>
          <w:b w:val="1"/>
          <w:bCs w:val="1"/>
          <w:color w:val="auto"/>
        </w:rPr>
        <w:t xml:space="preserve"> </w:t>
      </w:r>
      <w:r>
        <w:rPr>
          <w:rFonts w:ascii="Arial" w:cs="Arial" w:eastAsia="Arial" w:hAnsi="Arial"/>
          <w:sz w:val="17"/>
          <w:szCs w:val="17"/>
          <w:color w:val="auto"/>
        </w:rPr>
        <w:t>your proxy as promptly as possible (i) through the Internet, (ii) by telephone or (iii) by marking, signing and dating the enclosed proxy card and returning it in the postage-paid envelope provided to make sure that your shares are represented at the annual meeting.</w:t>
      </w:r>
    </w:p>
    <w:p>
      <w:pPr>
        <w:spacing w:after="0" w:line="79" w:lineRule="exact"/>
        <w:rPr>
          <w:sz w:val="24"/>
          <w:szCs w:val="24"/>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 xml:space="preserve">This proxy statement/prospectus provides you with detailed information about the Vringo annual meeting, the Merger and the other business to be considered by Vringo stockholders at the annual meeting. In addition to being a proxy statement, this document is also a prospectus to be used by Vringo when issuing Vringo common stock and preferred stock, the warrants to purchase common stock and the shares of common stock underlying such preferred stock and warrants to be issued to the Innovate/Protect stockholders and warrantholder in connection with the Merger. </w:t>
      </w:r>
      <w:r>
        <w:rPr>
          <w:rFonts w:ascii="Arial" w:cs="Arial" w:eastAsia="Arial" w:hAnsi="Arial"/>
          <w:sz w:val="15"/>
          <w:szCs w:val="15"/>
          <w:b w:val="1"/>
          <w:bCs w:val="1"/>
          <w:color w:val="auto"/>
        </w:rPr>
        <w:t>Vringo encourages you to read the entire document carefully.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715010</wp:posOffset>
            </wp:positionH>
            <wp:positionV relativeFrom="paragraph">
              <wp:posOffset>394970</wp:posOffset>
            </wp:positionV>
            <wp:extent cx="5674360" cy="5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336" w:right="1440" w:bottom="976"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spacing w:after="0" w:line="259" w:lineRule="auto"/>
        <w:rPr>
          <w:sz w:val="20"/>
          <w:szCs w:val="20"/>
          <w:color w:val="auto"/>
        </w:rPr>
      </w:pPr>
      <w:r>
        <w:rPr>
          <w:rFonts w:ascii="Arial" w:cs="Arial" w:eastAsia="Arial" w:hAnsi="Arial"/>
          <w:sz w:val="17"/>
          <w:szCs w:val="17"/>
          <w:b w:val="1"/>
          <w:bCs w:val="1"/>
          <w:color w:val="auto"/>
        </w:rPr>
        <w:t xml:space="preserve">Please pay particular attention to the section entitled “Risk Factors” beginning on page </w:t>
      </w:r>
      <w:r>
        <w:rPr>
          <w:rFonts w:ascii="Arial" w:cs="Arial" w:eastAsia="Arial" w:hAnsi="Arial"/>
          <w:sz w:val="17"/>
          <w:szCs w:val="17"/>
          <w:b w:val="1"/>
          <w:bCs w:val="1"/>
          <w:u w:val="single" w:color="auto"/>
          <w:color w:val="0000EE"/>
        </w:rPr>
        <w:t>41</w:t>
      </w:r>
      <w:r>
        <w:rPr>
          <w:rFonts w:ascii="Arial" w:cs="Arial" w:eastAsia="Arial" w:hAnsi="Arial"/>
          <w:sz w:val="17"/>
          <w:szCs w:val="17"/>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Andrew D. Perlman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President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spacing w:after="0" w:line="8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securities to be issued in connection with the Merger or determined if this proxy statement/prospectus is accurate or complete. Any representation to the contrary is a criminal offense.</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This proxy statement/prospectus is dated June 20, 2012 and is first being mailed to the stockholders of Vringo on or about June 22,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395605</wp:posOffset>
            </wp:positionV>
            <wp:extent cx="5674360" cy="57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REFERENCES TO ADDITIONAL INFORMATION</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This proxy statement/prospectus references important business and financial information about Vringo that is not included in or delivered with this proxy statement/prospectus. Vringo and its proxy solicitor, Morrow &amp; Co., LLC (Morrow), will provide you with copies of this information (excluding all exhibits) relating to Vringo, without charge, upon written or oral request. You can obtain these documents, which are referred to in this proxy statement/prospectus, by requesting them in writing or by telephone from Vringo or Morrow, Vringo’s proxy solicitor, at the following address and telephone number,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3755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55390" cy="8255"/>
                    </a:xfrm>
                    <a:prstGeom prst="rect">
                      <a:avLst/>
                    </a:prstGeom>
                    <a:noFill/>
                  </pic:spPr>
                </pic:pic>
              </a:graphicData>
            </a:graphic>
          </wp:anchor>
        </w:drawing>
      </w:r>
    </w:p>
    <w:p>
      <w:pPr>
        <w:spacing w:after="0"/>
        <w:tabs>
          <w:tab w:leader="none" w:pos="3660" w:val="left"/>
        </w:tabs>
        <w:rPr>
          <w:sz w:val="20"/>
          <w:szCs w:val="20"/>
          <w:color w:val="auto"/>
        </w:rPr>
      </w:pPr>
      <w:r>
        <w:rPr>
          <w:rFonts w:ascii="Arial" w:cs="Arial" w:eastAsia="Arial" w:hAnsi="Arial"/>
          <w:sz w:val="17"/>
          <w:szCs w:val="17"/>
          <w:color w:val="auto"/>
        </w:rPr>
        <w:t>Vringo, Inc.</w:t>
      </w:r>
      <w:r>
        <w:rPr>
          <w:sz w:val="20"/>
          <w:szCs w:val="20"/>
          <w:color w:val="auto"/>
        </w:rPr>
        <w:tab/>
      </w:r>
      <w:r>
        <w:rPr>
          <w:rFonts w:ascii="Arial" w:cs="Arial" w:eastAsia="Arial" w:hAnsi="Arial"/>
          <w:sz w:val="16"/>
          <w:szCs w:val="16"/>
          <w:color w:val="auto"/>
        </w:rPr>
        <w:t>Morrow &amp; Co., LLC</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44 W. 28th Street, Suite 1414</w:t>
      </w:r>
      <w:r>
        <w:rPr>
          <w:sz w:val="20"/>
          <w:szCs w:val="20"/>
          <w:color w:val="auto"/>
        </w:rPr>
        <w:tab/>
      </w:r>
      <w:r>
        <w:rPr>
          <w:rFonts w:ascii="Arial" w:cs="Arial" w:eastAsia="Arial" w:hAnsi="Arial"/>
          <w:sz w:val="14"/>
          <w:szCs w:val="14"/>
          <w:color w:val="auto"/>
        </w:rPr>
        <w:t>470 West Avenue</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New York, New York 10001</w:t>
      </w:r>
      <w:r>
        <w:rPr>
          <w:sz w:val="20"/>
          <w:szCs w:val="20"/>
          <w:color w:val="auto"/>
        </w:rPr>
        <w:tab/>
      </w:r>
      <w:r>
        <w:rPr>
          <w:rFonts w:ascii="Arial" w:cs="Arial" w:eastAsia="Arial" w:hAnsi="Arial"/>
          <w:sz w:val="15"/>
          <w:szCs w:val="15"/>
          <w:color w:val="auto"/>
        </w:rPr>
        <w:t>Stamford, Connecticut 06902</w:t>
      </w:r>
    </w:p>
    <w:p>
      <w:pPr>
        <w:spacing w:after="0" w:line="5"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Attn: Corporate Secretary</w:t>
      </w:r>
      <w:r>
        <w:rPr>
          <w:sz w:val="20"/>
          <w:szCs w:val="20"/>
          <w:color w:val="auto"/>
        </w:rPr>
        <w:tab/>
      </w:r>
      <w:r>
        <w:rPr>
          <w:rFonts w:ascii="Arial" w:cs="Arial" w:eastAsia="Arial" w:hAnsi="Arial"/>
          <w:sz w:val="15"/>
          <w:szCs w:val="15"/>
          <w:color w:val="auto"/>
        </w:rPr>
        <w:t>(203) 658-9400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(646) 525-4319</w:t>
      </w:r>
    </w:p>
    <w:p>
      <w:pPr>
        <w:spacing w:after="0" w:line="9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order for you to receive timely delivery of the documents in advance of the Vringo annual meeting you must request the information no later than July 12, 2012.</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2012 Annual Meeting of Stockholders of Vringo to be held on July 19, 2012. This proxy statement/prospectus, a form of proxy card and Vringo’s Annual Report to Stockholders for 2011 are available on the Internet at </w:t>
      </w:r>
      <w:r>
        <w:rPr>
          <w:rFonts w:ascii="Arial" w:cs="Arial" w:eastAsia="Arial" w:hAnsi="Arial"/>
          <w:sz w:val="16"/>
          <w:szCs w:val="16"/>
          <w:b w:val="1"/>
          <w:bCs w:val="1"/>
          <w:i w:val="1"/>
          <w:iCs w:val="1"/>
          <w:color w:val="auto"/>
        </w:rPr>
        <w:t>https://materials.proxyvote.com/92911N.</w:t>
      </w:r>
    </w:p>
    <w:p>
      <w:pPr>
        <w:spacing w:after="0" w:line="153"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ABOUT THIS PROXY STATEMENT/PROSPECTUS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This proxy statement/prospectus, which forms a part of a Registration Statement on Form S-4 filed with the Securities and Exchange Commission by Vringo (File No. 333-180609), constitutes a prospectus of Vringo under Section 5 of the Securities Act of 1933, as amended, with respect to the shares of Vringo common stock and preferred stock and the warrants (and the shares of common stock issuable upon conversion of the preferred stock and the exercise of the warrants) to be issued to the Innovate/Protect stockholders and warrantholder in connection with the Merger.</w:t>
      </w:r>
    </w:p>
    <w:p>
      <w:pPr>
        <w:spacing w:after="0" w:line="68"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This proxy statement/prospectus also constitutes a notice of meeting and a proxy statement under Section 14(a) of the Securities Exchange Act of 1934, as amended, with respect to a Vringo annual meeting, at which Vringo stockholders will be asked to consider and vote upon certain proposals, including (i) a proposal to approve the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(ii) a proposal to amend Vringo’s certificate of incorporation to effect a reverse stock split of Vringo’s issued and outstanding common stock, (iii) a proposal to amend Vringo’s certificate of incorporation to increase the number of authorized shares of Vringo common stock, (iv) a proposal to elect seven (7) director nominees to the Vringo board of directors, (v) a proposal to approve the Vringo, Inc. 2012 Employee, Director and Consultant Equity Incentive Plan, (vi) a proposal to ratify the appointment of Somekh Chaikin, a member firm of KPMG International, as Vringo’s independent registered public accounting firm for the fiscal year ending December 31, 2012 and (vii) a proposal to approve the adjournment of the Vringo annual meeting, if necessary, to solicit additional proxies if there are not sufficient votes in favor of proposals (i) –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389255</wp:posOffset>
            </wp:positionV>
            <wp:extent cx="5674360" cy="57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125095</wp:posOffset>
            </wp:positionV>
            <wp:extent cx="1440180" cy="748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74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44 W. 28th Street, Suite 1414</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New York, New York 10001</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(646) 525-4319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2096135</wp:posOffset>
            </wp:positionH>
            <wp:positionV relativeFrom="paragraph">
              <wp:posOffset>178435</wp:posOffset>
            </wp:positionV>
            <wp:extent cx="1431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TO BE HELD ON JULY 19,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Stockholders of Vringo, Inc.:</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annual meeting of stockholders of Vringo, Inc., a Delaware corporation, will be held on July 19, 2012, at 10:00 a.m., local time, at the offices of Mintz, Levin, Cohn, Ferris, Glovsky and Popeo, P.C., the Chrysler Center, 666 Third Avenue, 32nd floor, New York, New York 10017, for the following purposes:</w:t>
      </w:r>
    </w:p>
    <w:p>
      <w:pPr>
        <w:spacing w:after="0" w:line="76" w:lineRule="exact"/>
        <w:rPr>
          <w:sz w:val="20"/>
          <w:szCs w:val="20"/>
          <w:color w:val="auto"/>
        </w:rPr>
      </w:pPr>
    </w:p>
    <w:p>
      <w:pPr>
        <w:jc w:val="both"/>
        <w:ind w:left="520" w:right="1239" w:hanging="260"/>
        <w:spacing w:after="0" w:line="251"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a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contemplated by the Agreement and Plan of Merger, dated as of March 12, 2012, by and among Vringo, Innovate/Protect and VIP Merger Sub, Inc., a wholly-owned subsidiary of Vringo;</w:t>
      </w:r>
    </w:p>
    <w:p>
      <w:pPr>
        <w:spacing w:after="0" w:line="80"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amend Vringo’s amended and restated certificate of incorporation to effect a reverse stock split of Vringo’s issued and outstanding common stock within the range of one-for-two to one-for-four (with the exact amount, if any, to be determined prior to the completion of the merger based on the requirements of the NYSE MKT);</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amend Vringo’s amended and restated certificate of incorporation to increase the number of authorized shares of Vringo common stock from 28,000,000 to up to a maximum of 150,000,000 shares (with the exact amount to be determined prior to the completion of the merger);</w:t>
      </w:r>
    </w:p>
    <w:p>
      <w:pPr>
        <w:spacing w:after="0" w:line="76" w:lineRule="exact"/>
        <w:rPr>
          <w:rFonts w:ascii="Arial" w:cs="Arial" w:eastAsia="Arial" w:hAnsi="Arial"/>
          <w:sz w:val="17"/>
          <w:szCs w:val="17"/>
          <w:color w:val="auto"/>
        </w:rPr>
      </w:pPr>
    </w:p>
    <w:p>
      <w:pPr>
        <w:jc w:val="both"/>
        <w:ind w:left="520" w:right="1239" w:hanging="260"/>
        <w:spacing w:after="0" w:line="307" w:lineRule="auto"/>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w:t>
      </w:r>
    </w:p>
    <w:p>
      <w:pPr>
        <w:spacing w:after="0" w:line="39" w:lineRule="exact"/>
        <w:rPr>
          <w:rFonts w:ascii="Arial" w:cs="Arial" w:eastAsia="Arial" w:hAnsi="Arial"/>
          <w:sz w:val="15"/>
          <w:szCs w:val="15"/>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Vringo, Inc. 2012 Employee, Director and Consultant Equity Incentive Plan, as approved by the Vringo board of directors on June 13, 2012;</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ratify the appointment of Somekh Chaikin, a member firm of KPMG International, as Vringo’s independent registered public accounting firm for the fiscal year ending December 31, 2012;</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approve the adjournment of the Vringo annual meeting, if necessary, to solicit additional proxies if there are not sufficient votes in favor of Vringo Proposal Nos. 1, 2, 3, 4, 5 or 6;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Vringo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395605</wp:posOffset>
            </wp:positionV>
            <wp:extent cx="5674360" cy="571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The Vringo board of directors has determined that the merger, upon the terms and conditions set forth in the merger agreement, and the other transactions contemplated by the merger agreement are advisable and fair to, and in the best interests of, Vringo and its stockholders. The board of directors makes its recommendation to the Vringo stockholders after consideration of the factors described in this proxy statement/prospectus. </w:t>
      </w:r>
      <w:r>
        <w:rPr>
          <w:rFonts w:ascii="Arial" w:cs="Arial" w:eastAsia="Arial" w:hAnsi="Arial"/>
          <w:sz w:val="17"/>
          <w:szCs w:val="17"/>
          <w:b w:val="1"/>
          <w:bCs w:val="1"/>
          <w:color w:val="auto"/>
        </w:rPr>
        <w:t>The Vringo board of directors unanimously recommends that Vringo</w:t>
      </w:r>
      <w:r>
        <w:rPr>
          <w:rFonts w:ascii="Arial" w:cs="Arial" w:eastAsia="Arial" w:hAnsi="Arial"/>
          <w:sz w:val="17"/>
          <w:szCs w:val="17"/>
          <w:color w:val="auto"/>
        </w:rPr>
        <w:t xml:space="preserve"> </w:t>
      </w:r>
      <w:r>
        <w:rPr>
          <w:rFonts w:ascii="Arial" w:cs="Arial" w:eastAsia="Arial" w:hAnsi="Arial"/>
          <w:sz w:val="17"/>
          <w:szCs w:val="17"/>
          <w:b w:val="1"/>
          <w:bCs w:val="1"/>
          <w:color w:val="auto"/>
        </w:rPr>
        <w:t>stockholders vote FOR each of the foregoing proposals.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14,064,466 shares of common stock outstanding and entitled to vote.</w:t>
      </w:r>
    </w:p>
    <w:p>
      <w:pPr>
        <w:spacing w:after="0" w:line="4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Your vote is important</w:t>
      </w:r>
      <w:r>
        <w:rPr>
          <w:rFonts w:ascii="Arial" w:cs="Arial" w:eastAsia="Arial" w:hAnsi="Arial"/>
          <w:sz w:val="15"/>
          <w:szCs w:val="15"/>
          <w:color w:val="auto"/>
        </w:rPr>
        <w:t>. The affirmative vote of the holders of a majority of the shares of Vringo common stock present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entitled to vote on the matter either in person or by proxy at the Vringo annual meeting is required for approval of Vringo Proposal Nos. 1, 5, 6 and 7. The affirmative vote of the holders of a majority of the outstanding shares of Vringo common stock entitled to vote on the matter either in person or by proxy at the Vringo annual meeting is required for approval of Vringo Proposal Nos. 2 and</w:t>
      </w:r>
    </w:p>
    <w:p>
      <w:pPr>
        <w:spacing w:after="0" w:line="2" w:lineRule="exact"/>
        <w:rPr>
          <w:sz w:val="20"/>
          <w:szCs w:val="20"/>
          <w:color w:val="auto"/>
        </w:rPr>
      </w:pPr>
    </w:p>
    <w:p>
      <w:pPr>
        <w:ind w:left="40" w:right="1239" w:firstLine="7"/>
        <w:spacing w:after="0" w:line="252" w:lineRule="auto"/>
        <w:tabs>
          <w:tab w:leader="none" w:pos="21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affirmative vote of a plurality of the voting power of the shares present or represented by proxy at the meeting and entitled to vote is required for the election of the directors set forth in Vringo Proposal No. 4.</w:t>
      </w:r>
    </w:p>
    <w:p>
      <w:pPr>
        <w:spacing w:after="0" w:line="74"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All Vringo stockholders of record are cordially invited to attend the Vringo annual meeting in person. </w:t>
      </w:r>
      <w:r>
        <w:rPr>
          <w:rFonts w:ascii="Arial" w:cs="Arial" w:eastAsia="Arial" w:hAnsi="Arial"/>
          <w:sz w:val="15"/>
          <w:szCs w:val="15"/>
          <w:b w:val="1"/>
          <w:bCs w:val="1"/>
          <w:color w:val="auto"/>
        </w:rPr>
        <w:t>However, even if you</w:t>
      </w:r>
      <w:r>
        <w:rPr>
          <w:rFonts w:ascii="Arial" w:cs="Arial" w:eastAsia="Arial" w:hAnsi="Arial"/>
          <w:sz w:val="15"/>
          <w:szCs w:val="15"/>
          <w:color w:val="auto"/>
        </w:rPr>
        <w:t xml:space="preserve"> </w:t>
      </w:r>
      <w:r>
        <w:rPr>
          <w:rFonts w:ascii="Arial" w:cs="Arial" w:eastAsia="Arial" w:hAnsi="Arial"/>
          <w:sz w:val="15"/>
          <w:szCs w:val="15"/>
          <w:b w:val="1"/>
          <w:bCs w:val="1"/>
          <w:color w:val="auto"/>
        </w:rPr>
        <w:t>plan to attend the Vringo annual meeting in person, Vringo urges you to submit your proxy as promptly as possible (i) through the Internet, (ii) by telephone or (iii) by marking, signing and dating the enclosed proxy card and returning it in the postage-paid envelope as instructed on the enclosed proxy card to ensure that your shares of Vringo common stock will be represented at the Vringo annual meeting if you are unable to attend. If you sign, date and mail your proxy card without indicating how you wish to vote, all of your shares will be voted FOR Vringo Proposal Nos. 1, 2, 3, 4, 5, 6 and 7. If you fail to submit your proxy as instructed on the enclosed proxy card, the effect will be that your shares will not be counted for purposes of determining whether a quorum is present at the Vringo annual meeting and will have the same effect as a vote against Vringo Proposal Nos. 2 and 3 but such failure will have no effect with respect to Vringo Proposal Nos. 1, 4, 5, 6 and 7. If you do attend the Vringo annual meeting and wish to vote in person, you may withdraw your proxy and vote in person.</w:t>
      </w:r>
    </w:p>
    <w:p>
      <w:pPr>
        <w:spacing w:after="0" w:line="6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Pursuant to rules adopted by the Securities and Exchange Commission, Vringo has elected to provide access to the proxy materials of Vringo both by sending you this full set of proxy materials, including a proxy card, and by making a copy of the proxy materials available to you on the Internet. This proxy statement/prospectus, a form of proxy card and Vringo’s Annual Report to Stockholders for the year ended December 31, 2011 are available on the Internet at </w:t>
      </w:r>
      <w:r>
        <w:rPr>
          <w:rFonts w:ascii="Arial" w:cs="Arial" w:eastAsia="Arial" w:hAnsi="Arial"/>
          <w:sz w:val="15"/>
          <w:szCs w:val="15"/>
          <w:i w:val="1"/>
          <w:iCs w:val="1"/>
          <w:color w:val="auto"/>
        </w:rPr>
        <w:t>https://materials.proxyvote.com/92911N</w:t>
      </w:r>
      <w:r>
        <w:rPr>
          <w:rFonts w:ascii="Arial" w:cs="Arial" w:eastAsia="Arial" w:hAnsi="Arial"/>
          <w:sz w:val="15"/>
          <w:szCs w:val="15"/>
          <w:color w:val="auto"/>
        </w:rPr>
        <w:t>.</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This proxy statement/prospectus provides you with detailed information about the merger and the other business to be considered by Vringo stockholders at the annual meeting. </w:t>
      </w:r>
      <w:r>
        <w:rPr>
          <w:rFonts w:ascii="Arial" w:cs="Arial" w:eastAsia="Arial" w:hAnsi="Arial"/>
          <w:sz w:val="17"/>
          <w:szCs w:val="17"/>
          <w:b w:val="1"/>
          <w:bCs w:val="1"/>
          <w:color w:val="auto"/>
        </w:rPr>
        <w:t>Vringo encourages you to read the entire document carefully. Please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pay particular attention to the section entitled “Risk Factors” beginning on page </w:t>
      </w:r>
      <w:r>
        <w:rPr>
          <w:rFonts w:ascii="Arial" w:cs="Arial" w:eastAsia="Arial" w:hAnsi="Arial"/>
          <w:sz w:val="17"/>
          <w:szCs w:val="17"/>
          <w:b w:val="1"/>
          <w:bCs w:val="1"/>
          <w:u w:val="single" w:color="auto"/>
          <w:color w:val="0000EE"/>
        </w:rPr>
        <w:t>41</w:t>
      </w:r>
      <w:r>
        <w:rPr>
          <w:rFonts w:ascii="Arial" w:cs="Arial" w:eastAsia="Arial" w:hAnsi="Arial"/>
          <w:sz w:val="17"/>
          <w:szCs w:val="17"/>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Order of the Board of Directors,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Andrew D. Perlman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President</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June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412115</wp:posOffset>
            </wp:positionV>
            <wp:extent cx="5674360" cy="57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5622290" cy="130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2290" cy="1309370"/>
                    </a:xfrm>
                    <a:prstGeom prst="rect">
                      <a:avLst/>
                    </a:prstGeom>
                    <a:noFill/>
                  </pic:spPr>
                </pic:pic>
              </a:graphicData>
            </a:graphic>
          </wp:anchor>
        </w:drawing>
      </w:r>
    </w:p>
    <w:p>
      <w:pPr>
        <w:spacing w:after="0" w:line="298"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IMPORTANT</w:t>
      </w:r>
    </w:p>
    <w:p>
      <w:pPr>
        <w:spacing w:after="0" w:line="256" w:lineRule="exact"/>
        <w:rPr>
          <w:sz w:val="20"/>
          <w:szCs w:val="20"/>
          <w:color w:val="auto"/>
        </w:rPr>
      </w:pPr>
    </w:p>
    <w:p>
      <w:pPr>
        <w:jc w:val="both"/>
        <w:ind w:left="340" w:right="1279"/>
        <w:spacing w:after="0" w:line="289" w:lineRule="auto"/>
        <w:rPr>
          <w:sz w:val="20"/>
          <w:szCs w:val="20"/>
          <w:color w:val="auto"/>
        </w:rPr>
      </w:pPr>
      <w:r>
        <w:rPr>
          <w:rFonts w:ascii="Arial" w:cs="Arial" w:eastAsia="Arial" w:hAnsi="Arial"/>
          <w:sz w:val="15"/>
          <w:szCs w:val="15"/>
          <w:b w:val="1"/>
          <w:bCs w:val="1"/>
          <w:color w:val="auto"/>
        </w:rPr>
        <w:t>Your vote is important. Whether or not you expect to attend the Vringo annual meeting, please submit your proxy (i) through the Internet, (ii) by telephone or (iii) by marking, signing and dating the enclosed proxy card and returning it in the postage-paid envelope provided, as instructed in these materials as promptly as possible in order to ensure that your shares of Vringo common stock will be represented at the Vringo annual meeting. Even if you have voted by proxy, you may still vote in person if you attend the Vringo annual meeting and revoke your proxy. Please note, however, that if your shares are held in “street name” by a broker or other nominee and you wish to vote at the Vringo annual meeting, you must obtain a proxy issued in your name from such record holder prior to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570230</wp:posOffset>
            </wp:positionV>
            <wp:extent cx="5674360" cy="57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17"/>
          </w:tcPr>
          <w:p>
            <w:pPr>
              <w:ind w:left="100"/>
              <w:spacing w:after="0"/>
              <w:rPr>
                <w:sz w:val="20"/>
                <w:szCs w:val="20"/>
                <w:color w:val="auto"/>
              </w:rPr>
            </w:pPr>
            <w:r>
              <w:rPr>
                <w:rFonts w:ascii="Arial" w:cs="Arial" w:eastAsia="Arial" w:hAnsi="Arial"/>
                <w:sz w:val="17"/>
                <w:szCs w:val="17"/>
                <w:b w:val="1"/>
                <w:bCs w:val="1"/>
                <w:color w:val="auto"/>
              </w:rPr>
              <w:t>TABLE OF CONTENTS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360" w:type="dxa"/>
            <w:vAlign w:val="bottom"/>
            <w:gridSpan w:val="28"/>
          </w:tcPr>
          <w:p>
            <w:pPr>
              <w:spacing w:after="0" w:line="176" w:lineRule="exact"/>
              <w:rPr>
                <w:sz w:val="20"/>
                <w:szCs w:val="20"/>
                <w:color w:val="auto"/>
              </w:rPr>
            </w:pPr>
            <w:r>
              <w:rPr>
                <w:rFonts w:ascii="Arial" w:cs="Arial" w:eastAsia="Arial" w:hAnsi="Arial"/>
                <w:sz w:val="17"/>
                <w:szCs w:val="17"/>
                <w:color w:val="0000EE"/>
                <w:w w:val="94"/>
              </w:rPr>
              <w:t>QUESTIONS AND ANSWERS ABOUT THE MERGER AND THE VRINGO</w:t>
            </w:r>
          </w:p>
        </w:tc>
        <w:tc>
          <w:tcPr>
            <w:tcW w:w="1800" w:type="dxa"/>
            <w:vAlign w:val="bottom"/>
            <w:gridSpan w:val="6"/>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Arial" w:cs="Arial" w:eastAsia="Arial" w:hAnsi="Arial"/>
                <w:sz w:val="17"/>
                <w:szCs w:val="17"/>
                <w:color w:val="0000EE"/>
              </w:rPr>
              <w:t>1</w:t>
            </w:r>
          </w:p>
        </w:tc>
      </w:tr>
      <w:tr>
        <w:trPr>
          <w:trHeight w:val="180"/>
        </w:trPr>
        <w:tc>
          <w:tcPr>
            <w:tcW w:w="160" w:type="dxa"/>
            <w:vAlign w:val="bottom"/>
            <w:tcBorders>
              <w:top w:val="single" w:sz="8" w:color="0000EE"/>
            </w:tcBorders>
          </w:tcPr>
          <w:p>
            <w:pPr>
              <w:spacing w:after="0"/>
              <w:rPr>
                <w:sz w:val="15"/>
                <w:szCs w:val="15"/>
                <w:color w:val="auto"/>
              </w:rPr>
            </w:pPr>
          </w:p>
        </w:tc>
        <w:tc>
          <w:tcPr>
            <w:tcW w:w="5200" w:type="dxa"/>
            <w:vAlign w:val="bottom"/>
            <w:tcBorders>
              <w:top w:val="single" w:sz="8" w:color="0000EE"/>
            </w:tcBorders>
            <w:gridSpan w:val="27"/>
          </w:tcPr>
          <w:p>
            <w:pPr>
              <w:spacing w:after="0" w:line="180" w:lineRule="exact"/>
              <w:rPr>
                <w:sz w:val="20"/>
                <w:szCs w:val="20"/>
                <w:color w:val="auto"/>
              </w:rPr>
            </w:pPr>
            <w:r>
              <w:rPr>
                <w:rFonts w:ascii="Arial" w:cs="Arial" w:eastAsia="Arial" w:hAnsi="Arial"/>
                <w:sz w:val="17"/>
                <w:szCs w:val="17"/>
                <w:color w:val="0000EE"/>
              </w:rPr>
              <w:t>ANNUAL MEETING</w:t>
            </w:r>
          </w:p>
        </w:tc>
        <w:tc>
          <w:tcPr>
            <w:tcW w:w="1800" w:type="dxa"/>
            <w:vAlign w:val="bottom"/>
            <w:gridSpan w:val="6"/>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60" w:type="dxa"/>
            <w:vAlign w:val="bottom"/>
            <w:tcBorders>
              <w:bottom w:val="single" w:sz="8" w:color="0000EE"/>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96"/>
              </w:rPr>
              <w:t>SUMMARY</w:t>
            </w:r>
          </w:p>
        </w:tc>
        <w:tc>
          <w:tcPr>
            <w:tcW w:w="6300" w:type="dxa"/>
            <w:vAlign w:val="bottom"/>
            <w:tcBorders>
              <w:bottom w:val="single" w:sz="8" w:color="CCFFCC"/>
            </w:tcBorders>
            <w:gridSpan w:val="31"/>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13</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1080" w:type="dxa"/>
            <w:vAlign w:val="bottom"/>
            <w:tcBorders>
              <w:bottom w:val="single" w:sz="8" w:color="0000EE"/>
            </w:tcBorders>
            <w:gridSpan w:val="6"/>
          </w:tcPr>
          <w:p>
            <w:pPr>
              <w:spacing w:after="0" w:line="163" w:lineRule="exact"/>
              <w:rPr>
                <w:sz w:val="20"/>
                <w:szCs w:val="20"/>
                <w:color w:val="auto"/>
              </w:rPr>
            </w:pPr>
            <w:r>
              <w:rPr>
                <w:rFonts w:ascii="Arial" w:cs="Arial" w:eastAsia="Arial" w:hAnsi="Arial"/>
                <w:sz w:val="17"/>
                <w:szCs w:val="17"/>
                <w:color w:val="0000EE"/>
                <w:w w:val="86"/>
              </w:rPr>
              <w:t>The Companies</w:t>
            </w:r>
          </w:p>
        </w:tc>
        <w:tc>
          <w:tcPr>
            <w:tcW w:w="5920" w:type="dxa"/>
            <w:vAlign w:val="bottom"/>
            <w:gridSpan w:val="27"/>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13</w:t>
            </w:r>
          </w:p>
        </w:tc>
        <w:tc>
          <w:tcPr>
            <w:tcW w:w="100" w:type="dxa"/>
            <w:vAlign w:val="bottom"/>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900" w:type="dxa"/>
            <w:vAlign w:val="bottom"/>
            <w:tcBorders>
              <w:bottom w:val="single" w:sz="8" w:color="0000EE"/>
              <w:right w:val="single" w:sz="8" w:color="CCFFCC"/>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97"/>
              </w:rPr>
              <w:t>The Merger</w:t>
            </w:r>
          </w:p>
        </w:tc>
        <w:tc>
          <w:tcPr>
            <w:tcW w:w="610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What Innovate/Protect Stockholders Will Receive in the Merger</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14</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5020" w:type="dxa"/>
            <w:vAlign w:val="bottom"/>
            <w:tcBorders>
              <w:bottom w:val="single" w:sz="8" w:color="0000EE"/>
            </w:tcBorders>
            <w:gridSpan w:val="25"/>
            <w:shd w:val="clear" w:color="auto" w:fill="CCFFCC"/>
          </w:tcPr>
          <w:p>
            <w:pPr>
              <w:spacing w:after="0" w:line="172" w:lineRule="exact"/>
              <w:rPr>
                <w:sz w:val="20"/>
                <w:szCs w:val="20"/>
                <w:color w:val="auto"/>
              </w:rPr>
            </w:pPr>
            <w:r>
              <w:rPr>
                <w:rFonts w:ascii="Arial" w:cs="Arial" w:eastAsia="Arial" w:hAnsi="Arial"/>
                <w:sz w:val="17"/>
                <w:szCs w:val="17"/>
                <w:color w:val="0000EE"/>
                <w:w w:val="90"/>
              </w:rPr>
              <w:t>Ownership of the Combined Company After the Completion of the Merger</w:t>
            </w:r>
          </w:p>
        </w:tc>
        <w:tc>
          <w:tcPr>
            <w:tcW w:w="1980" w:type="dxa"/>
            <w:vAlign w:val="bottom"/>
            <w:tcBorders>
              <w:bottom w:val="single" w:sz="8" w:color="CCFFCC"/>
            </w:tcBorders>
            <w:gridSpan w:val="8"/>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15</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Treatment of Innovate/Protect Stock Options and Warrants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15</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Treatment of Vringo Stock Options; Change of Control Payments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16</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0000EE"/>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160" w:type="dxa"/>
            <w:vAlign w:val="bottom"/>
            <w:tcBorders>
              <w:bottom w:val="single" w:sz="8" w:color="0000EE"/>
            </w:tcBorders>
            <w:gridSpan w:val="31"/>
          </w:tcPr>
          <w:p>
            <w:pPr>
              <w:spacing w:after="0" w:line="163" w:lineRule="exact"/>
              <w:rPr>
                <w:sz w:val="20"/>
                <w:szCs w:val="20"/>
                <w:color w:val="auto"/>
              </w:rPr>
            </w:pPr>
            <w:r>
              <w:rPr>
                <w:rFonts w:ascii="Arial" w:cs="Arial" w:eastAsia="Arial" w:hAnsi="Arial"/>
                <w:sz w:val="17"/>
                <w:szCs w:val="17"/>
                <w:color w:val="0000EE"/>
                <w:w w:val="90"/>
              </w:rPr>
              <w:t>Board of Directors and Executive Officers of the Combined Company After the Completion</w:t>
            </w:r>
          </w:p>
        </w:tc>
        <w:tc>
          <w:tcPr>
            <w:tcW w:w="8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16</w:t>
            </w:r>
          </w:p>
        </w:tc>
        <w:tc>
          <w:tcPr>
            <w:tcW w:w="10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20" w:type="dxa"/>
            <w:vAlign w:val="bottom"/>
            <w:gridSpan w:val="32"/>
          </w:tcPr>
          <w:p>
            <w:pPr>
              <w:spacing w:after="0" w:line="180" w:lineRule="exact"/>
              <w:rPr>
                <w:sz w:val="20"/>
                <w:szCs w:val="20"/>
                <w:color w:val="auto"/>
              </w:rPr>
            </w:pPr>
            <w:r>
              <w:rPr>
                <w:rFonts w:ascii="Arial" w:cs="Arial" w:eastAsia="Arial" w:hAnsi="Arial"/>
                <w:sz w:val="17"/>
                <w:szCs w:val="17"/>
                <w:color w:val="0000EE"/>
              </w:rPr>
              <w:t>of the Merger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Recommendations of the Vringo Board of Directors and its Reasons for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16</w:t>
            </w:r>
          </w:p>
        </w:tc>
        <w:tc>
          <w:tcPr>
            <w:tcW w:w="100" w:type="dxa"/>
            <w:vAlign w:val="bottom"/>
            <w:shd w:val="clear" w:color="auto" w:fill="CCFFCC"/>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5560" w:type="dxa"/>
            <w:vAlign w:val="bottom"/>
            <w:tcBorders>
              <w:top w:val="single" w:sz="8" w:color="0000EE"/>
            </w:tcBorders>
            <w:gridSpan w:val="29"/>
          </w:tcPr>
          <w:p>
            <w:pPr>
              <w:spacing w:after="0" w:line="163" w:lineRule="exact"/>
              <w:rPr>
                <w:sz w:val="20"/>
                <w:szCs w:val="20"/>
                <w:color w:val="auto"/>
              </w:rPr>
            </w:pPr>
            <w:r>
              <w:rPr>
                <w:rFonts w:ascii="Arial" w:cs="Arial" w:eastAsia="Arial" w:hAnsi="Arial"/>
                <w:sz w:val="17"/>
                <w:szCs w:val="17"/>
                <w:color w:val="0000EE"/>
              </w:rPr>
              <w:t>Opinion of Etico Capital to the Vringo Board of Directors</w:t>
            </w:r>
          </w:p>
        </w:tc>
        <w:tc>
          <w:tcPr>
            <w:tcW w:w="1440" w:type="dxa"/>
            <w:vAlign w:val="bottom"/>
            <w:tcBorders>
              <w:top w:val="single" w:sz="8" w:color="CCFFCC"/>
            </w:tcBorders>
            <w:gridSpan w:val="4"/>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17</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Interests of Vringo Directors and Executive Officers in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17</w:t>
            </w:r>
          </w:p>
        </w:tc>
        <w:tc>
          <w:tcPr>
            <w:tcW w:w="100" w:type="dxa"/>
            <w:vAlign w:val="bottom"/>
            <w:shd w:val="clear" w:color="auto" w:fill="CCFFCC"/>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4440" w:type="dxa"/>
            <w:vAlign w:val="bottom"/>
            <w:tcBorders>
              <w:top w:val="single" w:sz="8" w:color="0000EE"/>
            </w:tcBorders>
            <w:gridSpan w:val="23"/>
          </w:tcPr>
          <w:p>
            <w:pPr>
              <w:spacing w:after="0" w:line="163" w:lineRule="exact"/>
              <w:rPr>
                <w:sz w:val="20"/>
                <w:szCs w:val="20"/>
                <w:color w:val="auto"/>
              </w:rPr>
            </w:pPr>
            <w:r>
              <w:rPr>
                <w:rFonts w:ascii="Arial" w:cs="Arial" w:eastAsia="Arial" w:hAnsi="Arial"/>
                <w:sz w:val="17"/>
                <w:szCs w:val="17"/>
                <w:color w:val="0000EE"/>
              </w:rPr>
              <w:t>Anticipated Accounting Treatment of the Merger</w:t>
            </w:r>
          </w:p>
        </w:tc>
        <w:tc>
          <w:tcPr>
            <w:tcW w:w="2560" w:type="dxa"/>
            <w:vAlign w:val="bottom"/>
            <w:tcBorders>
              <w:top w:val="single" w:sz="8" w:color="CCFFCC"/>
            </w:tcBorders>
            <w:gridSpan w:val="10"/>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18</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4280" w:type="dxa"/>
            <w:vAlign w:val="bottom"/>
            <w:tcBorders>
              <w:bottom w:val="single" w:sz="8" w:color="0000EE"/>
              <w:right w:val="single" w:sz="8" w:color="CCFFCC"/>
            </w:tcBorders>
            <w:gridSpan w:val="22"/>
            <w:shd w:val="clear" w:color="auto" w:fill="CCFFCC"/>
          </w:tcPr>
          <w:p>
            <w:pPr>
              <w:spacing w:after="0" w:line="172" w:lineRule="exact"/>
              <w:rPr>
                <w:sz w:val="20"/>
                <w:szCs w:val="20"/>
                <w:color w:val="auto"/>
              </w:rPr>
            </w:pPr>
            <w:r>
              <w:rPr>
                <w:rFonts w:ascii="Arial" w:cs="Arial" w:eastAsia="Arial" w:hAnsi="Arial"/>
                <w:sz w:val="17"/>
                <w:szCs w:val="17"/>
                <w:color w:val="0000EE"/>
                <w:w w:val="88"/>
              </w:rPr>
              <w:t>Material U.S. Federal Income Tax Consequences of the Merger</w:t>
            </w:r>
          </w:p>
        </w:tc>
        <w:tc>
          <w:tcPr>
            <w:tcW w:w="2720" w:type="dxa"/>
            <w:vAlign w:val="bottom"/>
            <w:tcBorders>
              <w:bottom w:val="single" w:sz="8" w:color="CCFFCC"/>
            </w:tcBorders>
            <w:gridSpan w:val="11"/>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18</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w w:val="91"/>
              </w:rPr>
              <w:t>Restrictions on Sales of Shares of Vringo Common Stock Received By Innovate/Protect Stockholders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19</w:t>
            </w:r>
          </w:p>
        </w:tc>
        <w:tc>
          <w:tcPr>
            <w:tcW w:w="10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00" w:type="dxa"/>
            <w:vAlign w:val="bottom"/>
            <w:tcBorders>
              <w:top w:val="single" w:sz="8" w:color="0000EE"/>
              <w:bottom w:val="single" w:sz="8" w:color="0000EE"/>
            </w:tcBorders>
            <w:gridSpan w:val="5"/>
          </w:tcPr>
          <w:p>
            <w:pPr>
              <w:spacing w:after="0" w:line="180" w:lineRule="exact"/>
              <w:rPr>
                <w:sz w:val="20"/>
                <w:szCs w:val="20"/>
                <w:color w:val="auto"/>
              </w:rPr>
            </w:pPr>
            <w:r>
              <w:rPr>
                <w:rFonts w:ascii="Arial" w:cs="Arial" w:eastAsia="Arial" w:hAnsi="Arial"/>
                <w:sz w:val="17"/>
                <w:szCs w:val="17"/>
                <w:color w:val="0000EE"/>
                <w:w w:val="85"/>
              </w:rPr>
              <w:t>in the Merger</w:t>
            </w:r>
          </w:p>
        </w:tc>
        <w:tc>
          <w:tcPr>
            <w:tcW w:w="5720" w:type="dxa"/>
            <w:vAlign w:val="bottom"/>
            <w:tcBorders>
              <w:top w:val="single" w:sz="8" w:color="0000EE"/>
            </w:tcBorders>
            <w:gridSpan w:val="26"/>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1140" w:type="dxa"/>
            <w:vAlign w:val="bottom"/>
            <w:tcBorders>
              <w:bottom w:val="single" w:sz="8" w:color="0000EE"/>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90"/>
              </w:rPr>
              <w:t>Appraisal Rights</w:t>
            </w:r>
          </w:p>
        </w:tc>
        <w:tc>
          <w:tcPr>
            <w:tcW w:w="5860" w:type="dxa"/>
            <w:vAlign w:val="bottom"/>
            <w:tcBorders>
              <w:bottom w:val="single" w:sz="8" w:color="CCFFCC"/>
            </w:tcBorders>
            <w:gridSpan w:val="26"/>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20</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Regulatory Approvals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20</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160" w:type="dxa"/>
            <w:vAlign w:val="bottom"/>
            <w:shd w:val="clear" w:color="auto" w:fill="CCFFCC"/>
          </w:tcPr>
          <w:p>
            <w:pPr>
              <w:spacing w:after="0"/>
              <w:rPr>
                <w:sz w:val="16"/>
                <w:szCs w:val="16"/>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Conditions to the Completion of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20</w:t>
            </w:r>
          </w:p>
        </w:tc>
        <w:tc>
          <w:tcPr>
            <w:tcW w:w="100" w:type="dxa"/>
            <w:vAlign w:val="bottom"/>
            <w:shd w:val="clear" w:color="auto" w:fill="CCFFCC"/>
          </w:tcPr>
          <w:p>
            <w:pPr>
              <w:spacing w:after="0"/>
              <w:rPr>
                <w:sz w:val="16"/>
                <w:szCs w:val="16"/>
                <w:color w:val="auto"/>
              </w:rPr>
            </w:pPr>
          </w:p>
        </w:tc>
      </w:tr>
      <w:tr>
        <w:trPr>
          <w:trHeight w:val="172"/>
        </w:trPr>
        <w:tc>
          <w:tcPr>
            <w:tcW w:w="160" w:type="dxa"/>
            <w:vAlign w:val="bottom"/>
            <w:tcBorders>
              <w:top w:val="single" w:sz="8" w:color="CCFFCC"/>
            </w:tcBorders>
          </w:tcPr>
          <w:p>
            <w:pPr>
              <w:spacing w:after="0"/>
              <w:rPr>
                <w:sz w:val="14"/>
                <w:szCs w:val="14"/>
                <w:color w:val="auto"/>
              </w:rPr>
            </w:pPr>
          </w:p>
        </w:tc>
        <w:tc>
          <w:tcPr>
            <w:tcW w:w="1020" w:type="dxa"/>
            <w:vAlign w:val="bottom"/>
            <w:tcBorders>
              <w:top w:val="single" w:sz="8" w:color="0000EE"/>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91"/>
              </w:rPr>
              <w:t>No Solicitation</w:t>
            </w:r>
          </w:p>
        </w:tc>
        <w:tc>
          <w:tcPr>
            <w:tcW w:w="1920" w:type="dxa"/>
            <w:vAlign w:val="bottom"/>
            <w:tcBorders>
              <w:top w:val="single" w:sz="8" w:color="0000EE"/>
            </w:tcBorders>
            <w:gridSpan w:val="9"/>
          </w:tcPr>
          <w:p>
            <w:pPr>
              <w:spacing w:after="0"/>
              <w:rPr>
                <w:sz w:val="14"/>
                <w:szCs w:val="14"/>
                <w:color w:val="auto"/>
              </w:rPr>
            </w:pPr>
          </w:p>
        </w:tc>
        <w:tc>
          <w:tcPr>
            <w:tcW w:w="4060" w:type="dxa"/>
            <w:vAlign w:val="bottom"/>
            <w:tcBorders>
              <w:top w:val="single" w:sz="8" w:color="CCFFCC"/>
            </w:tcBorders>
            <w:gridSpan w:val="19"/>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21</w:t>
            </w:r>
          </w:p>
        </w:tc>
        <w:tc>
          <w:tcPr>
            <w:tcW w:w="100" w:type="dxa"/>
            <w:vAlign w:val="bottom"/>
            <w:tcBorders>
              <w:top w:val="single" w:sz="8" w:color="CCFFCC"/>
            </w:tcBorders>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2560" w:type="dxa"/>
            <w:vAlign w:val="bottom"/>
            <w:tcBorders>
              <w:bottom w:val="single" w:sz="8" w:color="0000EE"/>
            </w:tcBorders>
            <w:gridSpan w:val="13"/>
            <w:shd w:val="clear" w:color="auto" w:fill="CCFFCC"/>
          </w:tcPr>
          <w:p>
            <w:pPr>
              <w:spacing w:after="0" w:line="172" w:lineRule="exact"/>
              <w:rPr>
                <w:sz w:val="20"/>
                <w:szCs w:val="20"/>
                <w:color w:val="auto"/>
              </w:rPr>
            </w:pPr>
            <w:r>
              <w:rPr>
                <w:rFonts w:ascii="Arial" w:cs="Arial" w:eastAsia="Arial" w:hAnsi="Arial"/>
                <w:sz w:val="17"/>
                <w:szCs w:val="17"/>
                <w:color w:val="0000EE"/>
                <w:w w:val="89"/>
              </w:rPr>
              <w:t>Termination of the Merger Agreement</w:t>
            </w:r>
          </w:p>
        </w:tc>
        <w:tc>
          <w:tcPr>
            <w:tcW w:w="4440" w:type="dxa"/>
            <w:vAlign w:val="bottom"/>
            <w:tcBorders>
              <w:bottom w:val="single" w:sz="8" w:color="CCFFCC"/>
            </w:tcBorders>
            <w:gridSpan w:val="2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22</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Termination Fees and Expenses</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23</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Voting by Vringo Directors and Executive Officers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23</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2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Rights of Innovate/Protect Stockholders Will Change as a Result of the Merger</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23</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5280" w:type="dxa"/>
            <w:vAlign w:val="bottom"/>
            <w:tcBorders>
              <w:top w:val="single" w:sz="8" w:color="0000EE"/>
            </w:tcBorders>
            <w:gridSpan w:val="28"/>
            <w:shd w:val="clear" w:color="auto" w:fill="CCFFCC"/>
          </w:tcPr>
          <w:p>
            <w:pPr>
              <w:spacing w:after="0" w:line="172" w:lineRule="exact"/>
              <w:rPr>
                <w:sz w:val="20"/>
                <w:szCs w:val="20"/>
                <w:color w:val="auto"/>
              </w:rPr>
            </w:pPr>
            <w:r>
              <w:rPr>
                <w:rFonts w:ascii="Arial" w:cs="Arial" w:eastAsia="Arial" w:hAnsi="Arial"/>
                <w:sz w:val="17"/>
                <w:szCs w:val="17"/>
                <w:color w:val="0000EE"/>
              </w:rPr>
              <w:t>Risk Factors</w:t>
            </w:r>
          </w:p>
        </w:tc>
        <w:tc>
          <w:tcPr>
            <w:tcW w:w="1720" w:type="dxa"/>
            <w:vAlign w:val="bottom"/>
            <w:gridSpan w:val="5"/>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80" w:type="dxa"/>
            <w:vAlign w:val="bottom"/>
            <w:tcBorders>
              <w:top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23</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tcBorders>
              <w:right w:val="single" w:sz="8" w:color="CCFFCC"/>
            </w:tcBorders>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00" w:type="dxa"/>
            <w:vAlign w:val="bottom"/>
            <w:tcBorders>
              <w:left w:val="single" w:sz="8" w:color="CCFFCC"/>
            </w:tcBorders>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2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Matters to Be Considered at the Vringo Annual Meeting</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24</w:t>
            </w:r>
          </w:p>
        </w:tc>
        <w:tc>
          <w:tcPr>
            <w:tcW w:w="10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72"/>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SELECTED HISTORICAL FINANCIAL DATA OF VRINGO</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25</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63"/>
        </w:trPr>
        <w:tc>
          <w:tcPr>
            <w:tcW w:w="7160" w:type="dxa"/>
            <w:vAlign w:val="bottom"/>
            <w:gridSpan w:val="34"/>
          </w:tcPr>
          <w:p>
            <w:pPr>
              <w:spacing w:after="0" w:line="163" w:lineRule="exact"/>
              <w:rPr>
                <w:sz w:val="20"/>
                <w:szCs w:val="20"/>
                <w:color w:val="auto"/>
              </w:rPr>
            </w:pPr>
            <w:r>
              <w:rPr>
                <w:rFonts w:ascii="Arial" w:cs="Arial" w:eastAsia="Arial" w:hAnsi="Arial"/>
                <w:sz w:val="17"/>
                <w:szCs w:val="17"/>
                <w:color w:val="0000EE"/>
              </w:rPr>
              <w:t>SELECTED HISTORICAL FINANCIAL DATA OF INNOVATE/PROTECT</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26</w:t>
            </w:r>
          </w:p>
        </w:tc>
        <w:tc>
          <w:tcPr>
            <w:tcW w:w="10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SUMMARY UNAUDITED PRO FORMA COMBINED FINANCIAL DATA</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27</w:t>
            </w:r>
          </w:p>
        </w:tc>
        <w:tc>
          <w:tcPr>
            <w:tcW w:w="100" w:type="dxa"/>
            <w:vAlign w:val="bottom"/>
            <w:shd w:val="clear" w:color="auto" w:fill="CCFFCC"/>
          </w:tcPr>
          <w:p>
            <w:pPr>
              <w:spacing w:after="0"/>
              <w:rPr>
                <w:sz w:val="16"/>
                <w:szCs w:val="16"/>
                <w:color w:val="auto"/>
              </w:rPr>
            </w:pPr>
          </w:p>
        </w:tc>
      </w:tr>
      <w:tr>
        <w:trPr>
          <w:trHeight w:val="163"/>
        </w:trPr>
        <w:tc>
          <w:tcPr>
            <w:tcW w:w="5220" w:type="dxa"/>
            <w:vAlign w:val="bottom"/>
            <w:tcBorders>
              <w:top w:val="single" w:sz="8" w:color="0000EE"/>
            </w:tcBorders>
            <w:gridSpan w:val="27"/>
          </w:tcPr>
          <w:p>
            <w:pPr>
              <w:spacing w:after="0" w:line="163" w:lineRule="exact"/>
              <w:rPr>
                <w:sz w:val="20"/>
                <w:szCs w:val="20"/>
                <w:color w:val="auto"/>
              </w:rPr>
            </w:pPr>
            <w:r>
              <w:rPr>
                <w:rFonts w:ascii="Arial" w:cs="Arial" w:eastAsia="Arial" w:hAnsi="Arial"/>
                <w:sz w:val="17"/>
                <w:szCs w:val="17"/>
                <w:color w:val="0000EE"/>
              </w:rPr>
              <w:t>MARKET PRICE DATA AND DIVIDEND INFORMATION</w:t>
            </w:r>
          </w:p>
        </w:tc>
        <w:tc>
          <w:tcPr>
            <w:tcW w:w="1940" w:type="dxa"/>
            <w:vAlign w:val="bottom"/>
            <w:tcBorders>
              <w:top w:val="single" w:sz="8" w:color="CCFFCC"/>
            </w:tcBorders>
            <w:gridSpan w:val="7"/>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35</w:t>
            </w:r>
          </w:p>
        </w:tc>
        <w:tc>
          <w:tcPr>
            <w:tcW w:w="100" w:type="dxa"/>
            <w:vAlign w:val="bottom"/>
            <w:tcBorders>
              <w:top w:val="single" w:sz="8" w:color="CCFFCC"/>
            </w:tcBorders>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7160" w:type="dxa"/>
            <w:vAlign w:val="bottom"/>
            <w:gridSpan w:val="34"/>
            <w:shd w:val="clear" w:color="auto" w:fill="CCFFCC"/>
          </w:tcPr>
          <w:p>
            <w:pPr>
              <w:spacing w:after="0" w:line="172" w:lineRule="exact"/>
              <w:rPr>
                <w:sz w:val="20"/>
                <w:szCs w:val="20"/>
                <w:color w:val="auto"/>
              </w:rPr>
            </w:pPr>
            <w:r>
              <w:rPr>
                <w:rFonts w:ascii="Arial" w:cs="Arial" w:eastAsia="Arial" w:hAnsi="Arial"/>
                <w:sz w:val="17"/>
                <w:szCs w:val="17"/>
                <w:color w:val="0000EE"/>
              </w:rPr>
              <w:t>CAUTIONARY STATEMENT REGARDING FORWARD-LOOKING STATEMENTS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39</w:t>
            </w:r>
          </w:p>
        </w:tc>
        <w:tc>
          <w:tcPr>
            <w:tcW w:w="100" w:type="dxa"/>
            <w:vAlign w:val="bottom"/>
            <w:shd w:val="clear" w:color="auto" w:fill="CCFFCC"/>
          </w:tcPr>
          <w:p>
            <w:pPr>
              <w:spacing w:after="0"/>
              <w:rPr>
                <w:sz w:val="16"/>
                <w:szCs w:val="16"/>
                <w:color w:val="auto"/>
              </w:rPr>
            </w:pPr>
          </w:p>
        </w:tc>
      </w:tr>
      <w:tr>
        <w:trPr>
          <w:trHeight w:val="172"/>
        </w:trPr>
        <w:tc>
          <w:tcPr>
            <w:tcW w:w="1160" w:type="dxa"/>
            <w:vAlign w:val="bottom"/>
            <w:tcBorders>
              <w:top w:val="single" w:sz="8" w:color="0000EE"/>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90"/>
              </w:rPr>
              <w:t>RISK FACTORS</w:t>
            </w:r>
          </w:p>
        </w:tc>
        <w:tc>
          <w:tcPr>
            <w:tcW w:w="4720" w:type="dxa"/>
            <w:vAlign w:val="bottom"/>
            <w:tcBorders>
              <w:top w:val="single" w:sz="8" w:color="0000EE"/>
            </w:tcBorders>
            <w:gridSpan w:val="26"/>
          </w:tcPr>
          <w:p>
            <w:pPr>
              <w:spacing w:after="0"/>
              <w:rPr>
                <w:sz w:val="14"/>
                <w:szCs w:val="14"/>
                <w:color w:val="auto"/>
              </w:rPr>
            </w:pPr>
          </w:p>
        </w:tc>
        <w:tc>
          <w:tcPr>
            <w:tcW w:w="1280" w:type="dxa"/>
            <w:vAlign w:val="bottom"/>
            <w:tcBorders>
              <w:top w:val="single" w:sz="8" w:color="CCFFCC"/>
            </w:tcBorders>
            <w:gridSpan w:val="3"/>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41</w:t>
            </w:r>
          </w:p>
        </w:tc>
        <w:tc>
          <w:tcPr>
            <w:tcW w:w="100" w:type="dxa"/>
            <w:vAlign w:val="bottom"/>
            <w:tcBorders>
              <w:top w:val="single" w:sz="8" w:color="CCFFCC"/>
            </w:tcBorders>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1880" w:type="dxa"/>
            <w:vAlign w:val="bottom"/>
            <w:tcBorders>
              <w:bottom w:val="single" w:sz="8" w:color="0000EE"/>
            </w:tcBorders>
            <w:gridSpan w:val="10"/>
            <w:shd w:val="clear" w:color="auto" w:fill="CCFFCC"/>
          </w:tcPr>
          <w:p>
            <w:pPr>
              <w:spacing w:after="0" w:line="172" w:lineRule="exact"/>
              <w:rPr>
                <w:sz w:val="20"/>
                <w:szCs w:val="20"/>
                <w:color w:val="auto"/>
              </w:rPr>
            </w:pPr>
            <w:r>
              <w:rPr>
                <w:rFonts w:ascii="Arial" w:cs="Arial" w:eastAsia="Arial" w:hAnsi="Arial"/>
                <w:sz w:val="17"/>
                <w:szCs w:val="17"/>
                <w:color w:val="0000EE"/>
                <w:w w:val="88"/>
              </w:rPr>
              <w:t>Risks Related to the Merger</w:t>
            </w:r>
          </w:p>
        </w:tc>
        <w:tc>
          <w:tcPr>
            <w:tcW w:w="5120" w:type="dxa"/>
            <w:vAlign w:val="bottom"/>
            <w:tcBorders>
              <w:bottom w:val="single" w:sz="8" w:color="CCFFCC"/>
            </w:tcBorders>
            <w:gridSpan w:val="23"/>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41</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7000" w:type="dxa"/>
            <w:vAlign w:val="bottom"/>
            <w:gridSpan w:val="33"/>
          </w:tcPr>
          <w:p>
            <w:pPr>
              <w:spacing w:after="0" w:line="163" w:lineRule="exact"/>
              <w:rPr>
                <w:sz w:val="20"/>
                <w:szCs w:val="20"/>
                <w:color w:val="auto"/>
              </w:rPr>
            </w:pPr>
            <w:r>
              <w:rPr>
                <w:rFonts w:ascii="Arial" w:cs="Arial" w:eastAsia="Arial" w:hAnsi="Arial"/>
                <w:sz w:val="17"/>
                <w:szCs w:val="17"/>
                <w:color w:val="0000EE"/>
              </w:rPr>
              <w:t>Risks Related to the Combined Company if the Merger Is Completed</w:t>
            </w:r>
          </w:p>
        </w:tc>
        <w:tc>
          <w:tcPr>
            <w:tcW w:w="36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44</w:t>
            </w:r>
          </w:p>
        </w:tc>
        <w:tc>
          <w:tcPr>
            <w:tcW w:w="100" w:type="dxa"/>
            <w:vAlign w:val="bottom"/>
          </w:tcPr>
          <w:p>
            <w:pPr>
              <w:spacing w:after="0"/>
              <w:rPr>
                <w:sz w:val="14"/>
                <w:szCs w:val="14"/>
                <w:color w:val="auto"/>
              </w:rPr>
            </w:pPr>
          </w:p>
        </w:tc>
      </w:tr>
      <w:tr>
        <w:trPr>
          <w:trHeight w:val="189"/>
        </w:trPr>
        <w:tc>
          <w:tcPr>
            <w:tcW w:w="160" w:type="dxa"/>
            <w:vAlign w:val="bottom"/>
            <w:tcBorders>
              <w:bottom w:val="single" w:sz="8" w:color="CCFFCC"/>
            </w:tcBorders>
            <w:shd w:val="clear" w:color="auto" w:fill="CCFFCC"/>
          </w:tcPr>
          <w:p>
            <w:pPr>
              <w:spacing w:after="0"/>
              <w:rPr>
                <w:sz w:val="16"/>
                <w:szCs w:val="16"/>
                <w:color w:val="auto"/>
              </w:rPr>
            </w:pPr>
          </w:p>
        </w:tc>
        <w:tc>
          <w:tcPr>
            <w:tcW w:w="2360" w:type="dxa"/>
            <w:vAlign w:val="bottom"/>
            <w:tcBorders>
              <w:top w:val="single" w:sz="8" w:color="0000EE"/>
              <w:bottom w:val="single" w:sz="8" w:color="0000EE"/>
            </w:tcBorders>
            <w:gridSpan w:val="12"/>
            <w:shd w:val="clear" w:color="auto" w:fill="CCFFCC"/>
          </w:tcPr>
          <w:p>
            <w:pPr>
              <w:spacing w:after="0" w:line="172" w:lineRule="exact"/>
              <w:rPr>
                <w:sz w:val="20"/>
                <w:szCs w:val="20"/>
                <w:color w:val="auto"/>
              </w:rPr>
            </w:pPr>
            <w:r>
              <w:rPr>
                <w:rFonts w:ascii="Arial" w:cs="Arial" w:eastAsia="Arial" w:hAnsi="Arial"/>
                <w:sz w:val="17"/>
                <w:szCs w:val="17"/>
                <w:color w:val="0000EE"/>
                <w:w w:val="88"/>
              </w:rPr>
              <w:t>Risks Related to Vringo’s Business</w:t>
            </w:r>
          </w:p>
        </w:tc>
        <w:tc>
          <w:tcPr>
            <w:tcW w:w="2260" w:type="dxa"/>
            <w:vAlign w:val="bottom"/>
            <w:tcBorders>
              <w:top w:val="single" w:sz="8" w:color="0000EE"/>
              <w:bottom w:val="single" w:sz="8" w:color="CCFFCC"/>
            </w:tcBorders>
            <w:gridSpan w:val="12"/>
            <w:shd w:val="clear" w:color="auto" w:fill="CCFFCC"/>
          </w:tcPr>
          <w:p>
            <w:pPr>
              <w:spacing w:after="0"/>
              <w:rPr>
                <w:sz w:val="16"/>
                <w:szCs w:val="16"/>
                <w:color w:val="auto"/>
              </w:rPr>
            </w:pPr>
          </w:p>
        </w:tc>
        <w:tc>
          <w:tcPr>
            <w:tcW w:w="2380" w:type="dxa"/>
            <w:vAlign w:val="bottom"/>
            <w:tcBorders>
              <w:bottom w:val="single" w:sz="8" w:color="CCFFCC"/>
            </w:tcBorders>
            <w:gridSpan w:val="9"/>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top w:val="single" w:sz="8" w:color="0000EE"/>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50</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3000" w:type="dxa"/>
            <w:vAlign w:val="bottom"/>
            <w:tcBorders>
              <w:bottom w:val="single" w:sz="8" w:color="0000EE"/>
            </w:tcBorders>
            <w:gridSpan w:val="15"/>
          </w:tcPr>
          <w:p>
            <w:pPr>
              <w:spacing w:after="0" w:line="163" w:lineRule="exact"/>
              <w:rPr>
                <w:sz w:val="20"/>
                <w:szCs w:val="20"/>
                <w:color w:val="auto"/>
              </w:rPr>
            </w:pPr>
            <w:r>
              <w:rPr>
                <w:rFonts w:ascii="Arial" w:cs="Arial" w:eastAsia="Arial" w:hAnsi="Arial"/>
                <w:sz w:val="17"/>
                <w:szCs w:val="17"/>
                <w:color w:val="0000EE"/>
                <w:w w:val="88"/>
              </w:rPr>
              <w:t>Risks Related to Innovate/Protect’s Business</w:t>
            </w:r>
          </w:p>
        </w:tc>
        <w:tc>
          <w:tcPr>
            <w:tcW w:w="4000" w:type="dxa"/>
            <w:vAlign w:val="bottom"/>
            <w:gridSpan w:val="18"/>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58</w:t>
            </w:r>
          </w:p>
        </w:tc>
        <w:tc>
          <w:tcPr>
            <w:tcW w:w="100" w:type="dxa"/>
            <w:vAlign w:val="bottom"/>
          </w:tcPr>
          <w:p>
            <w:pPr>
              <w:spacing w:after="0"/>
              <w:rPr>
                <w:sz w:val="14"/>
                <w:szCs w:val="14"/>
                <w:color w:val="auto"/>
              </w:rPr>
            </w:pPr>
          </w:p>
        </w:tc>
      </w:tr>
      <w:tr>
        <w:trPr>
          <w:trHeight w:val="189"/>
        </w:trPr>
        <w:tc>
          <w:tcPr>
            <w:tcW w:w="1060" w:type="dxa"/>
            <w:vAlign w:val="bottom"/>
            <w:tcBorders>
              <w:bottom w:val="single" w:sz="8" w:color="0000EE"/>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9"/>
              </w:rPr>
              <w:t>THE MERGER</w:t>
            </w:r>
          </w:p>
        </w:tc>
        <w:tc>
          <w:tcPr>
            <w:tcW w:w="6100" w:type="dxa"/>
            <w:vAlign w:val="bottom"/>
            <w:tcBorders>
              <w:bottom w:val="single" w:sz="8" w:color="CCFFCC"/>
            </w:tcBorders>
            <w:gridSpan w:val="30"/>
            <w:shd w:val="clear" w:color="auto" w:fill="CCFFCC"/>
          </w:tcPr>
          <w:p>
            <w:pPr>
              <w:spacing w:after="0"/>
              <w:rPr>
                <w:sz w:val="16"/>
                <w:szCs w:val="16"/>
                <w:color w:val="auto"/>
              </w:rPr>
            </w:pPr>
          </w:p>
        </w:tc>
        <w:tc>
          <w:tcPr>
            <w:tcW w:w="180" w:type="dxa"/>
            <w:vAlign w:val="bottom"/>
            <w:tcBorders>
              <w:bottom w:val="single" w:sz="8" w:color="CCFFCC"/>
            </w:tcBorders>
            <w:shd w:val="clear" w:color="auto" w:fill="CCFFCC"/>
          </w:tcPr>
          <w:p>
            <w:pPr>
              <w:spacing w:after="0"/>
              <w:rPr>
                <w:sz w:val="16"/>
                <w:szCs w:val="16"/>
                <w:color w:val="auto"/>
              </w:rPr>
            </w:pPr>
          </w:p>
        </w:tc>
        <w:tc>
          <w:tcPr>
            <w:tcW w:w="180" w:type="dxa"/>
            <w:vAlign w:val="bottom"/>
            <w:tcBorders>
              <w:bottom w:val="single" w:sz="8" w:color="0000EE"/>
            </w:tcBorders>
            <w:gridSpan w:val="2"/>
            <w:shd w:val="clear" w:color="auto" w:fill="CCFFCC"/>
          </w:tcPr>
          <w:p>
            <w:pPr>
              <w:jc w:val="right"/>
              <w:spacing w:after="0" w:line="172" w:lineRule="exact"/>
              <w:rPr>
                <w:sz w:val="20"/>
                <w:szCs w:val="20"/>
                <w:color w:val="auto"/>
              </w:rPr>
            </w:pPr>
            <w:r>
              <w:rPr>
                <w:rFonts w:ascii="Arial" w:cs="Arial" w:eastAsia="Arial" w:hAnsi="Arial"/>
                <w:sz w:val="17"/>
                <w:szCs w:val="17"/>
                <w:color w:val="0000EE"/>
                <w:w w:val="84"/>
              </w:rPr>
              <w:t>64</w:t>
            </w:r>
          </w:p>
        </w:tc>
        <w:tc>
          <w:tcPr>
            <w:tcW w:w="100" w:type="dxa"/>
            <w:vAlign w:val="bottom"/>
            <w:tcBorders>
              <w:bottom w:val="single" w:sz="8" w:color="CCFFCC"/>
            </w:tcBorders>
            <w:shd w:val="clear" w:color="auto" w:fill="CCFFCC"/>
          </w:tcPr>
          <w:p>
            <w:pPr>
              <w:spacing w:after="0"/>
              <w:rPr>
                <w:sz w:val="16"/>
                <w:szCs w:val="16"/>
                <w:color w:val="auto"/>
              </w:rPr>
            </w:pPr>
          </w:p>
        </w:tc>
      </w:tr>
      <w:tr>
        <w:trPr>
          <w:trHeight w:val="172"/>
        </w:trPr>
        <w:tc>
          <w:tcPr>
            <w:tcW w:w="160" w:type="dxa"/>
            <w:vAlign w:val="bottom"/>
          </w:tcPr>
          <w:p>
            <w:pPr>
              <w:spacing w:after="0"/>
              <w:rPr>
                <w:sz w:val="14"/>
                <w:szCs w:val="14"/>
                <w:color w:val="auto"/>
              </w:rPr>
            </w:pPr>
          </w:p>
        </w:tc>
        <w:tc>
          <w:tcPr>
            <w:tcW w:w="1580" w:type="dxa"/>
            <w:vAlign w:val="bottom"/>
            <w:tcBorders>
              <w:bottom w:val="single" w:sz="8" w:color="0000EE"/>
            </w:tcBorders>
            <w:gridSpan w:val="9"/>
          </w:tcPr>
          <w:p>
            <w:pPr>
              <w:spacing w:after="0" w:line="163" w:lineRule="exact"/>
              <w:rPr>
                <w:sz w:val="20"/>
                <w:szCs w:val="20"/>
                <w:color w:val="auto"/>
              </w:rPr>
            </w:pPr>
            <w:r>
              <w:rPr>
                <w:rFonts w:ascii="Arial" w:cs="Arial" w:eastAsia="Arial" w:hAnsi="Arial"/>
                <w:sz w:val="17"/>
                <w:szCs w:val="17"/>
                <w:color w:val="0000EE"/>
                <w:w w:val="89"/>
              </w:rPr>
              <w:t>Structure of the Merger</w:t>
            </w:r>
          </w:p>
        </w:tc>
        <w:tc>
          <w:tcPr>
            <w:tcW w:w="5420" w:type="dxa"/>
            <w:vAlign w:val="bottom"/>
            <w:gridSpan w:val="24"/>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64</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What Innovate/Protect Stockholders Will Receive in the Merger</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64</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5020" w:type="dxa"/>
            <w:vAlign w:val="bottom"/>
            <w:tcBorders>
              <w:bottom w:val="single" w:sz="8" w:color="0000EE"/>
            </w:tcBorders>
            <w:gridSpan w:val="25"/>
          </w:tcPr>
          <w:p>
            <w:pPr>
              <w:spacing w:after="0" w:line="163" w:lineRule="exact"/>
              <w:rPr>
                <w:sz w:val="20"/>
                <w:szCs w:val="20"/>
                <w:color w:val="auto"/>
              </w:rPr>
            </w:pPr>
            <w:r>
              <w:rPr>
                <w:rFonts w:ascii="Arial" w:cs="Arial" w:eastAsia="Arial" w:hAnsi="Arial"/>
                <w:sz w:val="17"/>
                <w:szCs w:val="17"/>
                <w:color w:val="0000EE"/>
                <w:w w:val="90"/>
              </w:rPr>
              <w:t>Ownership of the Combined Company After the Completion of the Merger</w:t>
            </w:r>
          </w:p>
        </w:tc>
        <w:tc>
          <w:tcPr>
            <w:tcW w:w="198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63" w:lineRule="exact"/>
              <w:rPr>
                <w:sz w:val="20"/>
                <w:szCs w:val="20"/>
                <w:color w:val="auto"/>
              </w:rPr>
            </w:pPr>
            <w:r>
              <w:rPr>
                <w:rFonts w:ascii="Arial" w:cs="Arial" w:eastAsia="Arial" w:hAnsi="Arial"/>
                <w:sz w:val="17"/>
                <w:szCs w:val="17"/>
                <w:color w:val="0000EE"/>
                <w:w w:val="84"/>
              </w:rPr>
              <w:t>65</w:t>
            </w:r>
          </w:p>
        </w:tc>
        <w:tc>
          <w:tcPr>
            <w:tcW w:w="10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7000" w:type="dxa"/>
            <w:vAlign w:val="bottom"/>
            <w:gridSpan w:val="33"/>
            <w:shd w:val="clear" w:color="auto" w:fill="CCFFCC"/>
          </w:tcPr>
          <w:p>
            <w:pPr>
              <w:spacing w:after="0" w:line="172" w:lineRule="exact"/>
              <w:rPr>
                <w:sz w:val="20"/>
                <w:szCs w:val="20"/>
                <w:color w:val="auto"/>
              </w:rPr>
            </w:pPr>
            <w:r>
              <w:rPr>
                <w:rFonts w:ascii="Arial" w:cs="Arial" w:eastAsia="Arial" w:hAnsi="Arial"/>
                <w:sz w:val="17"/>
                <w:szCs w:val="17"/>
                <w:color w:val="0000EE"/>
              </w:rPr>
              <w:t>Treatment of Innovate/Protect Stock Options and Warrants</w:t>
            </w:r>
          </w:p>
        </w:tc>
        <w:tc>
          <w:tcPr>
            <w:tcW w:w="36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65</w:t>
            </w:r>
          </w:p>
        </w:tc>
        <w:tc>
          <w:tcPr>
            <w:tcW w:w="10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left w:val="single" w:sz="8" w:color="0000EE"/>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20" w:type="dxa"/>
            <w:vAlign w:val="bottom"/>
            <w:tcBorders>
              <w:righ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0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640" w:type="dxa"/>
            <w:vAlign w:val="bottom"/>
            <w:shd w:val="clear" w:color="auto" w:fill="CCFFCC"/>
          </w:tcPr>
          <w:p>
            <w:pPr>
              <w:spacing w:after="0"/>
              <w:rPr>
                <w:sz w:val="3"/>
                <w:szCs w:val="3"/>
                <w:color w:val="auto"/>
              </w:rPr>
            </w:pPr>
          </w:p>
        </w:tc>
        <w:tc>
          <w:tcPr>
            <w:tcW w:w="2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-5545455</wp:posOffset>
            </wp:positionV>
            <wp:extent cx="4837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7120" w:type="dxa"/>
            <w:vAlign w:val="bottom"/>
            <w:gridSpan w:val="29"/>
          </w:tcPr>
          <w:p>
            <w:pPr>
              <w:spacing w:after="0"/>
              <w:rPr>
                <w:sz w:val="20"/>
                <w:szCs w:val="20"/>
                <w:color w:val="auto"/>
              </w:rPr>
            </w:pPr>
            <w:r>
              <w:rPr>
                <w:rFonts w:ascii="Arial" w:cs="Arial" w:eastAsia="Arial" w:hAnsi="Arial"/>
                <w:sz w:val="13"/>
                <w:szCs w:val="13"/>
                <w:b w:val="1"/>
                <w:bCs w:val="1"/>
                <w:color w:val="0000EE"/>
              </w:rPr>
              <w:t>TABLE OF CONTENTS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16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gridSpan w:val="6"/>
          </w:tcPr>
          <w:p>
            <w:pPr>
              <w:spacing w:after="0" w:line="143" w:lineRule="exact"/>
              <w:rPr>
                <w:sz w:val="20"/>
                <w:szCs w:val="20"/>
                <w:color w:val="auto"/>
              </w:rPr>
            </w:pPr>
            <w:r>
              <w:rPr>
                <w:rFonts w:ascii="Arial" w:cs="Arial" w:eastAsia="Arial" w:hAnsi="Arial"/>
                <w:sz w:val="16"/>
                <w:szCs w:val="16"/>
                <w:color w:val="0000EE"/>
                <w:w w:val="95"/>
              </w:rPr>
              <w:t>Background of the</w:t>
            </w:r>
          </w:p>
        </w:tc>
        <w:tc>
          <w:tcPr>
            <w:tcW w:w="520" w:type="dxa"/>
            <w:vAlign w:val="bottom"/>
            <w:gridSpan w:val="4"/>
          </w:tcPr>
          <w:p>
            <w:pPr>
              <w:ind w:left="20"/>
              <w:spacing w:after="0" w:line="143" w:lineRule="exact"/>
              <w:rPr>
                <w:sz w:val="20"/>
                <w:szCs w:val="20"/>
                <w:color w:val="auto"/>
              </w:rPr>
            </w:pPr>
            <w:r>
              <w:rPr>
                <w:rFonts w:ascii="Arial" w:cs="Arial" w:eastAsia="Arial" w:hAnsi="Arial"/>
                <w:sz w:val="16"/>
                <w:szCs w:val="16"/>
                <w:color w:val="0000EE"/>
                <w:w w:val="94"/>
              </w:rPr>
              <w:t>Merger</w:t>
            </w:r>
          </w:p>
        </w:tc>
        <w:tc>
          <w:tcPr>
            <w:tcW w:w="5180" w:type="dxa"/>
            <w:vAlign w:val="bottom"/>
            <w:gridSpan w:val="18"/>
          </w:tcPr>
          <w:p>
            <w:pPr>
              <w:spacing w:after="0"/>
              <w:rPr>
                <w:sz w:val="12"/>
                <w:szCs w:val="12"/>
                <w:color w:val="auto"/>
              </w:rPr>
            </w:pPr>
          </w:p>
        </w:tc>
        <w:tc>
          <w:tcPr>
            <w:tcW w:w="420" w:type="dxa"/>
            <w:vAlign w:val="bottom"/>
            <w:gridSpan w:val="3"/>
          </w:tcPr>
          <w:p>
            <w:pPr>
              <w:jc w:val="right"/>
              <w:spacing w:after="0" w:line="143" w:lineRule="exact"/>
              <w:rPr>
                <w:sz w:val="20"/>
                <w:szCs w:val="20"/>
                <w:color w:val="auto"/>
              </w:rPr>
            </w:pPr>
            <w:r>
              <w:rPr>
                <w:rFonts w:ascii="Arial" w:cs="Arial" w:eastAsia="Arial" w:hAnsi="Arial"/>
                <w:sz w:val="16"/>
                <w:szCs w:val="16"/>
                <w:color w:val="0000EE"/>
              </w:rPr>
              <w:t>66</w:t>
            </w:r>
          </w:p>
        </w:tc>
        <w:tc>
          <w:tcPr>
            <w:tcW w:w="80" w:type="dxa"/>
            <w:vAlign w:val="bottom"/>
          </w:tcPr>
          <w:p>
            <w:pPr>
              <w:spacing w:after="0"/>
              <w:rPr>
                <w:sz w:val="12"/>
                <w:szCs w:val="12"/>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Recommendations of the Vringo Board of Directors and its Reasons for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73</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20" w:type="dxa"/>
            <w:vAlign w:val="bottom"/>
            <w:tcBorders>
              <w:left w:val="single" w:sz="8" w:color="0000EE"/>
              <w:right w:val="single" w:sz="8" w:color="CCFFCC"/>
            </w:tcBorders>
            <w:shd w:val="clear" w:color="auto" w:fill="0000EE"/>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5600" w:type="dxa"/>
            <w:vAlign w:val="bottom"/>
            <w:gridSpan w:val="25"/>
          </w:tcPr>
          <w:p>
            <w:pPr>
              <w:spacing w:after="0" w:line="163" w:lineRule="exact"/>
              <w:rPr>
                <w:sz w:val="20"/>
                <w:szCs w:val="20"/>
                <w:color w:val="auto"/>
              </w:rPr>
            </w:pPr>
            <w:r>
              <w:rPr>
                <w:rFonts w:ascii="Arial" w:cs="Arial" w:eastAsia="Arial" w:hAnsi="Arial"/>
                <w:sz w:val="17"/>
                <w:szCs w:val="17"/>
                <w:color w:val="0000EE"/>
              </w:rPr>
              <w:t>Opinion of Etico Capital to the Vringo Board of Directors</w:t>
            </w:r>
          </w:p>
        </w:tc>
        <w:tc>
          <w:tcPr>
            <w:tcW w:w="1360" w:type="dxa"/>
            <w:vAlign w:val="bottom"/>
            <w:gridSpan w:val="3"/>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75</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480" w:type="dxa"/>
            <w:vAlign w:val="bottom"/>
            <w:gridSpan w:val="26"/>
            <w:shd w:val="clear" w:color="auto" w:fill="CCFFCC"/>
          </w:tcPr>
          <w:p>
            <w:pPr>
              <w:spacing w:after="0" w:line="172" w:lineRule="exact"/>
              <w:rPr>
                <w:sz w:val="20"/>
                <w:szCs w:val="20"/>
                <w:color w:val="auto"/>
              </w:rPr>
            </w:pPr>
            <w:r>
              <w:rPr>
                <w:rFonts w:ascii="Arial" w:cs="Arial" w:eastAsia="Arial" w:hAnsi="Arial"/>
                <w:sz w:val="17"/>
                <w:szCs w:val="17"/>
                <w:color w:val="0000EE"/>
                <w:w w:val="90"/>
              </w:rPr>
              <w:t>Board of Directors, Executive Officers and Key Employees of the Combined Company After the</w:t>
            </w:r>
          </w:p>
        </w:tc>
        <w:tc>
          <w:tcPr>
            <w:tcW w:w="480" w:type="dxa"/>
            <w:vAlign w:val="bottom"/>
            <w:gridSpan w:val="2"/>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82</w:t>
            </w:r>
          </w:p>
        </w:tc>
        <w:tc>
          <w:tcPr>
            <w:tcW w:w="80" w:type="dxa"/>
            <w:vAlign w:val="bottom"/>
            <w:shd w:val="clear" w:color="auto" w:fill="CCFFCC"/>
          </w:tcPr>
          <w:p>
            <w:pPr>
              <w:spacing w:after="0"/>
              <w:rPr>
                <w:sz w:val="14"/>
                <w:szCs w:val="14"/>
                <w:color w:val="auto"/>
              </w:rPr>
            </w:pPr>
          </w:p>
        </w:tc>
      </w:tr>
      <w:tr>
        <w:trPr>
          <w:trHeight w:val="198"/>
        </w:trPr>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0000EE"/>
              <w:bottom w:val="single" w:sz="8" w:color="CCFFCC"/>
            </w:tcBorders>
            <w:shd w:val="clear" w:color="auto" w:fill="CCFFCC"/>
          </w:tcPr>
          <w:p>
            <w:pPr>
              <w:spacing w:after="0"/>
              <w:rPr>
                <w:sz w:val="17"/>
                <w:szCs w:val="17"/>
                <w:color w:val="auto"/>
              </w:rPr>
            </w:pPr>
          </w:p>
        </w:tc>
        <w:tc>
          <w:tcPr>
            <w:tcW w:w="1760" w:type="dxa"/>
            <w:vAlign w:val="bottom"/>
            <w:tcBorders>
              <w:top w:val="single" w:sz="8" w:color="0000EE"/>
              <w:bottom w:val="single" w:sz="8" w:color="0000EE"/>
              <w:right w:val="single" w:sz="8" w:color="CCFFCC"/>
            </w:tcBorders>
            <w:gridSpan w:val="10"/>
            <w:shd w:val="clear" w:color="auto" w:fill="CCFFCC"/>
          </w:tcPr>
          <w:p>
            <w:pPr>
              <w:spacing w:after="0" w:line="180" w:lineRule="exact"/>
              <w:rPr>
                <w:sz w:val="20"/>
                <w:szCs w:val="20"/>
                <w:color w:val="auto"/>
              </w:rPr>
            </w:pPr>
            <w:r>
              <w:rPr>
                <w:rFonts w:ascii="Arial" w:cs="Arial" w:eastAsia="Arial" w:hAnsi="Arial"/>
                <w:sz w:val="17"/>
                <w:szCs w:val="17"/>
                <w:color w:val="0000EE"/>
                <w:w w:val="89"/>
              </w:rPr>
              <w:t>Completion of the Merger</w:t>
            </w:r>
          </w:p>
        </w:tc>
        <w:tc>
          <w:tcPr>
            <w:tcW w:w="4540" w:type="dxa"/>
            <w:vAlign w:val="bottom"/>
            <w:tcBorders>
              <w:top w:val="single" w:sz="8" w:color="0000EE"/>
              <w:left w:val="single" w:sz="8" w:color="CCFFCC"/>
              <w:bottom w:val="single" w:sz="8" w:color="CCFFCC"/>
            </w:tcBorders>
            <w:gridSpan w:val="15"/>
            <w:shd w:val="clear" w:color="auto" w:fill="CCFFCC"/>
          </w:tcPr>
          <w:p>
            <w:pPr>
              <w:spacing w:after="0"/>
              <w:rPr>
                <w:sz w:val="17"/>
                <w:szCs w:val="17"/>
                <w:color w:val="auto"/>
              </w:rPr>
            </w:pPr>
          </w:p>
        </w:tc>
        <w:tc>
          <w:tcPr>
            <w:tcW w:w="480" w:type="dxa"/>
            <w:vAlign w:val="bottom"/>
            <w:tcBorders>
              <w:top w:val="single" w:sz="8" w:color="CCFFCC"/>
              <w:bottom w:val="single" w:sz="8" w:color="CCFFCC"/>
            </w:tcBorders>
            <w:gridSpan w:val="2"/>
            <w:shd w:val="clear" w:color="auto" w:fill="CCFFCC"/>
          </w:tcPr>
          <w:p>
            <w:pPr>
              <w:spacing w:after="0"/>
              <w:rPr>
                <w:sz w:val="17"/>
                <w:szCs w:val="17"/>
                <w:color w:val="auto"/>
              </w:rPr>
            </w:pPr>
          </w:p>
        </w:tc>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16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Interests of Vringo Directors and Executive Officers in the Merger</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82</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4440" w:type="dxa"/>
            <w:vAlign w:val="bottom"/>
            <w:gridSpan w:val="23"/>
            <w:shd w:val="clear" w:color="auto" w:fill="CCFFCC"/>
          </w:tcPr>
          <w:p>
            <w:pPr>
              <w:spacing w:after="0" w:line="172" w:lineRule="exact"/>
              <w:rPr>
                <w:sz w:val="20"/>
                <w:szCs w:val="20"/>
                <w:color w:val="auto"/>
              </w:rPr>
            </w:pPr>
            <w:r>
              <w:rPr>
                <w:rFonts w:ascii="Arial" w:cs="Arial" w:eastAsia="Arial" w:hAnsi="Arial"/>
                <w:sz w:val="17"/>
                <w:szCs w:val="17"/>
                <w:color w:val="0000EE"/>
              </w:rPr>
              <w:t>Anticipated Accounting Treatment</w:t>
            </w:r>
          </w:p>
        </w:tc>
        <w:tc>
          <w:tcPr>
            <w:tcW w:w="2520" w:type="dxa"/>
            <w:vAlign w:val="bottom"/>
            <w:gridSpan w:val="5"/>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84</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940" w:type="dxa"/>
            <w:vAlign w:val="bottom"/>
            <w:gridSpan w:val="11"/>
          </w:tcPr>
          <w:p>
            <w:pPr>
              <w:spacing w:after="0" w:line="163" w:lineRule="exact"/>
              <w:rPr>
                <w:sz w:val="20"/>
                <w:szCs w:val="20"/>
                <w:color w:val="auto"/>
              </w:rPr>
            </w:pPr>
            <w:r>
              <w:rPr>
                <w:rFonts w:ascii="Arial" w:cs="Arial" w:eastAsia="Arial" w:hAnsi="Arial"/>
                <w:sz w:val="17"/>
                <w:szCs w:val="17"/>
                <w:color w:val="0000EE"/>
                <w:w w:val="87"/>
              </w:rPr>
              <w:t>Tax Treatment of the Merger</w:t>
            </w:r>
          </w:p>
        </w:tc>
        <w:tc>
          <w:tcPr>
            <w:tcW w:w="380" w:type="dxa"/>
            <w:vAlign w:val="bottom"/>
            <w:gridSpan w:val="2"/>
          </w:tcPr>
          <w:p>
            <w:pPr>
              <w:spacing w:after="0"/>
              <w:rPr>
                <w:sz w:val="14"/>
                <w:szCs w:val="14"/>
                <w:color w:val="auto"/>
              </w:rPr>
            </w:pPr>
          </w:p>
        </w:tc>
        <w:tc>
          <w:tcPr>
            <w:tcW w:w="4640" w:type="dxa"/>
            <w:vAlign w:val="bottom"/>
            <w:gridSpan w:val="15"/>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84</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Regulatory Approvals Required for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84</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780" w:type="dxa"/>
            <w:vAlign w:val="bottom"/>
            <w:gridSpan w:val="27"/>
          </w:tcPr>
          <w:p>
            <w:pPr>
              <w:spacing w:after="0" w:line="163" w:lineRule="exact"/>
              <w:rPr>
                <w:sz w:val="20"/>
                <w:szCs w:val="20"/>
                <w:color w:val="auto"/>
              </w:rPr>
            </w:pPr>
            <w:r>
              <w:rPr>
                <w:rFonts w:ascii="Arial" w:cs="Arial" w:eastAsia="Arial" w:hAnsi="Arial"/>
                <w:sz w:val="17"/>
                <w:szCs w:val="17"/>
                <w:color w:val="0000EE"/>
                <w:w w:val="88"/>
              </w:rPr>
              <w:t>Restrictions on Sales of Shares of Vringo Common Stock Received by Innovate/Protect Stockholders</w:t>
            </w:r>
          </w:p>
        </w:tc>
        <w:tc>
          <w:tcPr>
            <w:tcW w:w="180" w:type="dxa"/>
            <w:vAlign w:val="bottom"/>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84</w:t>
            </w:r>
          </w:p>
        </w:tc>
        <w:tc>
          <w:tcPr>
            <w:tcW w:w="8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60" w:type="dxa"/>
            <w:vAlign w:val="bottom"/>
            <w:tcBorders>
              <w:top w:val="single" w:sz="8" w:color="0000EE"/>
              <w:bottom w:val="single" w:sz="8" w:color="0000EE"/>
            </w:tcBorders>
            <w:gridSpan w:val="4"/>
          </w:tcPr>
          <w:p>
            <w:pPr>
              <w:spacing w:after="0" w:line="180" w:lineRule="exact"/>
              <w:rPr>
                <w:sz w:val="20"/>
                <w:szCs w:val="20"/>
                <w:color w:val="auto"/>
              </w:rPr>
            </w:pPr>
            <w:r>
              <w:rPr>
                <w:rFonts w:ascii="Arial" w:cs="Arial" w:eastAsia="Arial" w:hAnsi="Arial"/>
                <w:sz w:val="17"/>
                <w:szCs w:val="17"/>
                <w:color w:val="0000EE"/>
                <w:w w:val="91"/>
              </w:rPr>
              <w:t>in the Merger</w:t>
            </w:r>
          </w:p>
        </w:tc>
        <w:tc>
          <w:tcPr>
            <w:tcW w:w="5640" w:type="dxa"/>
            <w:vAlign w:val="bottom"/>
            <w:tcBorders>
              <w:top w:val="single" w:sz="8" w:color="0000EE"/>
            </w:tcBorders>
            <w:gridSpan w:val="22"/>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w w:val="88"/>
              </w:rPr>
              <w:t>Appraisal Rights</w:t>
            </w:r>
          </w:p>
        </w:tc>
        <w:tc>
          <w:tcPr>
            <w:tcW w:w="5820" w:type="dxa"/>
            <w:vAlign w:val="bottom"/>
            <w:gridSpan w:val="23"/>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85</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140" w:type="dxa"/>
            <w:vAlign w:val="bottom"/>
            <w:gridSpan w:val="18"/>
          </w:tcPr>
          <w:p>
            <w:pPr>
              <w:spacing w:after="0" w:line="163" w:lineRule="exact"/>
              <w:rPr>
                <w:sz w:val="20"/>
                <w:szCs w:val="20"/>
                <w:color w:val="auto"/>
              </w:rPr>
            </w:pPr>
            <w:r>
              <w:rPr>
                <w:rFonts w:ascii="Arial" w:cs="Arial" w:eastAsia="Arial" w:hAnsi="Arial"/>
                <w:sz w:val="17"/>
                <w:szCs w:val="17"/>
                <w:color w:val="0000EE"/>
                <w:w w:val="93"/>
              </w:rPr>
              <w:t>NYSE MKT Listing of Vringo Common Stock</w:t>
            </w:r>
          </w:p>
        </w:tc>
        <w:tc>
          <w:tcPr>
            <w:tcW w:w="3820" w:type="dxa"/>
            <w:vAlign w:val="bottom"/>
            <w:gridSpan w:val="10"/>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85</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7120" w:type="dxa"/>
            <w:vAlign w:val="bottom"/>
            <w:gridSpan w:val="29"/>
            <w:shd w:val="clear" w:color="auto" w:fill="CCFFCC"/>
          </w:tcPr>
          <w:p>
            <w:pPr>
              <w:spacing w:after="0" w:line="172" w:lineRule="exact"/>
              <w:rPr>
                <w:sz w:val="20"/>
                <w:szCs w:val="20"/>
                <w:color w:val="auto"/>
              </w:rPr>
            </w:pPr>
            <w:r>
              <w:rPr>
                <w:rFonts w:ascii="Arial" w:cs="Arial" w:eastAsia="Arial" w:hAnsi="Arial"/>
                <w:sz w:val="17"/>
                <w:szCs w:val="17"/>
                <w:color w:val="0000EE"/>
              </w:rPr>
              <w:t>MATERIAL U.S. FEDERAL INCOME TAX CONSEQUENCES OF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86</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20" w:type="dxa"/>
            <w:vAlign w:val="bottom"/>
            <w:tcBorders>
              <w:left w:val="single" w:sz="8" w:color="0000EE"/>
              <w:right w:val="single" w:sz="8" w:color="0000EE"/>
            </w:tcBorders>
            <w:shd w:val="clear" w:color="auto" w:fill="0000EE"/>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2100" w:type="dxa"/>
            <w:vAlign w:val="bottom"/>
            <w:gridSpan w:val="12"/>
          </w:tcPr>
          <w:p>
            <w:pPr>
              <w:spacing w:after="0" w:line="163" w:lineRule="exact"/>
              <w:rPr>
                <w:sz w:val="20"/>
                <w:szCs w:val="20"/>
                <w:color w:val="auto"/>
              </w:rPr>
            </w:pPr>
            <w:r>
              <w:rPr>
                <w:rFonts w:ascii="Arial" w:cs="Arial" w:eastAsia="Arial" w:hAnsi="Arial"/>
                <w:sz w:val="17"/>
                <w:szCs w:val="17"/>
                <w:color w:val="0000EE"/>
                <w:w w:val="91"/>
              </w:rPr>
              <w:t>THE MERGER AGREEMENT</w:t>
            </w:r>
          </w:p>
        </w:tc>
        <w:tc>
          <w:tcPr>
            <w:tcW w:w="3660" w:type="dxa"/>
            <w:vAlign w:val="bottom"/>
            <w:gridSpan w:val="14"/>
          </w:tcPr>
          <w:p>
            <w:pPr>
              <w:spacing w:after="0"/>
              <w:rPr>
                <w:sz w:val="14"/>
                <w:szCs w:val="14"/>
                <w:color w:val="auto"/>
              </w:rPr>
            </w:pPr>
          </w:p>
        </w:tc>
        <w:tc>
          <w:tcPr>
            <w:tcW w:w="1360" w:type="dxa"/>
            <w:vAlign w:val="bottom"/>
            <w:gridSpan w:val="3"/>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89</w:t>
            </w:r>
          </w:p>
        </w:tc>
        <w:tc>
          <w:tcPr>
            <w:tcW w:w="8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440" w:type="dxa"/>
            <w:vAlign w:val="bottom"/>
            <w:tcBorders>
              <w:right w:val="single" w:sz="8" w:color="CCFFCC"/>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90"/>
              </w:rPr>
              <w:t>Terms of the Merger</w:t>
            </w:r>
          </w:p>
        </w:tc>
        <w:tc>
          <w:tcPr>
            <w:tcW w:w="500" w:type="dxa"/>
            <w:vAlign w:val="bottom"/>
            <w:tcBorders>
              <w:left w:val="single" w:sz="8" w:color="CCFFCC"/>
              <w:right w:val="single" w:sz="8" w:color="CCFFCC"/>
            </w:tcBorders>
            <w:gridSpan w:val="4"/>
            <w:shd w:val="clear" w:color="auto" w:fill="CCFFCC"/>
          </w:tcPr>
          <w:p>
            <w:pPr>
              <w:spacing w:after="0"/>
              <w:rPr>
                <w:sz w:val="14"/>
                <w:szCs w:val="14"/>
                <w:color w:val="auto"/>
              </w:rPr>
            </w:pPr>
          </w:p>
        </w:tc>
        <w:tc>
          <w:tcPr>
            <w:tcW w:w="5020" w:type="dxa"/>
            <w:vAlign w:val="bottom"/>
            <w:tcBorders>
              <w:left w:val="single" w:sz="8" w:color="CCFFCC"/>
            </w:tcBorders>
            <w:gridSpan w:val="17"/>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89</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Completion of the Merger</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89</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Certificate of Incorporation; Bylaws; Directors and Officers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90</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440" w:type="dxa"/>
            <w:vAlign w:val="bottom"/>
            <w:gridSpan w:val="7"/>
          </w:tcPr>
          <w:p>
            <w:pPr>
              <w:spacing w:after="0" w:line="163" w:lineRule="exact"/>
              <w:rPr>
                <w:sz w:val="20"/>
                <w:szCs w:val="20"/>
                <w:color w:val="auto"/>
              </w:rPr>
            </w:pPr>
            <w:r>
              <w:rPr>
                <w:rFonts w:ascii="Arial" w:cs="Arial" w:eastAsia="Arial" w:hAnsi="Arial"/>
                <w:sz w:val="17"/>
                <w:szCs w:val="17"/>
                <w:color w:val="0000EE"/>
                <w:w w:val="85"/>
              </w:rPr>
              <w:t>Merger Consideration</w:t>
            </w:r>
          </w:p>
        </w:tc>
        <w:tc>
          <w:tcPr>
            <w:tcW w:w="2560" w:type="dxa"/>
            <w:vAlign w:val="bottom"/>
            <w:gridSpan w:val="15"/>
          </w:tcPr>
          <w:p>
            <w:pPr>
              <w:spacing w:after="0"/>
              <w:rPr>
                <w:sz w:val="14"/>
                <w:szCs w:val="14"/>
                <w:color w:val="auto"/>
              </w:rPr>
            </w:pPr>
          </w:p>
        </w:tc>
        <w:tc>
          <w:tcPr>
            <w:tcW w:w="2960" w:type="dxa"/>
            <w:vAlign w:val="bottom"/>
            <w:gridSpan w:val="6"/>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90</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Exchange of Innovate/Protect Stock Certificates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91</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120" w:type="dxa"/>
            <w:vAlign w:val="bottom"/>
            <w:gridSpan w:val="12"/>
          </w:tcPr>
          <w:p>
            <w:pPr>
              <w:spacing w:after="0" w:line="163" w:lineRule="exact"/>
              <w:rPr>
                <w:sz w:val="20"/>
                <w:szCs w:val="20"/>
                <w:color w:val="auto"/>
              </w:rPr>
            </w:pPr>
            <w:r>
              <w:rPr>
                <w:rFonts w:ascii="Arial" w:cs="Arial" w:eastAsia="Arial" w:hAnsi="Arial"/>
                <w:sz w:val="17"/>
                <w:szCs w:val="17"/>
                <w:color w:val="0000EE"/>
                <w:w w:val="85"/>
              </w:rPr>
              <w:t>Representations and Warranties</w:t>
            </w:r>
          </w:p>
        </w:tc>
        <w:tc>
          <w:tcPr>
            <w:tcW w:w="1100" w:type="dxa"/>
            <w:vAlign w:val="bottom"/>
            <w:gridSpan w:val="7"/>
          </w:tcPr>
          <w:p>
            <w:pPr>
              <w:spacing w:after="0"/>
              <w:rPr>
                <w:sz w:val="14"/>
                <w:szCs w:val="14"/>
                <w:color w:val="auto"/>
              </w:rPr>
            </w:pPr>
          </w:p>
        </w:tc>
        <w:tc>
          <w:tcPr>
            <w:tcW w:w="3740" w:type="dxa"/>
            <w:vAlign w:val="bottom"/>
            <w:gridSpan w:val="9"/>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91</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620" w:type="dxa"/>
            <w:vAlign w:val="bottom"/>
            <w:gridSpan w:val="8"/>
            <w:shd w:val="clear" w:color="auto" w:fill="CCFFCC"/>
          </w:tcPr>
          <w:p>
            <w:pPr>
              <w:spacing w:after="0" w:line="172" w:lineRule="exact"/>
              <w:rPr>
                <w:sz w:val="20"/>
                <w:szCs w:val="20"/>
                <w:color w:val="auto"/>
              </w:rPr>
            </w:pPr>
            <w:r>
              <w:rPr>
                <w:rFonts w:ascii="Arial" w:cs="Arial" w:eastAsia="Arial" w:hAnsi="Arial"/>
                <w:sz w:val="17"/>
                <w:szCs w:val="17"/>
                <w:color w:val="0000EE"/>
                <w:w w:val="91"/>
              </w:rPr>
              <w:t>Material Adverse Effect</w:t>
            </w:r>
          </w:p>
        </w:tc>
        <w:tc>
          <w:tcPr>
            <w:tcW w:w="500" w:type="dxa"/>
            <w:vAlign w:val="bottom"/>
            <w:gridSpan w:val="4"/>
            <w:shd w:val="clear" w:color="auto" w:fill="CCFFCC"/>
          </w:tcPr>
          <w:p>
            <w:pPr>
              <w:spacing w:after="0"/>
              <w:rPr>
                <w:sz w:val="14"/>
                <w:szCs w:val="14"/>
                <w:color w:val="auto"/>
              </w:rPr>
            </w:pPr>
          </w:p>
        </w:tc>
        <w:tc>
          <w:tcPr>
            <w:tcW w:w="4840" w:type="dxa"/>
            <w:vAlign w:val="bottom"/>
            <w:tcBorders>
              <w:left w:val="single" w:sz="8" w:color="CCFFCC"/>
            </w:tcBorders>
            <w:gridSpan w:val="16"/>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92</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Certain Covenants of the Parties</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93</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rPr>
              <w:t>No Solicitation</w:t>
            </w:r>
          </w:p>
        </w:tc>
        <w:tc>
          <w:tcPr>
            <w:tcW w:w="980" w:type="dxa"/>
            <w:vAlign w:val="bottom"/>
            <w:gridSpan w:val="7"/>
            <w:shd w:val="clear" w:color="auto" w:fill="CCFFCC"/>
          </w:tcPr>
          <w:p>
            <w:pPr>
              <w:spacing w:after="0"/>
              <w:rPr>
                <w:sz w:val="14"/>
                <w:szCs w:val="14"/>
                <w:color w:val="auto"/>
              </w:rPr>
            </w:pPr>
          </w:p>
        </w:tc>
        <w:tc>
          <w:tcPr>
            <w:tcW w:w="4840" w:type="dxa"/>
            <w:vAlign w:val="bottom"/>
            <w:tcBorders>
              <w:left w:val="single" w:sz="8" w:color="CCFFCC"/>
            </w:tcBorders>
            <w:gridSpan w:val="16"/>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94</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CFFCC"/>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700" w:type="dxa"/>
            <w:vAlign w:val="bottom"/>
            <w:gridSpan w:val="9"/>
          </w:tcPr>
          <w:p>
            <w:pPr>
              <w:spacing w:after="0" w:line="163" w:lineRule="exact"/>
              <w:rPr>
                <w:sz w:val="20"/>
                <w:szCs w:val="20"/>
                <w:color w:val="auto"/>
              </w:rPr>
            </w:pPr>
            <w:r>
              <w:rPr>
                <w:rFonts w:ascii="Arial" w:cs="Arial" w:eastAsia="Arial" w:hAnsi="Arial"/>
                <w:sz w:val="17"/>
                <w:szCs w:val="17"/>
                <w:color w:val="0000EE"/>
                <w:w w:val="86"/>
              </w:rPr>
              <w:t>Board Recommendations</w:t>
            </w:r>
          </w:p>
        </w:tc>
        <w:tc>
          <w:tcPr>
            <w:tcW w:w="5260" w:type="dxa"/>
            <w:vAlign w:val="bottom"/>
            <w:gridSpan w:val="19"/>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95</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Approval of Stockholders</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96</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Indemnification of Directors and Officers</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96</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Conditions to the Completion of the Merger</w:t>
            </w: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96</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560" w:type="dxa"/>
            <w:vAlign w:val="bottom"/>
            <w:gridSpan w:val="14"/>
          </w:tcPr>
          <w:p>
            <w:pPr>
              <w:spacing w:after="0" w:line="163" w:lineRule="exact"/>
              <w:rPr>
                <w:sz w:val="20"/>
                <w:szCs w:val="20"/>
                <w:color w:val="auto"/>
              </w:rPr>
            </w:pPr>
            <w:r>
              <w:rPr>
                <w:rFonts w:ascii="Arial" w:cs="Arial" w:eastAsia="Arial" w:hAnsi="Arial"/>
                <w:sz w:val="17"/>
                <w:szCs w:val="17"/>
                <w:color w:val="0000EE"/>
                <w:w w:val="88"/>
              </w:rPr>
              <w:t>Termination of the Merger Agreement</w:t>
            </w:r>
          </w:p>
        </w:tc>
        <w:tc>
          <w:tcPr>
            <w:tcW w:w="400" w:type="dxa"/>
            <w:vAlign w:val="bottom"/>
            <w:gridSpan w:val="3"/>
          </w:tcPr>
          <w:p>
            <w:pPr>
              <w:spacing w:after="0"/>
              <w:rPr>
                <w:sz w:val="14"/>
                <w:szCs w:val="14"/>
                <w:color w:val="auto"/>
              </w:rPr>
            </w:pPr>
          </w:p>
        </w:tc>
        <w:tc>
          <w:tcPr>
            <w:tcW w:w="4000" w:type="dxa"/>
            <w:vAlign w:val="bottom"/>
            <w:gridSpan w:val="11"/>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97</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56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rPr>
              <w:t>Termination Fees and Expenses</w:t>
            </w:r>
          </w:p>
        </w:tc>
        <w:tc>
          <w:tcPr>
            <w:tcW w:w="4400" w:type="dxa"/>
            <w:vAlign w:val="bottom"/>
            <w:tcBorders>
              <w:left w:val="single" w:sz="8" w:color="CCFFCC"/>
            </w:tcBorders>
            <w:gridSpan w:val="14"/>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97</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900" w:type="dxa"/>
            <w:vAlign w:val="bottom"/>
            <w:gridSpan w:val="4"/>
          </w:tcPr>
          <w:p>
            <w:pPr>
              <w:spacing w:after="0" w:line="163" w:lineRule="exact"/>
              <w:rPr>
                <w:sz w:val="20"/>
                <w:szCs w:val="20"/>
                <w:color w:val="auto"/>
              </w:rPr>
            </w:pPr>
            <w:r>
              <w:rPr>
                <w:rFonts w:ascii="Arial" w:cs="Arial" w:eastAsia="Arial" w:hAnsi="Arial"/>
                <w:sz w:val="17"/>
                <w:szCs w:val="17"/>
                <w:color w:val="0000EE"/>
                <w:w w:val="85"/>
              </w:rPr>
              <w:t>Amendments</w:t>
            </w:r>
          </w:p>
        </w:tc>
        <w:tc>
          <w:tcPr>
            <w:tcW w:w="1220" w:type="dxa"/>
            <w:vAlign w:val="bottom"/>
            <w:gridSpan w:val="8"/>
          </w:tcPr>
          <w:p>
            <w:pPr>
              <w:spacing w:after="0"/>
              <w:rPr>
                <w:sz w:val="14"/>
                <w:szCs w:val="14"/>
                <w:color w:val="auto"/>
              </w:rPr>
            </w:pPr>
          </w:p>
        </w:tc>
        <w:tc>
          <w:tcPr>
            <w:tcW w:w="4840" w:type="dxa"/>
            <w:vAlign w:val="bottom"/>
            <w:gridSpan w:val="16"/>
          </w:tcPr>
          <w:p>
            <w:pPr>
              <w:spacing w:after="0"/>
              <w:rPr>
                <w:sz w:val="14"/>
                <w:szCs w:val="14"/>
                <w:color w:val="auto"/>
              </w:rPr>
            </w:pP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98</w:t>
            </w:r>
          </w:p>
        </w:tc>
        <w:tc>
          <w:tcPr>
            <w:tcW w:w="8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140" w:type="dxa"/>
            <w:vAlign w:val="bottom"/>
            <w:tcBorders>
              <w:right w:val="single" w:sz="8" w:color="CCFFCC"/>
            </w:tcBorders>
            <w:gridSpan w:val="5"/>
            <w:shd w:val="clear" w:color="auto" w:fill="CCFFCC"/>
          </w:tcPr>
          <w:p>
            <w:pPr>
              <w:spacing w:after="0" w:line="172" w:lineRule="exact"/>
              <w:rPr>
                <w:sz w:val="20"/>
                <w:szCs w:val="20"/>
                <w:color w:val="auto"/>
              </w:rPr>
            </w:pPr>
            <w:r>
              <w:rPr>
                <w:rFonts w:ascii="Arial" w:cs="Arial" w:eastAsia="Arial" w:hAnsi="Arial"/>
                <w:sz w:val="17"/>
                <w:szCs w:val="17"/>
                <w:color w:val="0000EE"/>
                <w:w w:val="96"/>
              </w:rPr>
              <w:t>Governing Law</w:t>
            </w:r>
          </w:p>
        </w:tc>
        <w:tc>
          <w:tcPr>
            <w:tcW w:w="5820" w:type="dxa"/>
            <w:vAlign w:val="bottom"/>
            <w:gridSpan w:val="23"/>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98</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7120" w:type="dxa"/>
            <w:vAlign w:val="bottom"/>
            <w:gridSpan w:val="29"/>
          </w:tcPr>
          <w:p>
            <w:pPr>
              <w:spacing w:after="0" w:line="163" w:lineRule="exact"/>
              <w:rPr>
                <w:sz w:val="20"/>
                <w:szCs w:val="20"/>
                <w:color w:val="auto"/>
              </w:rPr>
            </w:pPr>
            <w:r>
              <w:rPr>
                <w:rFonts w:ascii="Arial" w:cs="Arial" w:eastAsia="Arial" w:hAnsi="Arial"/>
                <w:sz w:val="17"/>
                <w:szCs w:val="17"/>
                <w:color w:val="0000EE"/>
              </w:rPr>
              <w:t>INFORMATION ABOUT THE COMPANIES</w:t>
            </w:r>
          </w:p>
        </w:tc>
        <w:tc>
          <w:tcPr>
            <w:tcW w:w="420" w:type="dxa"/>
            <w:vAlign w:val="bottom"/>
            <w:gridSpan w:val="3"/>
          </w:tcPr>
          <w:p>
            <w:pPr>
              <w:jc w:val="right"/>
              <w:spacing w:after="0" w:line="163" w:lineRule="exact"/>
              <w:rPr>
                <w:sz w:val="20"/>
                <w:szCs w:val="20"/>
                <w:color w:val="auto"/>
              </w:rPr>
            </w:pPr>
            <w:r>
              <w:rPr>
                <w:rFonts w:ascii="Arial" w:cs="Arial" w:eastAsia="Arial" w:hAnsi="Arial"/>
                <w:sz w:val="17"/>
                <w:szCs w:val="17"/>
                <w:color w:val="0000EE"/>
              </w:rPr>
              <w:t>99</w:t>
            </w:r>
          </w:p>
        </w:tc>
        <w:tc>
          <w:tcPr>
            <w:tcW w:w="80" w:type="dxa"/>
            <w:vAlign w:val="bottom"/>
          </w:tcPr>
          <w:p>
            <w:pPr>
              <w:spacing w:after="0"/>
              <w:rPr>
                <w:sz w:val="14"/>
                <w:szCs w:val="14"/>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960" w:type="dxa"/>
            <w:vAlign w:val="bottom"/>
            <w:tcBorders>
              <w:right w:val="single" w:sz="8" w:color="CCFFCC"/>
            </w:tcBorders>
            <w:gridSpan w:val="17"/>
            <w:shd w:val="clear" w:color="auto" w:fill="CCFFCC"/>
          </w:tcPr>
          <w:p>
            <w:pPr>
              <w:spacing w:after="0" w:line="172" w:lineRule="exact"/>
              <w:rPr>
                <w:sz w:val="20"/>
                <w:szCs w:val="20"/>
                <w:color w:val="auto"/>
              </w:rPr>
            </w:pPr>
            <w:r>
              <w:rPr>
                <w:rFonts w:ascii="Arial" w:cs="Arial" w:eastAsia="Arial" w:hAnsi="Arial"/>
                <w:sz w:val="17"/>
                <w:szCs w:val="17"/>
                <w:color w:val="0000EE"/>
              </w:rPr>
              <w:t>Vringo, Inc</w:t>
            </w:r>
          </w:p>
        </w:tc>
        <w:tc>
          <w:tcPr>
            <w:tcW w:w="4000" w:type="dxa"/>
            <w:vAlign w:val="bottom"/>
            <w:gridSpan w:val="11"/>
            <w:shd w:val="clear" w:color="auto" w:fill="CCFFCC"/>
          </w:tcPr>
          <w:p>
            <w:pPr>
              <w:spacing w:after="0"/>
              <w:rPr>
                <w:sz w:val="14"/>
                <w:szCs w:val="14"/>
                <w:color w:val="auto"/>
              </w:rPr>
            </w:pPr>
          </w:p>
        </w:tc>
        <w:tc>
          <w:tcPr>
            <w:tcW w:w="420" w:type="dxa"/>
            <w:vAlign w:val="bottom"/>
            <w:gridSpan w:val="3"/>
            <w:shd w:val="clear" w:color="auto" w:fill="CCFFCC"/>
          </w:tcPr>
          <w:p>
            <w:pPr>
              <w:jc w:val="right"/>
              <w:spacing w:after="0" w:line="172" w:lineRule="exact"/>
              <w:rPr>
                <w:sz w:val="20"/>
                <w:szCs w:val="20"/>
                <w:color w:val="auto"/>
              </w:rPr>
            </w:pPr>
            <w:r>
              <w:rPr>
                <w:rFonts w:ascii="Arial" w:cs="Arial" w:eastAsia="Arial" w:hAnsi="Arial"/>
                <w:sz w:val="17"/>
                <w:szCs w:val="17"/>
                <w:color w:val="0000EE"/>
              </w:rPr>
              <w:t>99</w:t>
            </w:r>
          </w:p>
        </w:tc>
        <w:tc>
          <w:tcPr>
            <w:tcW w:w="8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40" w:type="dxa"/>
            <w:vAlign w:val="bottom"/>
            <w:tcBorders>
              <w:left w:val="single" w:sz="8" w:color="CCFFCC"/>
              <w:right w:val="single" w:sz="8" w:color="CCFFCC"/>
            </w:tcBorders>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Innovate/Protect, Inc.</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100</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VIP Merger Sub, Inc.</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100</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7120" w:type="dxa"/>
            <w:vAlign w:val="bottom"/>
            <w:gridSpan w:val="29"/>
          </w:tcPr>
          <w:p>
            <w:pPr>
              <w:spacing w:after="0" w:line="163" w:lineRule="exact"/>
              <w:rPr>
                <w:sz w:val="20"/>
                <w:szCs w:val="20"/>
                <w:color w:val="auto"/>
              </w:rPr>
            </w:pPr>
            <w:r>
              <w:rPr>
                <w:rFonts w:ascii="Arial" w:cs="Arial" w:eastAsia="Arial" w:hAnsi="Arial"/>
                <w:sz w:val="17"/>
                <w:szCs w:val="17"/>
                <w:color w:val="0000EE"/>
              </w:rPr>
              <w:t>THE ANNUAL MEETING OF VRINGO STOCKHOLDERS</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101</w:t>
            </w: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440" w:type="dxa"/>
            <w:vAlign w:val="bottom"/>
            <w:tcBorders>
              <w:right w:val="single" w:sz="8" w:color="CCFFCC"/>
            </w:tcBorders>
            <w:gridSpan w:val="7"/>
            <w:shd w:val="clear" w:color="auto" w:fill="CCFFCC"/>
          </w:tcPr>
          <w:p>
            <w:pPr>
              <w:spacing w:after="0" w:line="172" w:lineRule="exact"/>
              <w:rPr>
                <w:sz w:val="20"/>
                <w:szCs w:val="20"/>
                <w:color w:val="auto"/>
              </w:rPr>
            </w:pPr>
            <w:r>
              <w:rPr>
                <w:rFonts w:ascii="Arial" w:cs="Arial" w:eastAsia="Arial" w:hAnsi="Arial"/>
                <w:sz w:val="17"/>
                <w:szCs w:val="17"/>
                <w:color w:val="0000EE"/>
                <w:w w:val="85"/>
              </w:rPr>
              <w:t>Date, Time and Place</w:t>
            </w:r>
          </w:p>
        </w:tc>
        <w:tc>
          <w:tcPr>
            <w:tcW w:w="2560" w:type="dxa"/>
            <w:vAlign w:val="bottom"/>
            <w:tcBorders>
              <w:left w:val="single" w:sz="8" w:color="CCFFCC"/>
            </w:tcBorders>
            <w:gridSpan w:val="15"/>
            <w:shd w:val="clear" w:color="auto" w:fill="CCFFCC"/>
          </w:tcPr>
          <w:p>
            <w:pPr>
              <w:spacing w:after="0"/>
              <w:rPr>
                <w:sz w:val="14"/>
                <w:szCs w:val="14"/>
                <w:color w:val="auto"/>
              </w:rPr>
            </w:pPr>
          </w:p>
        </w:tc>
        <w:tc>
          <w:tcPr>
            <w:tcW w:w="2960" w:type="dxa"/>
            <w:vAlign w:val="bottom"/>
            <w:gridSpan w:val="6"/>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101</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Purpose of the Vringo Annual Meeting</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101</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Vringo Record Date; Shares Entitled to Vote</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101</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2960" w:type="dxa"/>
            <w:vAlign w:val="bottom"/>
            <w:gridSpan w:val="17"/>
          </w:tcPr>
          <w:p>
            <w:pPr>
              <w:spacing w:after="0" w:line="163" w:lineRule="exact"/>
              <w:rPr>
                <w:sz w:val="20"/>
                <w:szCs w:val="20"/>
                <w:color w:val="auto"/>
              </w:rPr>
            </w:pPr>
            <w:r>
              <w:rPr>
                <w:rFonts w:ascii="Arial" w:cs="Arial" w:eastAsia="Arial" w:hAnsi="Arial"/>
                <w:sz w:val="17"/>
                <w:szCs w:val="17"/>
                <w:color w:val="0000EE"/>
              </w:rPr>
              <w:t>Quorum</w:t>
            </w:r>
          </w:p>
        </w:tc>
        <w:tc>
          <w:tcPr>
            <w:tcW w:w="4000" w:type="dxa"/>
            <w:vAlign w:val="bottom"/>
            <w:gridSpan w:val="11"/>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w w:val="84"/>
              </w:rPr>
              <w:t>101</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rPr>
              <w:t>Required Vote</w:t>
            </w:r>
          </w:p>
        </w:tc>
        <w:tc>
          <w:tcPr>
            <w:tcW w:w="500" w:type="dxa"/>
            <w:vAlign w:val="bottom"/>
            <w:gridSpan w:val="4"/>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101</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CFFCC"/>
            </w:tcBorders>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Counting of Votes; Treatment of Abstentions and Incomplete Proxies</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102</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20" w:type="dxa"/>
            <w:vAlign w:val="bottom"/>
            <w:tcBorders>
              <w:left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4580" w:type="dxa"/>
            <w:vAlign w:val="bottom"/>
            <w:gridSpan w:val="24"/>
            <w:shd w:val="clear" w:color="auto" w:fill="CCFFCC"/>
          </w:tcPr>
          <w:p>
            <w:pPr>
              <w:spacing w:after="0" w:line="172" w:lineRule="exact"/>
              <w:rPr>
                <w:sz w:val="20"/>
                <w:szCs w:val="20"/>
                <w:color w:val="auto"/>
              </w:rPr>
            </w:pPr>
            <w:r>
              <w:rPr>
                <w:rFonts w:ascii="Arial" w:cs="Arial" w:eastAsia="Arial" w:hAnsi="Arial"/>
                <w:sz w:val="17"/>
                <w:szCs w:val="17"/>
                <w:color w:val="0000EE"/>
              </w:rPr>
              <w:t>Voting by Vringo Directors and Executive Officers</w:t>
            </w:r>
          </w:p>
        </w:tc>
        <w:tc>
          <w:tcPr>
            <w:tcW w:w="2380" w:type="dxa"/>
            <w:vAlign w:val="bottom"/>
            <w:tcBorders>
              <w:left w:val="single" w:sz="8" w:color="CCFFCC"/>
            </w:tcBorders>
            <w:gridSpan w:val="4"/>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102</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0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400" w:type="dxa"/>
            <w:vAlign w:val="bottom"/>
            <w:gridSpan w:val="20"/>
          </w:tcPr>
          <w:p>
            <w:pPr>
              <w:spacing w:after="0" w:line="163" w:lineRule="exact"/>
              <w:rPr>
                <w:sz w:val="20"/>
                <w:szCs w:val="20"/>
                <w:color w:val="auto"/>
              </w:rPr>
            </w:pPr>
            <w:r>
              <w:rPr>
                <w:rFonts w:ascii="Arial" w:cs="Arial" w:eastAsia="Arial" w:hAnsi="Arial"/>
                <w:sz w:val="17"/>
                <w:szCs w:val="17"/>
                <w:color w:val="0000EE"/>
              </w:rPr>
              <w:t>Voting of Proxies by Registered Holders</w:t>
            </w:r>
          </w:p>
        </w:tc>
        <w:tc>
          <w:tcPr>
            <w:tcW w:w="356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w w:val="84"/>
              </w:rPr>
              <w:t>103</w:t>
            </w: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1940" w:type="dxa"/>
            <w:vAlign w:val="bottom"/>
            <w:tcBorders>
              <w:right w:val="single" w:sz="8" w:color="CCFFCC"/>
            </w:tcBorders>
            <w:gridSpan w:val="11"/>
            <w:shd w:val="clear" w:color="auto" w:fill="CCFFCC"/>
          </w:tcPr>
          <w:p>
            <w:pPr>
              <w:spacing w:after="0" w:line="172" w:lineRule="exact"/>
              <w:rPr>
                <w:sz w:val="20"/>
                <w:szCs w:val="20"/>
                <w:color w:val="auto"/>
              </w:rPr>
            </w:pPr>
            <w:r>
              <w:rPr>
                <w:rFonts w:ascii="Arial" w:cs="Arial" w:eastAsia="Arial" w:hAnsi="Arial"/>
                <w:sz w:val="17"/>
                <w:szCs w:val="17"/>
                <w:color w:val="0000EE"/>
                <w:w w:val="89"/>
              </w:rPr>
              <w:t>Shares Held in Street Name</w:t>
            </w:r>
          </w:p>
        </w:tc>
        <w:tc>
          <w:tcPr>
            <w:tcW w:w="760" w:type="dxa"/>
            <w:vAlign w:val="bottom"/>
            <w:tcBorders>
              <w:left w:val="single" w:sz="8" w:color="CCFFCC"/>
            </w:tcBorders>
            <w:gridSpan w:val="4"/>
            <w:shd w:val="clear" w:color="auto" w:fill="CCFFCC"/>
          </w:tcPr>
          <w:p>
            <w:pPr>
              <w:spacing w:after="0"/>
              <w:rPr>
                <w:sz w:val="14"/>
                <w:szCs w:val="14"/>
                <w:color w:val="auto"/>
              </w:rPr>
            </w:pPr>
          </w:p>
        </w:tc>
        <w:tc>
          <w:tcPr>
            <w:tcW w:w="4260" w:type="dxa"/>
            <w:vAlign w:val="bottom"/>
            <w:gridSpan w:val="13"/>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34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84"/>
              </w:rPr>
              <w:t>103</w:t>
            </w: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6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00" w:type="dxa"/>
            <w:vAlign w:val="bottom"/>
            <w:tcBorders>
              <w:lef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40" w:type="dxa"/>
            <w:vAlign w:val="bottom"/>
            <w:tcBorders>
              <w:left w:val="single" w:sz="8" w:color="CCFFCC"/>
            </w:tcBorders>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46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1020" w:type="dxa"/>
            <w:vAlign w:val="bottom"/>
            <w:tcBorders>
              <w:left w:val="single" w:sz="8" w:color="CCFFCC"/>
              <w:right w:val="single" w:sz="8" w:color="CCFFCC"/>
            </w:tcBorders>
            <w:shd w:val="clear" w:color="auto" w:fill="CCFFCC"/>
          </w:tcPr>
          <w:p>
            <w:pPr>
              <w:spacing w:after="0"/>
              <w:rPr>
                <w:sz w:val="3"/>
                <w:szCs w:val="3"/>
                <w:color w:val="auto"/>
              </w:rPr>
            </w:pPr>
          </w:p>
        </w:tc>
        <w:tc>
          <w:tcPr>
            <w:tcW w:w="88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960" w:type="dxa"/>
            <w:vAlign w:val="bottom"/>
            <w:gridSpan w:val="28"/>
          </w:tcPr>
          <w:p>
            <w:pPr>
              <w:spacing w:after="0" w:line="163" w:lineRule="exact"/>
              <w:rPr>
                <w:sz w:val="20"/>
                <w:szCs w:val="20"/>
                <w:color w:val="auto"/>
              </w:rPr>
            </w:pPr>
            <w:r>
              <w:rPr>
                <w:rFonts w:ascii="Arial" w:cs="Arial" w:eastAsia="Arial" w:hAnsi="Arial"/>
                <w:sz w:val="17"/>
                <w:szCs w:val="17"/>
                <w:color w:val="0000EE"/>
              </w:rPr>
              <w:t>Revocability of Proxies and Changes to a Vringo Stockholder’s Vote</w:t>
            </w:r>
          </w:p>
        </w:tc>
        <w:tc>
          <w:tcPr>
            <w:tcW w:w="500" w:type="dxa"/>
            <w:vAlign w:val="bottom"/>
            <w:gridSpan w:val="4"/>
          </w:tcPr>
          <w:p>
            <w:pPr>
              <w:jc w:val="right"/>
              <w:ind w:right="80"/>
              <w:spacing w:after="0" w:line="163" w:lineRule="exact"/>
              <w:rPr>
                <w:sz w:val="20"/>
                <w:szCs w:val="20"/>
                <w:color w:val="auto"/>
              </w:rPr>
            </w:pPr>
            <w:r>
              <w:rPr>
                <w:rFonts w:ascii="Arial" w:cs="Arial" w:eastAsia="Arial" w:hAnsi="Arial"/>
                <w:sz w:val="17"/>
                <w:szCs w:val="17"/>
                <w:color w:val="0000EE"/>
              </w:rPr>
              <w:t>103</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-6038215</wp:posOffset>
            </wp:positionV>
            <wp:extent cx="483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7120" w:type="dxa"/>
            <w:vAlign w:val="bottom"/>
            <w:gridSpan w:val="30"/>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vMerge w:val="restart"/>
          </w:tcPr>
          <w:p>
            <w:pPr>
              <w:spacing w:after="0"/>
              <w:rPr>
                <w:sz w:val="13"/>
                <w:szCs w:val="13"/>
                <w:color w:val="auto"/>
              </w:rPr>
            </w:pP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EE"/>
                <w:w w:val="77"/>
              </w:rPr>
              <w:t>104</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0" w:type="dxa"/>
            <w:vAlign w:val="bottom"/>
          </w:tcPr>
          <w:p>
            <w:pPr>
              <w:spacing w:after="0"/>
              <w:rPr>
                <w:sz w:val="12"/>
                <w:szCs w:val="12"/>
                <w:color w:val="auto"/>
              </w:rPr>
            </w:pPr>
          </w:p>
        </w:tc>
        <w:tc>
          <w:tcPr>
            <w:tcW w:w="1500" w:type="dxa"/>
            <w:vAlign w:val="bottom"/>
            <w:gridSpan w:val="7"/>
          </w:tcPr>
          <w:p>
            <w:pPr>
              <w:spacing w:after="0" w:line="143" w:lineRule="exact"/>
              <w:rPr>
                <w:sz w:val="20"/>
                <w:szCs w:val="20"/>
                <w:color w:val="auto"/>
              </w:rPr>
            </w:pPr>
            <w:r>
              <w:rPr>
                <w:rFonts w:ascii="Arial" w:cs="Arial" w:eastAsia="Arial" w:hAnsi="Arial"/>
                <w:sz w:val="16"/>
                <w:szCs w:val="16"/>
                <w:color w:val="0000EE"/>
                <w:w w:val="95"/>
              </w:rPr>
              <w:t>Solicitation of Proxies</w:t>
            </w:r>
          </w:p>
        </w:tc>
        <w:tc>
          <w:tcPr>
            <w:tcW w:w="5460" w:type="dxa"/>
            <w:vAlign w:val="bottom"/>
            <w:gridSpan w:val="22"/>
          </w:tcPr>
          <w:p>
            <w:pPr>
              <w:spacing w:after="0"/>
              <w:rPr>
                <w:sz w:val="12"/>
                <w:szCs w:val="12"/>
                <w:color w:val="auto"/>
              </w:rPr>
            </w:pPr>
          </w:p>
        </w:tc>
        <w:tc>
          <w:tcPr>
            <w:tcW w:w="1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9"/>
            <w:shd w:val="clear" w:color="auto" w:fill="CCFFCC"/>
          </w:tcPr>
          <w:p>
            <w:pPr>
              <w:spacing w:after="0" w:line="172" w:lineRule="exact"/>
              <w:rPr>
                <w:sz w:val="20"/>
                <w:szCs w:val="20"/>
                <w:color w:val="auto"/>
              </w:rPr>
            </w:pPr>
            <w:r>
              <w:rPr>
                <w:rFonts w:ascii="Arial" w:cs="Arial" w:eastAsia="Arial" w:hAnsi="Arial"/>
                <w:sz w:val="17"/>
                <w:szCs w:val="17"/>
                <w:color w:val="0000EE"/>
              </w:rPr>
              <w:t>Delivery of Proxy Materials to Households Where Two or More Vringo Stockholders Reside</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104</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40" w:type="dxa"/>
            <w:vAlign w:val="bottom"/>
            <w:tcBorders>
              <w:right w:val="single" w:sz="8" w:color="CCFFCC"/>
            </w:tcBorders>
            <w:shd w:val="clear" w:color="auto" w:fill="0000EE"/>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2540" w:type="dxa"/>
            <w:vAlign w:val="bottom"/>
            <w:gridSpan w:val="12"/>
          </w:tcPr>
          <w:p>
            <w:pPr>
              <w:spacing w:after="0" w:line="163" w:lineRule="exact"/>
              <w:rPr>
                <w:sz w:val="20"/>
                <w:szCs w:val="20"/>
                <w:color w:val="auto"/>
              </w:rPr>
            </w:pPr>
            <w:r>
              <w:rPr>
                <w:rFonts w:ascii="Arial" w:cs="Arial" w:eastAsia="Arial" w:hAnsi="Arial"/>
                <w:sz w:val="17"/>
                <w:szCs w:val="17"/>
                <w:color w:val="0000EE"/>
                <w:w w:val="90"/>
              </w:rPr>
              <w:t>Attending the Vringo Annual Meeting</w:t>
            </w:r>
          </w:p>
        </w:tc>
        <w:tc>
          <w:tcPr>
            <w:tcW w:w="3700" w:type="dxa"/>
            <w:vAlign w:val="bottom"/>
            <w:gridSpan w:val="9"/>
          </w:tcPr>
          <w:p>
            <w:pPr>
              <w:spacing w:after="0"/>
              <w:rPr>
                <w:sz w:val="14"/>
                <w:szCs w:val="14"/>
                <w:color w:val="auto"/>
              </w:rPr>
            </w:pPr>
          </w:p>
        </w:tc>
        <w:tc>
          <w:tcPr>
            <w:tcW w:w="72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104</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60" w:type="dxa"/>
            <w:vAlign w:val="bottom"/>
            <w:tcBorders>
              <w:right w:val="single" w:sz="8" w:color="CCFFCC"/>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91"/>
              </w:rPr>
              <w:t>VRINGO PROPOSALS</w:t>
            </w:r>
          </w:p>
        </w:tc>
        <w:tc>
          <w:tcPr>
            <w:tcW w:w="5460" w:type="dxa"/>
            <w:vAlign w:val="bottom"/>
            <w:tcBorders>
              <w:left w:val="single" w:sz="8" w:color="CCFFCC"/>
            </w:tcBorders>
            <w:gridSpan w:val="2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105</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700" w:type="dxa"/>
            <w:vAlign w:val="bottom"/>
            <w:gridSpan w:val="26"/>
          </w:tcPr>
          <w:p>
            <w:pPr>
              <w:spacing w:after="0" w:line="163" w:lineRule="exact"/>
              <w:rPr>
                <w:sz w:val="20"/>
                <w:szCs w:val="20"/>
                <w:color w:val="auto"/>
              </w:rPr>
            </w:pPr>
            <w:r>
              <w:rPr>
                <w:rFonts w:ascii="Arial" w:cs="Arial" w:eastAsia="Arial" w:hAnsi="Arial"/>
                <w:sz w:val="17"/>
                <w:szCs w:val="17"/>
                <w:color w:val="0000EE"/>
                <w:w w:val="89"/>
              </w:rPr>
              <w:t>Vringo Proposal No. 1: Approval of the Issuance of Vringo Common Stock and Preferred Stock and</w:t>
            </w:r>
          </w:p>
        </w:tc>
        <w:tc>
          <w:tcPr>
            <w:tcW w:w="26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105</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520" w:type="dxa"/>
            <w:vAlign w:val="bottom"/>
            <w:tcBorders>
              <w:top w:val="single" w:sz="8" w:color="0000EE"/>
            </w:tcBorders>
            <w:gridSpan w:val="25"/>
          </w:tcPr>
          <w:p>
            <w:pPr>
              <w:spacing w:after="0" w:line="180" w:lineRule="exact"/>
              <w:rPr>
                <w:sz w:val="20"/>
                <w:szCs w:val="20"/>
                <w:color w:val="auto"/>
              </w:rPr>
            </w:pPr>
            <w:r>
              <w:rPr>
                <w:rFonts w:ascii="Arial" w:cs="Arial" w:eastAsia="Arial" w:hAnsi="Arial"/>
                <w:sz w:val="17"/>
                <w:szCs w:val="17"/>
                <w:color w:val="0000EE"/>
              </w:rPr>
              <w:t>Warrants in Connection with the Merger</w:t>
            </w:r>
          </w:p>
        </w:tc>
        <w:tc>
          <w:tcPr>
            <w:tcW w:w="2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800" w:type="dxa"/>
            <w:vAlign w:val="bottom"/>
            <w:gridSpan w:val="28"/>
            <w:shd w:val="clear" w:color="auto" w:fill="CCFFCC"/>
          </w:tcPr>
          <w:p>
            <w:pPr>
              <w:spacing w:after="0" w:line="172" w:lineRule="exact"/>
              <w:rPr>
                <w:sz w:val="20"/>
                <w:szCs w:val="20"/>
                <w:color w:val="auto"/>
              </w:rPr>
            </w:pPr>
            <w:r>
              <w:rPr>
                <w:rFonts w:ascii="Arial" w:cs="Arial" w:eastAsia="Arial" w:hAnsi="Arial"/>
                <w:sz w:val="17"/>
                <w:szCs w:val="17"/>
                <w:color w:val="0000EE"/>
                <w:w w:val="90"/>
              </w:rPr>
              <w:t>Vringo Proposal No. 2: Approval of an Amendment to Vringo’s Amended and Restated Certificate of</w:t>
            </w:r>
          </w:p>
        </w:tc>
        <w:tc>
          <w:tcPr>
            <w:tcW w:w="16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107</w:t>
            </w:r>
          </w:p>
        </w:tc>
        <w:tc>
          <w:tcPr>
            <w:tcW w:w="0" w:type="dxa"/>
            <w:vAlign w:val="bottom"/>
          </w:tcPr>
          <w:p>
            <w:pPr>
              <w:spacing w:after="0"/>
              <w:rPr>
                <w:sz w:val="1"/>
                <w:szCs w:val="1"/>
                <w:color w:val="auto"/>
              </w:rPr>
            </w:pPr>
          </w:p>
        </w:tc>
      </w:tr>
      <w:tr>
        <w:trPr>
          <w:trHeight w:val="180"/>
        </w:trPr>
        <w:tc>
          <w:tcPr>
            <w:tcW w:w="16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0000EE"/>
            </w:tcBorders>
            <w:shd w:val="clear" w:color="auto" w:fill="CCFFCC"/>
          </w:tcPr>
          <w:p>
            <w:pPr>
              <w:spacing w:after="0"/>
              <w:rPr>
                <w:sz w:val="15"/>
                <w:szCs w:val="15"/>
                <w:color w:val="auto"/>
              </w:rPr>
            </w:pPr>
          </w:p>
        </w:tc>
        <w:tc>
          <w:tcPr>
            <w:tcW w:w="6620" w:type="dxa"/>
            <w:vAlign w:val="bottom"/>
            <w:tcBorders>
              <w:top w:val="single" w:sz="8" w:color="0000EE"/>
            </w:tcBorders>
            <w:gridSpan w:val="27"/>
            <w:shd w:val="clear" w:color="auto" w:fill="CCFFCC"/>
          </w:tcPr>
          <w:p>
            <w:pPr>
              <w:spacing w:after="0" w:line="180" w:lineRule="exact"/>
              <w:rPr>
                <w:sz w:val="20"/>
                <w:szCs w:val="20"/>
                <w:color w:val="auto"/>
              </w:rPr>
            </w:pPr>
            <w:r>
              <w:rPr>
                <w:rFonts w:ascii="Arial" w:cs="Arial" w:eastAsia="Arial" w:hAnsi="Arial"/>
                <w:sz w:val="17"/>
                <w:szCs w:val="17"/>
                <w:color w:val="0000EE"/>
              </w:rPr>
              <w:t>Incorporation to Effect a Reverse Stock Split of Vringo Common Stock</w:t>
            </w:r>
          </w:p>
        </w:tc>
        <w:tc>
          <w:tcPr>
            <w:tcW w:w="160" w:type="dxa"/>
            <w:vAlign w:val="bottom"/>
            <w:tcBorders>
              <w:top w:val="single" w:sz="8" w:color="CCFFCC"/>
            </w:tcBorders>
            <w:shd w:val="clear" w:color="auto" w:fill="CCFFCC"/>
          </w:tcPr>
          <w:p>
            <w:pPr>
              <w:spacing w:after="0"/>
              <w:rPr>
                <w:sz w:val="15"/>
                <w:szCs w:val="15"/>
                <w:color w:val="auto"/>
              </w:rPr>
            </w:pPr>
          </w:p>
        </w:tc>
        <w:tc>
          <w:tcPr>
            <w:tcW w:w="180" w:type="dxa"/>
            <w:vAlign w:val="bottom"/>
            <w:tcBorders>
              <w:top w:val="single" w:sz="8" w:color="CCFFCC"/>
              <w:right w:val="single" w:sz="8" w:color="CCFFCC"/>
            </w:tcBorders>
            <w:shd w:val="clear" w:color="auto" w:fill="CCFFCC"/>
          </w:tcPr>
          <w:p>
            <w:pPr>
              <w:spacing w:after="0"/>
              <w:rPr>
                <w:sz w:val="15"/>
                <w:szCs w:val="15"/>
                <w:color w:val="auto"/>
              </w:rPr>
            </w:pPr>
          </w:p>
        </w:tc>
        <w:tc>
          <w:tcPr>
            <w:tcW w:w="240" w:type="dxa"/>
            <w:vAlign w:val="bottom"/>
            <w:tcBorders>
              <w:top w:val="single" w:sz="8" w:color="0000EE"/>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800" w:type="dxa"/>
            <w:vAlign w:val="bottom"/>
            <w:gridSpan w:val="28"/>
          </w:tcPr>
          <w:p>
            <w:pPr>
              <w:spacing w:after="0" w:line="163" w:lineRule="exact"/>
              <w:rPr>
                <w:sz w:val="20"/>
                <w:szCs w:val="20"/>
                <w:color w:val="auto"/>
              </w:rPr>
            </w:pPr>
            <w:r>
              <w:rPr>
                <w:rFonts w:ascii="Arial" w:cs="Arial" w:eastAsia="Arial" w:hAnsi="Arial"/>
                <w:sz w:val="17"/>
                <w:szCs w:val="17"/>
                <w:color w:val="0000EE"/>
                <w:w w:val="90"/>
              </w:rPr>
              <w:t>Vringo Proposal No. 3: Approval of an Amendment to Vringo’s Amended and Restated Certificate of</w:t>
            </w:r>
          </w:p>
        </w:tc>
        <w:tc>
          <w:tcPr>
            <w:tcW w:w="160" w:type="dxa"/>
            <w:vAlign w:val="bottom"/>
          </w:tcPr>
          <w:p>
            <w:pPr>
              <w:spacing w:after="0"/>
              <w:rPr>
                <w:sz w:val="14"/>
                <w:szCs w:val="14"/>
                <w:color w:val="auto"/>
              </w:rPr>
            </w:pP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113</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460" w:type="dxa"/>
            <w:vAlign w:val="bottom"/>
            <w:tcBorders>
              <w:top w:val="single" w:sz="8" w:color="0000EE"/>
              <w:bottom w:val="single" w:sz="8" w:color="0000EE"/>
            </w:tcBorders>
            <w:gridSpan w:val="24"/>
          </w:tcPr>
          <w:p>
            <w:pPr>
              <w:spacing w:after="0" w:line="180" w:lineRule="exact"/>
              <w:rPr>
                <w:sz w:val="20"/>
                <w:szCs w:val="20"/>
                <w:color w:val="auto"/>
              </w:rPr>
            </w:pPr>
            <w:r>
              <w:rPr>
                <w:rFonts w:ascii="Arial" w:cs="Arial" w:eastAsia="Arial" w:hAnsi="Arial"/>
                <w:sz w:val="17"/>
                <w:szCs w:val="17"/>
                <w:color w:val="0000EE"/>
                <w:w w:val="89"/>
              </w:rPr>
              <w:t>Incorporation to Increase the Number of Shares of Common Stock Authorized for Issuance from</w:t>
            </w:r>
          </w:p>
        </w:tc>
        <w:tc>
          <w:tcPr>
            <w:tcW w:w="160" w:type="dxa"/>
            <w:vAlign w:val="bottom"/>
            <w:tcBorders>
              <w:top w:val="single" w:sz="8" w:color="0000EE"/>
            </w:tcBorders>
            <w:gridSpan w:val="3"/>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80" w:type="dxa"/>
            <w:vAlign w:val="bottom"/>
            <w:gridSpan w:val="28"/>
          </w:tcPr>
          <w:p>
            <w:pPr>
              <w:spacing w:after="0" w:line="180" w:lineRule="exact"/>
              <w:rPr>
                <w:sz w:val="20"/>
                <w:szCs w:val="20"/>
                <w:color w:val="auto"/>
              </w:rPr>
            </w:pPr>
            <w:r>
              <w:rPr>
                <w:rFonts w:ascii="Arial" w:cs="Arial" w:eastAsia="Arial" w:hAnsi="Arial"/>
                <w:sz w:val="17"/>
                <w:szCs w:val="17"/>
                <w:color w:val="0000EE"/>
              </w:rPr>
              <w:t>28,000,000 to up to a maximum of 150,000,000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300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w w:val="90"/>
              </w:rPr>
              <w:t>Vringo Proposal No. 4: Election of Directors</w:t>
            </w:r>
          </w:p>
        </w:tc>
        <w:tc>
          <w:tcPr>
            <w:tcW w:w="3960" w:type="dxa"/>
            <w:vAlign w:val="bottom"/>
            <w:gridSpan w:val="15"/>
            <w:shd w:val="clear" w:color="auto" w:fill="CCFFCC"/>
          </w:tcPr>
          <w:p>
            <w:pPr>
              <w:spacing w:after="0"/>
              <w:rPr>
                <w:sz w:val="14"/>
                <w:szCs w:val="14"/>
                <w:color w:val="auto"/>
              </w:rPr>
            </w:pP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115</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780" w:type="dxa"/>
            <w:vAlign w:val="bottom"/>
            <w:gridSpan w:val="27"/>
          </w:tcPr>
          <w:p>
            <w:pPr>
              <w:spacing w:after="0" w:line="163" w:lineRule="exact"/>
              <w:rPr>
                <w:sz w:val="20"/>
                <w:szCs w:val="20"/>
                <w:color w:val="auto"/>
              </w:rPr>
            </w:pPr>
            <w:r>
              <w:rPr>
                <w:rFonts w:ascii="Arial" w:cs="Arial" w:eastAsia="Arial" w:hAnsi="Arial"/>
                <w:sz w:val="17"/>
                <w:szCs w:val="17"/>
                <w:color w:val="0000EE"/>
                <w:w w:val="90"/>
              </w:rPr>
              <w:t>Vringo Proposal No. 5: Approval of the Vringo, Inc. 2012 Employee, Director and Consultant Equity</w:t>
            </w:r>
          </w:p>
        </w:tc>
        <w:tc>
          <w:tcPr>
            <w:tcW w:w="180" w:type="dxa"/>
            <w:vAlign w:val="bottom"/>
            <w:gridSpan w:val="2"/>
          </w:tcPr>
          <w:p>
            <w:pPr>
              <w:spacing w:after="0"/>
              <w:rPr>
                <w:sz w:val="14"/>
                <w:szCs w:val="14"/>
                <w:color w:val="auto"/>
              </w:rPr>
            </w:pP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116</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60" w:type="dxa"/>
            <w:vAlign w:val="bottom"/>
            <w:tcBorders>
              <w:top w:val="single" w:sz="8" w:color="0000EE"/>
              <w:bottom w:val="single" w:sz="8" w:color="0000EE"/>
            </w:tcBorders>
            <w:gridSpan w:val="3"/>
          </w:tcPr>
          <w:p>
            <w:pPr>
              <w:spacing w:after="0" w:line="180" w:lineRule="exact"/>
              <w:rPr>
                <w:sz w:val="20"/>
                <w:szCs w:val="20"/>
                <w:color w:val="auto"/>
              </w:rPr>
            </w:pPr>
            <w:r>
              <w:rPr>
                <w:rFonts w:ascii="Arial" w:cs="Arial" w:eastAsia="Arial" w:hAnsi="Arial"/>
                <w:sz w:val="17"/>
                <w:szCs w:val="17"/>
                <w:color w:val="0000EE"/>
                <w:w w:val="87"/>
              </w:rPr>
              <w:t>Incentive Plan</w:t>
            </w:r>
          </w:p>
        </w:tc>
        <w:tc>
          <w:tcPr>
            <w:tcW w:w="5640" w:type="dxa"/>
            <w:vAlign w:val="bottom"/>
            <w:tcBorders>
              <w:top w:val="single" w:sz="8" w:color="0000EE"/>
            </w:tcBorders>
            <w:gridSpan w:val="23"/>
          </w:tcPr>
          <w:p>
            <w:pPr>
              <w:spacing w:after="0"/>
              <w:rPr>
                <w:sz w:val="16"/>
                <w:szCs w:val="16"/>
                <w:color w:val="auto"/>
              </w:rPr>
            </w:pPr>
          </w:p>
        </w:tc>
        <w:tc>
          <w:tcPr>
            <w:tcW w:w="18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6960" w:type="dxa"/>
            <w:vAlign w:val="bottom"/>
            <w:gridSpan w:val="29"/>
            <w:shd w:val="clear" w:color="auto" w:fill="CCFFCC"/>
          </w:tcPr>
          <w:p>
            <w:pPr>
              <w:spacing w:after="0" w:line="172" w:lineRule="exact"/>
              <w:rPr>
                <w:sz w:val="20"/>
                <w:szCs w:val="20"/>
                <w:color w:val="auto"/>
              </w:rPr>
            </w:pPr>
            <w:r>
              <w:rPr>
                <w:rFonts w:ascii="Arial" w:cs="Arial" w:eastAsia="Arial" w:hAnsi="Arial"/>
                <w:sz w:val="17"/>
                <w:szCs w:val="17"/>
                <w:color w:val="0000EE"/>
                <w:w w:val="95"/>
              </w:rPr>
              <w:t>Vringo Proposal No. 6: Ratification of the Appointment of Vringo’s Independent Registered Public</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121</w:t>
            </w:r>
          </w:p>
        </w:tc>
        <w:tc>
          <w:tcPr>
            <w:tcW w:w="0" w:type="dxa"/>
            <w:vAlign w:val="bottom"/>
          </w:tcPr>
          <w:p>
            <w:pPr>
              <w:spacing w:after="0"/>
              <w:rPr>
                <w:sz w:val="1"/>
                <w:szCs w:val="1"/>
                <w:color w:val="auto"/>
              </w:rPr>
            </w:pPr>
          </w:p>
        </w:tc>
      </w:tr>
      <w:tr>
        <w:trPr>
          <w:trHeight w:val="198"/>
        </w:trPr>
        <w:tc>
          <w:tcPr>
            <w:tcW w:w="16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0000EE"/>
              <w:bottom w:val="single" w:sz="8" w:color="CCFFCC"/>
            </w:tcBorders>
            <w:shd w:val="clear" w:color="auto" w:fill="CCFFCC"/>
          </w:tcPr>
          <w:p>
            <w:pPr>
              <w:spacing w:after="0"/>
              <w:rPr>
                <w:sz w:val="17"/>
                <w:szCs w:val="17"/>
                <w:color w:val="auto"/>
              </w:rPr>
            </w:pPr>
          </w:p>
        </w:tc>
        <w:tc>
          <w:tcPr>
            <w:tcW w:w="1140" w:type="dxa"/>
            <w:vAlign w:val="bottom"/>
            <w:tcBorders>
              <w:top w:val="single" w:sz="8" w:color="0000EE"/>
              <w:bottom w:val="single" w:sz="8" w:color="0000EE"/>
            </w:tcBorders>
            <w:gridSpan w:val="5"/>
            <w:shd w:val="clear" w:color="auto" w:fill="CCFFCC"/>
          </w:tcPr>
          <w:p>
            <w:pPr>
              <w:spacing w:after="0" w:line="180" w:lineRule="exact"/>
              <w:rPr>
                <w:sz w:val="20"/>
                <w:szCs w:val="20"/>
                <w:color w:val="auto"/>
              </w:rPr>
            </w:pPr>
            <w:r>
              <w:rPr>
                <w:rFonts w:ascii="Arial" w:cs="Arial" w:eastAsia="Arial" w:hAnsi="Arial"/>
                <w:sz w:val="17"/>
                <w:szCs w:val="17"/>
                <w:color w:val="0000EE"/>
                <w:w w:val="91"/>
              </w:rPr>
              <w:t>Accounting Firm</w:t>
            </w:r>
          </w:p>
        </w:tc>
        <w:tc>
          <w:tcPr>
            <w:tcW w:w="5300" w:type="dxa"/>
            <w:vAlign w:val="bottom"/>
            <w:tcBorders>
              <w:top w:val="single" w:sz="8" w:color="0000EE"/>
              <w:bottom w:val="single" w:sz="8" w:color="CCFFCC"/>
            </w:tcBorders>
            <w:gridSpan w:val="18"/>
            <w:shd w:val="clear" w:color="auto" w:fill="CCFFCC"/>
          </w:tcPr>
          <w:p>
            <w:pPr>
              <w:spacing w:after="0"/>
              <w:rPr>
                <w:sz w:val="17"/>
                <w:szCs w:val="17"/>
                <w:color w:val="auto"/>
              </w:rPr>
            </w:pPr>
          </w:p>
        </w:tc>
        <w:tc>
          <w:tcPr>
            <w:tcW w:w="340" w:type="dxa"/>
            <w:vAlign w:val="bottom"/>
            <w:tcBorders>
              <w:top w:val="single" w:sz="8" w:color="CCFFCC"/>
              <w:bottom w:val="single" w:sz="8" w:color="CCFFCC"/>
            </w:tcBorders>
            <w:gridSpan w:val="5"/>
            <w:shd w:val="clear" w:color="auto" w:fill="CCFFCC"/>
          </w:tcPr>
          <w:p>
            <w:pPr>
              <w:spacing w:after="0"/>
              <w:rPr>
                <w:sz w:val="17"/>
                <w:szCs w:val="17"/>
                <w:color w:val="auto"/>
              </w:rPr>
            </w:pPr>
          </w:p>
        </w:tc>
        <w:tc>
          <w:tcPr>
            <w:tcW w:w="180" w:type="dxa"/>
            <w:vAlign w:val="bottom"/>
            <w:tcBorders>
              <w:top w:val="single" w:sz="8" w:color="CCFFCC"/>
              <w:bottom w:val="single" w:sz="8" w:color="CCFFCC"/>
              <w:right w:val="single" w:sz="8" w:color="CCFFCC"/>
            </w:tcBorders>
            <w:shd w:val="clear" w:color="auto" w:fill="CCFFCC"/>
          </w:tcPr>
          <w:p>
            <w:pPr>
              <w:spacing w:after="0"/>
              <w:rPr>
                <w:sz w:val="17"/>
                <w:szCs w:val="17"/>
                <w:color w:val="auto"/>
              </w:rPr>
            </w:pPr>
          </w:p>
        </w:tc>
        <w:tc>
          <w:tcPr>
            <w:tcW w:w="24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6960" w:type="dxa"/>
            <w:vAlign w:val="bottom"/>
            <w:gridSpan w:val="29"/>
          </w:tcPr>
          <w:p>
            <w:pPr>
              <w:spacing w:after="0" w:line="163" w:lineRule="exact"/>
              <w:rPr>
                <w:sz w:val="20"/>
                <w:szCs w:val="20"/>
                <w:color w:val="auto"/>
              </w:rPr>
            </w:pPr>
            <w:r>
              <w:rPr>
                <w:rFonts w:ascii="Arial" w:cs="Arial" w:eastAsia="Arial" w:hAnsi="Arial"/>
                <w:sz w:val="17"/>
                <w:szCs w:val="17"/>
                <w:color w:val="0000EE"/>
                <w:w w:val="93"/>
              </w:rPr>
              <w:t>Vringo Proposal No. 7: Approval of the Adjournment of the Vringo Annual Meeting, if Necessary, to</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122</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60" w:type="dxa"/>
            <w:vAlign w:val="bottom"/>
            <w:tcBorders>
              <w:top w:val="single" w:sz="8" w:color="0000EE"/>
              <w:bottom w:val="single" w:sz="8" w:color="0000EE"/>
            </w:tcBorders>
            <w:gridSpan w:val="20"/>
          </w:tcPr>
          <w:p>
            <w:pPr>
              <w:spacing w:after="0" w:line="180" w:lineRule="exact"/>
              <w:rPr>
                <w:sz w:val="20"/>
                <w:szCs w:val="20"/>
                <w:color w:val="auto"/>
              </w:rPr>
            </w:pPr>
            <w:r>
              <w:rPr>
                <w:rFonts w:ascii="Arial" w:cs="Arial" w:eastAsia="Arial" w:hAnsi="Arial"/>
                <w:sz w:val="17"/>
                <w:szCs w:val="17"/>
                <w:color w:val="0000EE"/>
                <w:w w:val="91"/>
              </w:rPr>
              <w:t>Solicit Additional Proxies if There Are Not Sufficient Votes in Favor of the Vringo Merger</w:t>
            </w:r>
          </w:p>
        </w:tc>
        <w:tc>
          <w:tcPr>
            <w:tcW w:w="540" w:type="dxa"/>
            <w:vAlign w:val="bottom"/>
            <w:tcBorders>
              <w:top w:val="single" w:sz="8" w:color="0000EE"/>
            </w:tcBorders>
            <w:gridSpan w:val="6"/>
          </w:tcPr>
          <w:p>
            <w:pPr>
              <w:spacing w:after="0"/>
              <w:rPr>
                <w:sz w:val="15"/>
                <w:szCs w:val="15"/>
                <w:color w:val="auto"/>
              </w:rPr>
            </w:pPr>
          </w:p>
        </w:tc>
        <w:tc>
          <w:tcPr>
            <w:tcW w:w="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780" w:type="dxa"/>
            <w:vAlign w:val="bottom"/>
            <w:gridSpan w:val="28"/>
          </w:tcPr>
          <w:p>
            <w:pPr>
              <w:spacing w:after="0" w:line="180" w:lineRule="exact"/>
              <w:rPr>
                <w:sz w:val="20"/>
                <w:szCs w:val="20"/>
                <w:color w:val="auto"/>
              </w:rPr>
            </w:pPr>
            <w:r>
              <w:rPr>
                <w:rFonts w:ascii="Arial" w:cs="Arial" w:eastAsia="Arial" w:hAnsi="Arial"/>
                <w:sz w:val="17"/>
                <w:szCs w:val="17"/>
                <w:color w:val="0000EE"/>
              </w:rPr>
              <w:t>Proposals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120" w:type="dxa"/>
            <w:vAlign w:val="bottom"/>
            <w:gridSpan w:val="30"/>
            <w:shd w:val="clear" w:color="auto" w:fill="CCFFCC"/>
          </w:tcPr>
          <w:p>
            <w:pPr>
              <w:spacing w:after="0" w:line="172" w:lineRule="exact"/>
              <w:rPr>
                <w:sz w:val="20"/>
                <w:szCs w:val="20"/>
                <w:color w:val="auto"/>
              </w:rPr>
            </w:pPr>
            <w:r>
              <w:rPr>
                <w:rFonts w:ascii="Arial" w:cs="Arial" w:eastAsia="Arial" w:hAnsi="Arial"/>
                <w:sz w:val="17"/>
                <w:szCs w:val="17"/>
                <w:color w:val="0000EE"/>
              </w:rPr>
              <w:t>VRINGO’S BUSINESS</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123</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CCFFCC"/>
            </w:tcBorders>
            <w:shd w:val="clear" w:color="auto" w:fill="0000EE"/>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6640" w:type="dxa"/>
            <w:vAlign w:val="bottom"/>
            <w:gridSpan w:val="24"/>
          </w:tcPr>
          <w:p>
            <w:pPr>
              <w:spacing w:after="0" w:line="163" w:lineRule="exact"/>
              <w:rPr>
                <w:sz w:val="20"/>
                <w:szCs w:val="20"/>
                <w:color w:val="auto"/>
              </w:rPr>
            </w:pPr>
            <w:r>
              <w:rPr>
                <w:rFonts w:ascii="Arial" w:cs="Arial" w:eastAsia="Arial" w:hAnsi="Arial"/>
                <w:sz w:val="17"/>
                <w:szCs w:val="17"/>
                <w:color w:val="0000EE"/>
                <w:w w:val="96"/>
              </w:rPr>
              <w:t>VRINGO’S MANAGEMENT’S DISCUSSION AND ANALYSIS OF FINANCIAL CONDITION</w:t>
            </w:r>
          </w:p>
        </w:tc>
        <w:tc>
          <w:tcPr>
            <w:tcW w:w="48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129</w:t>
            </w:r>
          </w:p>
        </w:tc>
        <w:tc>
          <w:tcPr>
            <w:tcW w:w="0" w:type="dxa"/>
            <w:vAlign w:val="bottom"/>
          </w:tcPr>
          <w:p>
            <w:pPr>
              <w:spacing w:after="0"/>
              <w:rPr>
                <w:sz w:val="1"/>
                <w:szCs w:val="1"/>
                <w:color w:val="auto"/>
              </w:rPr>
            </w:pPr>
          </w:p>
        </w:tc>
      </w:tr>
      <w:tr>
        <w:trPr>
          <w:trHeight w:val="189"/>
        </w:trPr>
        <w:tc>
          <w:tcPr>
            <w:tcW w:w="160" w:type="dxa"/>
            <w:vAlign w:val="bottom"/>
            <w:tcBorders>
              <w:top w:val="single" w:sz="8" w:color="0000EE"/>
            </w:tcBorders>
          </w:tcPr>
          <w:p>
            <w:pPr>
              <w:spacing w:after="0"/>
              <w:rPr>
                <w:sz w:val="16"/>
                <w:szCs w:val="16"/>
                <w:color w:val="auto"/>
              </w:rPr>
            </w:pPr>
          </w:p>
        </w:tc>
        <w:tc>
          <w:tcPr>
            <w:tcW w:w="2440" w:type="dxa"/>
            <w:vAlign w:val="bottom"/>
            <w:tcBorders>
              <w:top w:val="single" w:sz="8" w:color="0000EE"/>
              <w:bottom w:val="single" w:sz="8" w:color="0000EE"/>
            </w:tcBorders>
            <w:gridSpan w:val="11"/>
          </w:tcPr>
          <w:p>
            <w:pPr>
              <w:spacing w:after="0" w:line="180" w:lineRule="exact"/>
              <w:rPr>
                <w:sz w:val="20"/>
                <w:szCs w:val="20"/>
                <w:color w:val="auto"/>
              </w:rPr>
            </w:pPr>
            <w:r>
              <w:rPr>
                <w:rFonts w:ascii="Arial" w:cs="Arial" w:eastAsia="Arial" w:hAnsi="Arial"/>
                <w:sz w:val="17"/>
                <w:szCs w:val="17"/>
                <w:color w:val="0000EE"/>
                <w:w w:val="91"/>
              </w:rPr>
              <w:t>AND RESULTS OF OPERATIONS</w:t>
            </w:r>
          </w:p>
        </w:tc>
        <w:tc>
          <w:tcPr>
            <w:tcW w:w="4040" w:type="dxa"/>
            <w:vAlign w:val="bottom"/>
            <w:tcBorders>
              <w:top w:val="single" w:sz="8" w:color="0000EE"/>
            </w:tcBorders>
            <w:gridSpan w:val="12"/>
          </w:tcPr>
          <w:p>
            <w:pPr>
              <w:spacing w:after="0"/>
              <w:rPr>
                <w:sz w:val="16"/>
                <w:szCs w:val="16"/>
                <w:color w:val="auto"/>
              </w:rPr>
            </w:pPr>
          </w:p>
        </w:tc>
        <w:tc>
          <w:tcPr>
            <w:tcW w:w="480" w:type="dxa"/>
            <w:vAlign w:val="bottom"/>
            <w:gridSpan w:val="6"/>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120" w:type="dxa"/>
            <w:vAlign w:val="bottom"/>
            <w:gridSpan w:val="30"/>
            <w:shd w:val="clear" w:color="auto" w:fill="CCFFCC"/>
          </w:tcPr>
          <w:p>
            <w:pPr>
              <w:spacing w:after="0" w:line="172" w:lineRule="exact"/>
              <w:rPr>
                <w:sz w:val="20"/>
                <w:szCs w:val="20"/>
                <w:color w:val="auto"/>
              </w:rPr>
            </w:pPr>
            <w:r>
              <w:rPr>
                <w:rFonts w:ascii="Arial" w:cs="Arial" w:eastAsia="Arial" w:hAnsi="Arial"/>
                <w:sz w:val="17"/>
                <w:szCs w:val="17"/>
                <w:color w:val="0000EE"/>
              </w:rPr>
              <w:t>INNOVATE/PROTECT’S BUSINESS</w:t>
            </w:r>
          </w:p>
        </w:tc>
        <w:tc>
          <w:tcPr>
            <w:tcW w:w="500" w:type="dxa"/>
            <w:vAlign w:val="bottom"/>
            <w:gridSpan w:val="3"/>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rPr>
              <w:t>148</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CCFFCC"/>
            </w:tcBorders>
            <w:shd w:val="clear" w:color="auto" w:fill="0000EE"/>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7120" w:type="dxa"/>
            <w:vAlign w:val="bottom"/>
            <w:gridSpan w:val="30"/>
          </w:tcPr>
          <w:p>
            <w:pPr>
              <w:spacing w:after="0" w:line="163" w:lineRule="exact"/>
              <w:rPr>
                <w:sz w:val="20"/>
                <w:szCs w:val="20"/>
                <w:color w:val="auto"/>
              </w:rPr>
            </w:pPr>
            <w:r>
              <w:rPr>
                <w:rFonts w:ascii="Arial" w:cs="Arial" w:eastAsia="Arial" w:hAnsi="Arial"/>
                <w:sz w:val="17"/>
                <w:szCs w:val="17"/>
                <w:color w:val="0000EE"/>
              </w:rPr>
              <w:t>INNOVATE/PROTECT’S MANAGEMENT’S DISCUSSION AND ANALYSIS OF FINANCIAL</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156</w:t>
            </w:r>
          </w:p>
        </w:tc>
        <w:tc>
          <w:tcPr>
            <w:tcW w:w="0" w:type="dxa"/>
            <w:vAlign w:val="bottom"/>
          </w:tcPr>
          <w:p>
            <w:pPr>
              <w:spacing w:after="0"/>
              <w:rPr>
                <w:sz w:val="1"/>
                <w:szCs w:val="1"/>
                <w:color w:val="auto"/>
              </w:rPr>
            </w:pPr>
          </w:p>
        </w:tc>
      </w:tr>
      <w:tr>
        <w:trPr>
          <w:trHeight w:val="180"/>
        </w:trPr>
        <w:tc>
          <w:tcPr>
            <w:tcW w:w="160" w:type="dxa"/>
            <w:vAlign w:val="bottom"/>
            <w:tcBorders>
              <w:top w:val="single" w:sz="8" w:color="0000EE"/>
            </w:tcBorders>
          </w:tcPr>
          <w:p>
            <w:pPr>
              <w:spacing w:after="0"/>
              <w:rPr>
                <w:sz w:val="15"/>
                <w:szCs w:val="15"/>
                <w:color w:val="auto"/>
              </w:rPr>
            </w:pPr>
          </w:p>
        </w:tc>
        <w:tc>
          <w:tcPr>
            <w:tcW w:w="6460" w:type="dxa"/>
            <w:vAlign w:val="bottom"/>
            <w:tcBorders>
              <w:top w:val="single" w:sz="8" w:color="0000EE"/>
            </w:tcBorders>
            <w:gridSpan w:val="22"/>
          </w:tcPr>
          <w:p>
            <w:pPr>
              <w:spacing w:after="0" w:line="180" w:lineRule="exact"/>
              <w:rPr>
                <w:sz w:val="20"/>
                <w:szCs w:val="20"/>
                <w:color w:val="auto"/>
              </w:rPr>
            </w:pPr>
            <w:r>
              <w:rPr>
                <w:rFonts w:ascii="Arial" w:cs="Arial" w:eastAsia="Arial" w:hAnsi="Arial"/>
                <w:sz w:val="17"/>
                <w:szCs w:val="17"/>
                <w:color w:val="0000EE"/>
              </w:rPr>
              <w:t>CONDITION AND RESULTS OF OPERATIONS</w:t>
            </w:r>
          </w:p>
        </w:tc>
        <w:tc>
          <w:tcPr>
            <w:tcW w:w="500" w:type="dxa"/>
            <w:vAlign w:val="bottom"/>
            <w:gridSpan w:val="7"/>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760" w:type="dxa"/>
            <w:vAlign w:val="bottom"/>
            <w:gridSpan w:val="21"/>
            <w:shd w:val="clear" w:color="auto" w:fill="CCFFCC"/>
          </w:tcPr>
          <w:p>
            <w:pPr>
              <w:spacing w:after="0" w:line="172" w:lineRule="exact"/>
              <w:rPr>
                <w:sz w:val="20"/>
                <w:szCs w:val="20"/>
                <w:color w:val="auto"/>
              </w:rPr>
            </w:pPr>
            <w:r>
              <w:rPr>
                <w:rFonts w:ascii="Arial" w:cs="Arial" w:eastAsia="Arial" w:hAnsi="Arial"/>
                <w:sz w:val="17"/>
                <w:szCs w:val="17"/>
                <w:color w:val="0000EE"/>
                <w:w w:val="95"/>
              </w:rPr>
              <w:t>MANAGEMENT OF THE COMBINED COMPANY FOLLOWING THE MERGER</w:t>
            </w:r>
          </w:p>
        </w:tc>
        <w:tc>
          <w:tcPr>
            <w:tcW w:w="1360" w:type="dxa"/>
            <w:vAlign w:val="bottom"/>
            <w:gridSpan w:val="9"/>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166</w:t>
            </w:r>
          </w:p>
        </w:tc>
        <w:tc>
          <w:tcPr>
            <w:tcW w:w="0" w:type="dxa"/>
            <w:vAlign w:val="bottom"/>
          </w:tcPr>
          <w:p>
            <w:pPr>
              <w:spacing w:after="0"/>
              <w:rPr>
                <w:sz w:val="1"/>
                <w:szCs w:val="1"/>
                <w:color w:val="auto"/>
              </w:rPr>
            </w:pPr>
          </w:p>
        </w:tc>
      </w:tr>
      <w:tr>
        <w:trPr>
          <w:trHeight w:val="38"/>
        </w:trPr>
        <w:tc>
          <w:tcPr>
            <w:tcW w:w="1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600" w:type="dxa"/>
            <w:vAlign w:val="bottom"/>
            <w:gridSpan w:val="20"/>
          </w:tcPr>
          <w:p>
            <w:pPr>
              <w:spacing w:after="0" w:line="163" w:lineRule="exact"/>
              <w:rPr>
                <w:sz w:val="20"/>
                <w:szCs w:val="20"/>
                <w:color w:val="auto"/>
              </w:rPr>
            </w:pPr>
            <w:r>
              <w:rPr>
                <w:rFonts w:ascii="Arial" w:cs="Arial" w:eastAsia="Arial" w:hAnsi="Arial"/>
                <w:sz w:val="17"/>
                <w:szCs w:val="17"/>
                <w:color w:val="0000EE"/>
              </w:rPr>
              <w:t>Executive Officers and Directors</w:t>
            </w:r>
          </w:p>
        </w:tc>
        <w:tc>
          <w:tcPr>
            <w:tcW w:w="1360" w:type="dxa"/>
            <w:vAlign w:val="bottom"/>
            <w:gridSpan w:val="9"/>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166</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3600" w:type="dxa"/>
            <w:vAlign w:val="bottom"/>
            <w:gridSpan w:val="16"/>
            <w:shd w:val="clear" w:color="auto" w:fill="CCFFCC"/>
          </w:tcPr>
          <w:p>
            <w:pPr>
              <w:spacing w:after="0" w:line="172" w:lineRule="exact"/>
              <w:rPr>
                <w:sz w:val="20"/>
                <w:szCs w:val="20"/>
                <w:color w:val="auto"/>
              </w:rPr>
            </w:pPr>
            <w:r>
              <w:rPr>
                <w:rFonts w:ascii="Arial" w:cs="Arial" w:eastAsia="Arial" w:hAnsi="Arial"/>
                <w:sz w:val="17"/>
                <w:szCs w:val="17"/>
                <w:color w:val="0000EE"/>
                <w:w w:val="89"/>
              </w:rPr>
              <w:t>Composition of the Board and Director Independence</w:t>
            </w:r>
          </w:p>
        </w:tc>
        <w:tc>
          <w:tcPr>
            <w:tcW w:w="3360" w:type="dxa"/>
            <w:vAlign w:val="bottom"/>
            <w:gridSpan w:val="13"/>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170</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2540" w:type="dxa"/>
            <w:vAlign w:val="bottom"/>
            <w:gridSpan w:val="12"/>
          </w:tcPr>
          <w:p>
            <w:pPr>
              <w:spacing w:after="0" w:line="163" w:lineRule="exact"/>
              <w:rPr>
                <w:sz w:val="20"/>
                <w:szCs w:val="20"/>
                <w:color w:val="auto"/>
              </w:rPr>
            </w:pPr>
            <w:r>
              <w:rPr>
                <w:rFonts w:ascii="Arial" w:cs="Arial" w:eastAsia="Arial" w:hAnsi="Arial"/>
                <w:sz w:val="17"/>
                <w:szCs w:val="17"/>
                <w:color w:val="0000EE"/>
                <w:w w:val="89"/>
              </w:rPr>
              <w:t>Committees of the Board of Directors</w:t>
            </w:r>
          </w:p>
        </w:tc>
        <w:tc>
          <w:tcPr>
            <w:tcW w:w="1060" w:type="dxa"/>
            <w:vAlign w:val="bottom"/>
            <w:gridSpan w:val="4"/>
          </w:tcPr>
          <w:p>
            <w:pPr>
              <w:spacing w:after="0"/>
              <w:rPr>
                <w:sz w:val="14"/>
                <w:szCs w:val="14"/>
                <w:color w:val="auto"/>
              </w:rPr>
            </w:pPr>
          </w:p>
        </w:tc>
        <w:tc>
          <w:tcPr>
            <w:tcW w:w="3360" w:type="dxa"/>
            <w:vAlign w:val="bottom"/>
            <w:gridSpan w:val="13"/>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170</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5320" w:type="dxa"/>
            <w:vAlign w:val="bottom"/>
            <w:gridSpan w:val="19"/>
            <w:shd w:val="clear" w:color="auto" w:fill="CCFFCC"/>
          </w:tcPr>
          <w:p>
            <w:pPr>
              <w:spacing w:after="0" w:line="172" w:lineRule="exact"/>
              <w:rPr>
                <w:sz w:val="20"/>
                <w:szCs w:val="20"/>
                <w:color w:val="auto"/>
              </w:rPr>
            </w:pPr>
            <w:r>
              <w:rPr>
                <w:rFonts w:ascii="Arial" w:cs="Arial" w:eastAsia="Arial" w:hAnsi="Arial"/>
                <w:sz w:val="17"/>
                <w:szCs w:val="17"/>
                <w:color w:val="0000EE"/>
                <w:w w:val="88"/>
              </w:rPr>
              <w:t>Board Leadership Structure, Executive Sessions of Non-Management Directors</w:t>
            </w:r>
          </w:p>
        </w:tc>
        <w:tc>
          <w:tcPr>
            <w:tcW w:w="1640" w:type="dxa"/>
            <w:vAlign w:val="bottom"/>
            <w:gridSpan w:val="10"/>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171</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tcBorders>
              <w:lef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020" w:type="dxa"/>
            <w:vAlign w:val="bottom"/>
            <w:gridSpan w:val="3"/>
          </w:tcPr>
          <w:p>
            <w:pPr>
              <w:spacing w:after="0" w:line="163" w:lineRule="exact"/>
              <w:rPr>
                <w:sz w:val="20"/>
                <w:szCs w:val="20"/>
                <w:color w:val="auto"/>
              </w:rPr>
            </w:pPr>
            <w:r>
              <w:rPr>
                <w:rFonts w:ascii="Arial" w:cs="Arial" w:eastAsia="Arial" w:hAnsi="Arial"/>
                <w:sz w:val="17"/>
                <w:szCs w:val="17"/>
                <w:color w:val="0000EE"/>
                <w:w w:val="88"/>
              </w:rPr>
              <w:t>Risk Oversight</w:t>
            </w:r>
          </w:p>
        </w:tc>
        <w:tc>
          <w:tcPr>
            <w:tcW w:w="4300" w:type="dxa"/>
            <w:vAlign w:val="bottom"/>
            <w:gridSpan w:val="16"/>
          </w:tcPr>
          <w:p>
            <w:pPr>
              <w:spacing w:after="0"/>
              <w:rPr>
                <w:sz w:val="14"/>
                <w:szCs w:val="14"/>
                <w:color w:val="auto"/>
              </w:rPr>
            </w:pPr>
          </w:p>
        </w:tc>
        <w:tc>
          <w:tcPr>
            <w:tcW w:w="1640" w:type="dxa"/>
            <w:vAlign w:val="bottom"/>
            <w:gridSpan w:val="10"/>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171</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020" w:type="dxa"/>
            <w:vAlign w:val="bottom"/>
            <w:tcBorders>
              <w:right w:val="single" w:sz="8" w:color="CCFFCC"/>
            </w:tcBorders>
            <w:gridSpan w:val="3"/>
            <w:shd w:val="clear" w:color="auto" w:fill="CCFFCC"/>
          </w:tcPr>
          <w:p>
            <w:pPr>
              <w:spacing w:after="0" w:line="172" w:lineRule="exact"/>
              <w:rPr>
                <w:sz w:val="20"/>
                <w:szCs w:val="20"/>
                <w:color w:val="auto"/>
              </w:rPr>
            </w:pPr>
            <w:r>
              <w:rPr>
                <w:rFonts w:ascii="Arial" w:cs="Arial" w:eastAsia="Arial" w:hAnsi="Arial"/>
                <w:sz w:val="17"/>
                <w:szCs w:val="17"/>
                <w:color w:val="0000EE"/>
                <w:w w:val="88"/>
              </w:rPr>
              <w:t>Code of Ethics</w:t>
            </w:r>
          </w:p>
        </w:tc>
        <w:tc>
          <w:tcPr>
            <w:tcW w:w="5940" w:type="dxa"/>
            <w:vAlign w:val="bottom"/>
            <w:gridSpan w:val="26"/>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171</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CCFFCC"/>
            </w:tcBorders>
            <w:shd w:val="clear" w:color="auto" w:fill="0000EE"/>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120" w:type="dxa"/>
            <w:vAlign w:val="bottom"/>
            <w:tcBorders>
              <w:right w:val="single" w:sz="8" w:color="CCFFCC"/>
            </w:tcBorders>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80" w:type="dxa"/>
            <w:vAlign w:val="bottom"/>
            <w:tcBorders>
              <w:right w:val="single" w:sz="8" w:color="CCFFCC"/>
            </w:tcBorders>
            <w:shd w:val="clear" w:color="auto" w:fill="CCFFCC"/>
          </w:tcPr>
          <w:p>
            <w:pPr>
              <w:spacing w:after="0"/>
              <w:rPr>
                <w:sz w:val="3"/>
                <w:szCs w:val="3"/>
                <w:color w:val="auto"/>
              </w:rPr>
            </w:pPr>
          </w:p>
        </w:tc>
        <w:tc>
          <w:tcPr>
            <w:tcW w:w="180" w:type="dxa"/>
            <w:vAlign w:val="bottom"/>
            <w:tcBorders>
              <w:lef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960" w:type="dxa"/>
            <w:vAlign w:val="bottom"/>
            <w:gridSpan w:val="29"/>
          </w:tcPr>
          <w:p>
            <w:pPr>
              <w:spacing w:after="0" w:line="163" w:lineRule="exact"/>
              <w:rPr>
                <w:sz w:val="20"/>
                <w:szCs w:val="20"/>
                <w:color w:val="auto"/>
              </w:rPr>
            </w:pPr>
            <w:r>
              <w:rPr>
                <w:rFonts w:ascii="Arial" w:cs="Arial" w:eastAsia="Arial" w:hAnsi="Arial"/>
                <w:sz w:val="17"/>
                <w:szCs w:val="17"/>
                <w:color w:val="0000EE"/>
              </w:rPr>
              <w:t>Section 16(a) Beneficial Ownership Reporting Compliance</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171</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900" w:type="dxa"/>
            <w:vAlign w:val="bottom"/>
            <w:gridSpan w:val="9"/>
            <w:shd w:val="clear" w:color="auto" w:fill="CCFFCC"/>
          </w:tcPr>
          <w:p>
            <w:pPr>
              <w:spacing w:after="0" w:line="172" w:lineRule="exact"/>
              <w:rPr>
                <w:sz w:val="20"/>
                <w:szCs w:val="20"/>
                <w:color w:val="auto"/>
              </w:rPr>
            </w:pPr>
            <w:r>
              <w:rPr>
                <w:rFonts w:ascii="Arial" w:cs="Arial" w:eastAsia="Arial" w:hAnsi="Arial"/>
                <w:sz w:val="17"/>
                <w:szCs w:val="17"/>
                <w:color w:val="0000EE"/>
                <w:w w:val="85"/>
              </w:rPr>
              <w:t>Related Person Transactions</w:t>
            </w:r>
          </w:p>
        </w:tc>
        <w:tc>
          <w:tcPr>
            <w:tcW w:w="2060" w:type="dxa"/>
            <w:vAlign w:val="bottom"/>
            <w:tcBorders>
              <w:right w:val="single" w:sz="8" w:color="CCFFCC"/>
            </w:tcBorders>
            <w:gridSpan w:val="8"/>
            <w:shd w:val="clear" w:color="auto" w:fill="CCFFCC"/>
          </w:tcPr>
          <w:p>
            <w:pPr>
              <w:spacing w:after="0"/>
              <w:rPr>
                <w:sz w:val="14"/>
                <w:szCs w:val="14"/>
                <w:color w:val="auto"/>
              </w:rPr>
            </w:pPr>
          </w:p>
        </w:tc>
        <w:tc>
          <w:tcPr>
            <w:tcW w:w="3000" w:type="dxa"/>
            <w:vAlign w:val="bottom"/>
            <w:gridSpan w:val="1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172</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1900" w:type="dxa"/>
            <w:vAlign w:val="bottom"/>
            <w:gridSpan w:val="9"/>
          </w:tcPr>
          <w:p>
            <w:pPr>
              <w:spacing w:after="0" w:line="163" w:lineRule="exact"/>
              <w:rPr>
                <w:sz w:val="20"/>
                <w:szCs w:val="20"/>
                <w:color w:val="auto"/>
              </w:rPr>
            </w:pPr>
            <w:r>
              <w:rPr>
                <w:rFonts w:ascii="Arial" w:cs="Arial" w:eastAsia="Arial" w:hAnsi="Arial"/>
                <w:sz w:val="17"/>
                <w:szCs w:val="17"/>
                <w:color w:val="0000EE"/>
              </w:rPr>
              <w:t>Director Compensation</w:t>
            </w:r>
          </w:p>
        </w:tc>
        <w:tc>
          <w:tcPr>
            <w:tcW w:w="5060" w:type="dxa"/>
            <w:vAlign w:val="bottom"/>
            <w:gridSpan w:val="20"/>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172</w:t>
            </w:r>
          </w:p>
        </w:tc>
        <w:tc>
          <w:tcPr>
            <w:tcW w:w="0" w:type="dxa"/>
            <w:vAlign w:val="bottom"/>
          </w:tcPr>
          <w:p>
            <w:pPr>
              <w:spacing w:after="0"/>
              <w:rPr>
                <w:sz w:val="1"/>
                <w:szCs w:val="1"/>
                <w:color w:val="auto"/>
              </w:rPr>
            </w:pPr>
          </w:p>
        </w:tc>
      </w:tr>
      <w:tr>
        <w:trPr>
          <w:trHeight w:val="29"/>
        </w:trPr>
        <w:tc>
          <w:tcPr>
            <w:tcW w:w="16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shd w:val="clear" w:color="auto" w:fill="CCFFCC"/>
          </w:tcPr>
          <w:p>
            <w:pPr>
              <w:spacing w:after="0"/>
              <w:rPr>
                <w:sz w:val="14"/>
                <w:szCs w:val="14"/>
                <w:color w:val="auto"/>
              </w:rPr>
            </w:pPr>
          </w:p>
        </w:tc>
        <w:tc>
          <w:tcPr>
            <w:tcW w:w="1680" w:type="dxa"/>
            <w:vAlign w:val="bottom"/>
            <w:gridSpan w:val="8"/>
            <w:shd w:val="clear" w:color="auto" w:fill="CCFFCC"/>
          </w:tcPr>
          <w:p>
            <w:pPr>
              <w:spacing w:after="0" w:line="172" w:lineRule="exact"/>
              <w:rPr>
                <w:sz w:val="20"/>
                <w:szCs w:val="20"/>
                <w:color w:val="auto"/>
              </w:rPr>
            </w:pPr>
            <w:r>
              <w:rPr>
                <w:rFonts w:ascii="Arial" w:cs="Arial" w:eastAsia="Arial" w:hAnsi="Arial"/>
                <w:sz w:val="17"/>
                <w:szCs w:val="17"/>
                <w:color w:val="0000EE"/>
                <w:w w:val="88"/>
              </w:rPr>
              <w:t>Executive Compensation</w:t>
            </w:r>
          </w:p>
        </w:tc>
        <w:tc>
          <w:tcPr>
            <w:tcW w:w="5280" w:type="dxa"/>
            <w:vAlign w:val="bottom"/>
            <w:gridSpan w:val="21"/>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174</w:t>
            </w:r>
          </w:p>
        </w:tc>
        <w:tc>
          <w:tcPr>
            <w:tcW w:w="0" w:type="dxa"/>
            <w:vAlign w:val="bottom"/>
          </w:tcPr>
          <w:p>
            <w:pPr>
              <w:spacing w:after="0"/>
              <w:rPr>
                <w:sz w:val="1"/>
                <w:szCs w:val="1"/>
                <w:color w:val="auto"/>
              </w:rPr>
            </w:pPr>
          </w:p>
        </w:tc>
      </w:tr>
      <w:tr>
        <w:trPr>
          <w:trHeight w:val="38"/>
        </w:trPr>
        <w:tc>
          <w:tcPr>
            <w:tcW w:w="160" w:type="dxa"/>
            <w:vAlign w:val="bottom"/>
            <w:shd w:val="clear" w:color="auto" w:fill="CCFFCC"/>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30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00" w:type="dxa"/>
            <w:vAlign w:val="bottom"/>
            <w:shd w:val="clear" w:color="auto" w:fill="CCFFCC"/>
          </w:tcPr>
          <w:p>
            <w:pPr>
              <w:spacing w:after="0"/>
              <w:rPr>
                <w:sz w:val="3"/>
                <w:szCs w:val="3"/>
                <w:color w:val="auto"/>
              </w:rPr>
            </w:pPr>
          </w:p>
        </w:tc>
        <w:tc>
          <w:tcPr>
            <w:tcW w:w="320" w:type="dxa"/>
            <w:vAlign w:val="bottom"/>
            <w:tcBorders>
              <w:left w:val="single" w:sz="8" w:color="CCFFCC"/>
            </w:tcBorders>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360" w:type="dxa"/>
            <w:vAlign w:val="bottom"/>
            <w:shd w:val="clear" w:color="auto" w:fill="CCFFCC"/>
          </w:tcPr>
          <w:p>
            <w:pPr>
              <w:spacing w:after="0"/>
              <w:rPr>
                <w:sz w:val="3"/>
                <w:szCs w:val="3"/>
                <w:color w:val="auto"/>
              </w:rPr>
            </w:pPr>
          </w:p>
        </w:tc>
        <w:tc>
          <w:tcPr>
            <w:tcW w:w="240" w:type="dxa"/>
            <w:vAlign w:val="bottom"/>
            <w:tcBorders>
              <w:left w:val="single" w:sz="8" w:color="CCFFCC"/>
            </w:tcBorders>
            <w:shd w:val="clear" w:color="auto" w:fill="CCFFCC"/>
          </w:tcPr>
          <w:p>
            <w:pPr>
              <w:spacing w:after="0"/>
              <w:rPr>
                <w:sz w:val="3"/>
                <w:szCs w:val="3"/>
                <w:color w:val="auto"/>
              </w:rPr>
            </w:pPr>
          </w:p>
        </w:tc>
        <w:tc>
          <w:tcPr>
            <w:tcW w:w="360" w:type="dxa"/>
            <w:vAlign w:val="bottom"/>
            <w:tcBorders>
              <w:right w:val="single" w:sz="8" w:color="CCFFCC"/>
            </w:tcBorders>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3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640" w:type="dxa"/>
            <w:vAlign w:val="bottom"/>
            <w:tcBorders>
              <w:right w:val="single" w:sz="8" w:color="CCFFCC"/>
            </w:tcBorders>
            <w:shd w:val="clear" w:color="auto" w:fill="CCFFCC"/>
          </w:tcPr>
          <w:p>
            <w:pPr>
              <w:spacing w:after="0"/>
              <w:rPr>
                <w:sz w:val="3"/>
                <w:szCs w:val="3"/>
                <w:color w:val="auto"/>
              </w:rPr>
            </w:pPr>
          </w:p>
        </w:tc>
        <w:tc>
          <w:tcPr>
            <w:tcW w:w="22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8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gridSpan w:val="28"/>
          </w:tcPr>
          <w:p>
            <w:pPr>
              <w:spacing w:after="0" w:line="163" w:lineRule="exact"/>
              <w:rPr>
                <w:sz w:val="20"/>
                <w:szCs w:val="20"/>
                <w:color w:val="auto"/>
              </w:rPr>
            </w:pPr>
            <w:r>
              <w:rPr>
                <w:rFonts w:ascii="Arial" w:cs="Arial" w:eastAsia="Arial" w:hAnsi="Arial"/>
                <w:sz w:val="17"/>
                <w:szCs w:val="17"/>
                <w:color w:val="0000EE"/>
                <w:w w:val="94"/>
              </w:rPr>
              <w:t>VRINGO SECURITY OWNERSHIP OF CERTAIN BENEFICIAL OWNERS AND MANAGEMENT</w:t>
            </w:r>
          </w:p>
        </w:tc>
        <w:tc>
          <w:tcPr>
            <w:tcW w:w="1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0000EE"/>
                <w:w w:val="77"/>
              </w:rPr>
              <w:t>178</w:t>
            </w:r>
          </w:p>
        </w:tc>
        <w:tc>
          <w:tcPr>
            <w:tcW w:w="0" w:type="dxa"/>
            <w:vAlign w:val="bottom"/>
          </w:tcPr>
          <w:p>
            <w:pPr>
              <w:spacing w:after="0"/>
              <w:rPr>
                <w:sz w:val="1"/>
                <w:szCs w:val="1"/>
                <w:color w:val="auto"/>
              </w:rPr>
            </w:pPr>
          </w:p>
        </w:tc>
      </w:tr>
      <w:tr>
        <w:trPr>
          <w:trHeight w:val="29"/>
        </w:trPr>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360" w:type="dxa"/>
            <w:vAlign w:val="bottom"/>
            <w:tcBorders>
              <w:right w:val="single" w:sz="8" w:color="0000EE"/>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4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0000EE"/>
            </w:tcBorders>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940" w:type="dxa"/>
            <w:vAlign w:val="bottom"/>
            <w:tcBorders>
              <w:right w:val="single" w:sz="8" w:color="CCFFCC"/>
            </w:tcBorders>
            <w:gridSpan w:val="28"/>
            <w:shd w:val="clear" w:color="auto" w:fill="CCFFCC"/>
          </w:tcPr>
          <w:p>
            <w:pPr>
              <w:spacing w:after="0" w:line="172" w:lineRule="exact"/>
              <w:rPr>
                <w:sz w:val="20"/>
                <w:szCs w:val="20"/>
                <w:color w:val="auto"/>
              </w:rPr>
            </w:pPr>
            <w:r>
              <w:rPr>
                <w:rFonts w:ascii="Arial" w:cs="Arial" w:eastAsia="Arial" w:hAnsi="Arial"/>
                <w:sz w:val="17"/>
                <w:szCs w:val="17"/>
                <w:color w:val="0000EE"/>
                <w:w w:val="97"/>
              </w:rPr>
              <w:t>INNOVATE/PROTECT SECURITY OWNERSHIP OF CERTAIN BENEFICIAL OWNERS AND</w:t>
            </w:r>
          </w:p>
        </w:tc>
        <w:tc>
          <w:tcPr>
            <w:tcW w:w="180" w:type="dxa"/>
            <w:vAlign w:val="bottom"/>
            <w:gridSpan w:val="2"/>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320" w:type="dxa"/>
            <w:vAlign w:val="bottom"/>
            <w:gridSpan w:val="2"/>
            <w:shd w:val="clear" w:color="auto" w:fill="CCFFCC"/>
          </w:tcPr>
          <w:p>
            <w:pPr>
              <w:jc w:val="right"/>
              <w:ind w:right="80"/>
              <w:spacing w:after="0" w:line="172" w:lineRule="exact"/>
              <w:rPr>
                <w:sz w:val="20"/>
                <w:szCs w:val="20"/>
                <w:color w:val="auto"/>
              </w:rPr>
            </w:pPr>
            <w:r>
              <w:rPr>
                <w:rFonts w:ascii="Arial" w:cs="Arial" w:eastAsia="Arial" w:hAnsi="Arial"/>
                <w:sz w:val="17"/>
                <w:szCs w:val="17"/>
                <w:color w:val="0000EE"/>
                <w:w w:val="77"/>
              </w:rPr>
              <w:t>180</w:t>
            </w:r>
          </w:p>
        </w:tc>
        <w:tc>
          <w:tcPr>
            <w:tcW w:w="0" w:type="dxa"/>
            <w:vAlign w:val="bottom"/>
          </w:tcPr>
          <w:p>
            <w:pPr>
              <w:spacing w:after="0"/>
              <w:rPr>
                <w:sz w:val="1"/>
                <w:szCs w:val="1"/>
                <w:color w:val="auto"/>
              </w:rPr>
            </w:pPr>
          </w:p>
        </w:tc>
      </w:tr>
      <w:tr>
        <w:trPr>
          <w:trHeight w:val="198"/>
        </w:trPr>
        <w:tc>
          <w:tcPr>
            <w:tcW w:w="160" w:type="dxa"/>
            <w:vAlign w:val="bottom"/>
            <w:tcBorders>
              <w:top w:val="single" w:sz="8" w:color="0000EE"/>
              <w:bottom w:val="single" w:sz="8" w:color="CCFFCC"/>
            </w:tcBorders>
            <w:shd w:val="clear" w:color="auto" w:fill="CCFFCC"/>
          </w:tcPr>
          <w:p>
            <w:pPr>
              <w:spacing w:after="0"/>
              <w:rPr>
                <w:sz w:val="17"/>
                <w:szCs w:val="17"/>
                <w:color w:val="auto"/>
              </w:rPr>
            </w:pPr>
          </w:p>
        </w:tc>
        <w:tc>
          <w:tcPr>
            <w:tcW w:w="1260" w:type="dxa"/>
            <w:vAlign w:val="bottom"/>
            <w:tcBorders>
              <w:top w:val="single" w:sz="8" w:color="0000EE"/>
              <w:bottom w:val="single" w:sz="8" w:color="0000EE"/>
              <w:right w:val="single" w:sz="8" w:color="CCFFCC"/>
            </w:tcBorders>
            <w:gridSpan w:val="5"/>
            <w:shd w:val="clear" w:color="auto" w:fill="CCFFCC"/>
          </w:tcPr>
          <w:p>
            <w:pPr>
              <w:spacing w:after="0" w:line="180" w:lineRule="exact"/>
              <w:rPr>
                <w:sz w:val="20"/>
                <w:szCs w:val="20"/>
                <w:color w:val="auto"/>
              </w:rPr>
            </w:pPr>
            <w:r>
              <w:rPr>
                <w:rFonts w:ascii="Arial" w:cs="Arial" w:eastAsia="Arial" w:hAnsi="Arial"/>
                <w:sz w:val="17"/>
                <w:szCs w:val="17"/>
                <w:color w:val="0000EE"/>
              </w:rPr>
              <w:t>MANAGEMENT</w:t>
            </w:r>
          </w:p>
        </w:tc>
        <w:tc>
          <w:tcPr>
            <w:tcW w:w="5220" w:type="dxa"/>
            <w:vAlign w:val="bottom"/>
            <w:tcBorders>
              <w:top w:val="single" w:sz="8" w:color="0000EE"/>
              <w:bottom w:val="single" w:sz="8" w:color="CCFFCC"/>
            </w:tcBorders>
            <w:gridSpan w:val="18"/>
            <w:shd w:val="clear" w:color="auto" w:fill="CCFFCC"/>
          </w:tcPr>
          <w:p>
            <w:pPr>
              <w:spacing w:after="0"/>
              <w:rPr>
                <w:sz w:val="17"/>
                <w:szCs w:val="17"/>
                <w:color w:val="auto"/>
              </w:rPr>
            </w:pPr>
          </w:p>
        </w:tc>
        <w:tc>
          <w:tcPr>
            <w:tcW w:w="480" w:type="dxa"/>
            <w:vAlign w:val="bottom"/>
            <w:tcBorders>
              <w:top w:val="single" w:sz="8" w:color="CCFFCC"/>
              <w:bottom w:val="single" w:sz="8" w:color="CCFFCC"/>
            </w:tcBorders>
            <w:gridSpan w:val="6"/>
            <w:shd w:val="clear" w:color="auto" w:fill="CCFFCC"/>
          </w:tcPr>
          <w:p>
            <w:pPr>
              <w:spacing w:after="0"/>
              <w:rPr>
                <w:sz w:val="17"/>
                <w:szCs w:val="17"/>
                <w:color w:val="auto"/>
              </w:rPr>
            </w:pPr>
          </w:p>
        </w:tc>
        <w:tc>
          <w:tcPr>
            <w:tcW w:w="180" w:type="dxa"/>
            <w:vAlign w:val="bottom"/>
            <w:tcBorders>
              <w:top w:val="single" w:sz="8" w:color="CCFFCC"/>
              <w:bottom w:val="single" w:sz="8" w:color="CCFFCC"/>
              <w:right w:val="single" w:sz="8" w:color="CCFFCC"/>
            </w:tcBorders>
            <w:shd w:val="clear" w:color="auto" w:fill="CCFFCC"/>
          </w:tcPr>
          <w:p>
            <w:pPr>
              <w:spacing w:after="0"/>
              <w:rPr>
                <w:sz w:val="17"/>
                <w:szCs w:val="17"/>
                <w:color w:val="auto"/>
              </w:rPr>
            </w:pPr>
          </w:p>
        </w:tc>
        <w:tc>
          <w:tcPr>
            <w:tcW w:w="240" w:type="dxa"/>
            <w:vAlign w:val="bottom"/>
            <w:tcBorders>
              <w:top w:val="single" w:sz="8" w:color="0000EE"/>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120" w:type="dxa"/>
            <w:vAlign w:val="bottom"/>
            <w:gridSpan w:val="30"/>
          </w:tcPr>
          <w:p>
            <w:pPr>
              <w:spacing w:after="0" w:line="163" w:lineRule="exact"/>
              <w:rPr>
                <w:sz w:val="20"/>
                <w:szCs w:val="20"/>
                <w:color w:val="auto"/>
              </w:rPr>
            </w:pPr>
            <w:r>
              <w:rPr>
                <w:rFonts w:ascii="Arial" w:cs="Arial" w:eastAsia="Arial" w:hAnsi="Arial"/>
                <w:sz w:val="17"/>
                <w:szCs w:val="17"/>
                <w:color w:val="0000EE"/>
                <w:w w:val="98"/>
              </w:rPr>
              <w:t>SECURITY OWNERSHIP OF CERTAIN BENEFICIAL OWNERS AND MANAGEMENT OF THE</w:t>
            </w:r>
          </w:p>
        </w:tc>
        <w:tc>
          <w:tcPr>
            <w:tcW w:w="500" w:type="dxa"/>
            <w:vAlign w:val="bottom"/>
            <w:gridSpan w:val="3"/>
          </w:tcPr>
          <w:p>
            <w:pPr>
              <w:jc w:val="right"/>
              <w:ind w:right="80"/>
              <w:spacing w:after="0" w:line="163" w:lineRule="exact"/>
              <w:rPr>
                <w:sz w:val="20"/>
                <w:szCs w:val="20"/>
                <w:color w:val="auto"/>
              </w:rPr>
            </w:pPr>
            <w:r>
              <w:rPr>
                <w:rFonts w:ascii="Arial" w:cs="Arial" w:eastAsia="Arial" w:hAnsi="Arial"/>
                <w:sz w:val="17"/>
                <w:szCs w:val="17"/>
                <w:color w:val="0000EE"/>
              </w:rPr>
              <w:t>182</w:t>
            </w:r>
          </w:p>
        </w:tc>
        <w:tc>
          <w:tcPr>
            <w:tcW w:w="0" w:type="dxa"/>
            <w:vAlign w:val="bottom"/>
          </w:tcPr>
          <w:p>
            <w:pPr>
              <w:spacing w:after="0"/>
              <w:rPr>
                <w:sz w:val="1"/>
                <w:szCs w:val="1"/>
                <w:color w:val="auto"/>
              </w:rPr>
            </w:pPr>
          </w:p>
        </w:tc>
      </w:tr>
      <w:tr>
        <w:trPr>
          <w:trHeight w:val="180"/>
        </w:trPr>
        <w:tc>
          <w:tcPr>
            <w:tcW w:w="160" w:type="dxa"/>
            <w:vAlign w:val="bottom"/>
            <w:tcBorders>
              <w:top w:val="single" w:sz="8" w:color="0000EE"/>
            </w:tcBorders>
          </w:tcPr>
          <w:p>
            <w:pPr>
              <w:spacing w:after="0"/>
              <w:rPr>
                <w:sz w:val="15"/>
                <w:szCs w:val="15"/>
                <w:color w:val="auto"/>
              </w:rPr>
            </w:pPr>
          </w:p>
        </w:tc>
        <w:tc>
          <w:tcPr>
            <w:tcW w:w="3960" w:type="dxa"/>
            <w:vAlign w:val="bottom"/>
            <w:tcBorders>
              <w:top w:val="single" w:sz="8" w:color="0000EE"/>
              <w:bottom w:val="single" w:sz="8" w:color="0000EE"/>
            </w:tcBorders>
            <w:gridSpan w:val="17"/>
          </w:tcPr>
          <w:p>
            <w:pPr>
              <w:spacing w:after="0" w:line="180" w:lineRule="exact"/>
              <w:rPr>
                <w:sz w:val="20"/>
                <w:szCs w:val="20"/>
                <w:color w:val="auto"/>
              </w:rPr>
            </w:pPr>
            <w:r>
              <w:rPr>
                <w:rFonts w:ascii="Arial" w:cs="Arial" w:eastAsia="Arial" w:hAnsi="Arial"/>
                <w:sz w:val="17"/>
                <w:szCs w:val="17"/>
                <w:color w:val="0000EE"/>
                <w:w w:val="96"/>
              </w:rPr>
              <w:t>COMBINED COMPANY FOLLOWING THE MERGER</w:t>
            </w:r>
          </w:p>
        </w:tc>
        <w:tc>
          <w:tcPr>
            <w:tcW w:w="2740" w:type="dxa"/>
            <w:vAlign w:val="bottom"/>
            <w:tcBorders>
              <w:top w:val="single" w:sz="8" w:color="0000EE"/>
            </w:tcBorders>
            <w:gridSpan w:val="9"/>
          </w:tcPr>
          <w:p>
            <w:pPr>
              <w:spacing w:after="0"/>
              <w:rPr>
                <w:sz w:val="15"/>
                <w:szCs w:val="15"/>
                <w:color w:val="auto"/>
              </w:rPr>
            </w:pPr>
          </w:p>
        </w:tc>
        <w:tc>
          <w:tcPr>
            <w:tcW w:w="2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-5274945</wp:posOffset>
            </wp:positionV>
            <wp:extent cx="4837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6780" w:type="dxa"/>
            <w:vAlign w:val="bottom"/>
            <w:gridSpan w:val="15"/>
          </w:tcPr>
          <w:p>
            <w:pPr>
              <w:spacing w:after="0"/>
              <w:rPr>
                <w:sz w:val="20"/>
                <w:szCs w:val="20"/>
                <w:color w:val="auto"/>
              </w:rPr>
            </w:pPr>
            <w:r>
              <w:rPr>
                <w:rFonts w:ascii="Arial" w:cs="Arial" w:eastAsia="Arial" w:hAnsi="Arial"/>
                <w:sz w:val="13"/>
                <w:szCs w:val="13"/>
                <w:b w:val="1"/>
                <w:bCs w:val="1"/>
                <w:color w:val="0000EE"/>
              </w:rPr>
              <w:t>TABLE OF CONTENTS</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2"/>
        </w:trPr>
        <w:tc>
          <w:tcPr>
            <w:tcW w:w="1420" w:type="dxa"/>
            <w:vAlign w:val="bottom"/>
            <w:tcBorders>
              <w:top w:val="single" w:sz="8" w:color="0000EE"/>
              <w:bottom w:val="single" w:sz="8" w:color="0000EE"/>
            </w:tcBorders>
            <w:gridSpan w:val="5"/>
          </w:tcPr>
          <w:p>
            <w:pPr>
              <w:spacing w:after="0" w:line="143" w:lineRule="exact"/>
              <w:rPr>
                <w:sz w:val="20"/>
                <w:szCs w:val="20"/>
                <w:color w:val="auto"/>
              </w:rPr>
            </w:pPr>
            <w:r>
              <w:rPr>
                <w:rFonts w:ascii="Arial" w:cs="Arial" w:eastAsia="Arial" w:hAnsi="Arial"/>
                <w:sz w:val="16"/>
                <w:szCs w:val="16"/>
                <w:color w:val="0000EE"/>
              </w:rPr>
              <w:t>DESCRIPTION OF</w:t>
            </w:r>
          </w:p>
        </w:tc>
        <w:tc>
          <w:tcPr>
            <w:tcW w:w="1240" w:type="dxa"/>
            <w:vAlign w:val="bottom"/>
            <w:tcBorders>
              <w:bottom w:val="single" w:sz="8" w:color="0000EE"/>
            </w:tcBorders>
            <w:gridSpan w:val="2"/>
          </w:tcPr>
          <w:p>
            <w:pPr>
              <w:spacing w:after="0" w:line="143" w:lineRule="exact"/>
              <w:rPr>
                <w:sz w:val="20"/>
                <w:szCs w:val="20"/>
                <w:color w:val="auto"/>
              </w:rPr>
            </w:pPr>
            <w:r>
              <w:rPr>
                <w:rFonts w:ascii="Arial" w:cs="Arial" w:eastAsia="Arial" w:hAnsi="Arial"/>
                <w:sz w:val="16"/>
                <w:szCs w:val="16"/>
                <w:color w:val="0000EE"/>
                <w:w w:val="96"/>
              </w:rPr>
              <w:t>CAPITAL STOCK</w:t>
            </w:r>
          </w:p>
        </w:tc>
        <w:tc>
          <w:tcPr>
            <w:tcW w:w="4120" w:type="dxa"/>
            <w:vAlign w:val="bottom"/>
            <w:gridSpan w:val="8"/>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bottom w:val="single" w:sz="8" w:color="0000EE"/>
            </w:tcBorders>
          </w:tcPr>
          <w:p>
            <w:pPr>
              <w:jc w:val="right"/>
              <w:spacing w:after="0" w:line="143" w:lineRule="exact"/>
              <w:rPr>
                <w:sz w:val="20"/>
                <w:szCs w:val="20"/>
                <w:color w:val="auto"/>
              </w:rPr>
            </w:pPr>
            <w:r>
              <w:rPr>
                <w:rFonts w:ascii="Arial" w:cs="Arial" w:eastAsia="Arial" w:hAnsi="Arial"/>
                <w:sz w:val="16"/>
                <w:szCs w:val="16"/>
                <w:color w:val="0000EE"/>
                <w:w w:val="82"/>
              </w:rPr>
              <w:t>185</w:t>
            </w:r>
          </w:p>
        </w:tc>
        <w:tc>
          <w:tcPr>
            <w:tcW w:w="60" w:type="dxa"/>
            <w:vAlign w:val="bottom"/>
          </w:tcPr>
          <w:p>
            <w:pPr>
              <w:spacing w:after="0"/>
              <w:rPr>
                <w:sz w:val="13"/>
                <w:szCs w:val="13"/>
                <w:color w:val="auto"/>
              </w:rPr>
            </w:pPr>
          </w:p>
        </w:tc>
      </w:tr>
      <w:tr>
        <w:trPr>
          <w:trHeight w:val="172"/>
        </w:trPr>
        <w:tc>
          <w:tcPr>
            <w:tcW w:w="160" w:type="dxa"/>
            <w:vAlign w:val="bottom"/>
            <w:shd w:val="clear" w:color="auto" w:fill="CCFFCC"/>
          </w:tcPr>
          <w:p>
            <w:pPr>
              <w:spacing w:after="0"/>
              <w:rPr>
                <w:sz w:val="14"/>
                <w:szCs w:val="14"/>
                <w:color w:val="auto"/>
              </w:rPr>
            </w:pPr>
          </w:p>
        </w:tc>
        <w:tc>
          <w:tcPr>
            <w:tcW w:w="6620" w:type="dxa"/>
            <w:vAlign w:val="bottom"/>
            <w:gridSpan w:val="14"/>
            <w:shd w:val="clear" w:color="auto" w:fill="CCFFCC"/>
          </w:tcPr>
          <w:p>
            <w:pPr>
              <w:spacing w:after="0" w:line="172" w:lineRule="exact"/>
              <w:rPr>
                <w:sz w:val="20"/>
                <w:szCs w:val="20"/>
                <w:color w:val="auto"/>
              </w:rPr>
            </w:pPr>
            <w:r>
              <w:rPr>
                <w:rFonts w:ascii="Arial" w:cs="Arial" w:eastAsia="Arial" w:hAnsi="Arial"/>
                <w:sz w:val="17"/>
                <w:szCs w:val="17"/>
                <w:color w:val="0000EE"/>
              </w:rPr>
              <w:t>Common Stock</w:t>
            </w:r>
          </w:p>
        </w:tc>
        <w:tc>
          <w:tcPr>
            <w:tcW w:w="840" w:type="dxa"/>
            <w:vAlign w:val="bottom"/>
            <w:gridSpan w:val="3"/>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rPr>
              <w:t>185</w:t>
            </w:r>
          </w:p>
        </w:tc>
      </w:tr>
      <w:tr>
        <w:trPr>
          <w:trHeight w:val="38"/>
        </w:trPr>
        <w:tc>
          <w:tcPr>
            <w:tcW w:w="160" w:type="dxa"/>
            <w:vAlign w:val="bottom"/>
            <w:shd w:val="clear" w:color="auto" w:fill="CCFFCC"/>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18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6620" w:type="dxa"/>
            <w:vAlign w:val="bottom"/>
            <w:gridSpan w:val="14"/>
          </w:tcPr>
          <w:p>
            <w:pPr>
              <w:spacing w:after="0" w:line="163" w:lineRule="exact"/>
              <w:rPr>
                <w:sz w:val="20"/>
                <w:szCs w:val="20"/>
                <w:color w:val="auto"/>
              </w:rPr>
            </w:pPr>
            <w:r>
              <w:rPr>
                <w:rFonts w:ascii="Arial" w:cs="Arial" w:eastAsia="Arial" w:hAnsi="Arial"/>
                <w:sz w:val="17"/>
                <w:szCs w:val="17"/>
                <w:color w:val="0000EE"/>
              </w:rPr>
              <w:t>Preferred Stock</w:t>
            </w:r>
          </w:p>
        </w:tc>
        <w:tc>
          <w:tcPr>
            <w:tcW w:w="840" w:type="dxa"/>
            <w:vAlign w:val="bottom"/>
            <w:gridSpan w:val="3"/>
          </w:tcPr>
          <w:p>
            <w:pPr>
              <w:jc w:val="right"/>
              <w:ind w:right="60"/>
              <w:spacing w:after="0" w:line="163" w:lineRule="exact"/>
              <w:rPr>
                <w:sz w:val="20"/>
                <w:szCs w:val="20"/>
                <w:color w:val="auto"/>
              </w:rPr>
            </w:pPr>
            <w:r>
              <w:rPr>
                <w:rFonts w:ascii="Arial" w:cs="Arial" w:eastAsia="Arial" w:hAnsi="Arial"/>
                <w:sz w:val="17"/>
                <w:szCs w:val="17"/>
                <w:color w:val="0000EE"/>
              </w:rPr>
              <w:t>185</w:t>
            </w:r>
          </w:p>
        </w:tc>
      </w:tr>
      <w:tr>
        <w:trPr>
          <w:trHeight w:val="172"/>
        </w:trPr>
        <w:tc>
          <w:tcPr>
            <w:tcW w:w="160" w:type="dxa"/>
            <w:vAlign w:val="bottom"/>
            <w:shd w:val="clear" w:color="auto" w:fill="CCFFCC"/>
          </w:tcPr>
          <w:p>
            <w:pPr>
              <w:spacing w:after="0"/>
              <w:rPr>
                <w:sz w:val="14"/>
                <w:szCs w:val="14"/>
                <w:color w:val="auto"/>
              </w:rPr>
            </w:pPr>
          </w:p>
        </w:tc>
        <w:tc>
          <w:tcPr>
            <w:tcW w:w="1040" w:type="dxa"/>
            <w:vAlign w:val="bottom"/>
            <w:tcBorders>
              <w:top w:val="single" w:sz="8" w:color="0000EE"/>
            </w:tcBorders>
            <w:gridSpan w:val="2"/>
            <w:shd w:val="clear" w:color="auto" w:fill="CCFFCC"/>
          </w:tcPr>
          <w:p>
            <w:pPr>
              <w:spacing w:after="0" w:line="172" w:lineRule="exact"/>
              <w:rPr>
                <w:sz w:val="20"/>
                <w:szCs w:val="20"/>
                <w:color w:val="auto"/>
              </w:rPr>
            </w:pPr>
            <w:r>
              <w:rPr>
                <w:rFonts w:ascii="Arial" w:cs="Arial" w:eastAsia="Arial" w:hAnsi="Arial"/>
                <w:sz w:val="17"/>
                <w:szCs w:val="17"/>
                <w:color w:val="0000EE"/>
              </w:rPr>
              <w:t>Warrants</w:t>
            </w:r>
          </w:p>
        </w:tc>
        <w:tc>
          <w:tcPr>
            <w:tcW w:w="5580" w:type="dxa"/>
            <w:vAlign w:val="bottom"/>
            <w:gridSpan w:val="12"/>
            <w:shd w:val="clear" w:color="auto" w:fill="CCFFCC"/>
          </w:tcPr>
          <w:p>
            <w:pPr>
              <w:spacing w:after="0"/>
              <w:rPr>
                <w:sz w:val="14"/>
                <w:szCs w:val="14"/>
                <w:color w:val="auto"/>
              </w:rPr>
            </w:pPr>
          </w:p>
        </w:tc>
        <w:tc>
          <w:tcPr>
            <w:tcW w:w="540" w:type="dxa"/>
            <w:vAlign w:val="bottom"/>
            <w:tcBorders>
              <w:right w:val="single" w:sz="8" w:color="CCFFCC"/>
            </w:tcBorders>
            <w:shd w:val="clear" w:color="auto" w:fill="CCFFCC"/>
          </w:tcPr>
          <w:p>
            <w:pPr>
              <w:spacing w:after="0"/>
              <w:rPr>
                <w:sz w:val="14"/>
                <w:szCs w:val="14"/>
                <w:color w:val="auto"/>
              </w:rPr>
            </w:pPr>
          </w:p>
        </w:tc>
        <w:tc>
          <w:tcPr>
            <w:tcW w:w="240" w:type="dxa"/>
            <w:vAlign w:val="bottom"/>
            <w:tcBorders>
              <w:top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186</w:t>
            </w:r>
          </w:p>
        </w:tc>
        <w:tc>
          <w:tcPr>
            <w:tcW w:w="60" w:type="dxa"/>
            <w:vAlign w:val="bottom"/>
            <w:shd w:val="clear" w:color="auto" w:fill="CCFFCC"/>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14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118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860" w:type="dxa"/>
            <w:vAlign w:val="bottom"/>
            <w:shd w:val="clear" w:color="auto" w:fill="CCFFCC"/>
          </w:tcPr>
          <w:p>
            <w:pPr>
              <w:spacing w:after="0"/>
              <w:rPr>
                <w:sz w:val="3"/>
                <w:szCs w:val="3"/>
                <w:color w:val="auto"/>
              </w:rPr>
            </w:pPr>
          </w:p>
        </w:tc>
        <w:tc>
          <w:tcPr>
            <w:tcW w:w="340" w:type="dxa"/>
            <w:vAlign w:val="bottom"/>
            <w:shd w:val="clear" w:color="auto" w:fill="CCFFCC"/>
          </w:tcPr>
          <w:p>
            <w:pPr>
              <w:spacing w:after="0"/>
              <w:rPr>
                <w:sz w:val="3"/>
                <w:szCs w:val="3"/>
                <w:color w:val="auto"/>
              </w:rPr>
            </w:pPr>
          </w:p>
        </w:tc>
        <w:tc>
          <w:tcPr>
            <w:tcW w:w="18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0000EE"/>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3600" w:type="dxa"/>
            <w:vAlign w:val="bottom"/>
            <w:tcBorders>
              <w:bottom w:val="single" w:sz="8" w:color="0000EE"/>
            </w:tcBorders>
            <w:gridSpan w:val="8"/>
          </w:tcPr>
          <w:p>
            <w:pPr>
              <w:spacing w:after="0" w:line="163" w:lineRule="exact"/>
              <w:rPr>
                <w:sz w:val="20"/>
                <w:szCs w:val="20"/>
                <w:color w:val="auto"/>
              </w:rPr>
            </w:pPr>
            <w:r>
              <w:rPr>
                <w:rFonts w:ascii="Arial" w:cs="Arial" w:eastAsia="Arial" w:hAnsi="Arial"/>
                <w:sz w:val="17"/>
                <w:szCs w:val="17"/>
                <w:color w:val="0000EE"/>
                <w:w w:val="89"/>
              </w:rPr>
              <w:t>Delaware Statutory Business Combinations Provision</w:t>
            </w:r>
          </w:p>
        </w:tc>
        <w:tc>
          <w:tcPr>
            <w:tcW w:w="3020" w:type="dxa"/>
            <w:vAlign w:val="bottom"/>
            <w:gridSpan w:val="6"/>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187</w:t>
            </w:r>
          </w:p>
        </w:tc>
        <w:tc>
          <w:tcPr>
            <w:tcW w:w="60" w:type="dxa"/>
            <w:vAlign w:val="bottom"/>
          </w:tcPr>
          <w:p>
            <w:pPr>
              <w:spacing w:after="0"/>
              <w:rPr>
                <w:sz w:val="14"/>
                <w:szCs w:val="14"/>
                <w:color w:val="auto"/>
              </w:rPr>
            </w:pPr>
          </w:p>
        </w:tc>
      </w:tr>
      <w:tr>
        <w:trPr>
          <w:trHeight w:val="189"/>
        </w:trPr>
        <w:tc>
          <w:tcPr>
            <w:tcW w:w="4960" w:type="dxa"/>
            <w:vAlign w:val="bottom"/>
            <w:tcBorders>
              <w:bottom w:val="single" w:sz="8" w:color="0000EE"/>
            </w:tcBorders>
            <w:gridSpan w:val="12"/>
            <w:shd w:val="clear" w:color="auto" w:fill="CCFFCC"/>
          </w:tcPr>
          <w:p>
            <w:pPr>
              <w:spacing w:after="0" w:line="172" w:lineRule="exact"/>
              <w:rPr>
                <w:sz w:val="20"/>
                <w:szCs w:val="20"/>
                <w:color w:val="auto"/>
              </w:rPr>
            </w:pPr>
            <w:r>
              <w:rPr>
                <w:rFonts w:ascii="Arial" w:cs="Arial" w:eastAsia="Arial" w:hAnsi="Arial"/>
                <w:sz w:val="17"/>
                <w:szCs w:val="17"/>
                <w:color w:val="0000EE"/>
                <w:w w:val="95"/>
              </w:rPr>
              <w:t>UNAUDITED PRO FORMA COMBINED FINANCIAL STATEMENTS</w:t>
            </w:r>
          </w:p>
        </w:tc>
        <w:tc>
          <w:tcPr>
            <w:tcW w:w="1820" w:type="dxa"/>
            <w:vAlign w:val="bottom"/>
            <w:tcBorders>
              <w:bottom w:val="single" w:sz="8" w:color="CCFFCC"/>
            </w:tcBorders>
            <w:gridSpan w:val="3"/>
            <w:shd w:val="clear" w:color="auto" w:fill="CCFFCC"/>
          </w:tcPr>
          <w:p>
            <w:pPr>
              <w:spacing w:after="0"/>
              <w:rPr>
                <w:sz w:val="16"/>
                <w:szCs w:val="16"/>
                <w:color w:val="auto"/>
              </w:rPr>
            </w:pPr>
          </w:p>
        </w:tc>
        <w:tc>
          <w:tcPr>
            <w:tcW w:w="540" w:type="dxa"/>
            <w:vAlign w:val="bottom"/>
            <w:tcBorders>
              <w:bottom w:val="single" w:sz="8" w:color="CCFFCC"/>
              <w:right w:val="single" w:sz="8" w:color="CCFFCC"/>
            </w:tcBorders>
            <w:shd w:val="clear" w:color="auto" w:fill="CCFFCC"/>
          </w:tcPr>
          <w:p>
            <w:pPr>
              <w:spacing w:after="0"/>
              <w:rPr>
                <w:sz w:val="16"/>
                <w:szCs w:val="16"/>
                <w:color w:val="auto"/>
              </w:rPr>
            </w:pPr>
          </w:p>
        </w:tc>
        <w:tc>
          <w:tcPr>
            <w:tcW w:w="240" w:type="dxa"/>
            <w:vAlign w:val="bottom"/>
            <w:tcBorders>
              <w:bottom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188</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63"/>
        </w:trPr>
        <w:tc>
          <w:tcPr>
            <w:tcW w:w="6340" w:type="dxa"/>
            <w:vAlign w:val="bottom"/>
            <w:tcBorders>
              <w:bottom w:val="single" w:sz="8" w:color="0000EE"/>
            </w:tcBorders>
            <w:gridSpan w:val="14"/>
          </w:tcPr>
          <w:p>
            <w:pPr>
              <w:spacing w:after="0" w:line="163" w:lineRule="exact"/>
              <w:rPr>
                <w:sz w:val="20"/>
                <w:szCs w:val="20"/>
                <w:color w:val="auto"/>
              </w:rPr>
            </w:pPr>
            <w:r>
              <w:rPr>
                <w:rFonts w:ascii="Arial" w:cs="Arial" w:eastAsia="Arial" w:hAnsi="Arial"/>
                <w:sz w:val="17"/>
                <w:szCs w:val="17"/>
                <w:color w:val="0000EE"/>
                <w:w w:val="93"/>
              </w:rPr>
              <w:t>COMPARISON OF RIGHTS OF VRINGO STOCKHOLDERS AND INNOVATE/PROTECT</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197</w:t>
            </w:r>
          </w:p>
        </w:tc>
        <w:tc>
          <w:tcPr>
            <w:tcW w:w="60" w:type="dxa"/>
            <w:vAlign w:val="bottom"/>
          </w:tcPr>
          <w:p>
            <w:pPr>
              <w:spacing w:after="0"/>
              <w:rPr>
                <w:sz w:val="14"/>
                <w:szCs w:val="14"/>
                <w:color w:val="auto"/>
              </w:rPr>
            </w:pPr>
          </w:p>
        </w:tc>
      </w:tr>
      <w:tr>
        <w:trPr>
          <w:trHeight w:val="189"/>
        </w:trPr>
        <w:tc>
          <w:tcPr>
            <w:tcW w:w="160" w:type="dxa"/>
            <w:vAlign w:val="bottom"/>
          </w:tcPr>
          <w:p>
            <w:pPr>
              <w:spacing w:after="0"/>
              <w:rPr>
                <w:sz w:val="16"/>
                <w:szCs w:val="16"/>
                <w:color w:val="auto"/>
              </w:rPr>
            </w:pPr>
          </w:p>
        </w:tc>
        <w:tc>
          <w:tcPr>
            <w:tcW w:w="1320" w:type="dxa"/>
            <w:vAlign w:val="bottom"/>
            <w:tcBorders>
              <w:bottom w:val="single" w:sz="8" w:color="0000EE"/>
            </w:tcBorders>
            <w:gridSpan w:val="5"/>
          </w:tcPr>
          <w:p>
            <w:pPr>
              <w:spacing w:after="0" w:line="180" w:lineRule="exact"/>
              <w:rPr>
                <w:sz w:val="20"/>
                <w:szCs w:val="20"/>
                <w:color w:val="auto"/>
              </w:rPr>
            </w:pPr>
            <w:r>
              <w:rPr>
                <w:rFonts w:ascii="Arial" w:cs="Arial" w:eastAsia="Arial" w:hAnsi="Arial"/>
                <w:sz w:val="17"/>
                <w:szCs w:val="17"/>
                <w:color w:val="0000EE"/>
                <w:w w:val="92"/>
              </w:rPr>
              <w:t>STOCKHOLDERS</w:t>
            </w:r>
          </w:p>
        </w:tc>
        <w:tc>
          <w:tcPr>
            <w:tcW w:w="5300" w:type="dxa"/>
            <w:vAlign w:val="bottom"/>
            <w:gridSpan w:val="9"/>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780" w:type="dxa"/>
            <w:vAlign w:val="bottom"/>
            <w:gridSpan w:val="15"/>
            <w:shd w:val="clear" w:color="auto" w:fill="CCFFCC"/>
          </w:tcPr>
          <w:p>
            <w:pPr>
              <w:spacing w:after="0" w:line="172" w:lineRule="exact"/>
              <w:rPr>
                <w:sz w:val="20"/>
                <w:szCs w:val="20"/>
                <w:color w:val="auto"/>
              </w:rPr>
            </w:pPr>
            <w:r>
              <w:rPr>
                <w:rFonts w:ascii="Arial" w:cs="Arial" w:eastAsia="Arial" w:hAnsi="Arial"/>
                <w:sz w:val="17"/>
                <w:szCs w:val="17"/>
                <w:color w:val="0000EE"/>
              </w:rPr>
              <w:t>LEGAL MATTERS</w:t>
            </w:r>
          </w:p>
        </w:tc>
        <w:tc>
          <w:tcPr>
            <w:tcW w:w="840" w:type="dxa"/>
            <w:vAlign w:val="bottom"/>
            <w:gridSpan w:val="3"/>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rPr>
              <w:t>202</w:t>
            </w:r>
          </w:p>
        </w:tc>
      </w:tr>
      <w:tr>
        <w:trPr>
          <w:trHeight w:val="172"/>
        </w:trPr>
        <w:tc>
          <w:tcPr>
            <w:tcW w:w="760" w:type="dxa"/>
            <w:vAlign w:val="bottom"/>
            <w:tcBorders>
              <w:top w:val="single" w:sz="8" w:color="0000EE"/>
              <w:bottom w:val="single" w:sz="8" w:color="0000EE"/>
            </w:tcBorders>
            <w:gridSpan w:val="2"/>
          </w:tcPr>
          <w:p>
            <w:pPr>
              <w:spacing w:after="0" w:line="163" w:lineRule="exact"/>
              <w:rPr>
                <w:sz w:val="20"/>
                <w:szCs w:val="20"/>
                <w:color w:val="auto"/>
              </w:rPr>
            </w:pPr>
            <w:r>
              <w:rPr>
                <w:rFonts w:ascii="Arial" w:cs="Arial" w:eastAsia="Arial" w:hAnsi="Arial"/>
                <w:sz w:val="17"/>
                <w:szCs w:val="17"/>
                <w:color w:val="0000EE"/>
                <w:w w:val="90"/>
              </w:rPr>
              <w:t>EXPERTS</w:t>
            </w:r>
          </w:p>
        </w:tc>
        <w:tc>
          <w:tcPr>
            <w:tcW w:w="580" w:type="dxa"/>
            <w:vAlign w:val="bottom"/>
            <w:tcBorders>
              <w:top w:val="single" w:sz="8" w:color="0000EE"/>
            </w:tcBorders>
            <w:gridSpan w:val="2"/>
          </w:tcPr>
          <w:p>
            <w:pPr>
              <w:spacing w:after="0"/>
              <w:rPr>
                <w:sz w:val="14"/>
                <w:szCs w:val="14"/>
                <w:color w:val="auto"/>
              </w:rPr>
            </w:pPr>
          </w:p>
        </w:tc>
        <w:tc>
          <w:tcPr>
            <w:tcW w:w="5440" w:type="dxa"/>
            <w:vAlign w:val="bottom"/>
            <w:tcBorders>
              <w:top w:val="single" w:sz="8" w:color="CCFFCC"/>
            </w:tcBorders>
            <w:gridSpan w:val="11"/>
          </w:tcPr>
          <w:p>
            <w:pPr>
              <w:spacing w:after="0"/>
              <w:rPr>
                <w:sz w:val="14"/>
                <w:szCs w:val="14"/>
                <w:color w:val="auto"/>
              </w:rPr>
            </w:pPr>
          </w:p>
        </w:tc>
        <w:tc>
          <w:tcPr>
            <w:tcW w:w="540" w:type="dxa"/>
            <w:vAlign w:val="bottom"/>
            <w:tcBorders>
              <w:top w:val="single" w:sz="8" w:color="CCFFCC"/>
            </w:tcBorders>
          </w:tcPr>
          <w:p>
            <w:pPr>
              <w:spacing w:after="0"/>
              <w:rPr>
                <w:sz w:val="14"/>
                <w:szCs w:val="14"/>
                <w:color w:val="auto"/>
              </w:rPr>
            </w:pPr>
          </w:p>
        </w:tc>
        <w:tc>
          <w:tcPr>
            <w:tcW w:w="240" w:type="dxa"/>
            <w:vAlign w:val="bottom"/>
            <w:tcBorders>
              <w:top w:val="single" w:sz="8" w:color="0000EE"/>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202</w:t>
            </w:r>
          </w:p>
        </w:tc>
        <w:tc>
          <w:tcPr>
            <w:tcW w:w="60" w:type="dxa"/>
            <w:vAlign w:val="bottom"/>
            <w:tcBorders>
              <w:top w:val="single" w:sz="8" w:color="CCFFCC"/>
            </w:tcBorders>
          </w:tcPr>
          <w:p>
            <w:pPr>
              <w:spacing w:after="0"/>
              <w:rPr>
                <w:sz w:val="14"/>
                <w:szCs w:val="14"/>
                <w:color w:val="auto"/>
              </w:rPr>
            </w:pPr>
          </w:p>
        </w:tc>
      </w:tr>
      <w:tr>
        <w:trPr>
          <w:trHeight w:val="189"/>
        </w:trPr>
        <w:tc>
          <w:tcPr>
            <w:tcW w:w="2900" w:type="dxa"/>
            <w:vAlign w:val="bottom"/>
            <w:tcBorders>
              <w:bottom w:val="single" w:sz="8" w:color="0000EE"/>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92"/>
              </w:rPr>
              <w:t>FUTURE STOCKHOLDER PROPOSALS</w:t>
            </w:r>
          </w:p>
        </w:tc>
        <w:tc>
          <w:tcPr>
            <w:tcW w:w="3880" w:type="dxa"/>
            <w:vAlign w:val="bottom"/>
            <w:tcBorders>
              <w:bottom w:val="single" w:sz="8" w:color="CCFFCC"/>
            </w:tcBorders>
            <w:gridSpan w:val="7"/>
            <w:shd w:val="clear" w:color="auto" w:fill="CCFFCC"/>
          </w:tcPr>
          <w:p>
            <w:pPr>
              <w:spacing w:after="0"/>
              <w:rPr>
                <w:sz w:val="16"/>
                <w:szCs w:val="16"/>
                <w:color w:val="auto"/>
              </w:rPr>
            </w:pPr>
          </w:p>
        </w:tc>
        <w:tc>
          <w:tcPr>
            <w:tcW w:w="540" w:type="dxa"/>
            <w:vAlign w:val="bottom"/>
            <w:tcBorders>
              <w:bottom w:val="single" w:sz="8" w:color="CCFFCC"/>
              <w:right w:val="single" w:sz="8" w:color="CCFFCC"/>
            </w:tcBorders>
            <w:shd w:val="clear" w:color="auto" w:fill="CCFFCC"/>
          </w:tcPr>
          <w:p>
            <w:pPr>
              <w:spacing w:after="0"/>
              <w:rPr>
                <w:sz w:val="16"/>
                <w:szCs w:val="16"/>
                <w:color w:val="auto"/>
              </w:rPr>
            </w:pPr>
          </w:p>
        </w:tc>
        <w:tc>
          <w:tcPr>
            <w:tcW w:w="240" w:type="dxa"/>
            <w:vAlign w:val="bottom"/>
            <w:tcBorders>
              <w:bottom w:val="single" w:sz="8" w:color="0000EE"/>
            </w:tcBorders>
            <w:shd w:val="clear" w:color="auto" w:fill="CCFFCC"/>
          </w:tcPr>
          <w:p>
            <w:pPr>
              <w:jc w:val="right"/>
              <w:spacing w:after="0" w:line="172" w:lineRule="exact"/>
              <w:rPr>
                <w:sz w:val="20"/>
                <w:szCs w:val="20"/>
                <w:color w:val="auto"/>
              </w:rPr>
            </w:pPr>
            <w:r>
              <w:rPr>
                <w:rFonts w:ascii="Arial" w:cs="Arial" w:eastAsia="Arial" w:hAnsi="Arial"/>
                <w:sz w:val="17"/>
                <w:szCs w:val="17"/>
                <w:color w:val="0000EE"/>
                <w:w w:val="77"/>
              </w:rPr>
              <w:t>203</w:t>
            </w:r>
          </w:p>
        </w:tc>
        <w:tc>
          <w:tcPr>
            <w:tcW w:w="60" w:type="dxa"/>
            <w:vAlign w:val="bottom"/>
            <w:tcBorders>
              <w:bottom w:val="single" w:sz="8" w:color="CCFFCC"/>
            </w:tcBorders>
            <w:shd w:val="clear" w:color="auto" w:fill="CCFFCC"/>
          </w:tcPr>
          <w:p>
            <w:pPr>
              <w:spacing w:after="0"/>
              <w:rPr>
                <w:sz w:val="16"/>
                <w:szCs w:val="16"/>
                <w:color w:val="auto"/>
              </w:rPr>
            </w:pPr>
          </w:p>
        </w:tc>
      </w:tr>
      <w:tr>
        <w:trPr>
          <w:trHeight w:val="172"/>
        </w:trPr>
        <w:tc>
          <w:tcPr>
            <w:tcW w:w="4100" w:type="dxa"/>
            <w:vAlign w:val="bottom"/>
            <w:tcBorders>
              <w:bottom w:val="single" w:sz="8" w:color="0000EE"/>
            </w:tcBorders>
            <w:gridSpan w:val="10"/>
          </w:tcPr>
          <w:p>
            <w:pPr>
              <w:spacing w:after="0" w:line="163" w:lineRule="exact"/>
              <w:rPr>
                <w:sz w:val="20"/>
                <w:szCs w:val="20"/>
                <w:color w:val="auto"/>
              </w:rPr>
            </w:pPr>
            <w:r>
              <w:rPr>
                <w:rFonts w:ascii="Arial" w:cs="Arial" w:eastAsia="Arial" w:hAnsi="Arial"/>
                <w:sz w:val="17"/>
                <w:szCs w:val="17"/>
                <w:color w:val="0000EE"/>
                <w:w w:val="97"/>
              </w:rPr>
              <w:t>WHERE YOU CAN FIND ADDITIONAL INFORMATION</w:t>
            </w:r>
          </w:p>
        </w:tc>
        <w:tc>
          <w:tcPr>
            <w:tcW w:w="2680" w:type="dxa"/>
            <w:vAlign w:val="bottom"/>
            <w:gridSpan w:val="5"/>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Borders>
              <w:bottom w:val="single" w:sz="8" w:color="0000EE"/>
            </w:tcBorders>
          </w:tcPr>
          <w:p>
            <w:pPr>
              <w:jc w:val="right"/>
              <w:spacing w:after="0" w:line="163" w:lineRule="exact"/>
              <w:rPr>
                <w:sz w:val="20"/>
                <w:szCs w:val="20"/>
                <w:color w:val="auto"/>
              </w:rPr>
            </w:pPr>
            <w:r>
              <w:rPr>
                <w:rFonts w:ascii="Arial" w:cs="Arial" w:eastAsia="Arial" w:hAnsi="Arial"/>
                <w:sz w:val="17"/>
                <w:szCs w:val="17"/>
                <w:color w:val="0000EE"/>
                <w:w w:val="77"/>
              </w:rPr>
              <w:t>203</w:t>
            </w:r>
          </w:p>
        </w:tc>
        <w:tc>
          <w:tcPr>
            <w:tcW w:w="60" w:type="dxa"/>
            <w:vAlign w:val="bottom"/>
          </w:tcPr>
          <w:p>
            <w:pPr>
              <w:spacing w:after="0"/>
              <w:rPr>
                <w:sz w:val="14"/>
                <w:szCs w:val="14"/>
                <w:color w:val="auto"/>
              </w:rPr>
            </w:pPr>
          </w:p>
        </w:tc>
      </w:tr>
      <w:tr>
        <w:trPr>
          <w:trHeight w:val="172"/>
        </w:trPr>
        <w:tc>
          <w:tcPr>
            <w:tcW w:w="6780" w:type="dxa"/>
            <w:vAlign w:val="bottom"/>
            <w:gridSpan w:val="15"/>
            <w:shd w:val="clear" w:color="auto" w:fill="CCFFCC"/>
          </w:tcPr>
          <w:p>
            <w:pPr>
              <w:spacing w:after="0" w:line="172" w:lineRule="exact"/>
              <w:rPr>
                <w:sz w:val="20"/>
                <w:szCs w:val="20"/>
                <w:color w:val="auto"/>
              </w:rPr>
            </w:pPr>
            <w:r>
              <w:rPr>
                <w:rFonts w:ascii="Arial" w:cs="Arial" w:eastAsia="Arial" w:hAnsi="Arial"/>
                <w:sz w:val="17"/>
                <w:szCs w:val="17"/>
                <w:color w:val="0000EE"/>
              </w:rPr>
              <w:t>VRINGO, INC. INDEX TO THE FINANCIAL STATEMENTS</w:t>
            </w:r>
          </w:p>
        </w:tc>
        <w:tc>
          <w:tcPr>
            <w:tcW w:w="540" w:type="dxa"/>
            <w:vAlign w:val="bottom"/>
            <w:tcBorders>
              <w:right w:val="single" w:sz="8" w:color="CCFFCC"/>
            </w:tcBorders>
            <w:shd w:val="clear" w:color="auto" w:fill="CCFFCC"/>
          </w:tcPr>
          <w:p>
            <w:pPr>
              <w:spacing w:after="0"/>
              <w:rPr>
                <w:sz w:val="14"/>
                <w:szCs w:val="14"/>
                <w:color w:val="auto"/>
              </w:rPr>
            </w:pPr>
          </w:p>
        </w:tc>
        <w:tc>
          <w:tcPr>
            <w:tcW w:w="300" w:type="dxa"/>
            <w:vAlign w:val="bottom"/>
            <w:gridSpan w:val="2"/>
            <w:shd w:val="clear" w:color="auto" w:fill="CCFFCC"/>
          </w:tcPr>
          <w:p>
            <w:pPr>
              <w:jc w:val="right"/>
              <w:ind w:right="60"/>
              <w:spacing w:after="0" w:line="172" w:lineRule="exact"/>
              <w:rPr>
                <w:sz w:val="20"/>
                <w:szCs w:val="20"/>
                <w:color w:val="auto"/>
              </w:rPr>
            </w:pPr>
            <w:r>
              <w:rPr>
                <w:rFonts w:ascii="Arial" w:cs="Arial" w:eastAsia="Arial" w:hAnsi="Arial"/>
                <w:sz w:val="17"/>
                <w:szCs w:val="17"/>
                <w:color w:val="0000EE"/>
                <w:w w:val="86"/>
              </w:rPr>
              <w:t>F-1</w:t>
            </w:r>
          </w:p>
        </w:tc>
      </w:tr>
      <w:tr>
        <w:trPr>
          <w:trHeight w:val="38"/>
        </w:trPr>
        <w:tc>
          <w:tcPr>
            <w:tcW w:w="160" w:type="dxa"/>
            <w:vAlign w:val="bottom"/>
            <w:shd w:val="clear" w:color="auto" w:fill="0000EE"/>
          </w:tcPr>
          <w:p>
            <w:pPr>
              <w:spacing w:after="0"/>
              <w:rPr>
                <w:sz w:val="3"/>
                <w:szCs w:val="3"/>
                <w:color w:val="auto"/>
              </w:rPr>
            </w:pPr>
          </w:p>
        </w:tc>
        <w:tc>
          <w:tcPr>
            <w:tcW w:w="600" w:type="dxa"/>
            <w:vAlign w:val="bottom"/>
            <w:tcBorders>
              <w:right w:val="single" w:sz="8" w:color="0000EE"/>
            </w:tcBorders>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1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80" w:type="dxa"/>
            <w:vAlign w:val="bottom"/>
            <w:shd w:val="clear" w:color="auto" w:fill="CCFFCC"/>
          </w:tcPr>
          <w:p>
            <w:pPr>
              <w:spacing w:after="0"/>
              <w:rPr>
                <w:sz w:val="3"/>
                <w:szCs w:val="3"/>
                <w:color w:val="auto"/>
              </w:rPr>
            </w:pPr>
          </w:p>
        </w:tc>
        <w:tc>
          <w:tcPr>
            <w:tcW w:w="1100" w:type="dxa"/>
            <w:vAlign w:val="bottom"/>
            <w:shd w:val="clear" w:color="auto" w:fill="CCFFCC"/>
          </w:tcPr>
          <w:p>
            <w:pPr>
              <w:spacing w:after="0"/>
              <w:rPr>
                <w:sz w:val="3"/>
                <w:szCs w:val="3"/>
                <w:color w:val="auto"/>
              </w:rPr>
            </w:pPr>
          </w:p>
        </w:tc>
        <w:tc>
          <w:tcPr>
            <w:tcW w:w="440" w:type="dxa"/>
            <w:vAlign w:val="bottom"/>
            <w:shd w:val="clear" w:color="auto" w:fill="CCFFCC"/>
          </w:tcPr>
          <w:p>
            <w:pPr>
              <w:spacing w:after="0"/>
              <w:rPr>
                <w:sz w:val="3"/>
                <w:szCs w:val="3"/>
                <w:color w:val="auto"/>
              </w:rPr>
            </w:pPr>
          </w:p>
        </w:tc>
        <w:tc>
          <w:tcPr>
            <w:tcW w:w="540" w:type="dxa"/>
            <w:vAlign w:val="bottom"/>
            <w:tcBorders>
              <w:right w:val="single" w:sz="8" w:color="CCFFCC"/>
            </w:tcBorders>
            <w:shd w:val="clear" w:color="auto" w:fill="CCFFCC"/>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60" w:type="dxa"/>
            <w:vAlign w:val="bottom"/>
            <w:shd w:val="clear" w:color="auto" w:fill="CCFFCC"/>
          </w:tcPr>
          <w:p>
            <w:pPr>
              <w:spacing w:after="0"/>
              <w:rPr>
                <w:sz w:val="3"/>
                <w:szCs w:val="3"/>
                <w:color w:val="auto"/>
              </w:rPr>
            </w:pPr>
          </w:p>
        </w:tc>
      </w:tr>
      <w:tr>
        <w:trPr>
          <w:trHeight w:val="163"/>
        </w:trPr>
        <w:tc>
          <w:tcPr>
            <w:tcW w:w="5240" w:type="dxa"/>
            <w:vAlign w:val="bottom"/>
            <w:gridSpan w:val="13"/>
          </w:tcPr>
          <w:p>
            <w:pPr>
              <w:spacing w:after="0" w:line="163" w:lineRule="exact"/>
              <w:rPr>
                <w:sz w:val="20"/>
                <w:szCs w:val="20"/>
                <w:color w:val="auto"/>
              </w:rPr>
            </w:pPr>
            <w:r>
              <w:rPr>
                <w:rFonts w:ascii="Arial" w:cs="Arial" w:eastAsia="Arial" w:hAnsi="Arial"/>
                <w:sz w:val="17"/>
                <w:szCs w:val="17"/>
                <w:color w:val="0000EE"/>
                <w:w w:val="94"/>
              </w:rPr>
              <w:t>INNOVATE/PROTECT, INC. INDEX TO THE FINANCIAL STATEMENTS</w:t>
            </w:r>
          </w:p>
        </w:tc>
        <w:tc>
          <w:tcPr>
            <w:tcW w:w="1540" w:type="dxa"/>
            <w:vAlign w:val="bottom"/>
            <w:gridSpan w:val="2"/>
          </w:tcPr>
          <w:p>
            <w:pPr>
              <w:spacing w:after="0"/>
              <w:rPr>
                <w:sz w:val="14"/>
                <w:szCs w:val="14"/>
                <w:color w:val="auto"/>
              </w:rPr>
            </w:pPr>
          </w:p>
        </w:tc>
        <w:tc>
          <w:tcPr>
            <w:tcW w:w="840" w:type="dxa"/>
            <w:vAlign w:val="bottom"/>
            <w:gridSpan w:val="3"/>
          </w:tcPr>
          <w:p>
            <w:pPr>
              <w:jc w:val="right"/>
              <w:ind w:right="60"/>
              <w:spacing w:after="0" w:line="163" w:lineRule="exact"/>
              <w:rPr>
                <w:sz w:val="20"/>
                <w:szCs w:val="20"/>
                <w:color w:val="auto"/>
              </w:rPr>
            </w:pPr>
            <w:r>
              <w:rPr>
                <w:rFonts w:ascii="Arial" w:cs="Arial" w:eastAsia="Arial" w:hAnsi="Arial"/>
                <w:sz w:val="17"/>
                <w:szCs w:val="17"/>
                <w:color w:val="0000EE"/>
              </w:rPr>
              <w:t>F-52</w:t>
            </w: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-1837055</wp:posOffset>
            </wp:positionV>
            <wp:extent cx="4837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Annexes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Annex A —The Merger Agreement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B —Form of Certificate of Amendment to Effect a Reverse Stock Split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C —Form Certificate of Amendment to Effect an Increase in Authorized Shares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D —Vringo, Inc. 2012 Employee, Director and Consultant Equity Incentive Plan</w:t>
      </w:r>
    </w:p>
    <w:p>
      <w:pPr>
        <w:spacing w:after="0" w:line="105" w:lineRule="exact"/>
        <w:rPr>
          <w:sz w:val="20"/>
          <w:szCs w:val="20"/>
          <w:color w:val="auto"/>
        </w:rPr>
      </w:pPr>
    </w:p>
    <w:p>
      <w:pPr>
        <w:ind w:left="820" w:right="3659" w:hanging="801"/>
        <w:spacing w:after="0" w:line="267" w:lineRule="auto"/>
        <w:rPr>
          <w:sz w:val="20"/>
          <w:szCs w:val="20"/>
          <w:color w:val="auto"/>
        </w:rPr>
      </w:pPr>
      <w:r>
        <w:rPr>
          <w:rFonts w:ascii="Arial" w:cs="Arial" w:eastAsia="Arial" w:hAnsi="Arial"/>
          <w:sz w:val="17"/>
          <w:szCs w:val="17"/>
          <w:color w:val="auto"/>
        </w:rPr>
        <w:t>Annex E —Form of Certificate of Designations, Preferences and Rights of Series A Convertible Preferred Stock</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Annex F —Form of Series 1 Warrant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G —Form of Series 2 Warrant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Annex H —Opinion of Etico Capital, a division of Olympus Securities LLC</w:t>
      </w:r>
    </w:p>
    <w:p>
      <w:pPr>
        <w:spacing w:after="0" w:line="200" w:lineRule="exact"/>
        <w:rPr>
          <w:sz w:val="20"/>
          <w:szCs w:val="20"/>
          <w:color w:val="auto"/>
        </w:rPr>
      </w:pPr>
    </w:p>
    <w:p>
      <w:pPr>
        <w:spacing w:after="0" w:line="319" w:lineRule="exact"/>
        <w:rPr>
          <w:sz w:val="20"/>
          <w:szCs w:val="20"/>
          <w:color w:val="auto"/>
        </w:rPr>
      </w:pPr>
    </w:p>
    <w:p>
      <w:pPr>
        <w:ind w:left="426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QUESTIONS AND ANSWERS ABOUT THE MERGER AND</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ANNUAL MEETING</w:t>
      </w:r>
    </w:p>
    <w:p>
      <w:pPr>
        <w:spacing w:after="0" w:line="9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i w:val="1"/>
          <w:iCs w:val="1"/>
          <w:color w:val="auto"/>
        </w:rPr>
        <w:t>The following are some questions that you, as a stockholder of Vringo, Inc. (“Vringo”), may have regarding the Merger (as defined below) or the Vringo annual meeting, together with brief answers to those questions. Vringo urges you to read carefully the remainder of this proxy statement/prospectus, including the annexes and other documents referred to in this proxy statement/prospectus, because the information in this section may not provide all of the information that might be important to you with respect to the Merger or the Vringo annual meeting.</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When this proxy statement/prospectus refers to the combined company, it means Vringo and its subsidiaries and Innovate/Protect, Inc. (“Innovate/Protect”) and its subsidiaries, collectively.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is the Merger?</w:t>
      </w:r>
    </w:p>
    <w:p>
      <w:pPr>
        <w:spacing w:after="0" w:line="109" w:lineRule="exact"/>
        <w:rPr>
          <w:sz w:val="20"/>
          <w:szCs w:val="20"/>
          <w:color w:val="auto"/>
        </w:rPr>
      </w:pPr>
    </w:p>
    <w:p>
      <w:pPr>
        <w:jc w:val="both"/>
        <w:ind w:left="260" w:right="1239" w:hanging="250"/>
        <w:spacing w:after="0" w:line="292" w:lineRule="auto"/>
        <w:tabs>
          <w:tab w:leader="none" w:pos="260" w:val="left"/>
        </w:tabs>
        <w:numPr>
          <w:ilvl w:val="0"/>
          <w:numId w:val="3"/>
        </w:numPr>
        <w:rPr>
          <w:rFonts w:ascii="Arial" w:cs="Arial" w:eastAsia="Arial" w:hAnsi="Arial"/>
          <w:sz w:val="15"/>
          <w:szCs w:val="15"/>
          <w:b w:val="1"/>
          <w:bCs w:val="1"/>
          <w:color w:val="auto"/>
        </w:rPr>
      </w:pPr>
      <w:r>
        <w:rPr>
          <w:rFonts w:ascii="Arial" w:cs="Arial" w:eastAsia="Arial" w:hAnsi="Arial"/>
          <w:sz w:val="15"/>
          <w:szCs w:val="15"/>
          <w:color w:val="auto"/>
        </w:rPr>
        <w:t>Vringo and Innovate/Protect have entered into an Agreement and Plan of Merger, dated as of March 12, 2012 (as may be amended or modified, the “</w:t>
      </w:r>
      <w:r>
        <w:rPr>
          <w:rFonts w:ascii="Arial" w:cs="Arial" w:eastAsia="Arial" w:hAnsi="Arial"/>
          <w:sz w:val="15"/>
          <w:szCs w:val="15"/>
          <w:b w:val="1"/>
          <w:bCs w:val="1"/>
          <w:color w:val="auto"/>
        </w:rPr>
        <w:t>Merger Agreement</w:t>
      </w:r>
      <w:r>
        <w:rPr>
          <w:rFonts w:ascii="Arial" w:cs="Arial" w:eastAsia="Arial" w:hAnsi="Arial"/>
          <w:sz w:val="15"/>
          <w:szCs w:val="15"/>
          <w:color w:val="auto"/>
        </w:rPr>
        <w:t>”), that sets forth the terms and conditions of the proposed business combination of Vringo and Innovate/Protect. Under the Merger Agreement, Innovate/Protect will merge with and into VIP Merger Sub, Inc., a wholly-owned subsidiary of Vringo (the “</w:t>
      </w:r>
      <w:r>
        <w:rPr>
          <w:rFonts w:ascii="Arial" w:cs="Arial" w:eastAsia="Arial" w:hAnsi="Arial"/>
          <w:sz w:val="15"/>
          <w:szCs w:val="15"/>
          <w:b w:val="1"/>
          <w:bCs w:val="1"/>
          <w:color w:val="auto"/>
        </w:rPr>
        <w:t>Merger Sub</w:t>
      </w:r>
      <w:r>
        <w:rPr>
          <w:rFonts w:ascii="Arial" w:cs="Arial" w:eastAsia="Arial" w:hAnsi="Arial"/>
          <w:sz w:val="15"/>
          <w:szCs w:val="15"/>
          <w:color w:val="auto"/>
        </w:rPr>
        <w:t>”), with Merger Sub surviving as a wholly-owned subsidiary of Vringo (the “</w:t>
      </w:r>
      <w:r>
        <w:rPr>
          <w:rFonts w:ascii="Arial" w:cs="Arial" w:eastAsia="Arial" w:hAnsi="Arial"/>
          <w:sz w:val="15"/>
          <w:szCs w:val="15"/>
          <w:b w:val="1"/>
          <w:bCs w:val="1"/>
          <w:color w:val="auto"/>
        </w:rPr>
        <w:t>Merger</w:t>
      </w:r>
      <w:r>
        <w:rPr>
          <w:rFonts w:ascii="Arial" w:cs="Arial" w:eastAsia="Arial" w:hAnsi="Arial"/>
          <w:sz w:val="15"/>
          <w:szCs w:val="15"/>
          <w:color w:val="auto"/>
        </w:rPr>
        <w:t xml:space="preserve">”). A complete copy of the Merger Agreement is attached to this proxy statement/prospectus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354" w:lineRule="exact"/>
        <w:rPr>
          <w:sz w:val="20"/>
          <w:szCs w:val="20"/>
          <w:color w:val="auto"/>
        </w:rPr>
      </w:pPr>
    </w:p>
    <w:p>
      <w:pPr>
        <w:jc w:val="both"/>
        <w:ind w:left="260" w:right="1239" w:hanging="250"/>
        <w:spacing w:after="0" w:line="251" w:lineRule="auto"/>
        <w:tabs>
          <w:tab w:leader="none" w:pos="2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The board of directors of Vringo has unanimously approved the Merger Agreement and the Merger. The combination of the two companies will substantially increase Vringo’s intellectual property portfolio, add significant talent in technological innovation, and position Vringo to enhance its opportunities for revenue generation through the monetization of the combined company’s assets, including a potential successful outcome of Innovate/Protect’s litigation against Google, Inc. and the owners of other online search engines.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Why am I receiving these materials?</w:t>
      </w:r>
    </w:p>
    <w:p>
      <w:pPr>
        <w:spacing w:after="0" w:line="109" w:lineRule="exact"/>
        <w:rPr>
          <w:sz w:val="20"/>
          <w:szCs w:val="20"/>
          <w:color w:val="auto"/>
        </w:rPr>
      </w:pPr>
    </w:p>
    <w:p>
      <w:pPr>
        <w:ind w:left="260" w:right="1239" w:hanging="250"/>
        <w:spacing w:after="0" w:line="267" w:lineRule="auto"/>
        <w:tabs>
          <w:tab w:leader="none" w:pos="2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Vringo is sending these materials to its stockholders to help them decide how to vote their shares of Vringo common stock with respect to the Merger and the other matters to be considered at the annual meeting.</w:t>
      </w:r>
    </w:p>
    <w:p>
      <w:pPr>
        <w:spacing w:after="0" w:line="66" w:lineRule="exact"/>
        <w:rPr>
          <w:sz w:val="20"/>
          <w:szCs w:val="20"/>
          <w:color w:val="auto"/>
        </w:rPr>
      </w:pPr>
    </w:p>
    <w:p>
      <w:pPr>
        <w:jc w:val="both"/>
        <w:ind w:left="300" w:right="1239"/>
        <w:spacing w:after="0" w:line="292" w:lineRule="auto"/>
        <w:rPr>
          <w:sz w:val="20"/>
          <w:szCs w:val="20"/>
          <w:color w:val="auto"/>
        </w:rPr>
      </w:pPr>
      <w:r>
        <w:rPr>
          <w:rFonts w:ascii="Arial" w:cs="Arial" w:eastAsia="Arial" w:hAnsi="Arial"/>
          <w:sz w:val="15"/>
          <w:szCs w:val="15"/>
          <w:color w:val="auto"/>
        </w:rPr>
        <w:t>This document serves as both a proxy statement of Vringo used to solicit proxies for its annual meeting and as a prospectus of Vringo used to offer shares of Vringo common stock, preferred stock and warrants to purchase common stock (including the shares of common stock issuable upon conversion of the preferred stock and exercise of the warrants) issuable to Innovate/Protect stockholders and warrantholder in connection with the Merger. This proxy statement/prospectus contains important information about the Merger and the Vringo annual meeting and you should read it carefully.</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will Innovate/Protect stockholders receive in the Merger?</w:t>
      </w:r>
    </w:p>
    <w:p>
      <w:pPr>
        <w:spacing w:after="0" w:line="109" w:lineRule="exact"/>
        <w:rPr>
          <w:sz w:val="20"/>
          <w:szCs w:val="20"/>
          <w:color w:val="auto"/>
        </w:rPr>
      </w:pPr>
    </w:p>
    <w:p>
      <w:pPr>
        <w:jc w:val="both"/>
        <w:ind w:left="260" w:right="1239" w:hanging="250"/>
        <w:spacing w:after="0" w:line="285" w:lineRule="auto"/>
        <w:tabs>
          <w:tab w:leader="none" w:pos="260"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June 20, 2012, shall be initially convertible into an aggregate of 20,136,445 shares of Vringo common stock (or at current conversion rate of 3,017.6). The Common Stock Exchange Ratio initially is 3.0176, which is subject to adjustment in the</w:t>
      </w:r>
    </w:p>
    <w:p>
      <w:pPr>
        <w:spacing w:after="0" w:line="200" w:lineRule="exact"/>
        <w:rPr>
          <w:sz w:val="20"/>
          <w:szCs w:val="20"/>
          <w:color w:val="auto"/>
        </w:rPr>
      </w:pP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81" w:lineRule="auto"/>
        <w:rPr>
          <w:sz w:val="20"/>
          <w:szCs w:val="20"/>
          <w:color w:val="auto"/>
        </w:rPr>
      </w:pPr>
      <w:r>
        <w:rPr>
          <w:rFonts w:ascii="Arial" w:cs="Arial" w:eastAsia="Arial" w:hAnsi="Arial"/>
          <w:sz w:val="15"/>
          <w:szCs w:val="15"/>
          <w:color w:val="auto"/>
        </w:rPr>
        <w:t xml:space="preserve">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5"/>
          <w:szCs w:val="15"/>
          <w:i w:val="1"/>
          <w:iCs w:val="1"/>
          <w:color w:val="auto"/>
        </w:rPr>
        <w:t>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the former stockholders of Innovate/Protect are expected to own approximately 55.98% of the outstanding common stock of the combined company and the current stockholders of Vringo are expected to own approximately 44.02%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 On a fully diluted basis, the stockholders of Innovate/Protect are expected to own approximately 67.69% of the outstanding capital stock of the combined company and current stockholders of Vringo are expected to own approximately 32.31% of the outstanding capital stock of the combined company.</w:t>
      </w:r>
    </w:p>
    <w:p>
      <w:pPr>
        <w:spacing w:after="0" w:line="67"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No fractional shares of Vringo common or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8"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 xml:space="preserve">For a more complete discussion of what Innovate/Protect stockholders will receive in connection with the Merger, see the sections entitled “The Merger — What Innovate/Protect Stockholders Will Receive in the Merger,” “The Merger — Ownership of the Combined Company After the Completion of the Merger” and “The Merger Agreement — Merger Consideration” beginning on pages </w:t>
      </w:r>
      <w:r>
        <w:rPr>
          <w:rFonts w:ascii="Arial" w:cs="Arial" w:eastAsia="Arial" w:hAnsi="Arial"/>
          <w:sz w:val="17"/>
          <w:szCs w:val="17"/>
          <w:u w:val="single" w:color="auto"/>
          <w:color w:val="0000EE"/>
        </w:rPr>
        <w:t>64</w:t>
      </w:r>
      <w:r>
        <w:rPr>
          <w:rFonts w:ascii="Arial" w:cs="Arial" w:eastAsia="Arial" w:hAnsi="Arial"/>
          <w:sz w:val="17"/>
          <w:szCs w:val="17"/>
          <w:color w:val="auto"/>
        </w:rPr>
        <w:t xml:space="preserve">, </w:t>
      </w:r>
      <w:r>
        <w:rPr>
          <w:rFonts w:ascii="Arial" w:cs="Arial" w:eastAsia="Arial" w:hAnsi="Arial"/>
          <w:sz w:val="17"/>
          <w:szCs w:val="17"/>
          <w:u w:val="single" w:color="auto"/>
          <w:color w:val="0000EE"/>
        </w:rPr>
        <w:t>65</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90</w:t>
      </w:r>
      <w:r>
        <w:rPr>
          <w:rFonts w:ascii="Arial" w:cs="Arial" w:eastAsia="Arial" w:hAnsi="Arial"/>
          <w:sz w:val="17"/>
          <w:szCs w:val="17"/>
          <w:color w:val="auto"/>
        </w:rPr>
        <w:t>,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How will Vringo stockholders be affected by the Merger?</w:t>
      </w:r>
    </w:p>
    <w:p>
      <w:pPr>
        <w:spacing w:after="0" w:line="109" w:lineRule="exact"/>
        <w:rPr>
          <w:sz w:val="20"/>
          <w:szCs w:val="20"/>
          <w:color w:val="auto"/>
        </w:rPr>
      </w:pPr>
    </w:p>
    <w:p>
      <w:pPr>
        <w:jc w:val="both"/>
        <w:ind w:left="260" w:right="1239" w:hanging="250"/>
        <w:spacing w:after="0" w:line="269" w:lineRule="auto"/>
        <w:tabs>
          <w:tab w:leader="none" w:pos="2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w:t>
      </w:r>
    </w:p>
    <w:p>
      <w:pPr>
        <w:spacing w:after="0" w:line="66"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260" w:right="1239" w:hanging="250"/>
        <w:spacing w:after="0" w:line="272"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Are the Exchange Ratios subject to adjustments based on fluctuations in the price of Vringo common stock or value of Innovate/Protect capital stock?</w:t>
      </w:r>
    </w:p>
    <w:p>
      <w:pPr>
        <w:spacing w:after="0" w:line="62" w:lineRule="exact"/>
        <w:rPr>
          <w:sz w:val="20"/>
          <w:szCs w:val="20"/>
          <w:color w:val="auto"/>
        </w:rPr>
      </w:pPr>
    </w:p>
    <w:p>
      <w:pPr>
        <w:jc w:val="both"/>
        <w:ind w:left="260" w:right="1239" w:hanging="250"/>
        <w:spacing w:after="0" w:line="288" w:lineRule="auto"/>
        <w:tabs>
          <w:tab w:leader="none" w:pos="26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No. The Common Stock Exchange Ratio initially is 3.0176, subject to adjustment, such as for stock splits, as set forth in the Merger Agreement. There will be no adjustments to the Common Stock Exchange Ratio based on fluctuations in the price of Vringo common stock or the value of Innovate/Protect capital stock prior to the completion of the Merger. As a result of any such fluctuations in stock price or value, the aggregate market value of the shares of Vringo common stock that the Innovate/Protect stockholders are entitled to receive at the time that the Merger is completed could vary significantly from the value of such shares on the date of this proxy statement/prospectus, the date of the Vringo annual meeting or the date on which the Innovate/Protect stockholders actually receive their shares of Vringo common stock or Vringo preferred stock.</w:t>
      </w:r>
    </w:p>
    <w:p>
      <w:pPr>
        <w:spacing w:after="0" w:line="55"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On March 14, 2012, the trading day of the announcement of the Merger, the last reported sale price of Vringo’s common stock was $1.84, for an aggregate market value of Vringo of $25.5 million, or $48.7 million on a fully diluted basis. On June 20, 2012, the latest practicable date before the printing of this proxy statement/prospectus, the last reported sale price of Vringo’s common stock was $4.19, for an aggregate market value of Vringo of $59.7 million, or $110.2 million on a fully diluted basis. Assuming the issuance on such date of an aggregate of 18,113,169 shares of Vringo common stock based on a Common Stock Exchange Ratio of 3.0176, an aggregate of 6,673 shares of Vringo preferred stock and an aggregate of 16,809,838 of Vringo warrants, if the Merger was completed on such date, the market value attributable to the shares of Vringo common stock to be issued to Innovate/Protect’s stockholders in the aggregate, or approximately 67.69% of the outstanding shares of the combined company calculated on a fully diluted basis, would equal $231 million.</w:t>
      </w:r>
    </w:p>
    <w:p>
      <w:pPr>
        <w:spacing w:after="0" w:line="69"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color w:val="auto"/>
        </w:rPr>
        <w:t xml:space="preserve">For a more complete discussion of the Common Stock Exchange Ratio, see the section entitled “The Merger — What Innovate/Protect Stockholders Will Receive in the Merger” beginning on page </w:t>
      </w:r>
      <w:r>
        <w:rPr>
          <w:rFonts w:ascii="Arial" w:cs="Arial" w:eastAsia="Arial" w:hAnsi="Arial"/>
          <w:sz w:val="17"/>
          <w:szCs w:val="17"/>
          <w:u w:val="single" w:color="auto"/>
          <w:color w:val="0000EE"/>
        </w:rPr>
        <w:t>64</w:t>
      </w:r>
      <w:r>
        <w:rPr>
          <w:rFonts w:ascii="Arial" w:cs="Arial" w:eastAsia="Arial" w:hAnsi="Arial"/>
          <w:sz w:val="17"/>
          <w:szCs w:val="17"/>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will holders of Innovate/Protect warrants and stock options receive in the Merger?</w:t>
      </w:r>
    </w:p>
    <w:p>
      <w:pPr>
        <w:spacing w:after="0" w:line="109" w:lineRule="exact"/>
        <w:rPr>
          <w:sz w:val="20"/>
          <w:szCs w:val="20"/>
          <w:color w:val="auto"/>
        </w:rPr>
      </w:pPr>
    </w:p>
    <w:p>
      <w:pPr>
        <w:jc w:val="both"/>
        <w:ind w:left="260" w:right="1239" w:hanging="250"/>
        <w:spacing w:after="0" w:line="249" w:lineRule="auto"/>
        <w:tabs>
          <w:tab w:leader="none" w:pos="2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an aggregate of 15,959,838 warrants to purchase an aggregate of 15,959,838 shares of Vringo common stock with an exercise price of $1.76 per share.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4"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At the effective time of the Merger, each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June 20, 2012,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69"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 xml:space="preserve">For a more complete discussion of what holders of Innovate/Protect stock options and warrants will receive in connection with the Merger, see the section entitled “The Merger — Treatment of Innovate/Protect Stock Options and Warrants” beginning on page </w:t>
      </w:r>
      <w:r>
        <w:rPr>
          <w:rFonts w:ascii="Arial" w:cs="Arial" w:eastAsia="Arial" w:hAnsi="Arial"/>
          <w:sz w:val="17"/>
          <w:szCs w:val="17"/>
          <w:u w:val="single" w:color="auto"/>
          <w:color w:val="0000EE"/>
        </w:rPr>
        <w:t>65</w:t>
      </w:r>
      <w:r>
        <w:rPr>
          <w:rFonts w:ascii="Arial" w:cs="Arial" w:eastAsia="Arial" w:hAnsi="Arial"/>
          <w:sz w:val="17"/>
          <w:szCs w:val="17"/>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How will the Merger affect Vringo’s business?</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Vringo will undergo changes in connection with the Merger. Currently, Vringo is engaged in developing software platforms and applications for mobile phones (as more fully discussed in the section entitled “Vringo’s Business — Overview” beginning on page </w:t>
      </w:r>
      <w:r>
        <w:rPr>
          <w:rFonts w:ascii="Arial" w:cs="Arial" w:eastAsia="Arial" w:hAnsi="Arial"/>
          <w:sz w:val="17"/>
          <w:szCs w:val="17"/>
          <w:u w:val="single" w:color="auto"/>
          <w:color w:val="0000EE"/>
        </w:rPr>
        <w:t>123</w:t>
      </w:r>
      <w:r>
        <w:rPr>
          <w:rFonts w:ascii="Arial" w:cs="Arial" w:eastAsia="Arial" w:hAnsi="Arial"/>
          <w:sz w:val="17"/>
          <w:szCs w:val="17"/>
          <w:color w:val="auto"/>
        </w:rPr>
        <w:t>). Following the Merger, Vringo will maximize</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92" w:lineRule="auto"/>
        <w:rPr>
          <w:sz w:val="20"/>
          <w:szCs w:val="20"/>
          <w:color w:val="auto"/>
        </w:rPr>
      </w:pPr>
      <w:r>
        <w:rPr>
          <w:rFonts w:ascii="Arial" w:cs="Arial" w:eastAsia="Arial" w:hAnsi="Arial"/>
          <w:sz w:val="15"/>
          <w:szCs w:val="15"/>
          <w:color w:val="auto"/>
        </w:rPr>
        <w:t>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 In addition, as a result of the Merger, former Innovate/Protect stockholders will possess majority control of the combined company and members of Innovate/Protect’s current board of directors will possess majority control of the board of directors of the combined company.</w:t>
      </w:r>
    </w:p>
    <w:p>
      <w:pPr>
        <w:spacing w:after="0" w:line="53"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Both Vringo and Innovate/Protect expect to undergo changes in connection with the Merger. Currently, Vringo is engaged in developing software platforms and applications for mobile devices. Innovate/Protect maximizes, for inventors and investors, the economic benefits of intellectual property assets through acquiring or internally developing patents or other intellectual property assets.</w:t>
      </w:r>
    </w:p>
    <w:p>
      <w:pPr>
        <w:spacing w:after="0" w:line="78"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The Merger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expect that the combined company will have two key areas of operation:</w:t>
      </w:r>
    </w:p>
    <w:p>
      <w:pPr>
        <w:spacing w:after="0" w:line="105" w:lineRule="exact"/>
        <w:rPr>
          <w:sz w:val="20"/>
          <w:szCs w:val="20"/>
          <w:color w:val="auto"/>
        </w:rPr>
      </w:pPr>
    </w:p>
    <w:p>
      <w:pPr>
        <w:ind w:left="820" w:hanging="309"/>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delivery and monetization of mobile social applications,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maximization of the economic benefits of intellectual property.</w:t>
      </w:r>
    </w:p>
    <w:p>
      <w:pPr>
        <w:spacing w:after="0" w:line="105"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Vringo has developed a platform for the distribution of mobile applications. Vringo believes that its technology and business relationships will allow it to distribute new applications and services through:</w:t>
      </w:r>
    </w:p>
    <w:p>
      <w:pPr>
        <w:spacing w:after="0" w:line="66" w:lineRule="exact"/>
        <w:rPr>
          <w:sz w:val="20"/>
          <w:szCs w:val="20"/>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mobile operators,</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handset makers,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application storefronts.</w:t>
      </w:r>
    </w:p>
    <w:p>
      <w:pPr>
        <w:spacing w:after="0" w:line="105"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Vringo has succeeded in licensing its software to two of the four largest handset makers in the world, ZTE and Nokia. Vringo has also launched services with mobile operators such as Verizon, NTTDocomo, Etisalat, Axiata, Orange (Everything Everywhere), Tata Docomo, Vodafone and Maxis. Through the Merger, Vringo adds a technology development leadership team that we believe will develop products that we believe will continue to represent the next stage in the evolution of the mobile content and mobile social applications market.</w:t>
      </w:r>
    </w:p>
    <w:p>
      <w:pPr>
        <w:spacing w:after="0" w:line="80"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color w:val="auto"/>
        </w:rPr>
        <w:t>To date, Vringo has filed over 24 patent applications, and three patents have been granted by the USPTO. Additionally, Vringo has received a notice of allowance for one patent in Europe. Through the Merger, Vringo will own patent assets acquired from Lycos, Inc. Vringo intends to expand its intellectual property portfolio through both internal development and acquisition. The experience and liquidity of the combined company will enable Vringo to expand on that portfolio as well as create additional intellectually property internally. Vringo intends to monetize its intellectual property through:</w:t>
      </w:r>
    </w:p>
    <w:p>
      <w:pPr>
        <w:spacing w:after="0" w:line="68" w:lineRule="exact"/>
        <w:rPr>
          <w:sz w:val="20"/>
          <w:szCs w:val="20"/>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300" w:right="1239"/>
        <w:spacing w:after="0" w:line="290" w:lineRule="auto"/>
        <w:rPr>
          <w:sz w:val="20"/>
          <w:szCs w:val="20"/>
          <w:color w:val="auto"/>
        </w:rPr>
      </w:pPr>
      <w:r>
        <w:rPr>
          <w:rFonts w:ascii="Arial" w:cs="Arial" w:eastAsia="Arial" w:hAnsi="Arial"/>
          <w:sz w:val="15"/>
          <w:szCs w:val="15"/>
          <w:color w:val="auto"/>
        </w:rPr>
        <w:t xml:space="preserve">For a more complete discussion of the existing businesses of Vringo and Innovate/Protect, see the sections entitled “Vringo’s Business,” “Vringo’s Management’s Discussion and Analysis of Financial Condition and Results of Operations,” “Innovate/Protect’s Business,” and “Innovate/Protect’s Management’s Discussion and Analysis of Financial Condition and Results of Operations” beginning on pages </w:t>
      </w:r>
      <w:r>
        <w:rPr>
          <w:rFonts w:ascii="Arial" w:cs="Arial" w:eastAsia="Arial" w:hAnsi="Arial"/>
          <w:sz w:val="15"/>
          <w:szCs w:val="15"/>
          <w:u w:val="single" w:color="auto"/>
          <w:color w:val="0000EE"/>
        </w:rPr>
        <w:t>123</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129</w:t>
      </w:r>
      <w:r>
        <w:rPr>
          <w:rFonts w:ascii="Arial" w:cs="Arial" w:eastAsia="Arial" w:hAnsi="Arial"/>
          <w:sz w:val="15"/>
          <w:szCs w:val="15"/>
          <w:color w:val="auto"/>
        </w:rPr>
        <w:t xml:space="preserve">, </w:t>
      </w:r>
      <w:r>
        <w:rPr>
          <w:rFonts w:ascii="Arial" w:cs="Arial" w:eastAsia="Arial" w:hAnsi="Arial"/>
          <w:sz w:val="15"/>
          <w:szCs w:val="15"/>
          <w:u w:val="single" w:color="auto"/>
          <w:color w:val="0000EE"/>
        </w:rPr>
        <w:t>148</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156</w:t>
      </w:r>
      <w:r>
        <w:rPr>
          <w:rFonts w:ascii="Arial" w:cs="Arial" w:eastAsia="Arial" w:hAnsi="Arial"/>
          <w:sz w:val="15"/>
          <w:szCs w:val="15"/>
          <w:color w:val="auto"/>
        </w:rPr>
        <w:t xml:space="preserve">, respectively. In addition, you should carefully review the section entitled “Risk Factors” beginning on page </w:t>
      </w:r>
      <w:r>
        <w:rPr>
          <w:rFonts w:ascii="Arial" w:cs="Arial" w:eastAsia="Arial" w:hAnsi="Arial"/>
          <w:sz w:val="15"/>
          <w:szCs w:val="15"/>
          <w:u w:val="single" w:color="auto"/>
          <w:color w:val="0000EE"/>
        </w:rPr>
        <w:t>41</w:t>
      </w:r>
      <w:r>
        <w:rPr>
          <w:rFonts w:ascii="Arial" w:cs="Arial" w:eastAsia="Arial" w:hAnsi="Arial"/>
          <w:sz w:val="15"/>
          <w:szCs w:val="15"/>
          <w:color w:val="auto"/>
        </w:rPr>
        <w:t>, which presents risks and uncertainties related to the Merger, the combined company following the completion of the Merger, and the business and operations of each of Vringo and Innovate/Protect.</w:t>
      </w:r>
    </w:p>
    <w:p>
      <w:pPr>
        <w:spacing w:after="0" w:line="200" w:lineRule="exact"/>
        <w:rPr>
          <w:sz w:val="20"/>
          <w:szCs w:val="20"/>
          <w:color w:val="auto"/>
        </w:rPr>
      </w:pPr>
    </w:p>
    <w:p>
      <w:pPr>
        <w:spacing w:after="0" w:line="26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Does Innovate/Protect have debt that will become an obligation of the combined company following the Merger?</w:t>
      </w:r>
    </w:p>
    <w:p>
      <w:pPr>
        <w:spacing w:after="0" w:line="121" w:lineRule="exact"/>
        <w:rPr>
          <w:sz w:val="20"/>
          <w:szCs w:val="20"/>
          <w:color w:val="auto"/>
        </w:rPr>
      </w:pPr>
    </w:p>
    <w:p>
      <w:pPr>
        <w:jc w:val="both"/>
        <w:ind w:left="260" w:right="1239" w:hanging="250"/>
        <w:spacing w:after="0" w:line="281" w:lineRule="auto"/>
        <w:tabs>
          <w:tab w:leader="none" w:pos="260" w:val="left"/>
        </w:tabs>
        <w:numPr>
          <w:ilvl w:val="0"/>
          <w:numId w:val="15"/>
        </w:numPr>
        <w:rPr>
          <w:rFonts w:ascii="Arial" w:cs="Arial" w:eastAsia="Arial" w:hAnsi="Arial"/>
          <w:sz w:val="15"/>
          <w:szCs w:val="15"/>
          <w:b w:val="1"/>
          <w:bCs w:val="1"/>
          <w:color w:val="auto"/>
        </w:rPr>
      </w:pPr>
      <w:r>
        <w:rPr>
          <w:rFonts w:ascii="Arial" w:cs="Arial" w:eastAsia="Arial" w:hAnsi="Arial"/>
          <w:sz w:val="15"/>
          <w:szCs w:val="15"/>
          <w:color w:val="auto"/>
        </w:rPr>
        <w:t xml:space="preserve">Innovate/Protect is obligated under a senior secured note payable to its principal stockholder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Vringo will guaranty the obligations under the senior secured note. For a more complete discussion of the outstanding indebtedness of Innovate/Protect, see the sections entitled “Innovate/Protect’s Business — Relationship with Hudson Bay Master Fund Ltd.,” and “Innovate/Protect’s Management’s Discussion and Analysis of Financial Condition and Results of Operations” beginning on pages </w:t>
      </w:r>
      <w:r>
        <w:rPr>
          <w:rFonts w:ascii="Arial" w:cs="Arial" w:eastAsia="Arial" w:hAnsi="Arial"/>
          <w:sz w:val="15"/>
          <w:szCs w:val="15"/>
          <w:u w:val="single" w:color="auto"/>
          <w:color w:val="0000EE"/>
        </w:rPr>
        <w:t>152</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156</w:t>
      </w:r>
      <w:r>
        <w:rPr>
          <w:rFonts w:ascii="Arial" w:cs="Arial" w:eastAsia="Arial" w:hAnsi="Arial"/>
          <w:sz w:val="15"/>
          <w:szCs w:val="15"/>
          <w:color w:val="auto"/>
        </w:rPr>
        <w:t xml:space="preserve">, respectively. In addition, you should carefully review the section entitled “Risk Factors” beginning on page </w:t>
      </w:r>
      <w:r>
        <w:rPr>
          <w:rFonts w:ascii="Arial" w:cs="Arial" w:eastAsia="Arial" w:hAnsi="Arial"/>
          <w:sz w:val="15"/>
          <w:szCs w:val="15"/>
          <w:u w:val="single" w:color="auto"/>
          <w:color w:val="0000EE"/>
        </w:rPr>
        <w:t>41</w:t>
      </w:r>
      <w:r>
        <w:rPr>
          <w:rFonts w:ascii="Arial" w:cs="Arial" w:eastAsia="Arial" w:hAnsi="Arial"/>
          <w:sz w:val="15"/>
          <w:szCs w:val="15"/>
          <w:color w:val="000000"/>
        </w:rPr>
        <w:t>, which describes the risks of guarantying the Innovate/Protect debt.</w:t>
      </w:r>
    </w:p>
    <w:p>
      <w:pPr>
        <w:spacing w:after="0" w:line="64" w:lineRule="exact"/>
        <w:rPr>
          <w:sz w:val="20"/>
          <w:szCs w:val="20"/>
          <w:color w:val="auto"/>
        </w:rPr>
      </w:pPr>
    </w:p>
    <w:p>
      <w:pPr>
        <w:jc w:val="both"/>
        <w:ind w:left="300" w:right="1239"/>
        <w:spacing w:after="0" w:line="263"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w:t>
      </w:r>
    </w:p>
    <w:p>
      <w:pPr>
        <w:spacing w:after="0" w:line="200" w:lineRule="exact"/>
        <w:rPr>
          <w:sz w:val="20"/>
          <w:szCs w:val="20"/>
          <w:color w:val="auto"/>
        </w:rPr>
      </w:pPr>
    </w:p>
    <w:p>
      <w:pPr>
        <w:spacing w:after="0" w:line="29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51" w:lineRule="exact"/>
        <w:rPr>
          <w:sz w:val="20"/>
          <w:szCs w:val="20"/>
          <w:color w:val="auto"/>
        </w:rPr>
      </w:pPr>
    </w:p>
    <w:p>
      <w:pPr>
        <w:ind w:left="260" w:right="1239" w:hanging="250"/>
        <w:spacing w:after="0" w:line="272" w:lineRule="auto"/>
        <w:tabs>
          <w:tab w:leader="none" w:pos="2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Will the shares of Vringo common stock and preferred stock received by Innovate/Protect stockholders in the Merger be subject to any transfer restrictions?</w:t>
      </w:r>
    </w:p>
    <w:p>
      <w:pPr>
        <w:spacing w:after="0" w:line="62" w:lineRule="exact"/>
        <w:rPr>
          <w:sz w:val="20"/>
          <w:szCs w:val="20"/>
          <w:color w:val="auto"/>
        </w:rPr>
      </w:pPr>
    </w:p>
    <w:p>
      <w:pPr>
        <w:jc w:val="both"/>
        <w:ind w:left="260" w:right="1239" w:hanging="250"/>
        <w:spacing w:after="0" w:line="281" w:lineRule="auto"/>
        <w:tabs>
          <w:tab w:leader="none" w:pos="260" w:val="left"/>
        </w:tabs>
        <w:numPr>
          <w:ilvl w:val="0"/>
          <w:numId w:val="17"/>
        </w:numPr>
        <w:rPr>
          <w:rFonts w:ascii="Arial" w:cs="Arial" w:eastAsia="Arial" w:hAnsi="Arial"/>
          <w:sz w:val="15"/>
          <w:szCs w:val="15"/>
          <w:b w:val="1"/>
          <w:bCs w:val="1"/>
          <w:color w:val="auto"/>
        </w:rPr>
      </w:pPr>
      <w:r>
        <w:rPr>
          <w:rFonts w:ascii="Arial" w:cs="Arial" w:eastAsia="Arial" w:hAnsi="Arial"/>
          <w:sz w:val="15"/>
          <w:szCs w:val="15"/>
          <w:color w:val="auto"/>
        </w:rPr>
        <w:t>Yes. Pursuant to a letter agreement between Vringo and Hudson Bay Master Fund Ltd., or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7"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may be resold by them only in transactions permitted by Rule 144 or as otherwise permitted under the Securities Act.</w:t>
      </w:r>
    </w:p>
    <w:p>
      <w:pPr>
        <w:spacing w:after="0" w:line="78"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 xml:space="preserve">For a more complete discussion of the restrictions on sales of shares of Vringo common stock received by Innovate/Protect stockholders in the Merger, see the section entitled “The Merger — Restrictions on Sales of Shares of Vringo Common Stock Received by Innovate/Protect Stockholders in the Merger”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was the role of the Vringo board of directors in connection with the Merger?</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addition to reviewing, evaluating and negotiating the terms and conditions of the Merger and considering the interests of Vringo’s directors and executive officers in the Merger, the Vringo board of directors conducted a review of all strategic alternatives for Vringo in an effort to maximize stockholder</w:t>
      </w:r>
    </w:p>
    <w:p>
      <w:pPr>
        <w:spacing w:after="0" w:line="200" w:lineRule="exact"/>
        <w:rPr>
          <w:sz w:val="20"/>
          <w:szCs w:val="20"/>
          <w:color w:val="auto"/>
        </w:rPr>
      </w:pPr>
    </w:p>
    <w:p>
      <w:pPr>
        <w:spacing w:after="0" w:line="290"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right="1239"/>
        <w:spacing w:after="0" w:line="267" w:lineRule="auto"/>
        <w:rPr>
          <w:sz w:val="20"/>
          <w:szCs w:val="20"/>
          <w:color w:val="auto"/>
        </w:rPr>
      </w:pPr>
      <w:r>
        <w:rPr>
          <w:rFonts w:ascii="Arial" w:cs="Arial" w:eastAsia="Arial" w:hAnsi="Arial"/>
          <w:sz w:val="17"/>
          <w:szCs w:val="17"/>
          <w:color w:val="auto"/>
        </w:rPr>
        <w:t>value, including continuing Vringo as a stand-alone publicly traded company and entering into strategic transactions with number of other operating companies.</w:t>
      </w:r>
    </w:p>
    <w:p>
      <w:pPr>
        <w:spacing w:after="0" w:line="66"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The Vringo board of directors recommends that the Merger Agreement and the transactions contemplated thereby, including the Merger, be approved by the stockholders of Vringo. The Vringo board of directors made its recommendation to the Vringo stockholders after considering the factors described in the section entitled “The Merger — Recommendations of the Vringo Board of Directors and its Reasons for the Merger.”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proposals are Vringo stockholders being asked to consider?</w:t>
      </w:r>
    </w:p>
    <w:p>
      <w:pPr>
        <w:spacing w:after="0" w:line="109" w:lineRule="exact"/>
        <w:rPr>
          <w:sz w:val="20"/>
          <w:szCs w:val="20"/>
          <w:color w:val="auto"/>
        </w:rPr>
      </w:pPr>
    </w:p>
    <w:p>
      <w:pPr>
        <w:jc w:val="both"/>
        <w:ind w:left="260" w:right="1239" w:hanging="250"/>
        <w:spacing w:after="0" w:line="281" w:lineRule="auto"/>
        <w:tabs>
          <w:tab w:leader="none" w:pos="260"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As a condition to the completion of the Merger, Vringo stockholders must approve (i) the Merger, including, but not limited to the issuance of shares of Vringo common stock and preferred stock and warrants (including the shares of common stock issuable upon conversion of the preferred stock and exercise of the warrants, as applicable) to the Innovate/Protect stockholders and warrantholder in connection with the Merger (the “</w:t>
      </w:r>
      <w:r>
        <w:rPr>
          <w:rFonts w:ascii="Arial" w:cs="Arial" w:eastAsia="Arial" w:hAnsi="Arial"/>
          <w:sz w:val="15"/>
          <w:szCs w:val="15"/>
          <w:b w:val="1"/>
          <w:bCs w:val="1"/>
          <w:color w:val="auto"/>
        </w:rPr>
        <w:t>Securities Issuance Proposal</w:t>
      </w:r>
      <w:r>
        <w:rPr>
          <w:rFonts w:ascii="Arial" w:cs="Arial" w:eastAsia="Arial" w:hAnsi="Arial"/>
          <w:sz w:val="15"/>
          <w:szCs w:val="15"/>
          <w:color w:val="auto"/>
        </w:rPr>
        <w:t>”), which approval requires the affirmative vote of the holders of a majority of the shares of Vringo common stock present and entitled to vote on the matter either in person or by proxy at the Vringo annual meeting, (ii) an amendment to the Vringo amended and restated certificate of incorporation (the “</w:t>
      </w:r>
      <w:r>
        <w:rPr>
          <w:rFonts w:ascii="Arial" w:cs="Arial" w:eastAsia="Arial" w:hAnsi="Arial"/>
          <w:sz w:val="15"/>
          <w:szCs w:val="15"/>
          <w:b w:val="1"/>
          <w:bCs w:val="1"/>
          <w:color w:val="auto"/>
        </w:rPr>
        <w:t>Vringo’s Certificate</w:t>
      </w:r>
      <w:r>
        <w:rPr>
          <w:rFonts w:ascii="Arial" w:cs="Arial" w:eastAsia="Arial" w:hAnsi="Arial"/>
          <w:sz w:val="15"/>
          <w:szCs w:val="15"/>
          <w:color w:val="auto"/>
        </w:rPr>
        <w:t>”) to effect a reverse stock split of Vringo issued and outstanding common stock within the range of one-for-two to one-for-four (with the exact amount to be determined by Innovate/Protect prior to the completion of the Merger based on the requirements of the NYSE MKT) (the “</w:t>
      </w:r>
      <w:r>
        <w:rPr>
          <w:rFonts w:ascii="Arial" w:cs="Arial" w:eastAsia="Arial" w:hAnsi="Arial"/>
          <w:sz w:val="15"/>
          <w:szCs w:val="15"/>
          <w:b w:val="1"/>
          <w:bCs w:val="1"/>
          <w:color w:val="auto"/>
        </w:rPr>
        <w:t>Reverse Stock Split Proposal</w:t>
      </w:r>
      <w:r>
        <w:rPr>
          <w:rFonts w:ascii="Arial" w:cs="Arial" w:eastAsia="Arial" w:hAnsi="Arial"/>
          <w:sz w:val="15"/>
          <w:szCs w:val="15"/>
          <w:color w:val="auto"/>
        </w:rPr>
        <w:t>”), which approval requires the affirmative vote of the holders of a majority of the shares of Vringo common stock outstanding and entitled to vote on the matter, and (iii) an amendment to Vringo’s Certificate to increase the number of authorized shares of Vringo common stock from 28,000,000 to up to a maximum of 150,000,000 shares (with the exact amount to be determined by Innovate/Protect prior to the completion of the Merger) (the “</w:t>
      </w:r>
      <w:r>
        <w:rPr>
          <w:rFonts w:ascii="Arial" w:cs="Arial" w:eastAsia="Arial" w:hAnsi="Arial"/>
          <w:sz w:val="15"/>
          <w:szCs w:val="15"/>
          <w:b w:val="1"/>
          <w:bCs w:val="1"/>
          <w:color w:val="auto"/>
        </w:rPr>
        <w:t>Authorized Shares Increase Proposal</w:t>
      </w:r>
      <w:r>
        <w:rPr>
          <w:rFonts w:ascii="Arial" w:cs="Arial" w:eastAsia="Arial" w:hAnsi="Arial"/>
          <w:sz w:val="15"/>
          <w:szCs w:val="15"/>
          <w:color w:val="auto"/>
        </w:rPr>
        <w:t>”), which approval requires the affirmative vote of the holders of a majority of the shares of Vringo common stock outstanding and entitled to vote on the matter. In addition, Vringo stockholders are being asked to (i)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 (the “</w:t>
      </w:r>
      <w:r>
        <w:rPr>
          <w:rFonts w:ascii="Arial" w:cs="Arial" w:eastAsia="Arial" w:hAnsi="Arial"/>
          <w:sz w:val="15"/>
          <w:szCs w:val="15"/>
          <w:b w:val="1"/>
          <w:bCs w:val="1"/>
          <w:color w:val="auto"/>
        </w:rPr>
        <w:t>Election of Directors Proposal</w:t>
      </w:r>
      <w:r>
        <w:rPr>
          <w:rFonts w:ascii="Arial" w:cs="Arial" w:eastAsia="Arial" w:hAnsi="Arial"/>
          <w:sz w:val="15"/>
          <w:szCs w:val="15"/>
          <w:color w:val="auto"/>
        </w:rPr>
        <w:t>”), (ii) to approve the Vringo, Inc. 2012 Employee, Director and Consultant Equity Incentive Plan (the “</w:t>
      </w:r>
      <w:r>
        <w:rPr>
          <w:rFonts w:ascii="Arial" w:cs="Arial" w:eastAsia="Arial" w:hAnsi="Arial"/>
          <w:sz w:val="15"/>
          <w:szCs w:val="15"/>
          <w:b w:val="1"/>
          <w:bCs w:val="1"/>
          <w:color w:val="auto"/>
        </w:rPr>
        <w:t>2012 Equity Incentive Plan</w:t>
      </w:r>
      <w:r>
        <w:rPr>
          <w:rFonts w:ascii="Arial" w:cs="Arial" w:eastAsia="Arial" w:hAnsi="Arial"/>
          <w:sz w:val="15"/>
          <w:szCs w:val="15"/>
          <w:color w:val="auto"/>
        </w:rPr>
        <w:t xml:space="preserve">,” which is described in the section entitled “Vringo Proposal No. 5: Approval of the 2012 Equity Incentive Plan” and attached to this proxy statement/prospectus as </w:t>
      </w:r>
      <w:r>
        <w:rPr>
          <w:rFonts w:ascii="Arial" w:cs="Arial" w:eastAsia="Arial" w:hAnsi="Arial"/>
          <w:sz w:val="15"/>
          <w:szCs w:val="15"/>
          <w:u w:val="single" w:color="auto"/>
          <w:color w:val="auto"/>
        </w:rPr>
        <w:t>Annex D</w:t>
      </w:r>
      <w:r>
        <w:rPr>
          <w:rFonts w:ascii="Arial" w:cs="Arial" w:eastAsia="Arial" w:hAnsi="Arial"/>
          <w:sz w:val="15"/>
          <w:szCs w:val="15"/>
          <w:color w:val="auto"/>
        </w:rPr>
        <w:t xml:space="preserve"> (the “</w:t>
      </w:r>
      <w:r>
        <w:rPr>
          <w:rFonts w:ascii="Arial" w:cs="Arial" w:eastAsia="Arial" w:hAnsi="Arial"/>
          <w:sz w:val="15"/>
          <w:szCs w:val="15"/>
          <w:b w:val="1"/>
          <w:bCs w:val="1"/>
          <w:color w:val="auto"/>
        </w:rPr>
        <w:t>2012 Equity Incentive Plan</w:t>
      </w:r>
      <w:r>
        <w:rPr>
          <w:rFonts w:ascii="Arial" w:cs="Arial" w:eastAsia="Arial" w:hAnsi="Arial"/>
          <w:sz w:val="15"/>
          <w:szCs w:val="15"/>
          <w:color w:val="auto"/>
        </w:rPr>
        <w:t xml:space="preserve"> </w:t>
      </w:r>
      <w:r>
        <w:rPr>
          <w:rFonts w:ascii="Arial" w:cs="Arial" w:eastAsia="Arial" w:hAnsi="Arial"/>
          <w:sz w:val="15"/>
          <w:szCs w:val="15"/>
          <w:b w:val="1"/>
          <w:bCs w:val="1"/>
          <w:color w:val="auto"/>
        </w:rPr>
        <w:t>Proposal</w:t>
      </w:r>
      <w:r>
        <w:rPr>
          <w:rFonts w:ascii="Arial" w:cs="Arial" w:eastAsia="Arial" w:hAnsi="Arial"/>
          <w:sz w:val="15"/>
          <w:szCs w:val="15"/>
          <w:color w:val="auto"/>
        </w:rPr>
        <w:t>”) and (iii) to ratify the appointment of Somekh Chaikin, a member firm of KPMG International, as Vringo’s</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registered public accounting firm for the fiscal year ending December 31, 2012 (the “</w:t>
      </w:r>
      <w:r>
        <w:rPr>
          <w:rFonts w:ascii="Arial" w:cs="Arial" w:eastAsia="Arial" w:hAnsi="Arial"/>
          <w:sz w:val="15"/>
          <w:szCs w:val="15"/>
          <w:b w:val="1"/>
          <w:bCs w:val="1"/>
          <w:color w:val="auto"/>
        </w:rPr>
        <w:t>Ratification of the</w:t>
      </w:r>
      <w:r>
        <w:rPr>
          <w:rFonts w:ascii="Arial" w:cs="Arial" w:eastAsia="Arial" w:hAnsi="Arial"/>
          <w:sz w:val="15"/>
          <w:szCs w:val="15"/>
          <w:color w:val="auto"/>
        </w:rPr>
        <w:t xml:space="preserve"> </w:t>
      </w:r>
      <w:r>
        <w:rPr>
          <w:rFonts w:ascii="Arial" w:cs="Arial" w:eastAsia="Arial" w:hAnsi="Arial"/>
          <w:sz w:val="15"/>
          <w:szCs w:val="15"/>
          <w:b w:val="1"/>
          <w:bCs w:val="1"/>
          <w:color w:val="auto"/>
        </w:rPr>
        <w:t>Appointment of Vringo’s Independent Registered Public Accounting Firm Proposal</w:t>
      </w:r>
      <w:r>
        <w:rPr>
          <w:rFonts w:ascii="Arial" w:cs="Arial" w:eastAsia="Arial" w:hAnsi="Arial"/>
          <w:sz w:val="15"/>
          <w:szCs w:val="15"/>
          <w:color w:val="auto"/>
        </w:rPr>
        <w:t>”). The Securities Issuance Proposal,</w:t>
      </w:r>
      <w:r>
        <w:rPr>
          <w:rFonts w:ascii="Arial" w:cs="Arial" w:eastAsia="Arial" w:hAnsi="Arial"/>
          <w:sz w:val="15"/>
          <w:szCs w:val="15"/>
          <w:b w:val="1"/>
          <w:bCs w:val="1"/>
          <w:color w:val="auto"/>
        </w:rPr>
        <w:t xml:space="preserve"> </w:t>
      </w:r>
      <w:r>
        <w:rPr>
          <w:rFonts w:ascii="Arial" w:cs="Arial" w:eastAsia="Arial" w:hAnsi="Arial"/>
          <w:sz w:val="15"/>
          <w:szCs w:val="15"/>
          <w:color w:val="auto"/>
        </w:rPr>
        <w:t>the Reverse Stock Split Proposal, and the Authorized Shares Increase Proposal are collectively referred to herein as the “</w:t>
      </w:r>
      <w:r>
        <w:rPr>
          <w:rFonts w:ascii="Arial" w:cs="Arial" w:eastAsia="Arial" w:hAnsi="Arial"/>
          <w:sz w:val="15"/>
          <w:szCs w:val="15"/>
          <w:b w:val="1"/>
          <w:bCs w:val="1"/>
          <w:color w:val="auto"/>
        </w:rPr>
        <w:t>Vringo</w:t>
      </w:r>
      <w:r>
        <w:rPr>
          <w:rFonts w:ascii="Arial" w:cs="Arial" w:eastAsia="Arial" w:hAnsi="Arial"/>
          <w:sz w:val="15"/>
          <w:szCs w:val="15"/>
          <w:color w:val="auto"/>
        </w:rPr>
        <w:t xml:space="preserve"> </w:t>
      </w:r>
      <w:r>
        <w:rPr>
          <w:rFonts w:ascii="Arial" w:cs="Arial" w:eastAsia="Arial" w:hAnsi="Arial"/>
          <w:sz w:val="15"/>
          <w:szCs w:val="15"/>
          <w:b w:val="1"/>
          <w:bCs w:val="1"/>
          <w:color w:val="auto"/>
        </w:rPr>
        <w:t>Merger Proposals</w:t>
      </w:r>
      <w:r>
        <w:rPr>
          <w:rFonts w:ascii="Arial" w:cs="Arial" w:eastAsia="Arial" w:hAnsi="Arial"/>
          <w:sz w:val="15"/>
          <w:szCs w:val="15"/>
          <w:color w:val="auto"/>
        </w:rPr>
        <w:t>.”</w:t>
      </w:r>
    </w:p>
    <w:p>
      <w:pPr>
        <w:spacing w:after="0" w:line="262" w:lineRule="exact"/>
        <w:rPr>
          <w:sz w:val="20"/>
          <w:szCs w:val="20"/>
          <w:color w:val="auto"/>
        </w:rPr>
      </w:pPr>
    </w:p>
    <w:p>
      <w:pPr>
        <w:ind w:left="260" w:right="1239" w:hanging="250"/>
        <w:spacing w:after="0" w:line="272" w:lineRule="auto"/>
        <w:tabs>
          <w:tab w:leader="none" w:pos="2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What stockholder approvals are required for the adjournment of the Vringo annual meeting, if necessary, to solicit additional proxies if there are not sufficient votes in favor of the Vringo Merger Proposals?</w:t>
      </w:r>
    </w:p>
    <w:p>
      <w:pPr>
        <w:spacing w:after="0" w:line="62" w:lineRule="exact"/>
        <w:rPr>
          <w:sz w:val="20"/>
          <w:szCs w:val="20"/>
          <w:color w:val="auto"/>
        </w:rPr>
      </w:pPr>
    </w:p>
    <w:p>
      <w:pPr>
        <w:ind w:left="260" w:right="1239" w:hanging="250"/>
        <w:spacing w:after="0" w:line="267" w:lineRule="auto"/>
        <w:tabs>
          <w:tab w:leader="none" w:pos="2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shares of Vringo common stock present and entitled to vote either in person or by proxy at the Vringo annual meeting must vote in favor of any adjournment of the Vringo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conditions must be satisfied or waived to complete the Merger?</w:t>
      </w:r>
    </w:p>
    <w:p>
      <w:pPr>
        <w:spacing w:after="0" w:line="109" w:lineRule="exact"/>
        <w:rPr>
          <w:sz w:val="20"/>
          <w:szCs w:val="20"/>
          <w:color w:val="auto"/>
        </w:rPr>
      </w:pPr>
    </w:p>
    <w:p>
      <w:pPr>
        <w:jc w:val="both"/>
        <w:ind w:left="260" w:right="1239" w:hanging="250"/>
        <w:spacing w:after="0" w:line="292" w:lineRule="auto"/>
        <w:tabs>
          <w:tab w:leader="none" w:pos="260" w:val="left"/>
        </w:tabs>
        <w:numPr>
          <w:ilvl w:val="0"/>
          <w:numId w:val="22"/>
        </w:numPr>
        <w:rPr>
          <w:rFonts w:ascii="Arial" w:cs="Arial" w:eastAsia="Arial" w:hAnsi="Arial"/>
          <w:sz w:val="15"/>
          <w:szCs w:val="15"/>
          <w:b w:val="1"/>
          <w:bCs w:val="1"/>
          <w:color w:val="auto"/>
        </w:rPr>
      </w:pPr>
      <w:r>
        <w:rPr>
          <w:rFonts w:ascii="Arial" w:cs="Arial" w:eastAsia="Arial" w:hAnsi="Arial"/>
          <w:sz w:val="15"/>
          <w:szCs w:val="15"/>
          <w:color w:val="auto"/>
        </w:rPr>
        <w:t>In order to complete the Merger, each of the closing conditions contained in the Merger Agreement must be satisfied or waived (to the extent permitted by applicable law). Among the closing conditions is the requirement that (i) the stockholders of each of Vringo and Innovate/Protect have approved the Merger and the Merger Agreement; (ii) this proxy statement/prospectus has become effective; (iii) the shares of Vringo common stock to be issued in the Merger have been approved for listing on the NYSE MKT (formerly, NYSE Amex); (iv) Vringo or Innovate/Protect, as applicable, shall have entered into certain</w:t>
      </w:r>
    </w:p>
    <w:p>
      <w:pPr>
        <w:spacing w:after="0" w:line="200" w:lineRule="exact"/>
        <w:rPr>
          <w:sz w:val="20"/>
          <w:szCs w:val="20"/>
          <w:color w:val="auto"/>
        </w:rPr>
      </w:pPr>
    </w:p>
    <w:p>
      <w:pPr>
        <w:spacing w:after="0" w:line="267"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81" w:lineRule="auto"/>
        <w:rPr>
          <w:sz w:val="20"/>
          <w:szCs w:val="20"/>
          <w:color w:val="auto"/>
        </w:rPr>
      </w:pPr>
      <w:r>
        <w:rPr>
          <w:rFonts w:ascii="Arial" w:cs="Arial" w:eastAsia="Arial" w:hAnsi="Arial"/>
          <w:sz w:val="15"/>
          <w:szCs w:val="15"/>
          <w:color w:val="auto"/>
        </w:rPr>
        <w:t>agreements amending and restating the existing indebtedness of Innovate/Protect; (v) the representations and warranties of each party contained in the Merger Agreement are true and correct in all material respects; (vi) each party shall have performed or complied in all material respects with all agreements and covenants under the Merger Agreement; (vii) the receipt of all necessary consents and approvals; (viii) the absence of an Innovate/Protect Material Adverse Effect or a Vringo Material Adverse Effect (as each term is defined in the Merger Agreement), as the case may be; (ix) Vringo shall have received written resignations from all of the directors and officers of Innovate/Protect and its subsidiaries; (x)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w:t>
      </w:r>
    </w:p>
    <w:p>
      <w:pPr>
        <w:spacing w:after="0" w:line="1" w:lineRule="exact"/>
        <w:rPr>
          <w:sz w:val="20"/>
          <w:szCs w:val="20"/>
          <w:color w:val="auto"/>
        </w:rPr>
      </w:pPr>
    </w:p>
    <w:p>
      <w:pPr>
        <w:jc w:val="both"/>
        <w:ind w:left="260" w:right="1239"/>
        <w:spacing w:after="0" w:line="263" w:lineRule="auto"/>
        <w:tabs>
          <w:tab w:leader="none" w:pos="4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since the date of the Merger Agreement, (a)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 (B) assigned, promised, transferred, conveyed, encumbered, or granted a security interest in any of those claims and (b) there has been no dismissal (including, without limitation, by motion to dismiss or summary judgment) of the Litigation; (xi) holders of no more than 10% of the issued and outstanding Innovate/Protect capital stock shall have demanded and perfected their right to an appraisal of Innovate/Protect capital stock under the Delaware General Corporation Law; and (xii)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7" w:lineRule="exact"/>
        <w:rPr>
          <w:sz w:val="20"/>
          <w:szCs w:val="20"/>
          <w:color w:val="auto"/>
        </w:rPr>
      </w:pPr>
    </w:p>
    <w:p>
      <w:pPr>
        <w:ind w:left="300" w:right="1239"/>
        <w:spacing w:after="0" w:line="299" w:lineRule="auto"/>
        <w:rPr>
          <w:sz w:val="20"/>
          <w:szCs w:val="20"/>
          <w:color w:val="auto"/>
        </w:rPr>
      </w:pPr>
      <w:r>
        <w:rPr>
          <w:rFonts w:ascii="Arial" w:cs="Arial" w:eastAsia="Arial" w:hAnsi="Arial"/>
          <w:sz w:val="16"/>
          <w:szCs w:val="16"/>
          <w:color w:val="auto"/>
        </w:rPr>
        <w:t xml:space="preserve">For a more complete discussion of the conditions to the completion of the Merger under the Merger Agreement, see the section entitled “The Merger Agreement — Conditions to the Completion of the Merger” beginning on page </w:t>
      </w:r>
      <w:r>
        <w:rPr>
          <w:rFonts w:ascii="Arial" w:cs="Arial" w:eastAsia="Arial" w:hAnsi="Arial"/>
          <w:sz w:val="16"/>
          <w:szCs w:val="16"/>
          <w:u w:val="single" w:color="auto"/>
          <w:color w:val="0000EE"/>
        </w:rPr>
        <w:t>96</w:t>
      </w:r>
      <w:r>
        <w:rPr>
          <w:rFonts w:ascii="Arial" w:cs="Arial" w:eastAsia="Arial" w:hAnsi="Arial"/>
          <w:sz w:val="16"/>
          <w:szCs w:val="16"/>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is the reverse stock split and why is it necessary?</w:t>
      </w:r>
    </w:p>
    <w:p>
      <w:pPr>
        <w:spacing w:after="0" w:line="109" w:lineRule="exact"/>
        <w:rPr>
          <w:sz w:val="20"/>
          <w:szCs w:val="20"/>
          <w:color w:val="auto"/>
        </w:rPr>
      </w:pPr>
    </w:p>
    <w:p>
      <w:pPr>
        <w:jc w:val="both"/>
        <w:ind w:left="260" w:right="1239" w:hanging="250"/>
        <w:spacing w:after="0" w:line="282" w:lineRule="auto"/>
        <w:tabs>
          <w:tab w:leader="none" w:pos="260" w:val="left"/>
        </w:tabs>
        <w:numPr>
          <w:ilvl w:val="0"/>
          <w:numId w:val="24"/>
        </w:numPr>
        <w:rPr>
          <w:rFonts w:ascii="Arial" w:cs="Arial" w:eastAsia="Arial" w:hAnsi="Arial"/>
          <w:sz w:val="15"/>
          <w:szCs w:val="15"/>
          <w:b w:val="1"/>
          <w:bCs w:val="1"/>
          <w:color w:val="auto"/>
        </w:rPr>
      </w:pPr>
      <w:r>
        <w:rPr>
          <w:rFonts w:ascii="Arial" w:cs="Arial" w:eastAsia="Arial" w:hAnsi="Arial"/>
          <w:sz w:val="15"/>
          <w:szCs w:val="15"/>
          <w:color w:val="auto"/>
        </w:rPr>
        <w:t>If necessary to continue to list Vringo’s securities on the NYSE MKT, it is expected that immediately prior to the effective time of the Merger (the “</w:t>
      </w:r>
      <w:r>
        <w:rPr>
          <w:rFonts w:ascii="Arial" w:cs="Arial" w:eastAsia="Arial" w:hAnsi="Arial"/>
          <w:sz w:val="15"/>
          <w:szCs w:val="15"/>
          <w:b w:val="1"/>
          <w:bCs w:val="1"/>
          <w:color w:val="auto"/>
        </w:rPr>
        <w:t>Effective Time</w:t>
      </w:r>
      <w:r>
        <w:rPr>
          <w:rFonts w:ascii="Arial" w:cs="Arial" w:eastAsia="Arial" w:hAnsi="Arial"/>
          <w:sz w:val="15"/>
          <w:szCs w:val="15"/>
          <w:color w:val="auto"/>
        </w:rPr>
        <w:t>”), Vringo will effect a reverse stock split within the range of one-for-two to one-for-four (with the exact ratio to be determined immediately prior to the completion of the Merger based on the requirements of the NYSE MKT). The Vringo board of directors believes that stockholder approval of an amendment granting this discretion, rather than approval of a specified ratio, provides the appropriate flexibility to react to then-current market conditions and NYSE MKT’s requirements for continued listing therefore, is in the best interests of Vringo and its stockholders. In addition, Vringo may elect not to undertake a reverse stock split. The Merger constitutes a “reverse merger” under applicable rules and regulations established by the NYSE MKT, which requires the combined company to comply with the initial listing standards of the rules and regulations established by NYSE MKT to continue to be listed on such market following the Merger. Vringo common stock is required to be listed on the NYSE MKT as a condition to closing the Merger. The NYSE MKT’s initial listing standards require a company to have, among other things, a $3.00 per share minimum bid price. Because the per share price of Vringo common stock may be less than $3.00, the reverse stock split may be necessary to meet the minimum bid listing requirement. From April 9, 2012 until May 18, 2012 the Vringo common stock had a closing price of $3.00 or above for each trading day. On June 20, 2012, the closing price of Vringo common stock was $4.19. If the Vringo common stock continues to trade at or above $3.00 at the time of the Merger, Vringo does not anticipate that it will need to undertake a reverse stock split, even if Vringo obtains stockholder approval to do so.</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 Why is Vringo seeking to amend Vringo’s Certificate to increase the number of authorized shares of its common stock?</w:t>
      </w:r>
    </w:p>
    <w:p>
      <w:pPr>
        <w:spacing w:after="0" w:line="132" w:lineRule="exact"/>
        <w:rPr>
          <w:sz w:val="20"/>
          <w:szCs w:val="20"/>
          <w:color w:val="auto"/>
        </w:rPr>
      </w:pPr>
    </w:p>
    <w:p>
      <w:pPr>
        <w:jc w:val="both"/>
        <w:ind w:left="260" w:right="1239" w:hanging="250"/>
        <w:spacing w:after="0" w:line="297" w:lineRule="auto"/>
        <w:tabs>
          <w:tab w:leader="none" w:pos="260" w:val="left"/>
        </w:tabs>
        <w:numPr>
          <w:ilvl w:val="0"/>
          <w:numId w:val="25"/>
        </w:numPr>
        <w:rPr>
          <w:rFonts w:ascii="Arial" w:cs="Arial" w:eastAsia="Arial" w:hAnsi="Arial"/>
          <w:sz w:val="15"/>
          <w:szCs w:val="15"/>
          <w:b w:val="1"/>
          <w:bCs w:val="1"/>
          <w:color w:val="auto"/>
        </w:rPr>
      </w:pPr>
      <w:r>
        <w:rPr>
          <w:rFonts w:ascii="Arial" w:cs="Arial" w:eastAsia="Arial" w:hAnsi="Arial"/>
          <w:sz w:val="15"/>
          <w:szCs w:val="15"/>
          <w:color w:val="auto"/>
        </w:rPr>
        <w:t>In addition to the securities to be issued pursuant to the Merger, the Vringo board of directors desires to have additional shares available to provide flexibility to use its capital stock for business and financial purposes in the future. The approval of an amendment to Vringo’s Certificate to increase the number of authorized shares of Vringo common stock (which is the subject of the Authorized Shares Increase Proposal) is one of the conditions to the completion of the Merger.</w:t>
      </w:r>
    </w:p>
    <w:p>
      <w:pPr>
        <w:spacing w:after="0" w:line="200" w:lineRule="exact"/>
        <w:rPr>
          <w:sz w:val="20"/>
          <w:szCs w:val="20"/>
          <w:color w:val="auto"/>
        </w:rPr>
      </w:pPr>
    </w:p>
    <w:p>
      <w:pPr>
        <w:spacing w:after="0" w:line="262"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will be the directors of Vringo if the Merger does not close?</w:t>
      </w:r>
    </w:p>
    <w:p>
      <w:pPr>
        <w:spacing w:after="0" w:line="109" w:lineRule="exact"/>
        <w:rPr>
          <w:sz w:val="20"/>
          <w:szCs w:val="20"/>
          <w:color w:val="auto"/>
        </w:rPr>
      </w:pPr>
    </w:p>
    <w:p>
      <w:pPr>
        <w:jc w:val="both"/>
        <w:ind w:left="260" w:right="1239" w:hanging="250"/>
        <w:spacing w:after="0" w:line="280" w:lineRule="auto"/>
        <w:tabs>
          <w:tab w:leader="none" w:pos="2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election of the seven (7) director nominees is contingent upon the approval of the Merger by the stockholders and the completion of the Merger. If the Merger is not approved by the Vringo stockholders or the Merger does not close, then the current directors of Vringo will continue in office and Vringo will hold another stockholders meeting to elect directors.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When does Vringo expect to complete the Merger?</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Vringo expects to complete the Merger as soon as possible following the approval of the Vringo Merger Proposals at the annual meeting, assuming the satisfaction or waiver of all other closing conditions contained in the Merger Agreement. It is possible, therefore, that factors outside of each company’s control could require Vringo to complete the Merger at a later time or not complete it at all.</w:t>
      </w:r>
    </w:p>
    <w:p>
      <w:pPr>
        <w:spacing w:after="0" w:line="74" w:lineRule="exact"/>
        <w:rPr>
          <w:sz w:val="20"/>
          <w:szCs w:val="20"/>
          <w:color w:val="auto"/>
        </w:rPr>
      </w:pPr>
    </w:p>
    <w:p>
      <w:pPr>
        <w:ind w:left="260" w:right="1239" w:hanging="250"/>
        <w:spacing w:after="0" w:line="272" w:lineRule="auto"/>
        <w:tabs>
          <w:tab w:leader="none" w:pos="2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How does the Vringo board of directors recommend that Vringo stockholders vote with respect to each of the proposals and the adjournment of the Vringo annual meeting?</w:t>
      </w:r>
    </w:p>
    <w:p>
      <w:pPr>
        <w:spacing w:after="0" w:line="62" w:lineRule="exact"/>
        <w:rPr>
          <w:sz w:val="20"/>
          <w:szCs w:val="20"/>
          <w:color w:val="auto"/>
        </w:rPr>
      </w:pPr>
    </w:p>
    <w:p>
      <w:pPr>
        <w:jc w:val="both"/>
        <w:ind w:left="260" w:right="1239" w:hanging="250"/>
        <w:spacing w:after="0" w:line="287" w:lineRule="auto"/>
        <w:tabs>
          <w:tab w:leader="none" w:pos="260" w:val="left"/>
        </w:tabs>
        <w:numPr>
          <w:ilvl w:val="0"/>
          <w:numId w:val="29"/>
        </w:numPr>
        <w:rPr>
          <w:rFonts w:ascii="Arial" w:cs="Arial" w:eastAsia="Arial" w:hAnsi="Arial"/>
          <w:sz w:val="15"/>
          <w:szCs w:val="15"/>
          <w:b w:val="1"/>
          <w:bCs w:val="1"/>
          <w:color w:val="auto"/>
        </w:rPr>
      </w:pPr>
      <w:r>
        <w:rPr>
          <w:rFonts w:ascii="Arial" w:cs="Arial" w:eastAsia="Arial" w:hAnsi="Arial"/>
          <w:sz w:val="15"/>
          <w:szCs w:val="15"/>
          <w:color w:val="auto"/>
        </w:rPr>
        <w:t>The Vringo board of directors unanimously recommends that the Vringo stockholders vote FOR the Securities Issuance Proposal, FOR the Reverse Stock Split Proposal, FOR the Authorized Shares Increase Proposal, FOR the election of the seven</w:t>
      </w:r>
    </w:p>
    <w:p>
      <w:pPr>
        <w:jc w:val="both"/>
        <w:ind w:left="260" w:right="1239"/>
        <w:spacing w:after="0" w:line="247" w:lineRule="auto"/>
        <w:tabs>
          <w:tab w:leader="none" w:pos="513"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director nominees as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 after considering the factors described in this proxy statement/prospectus.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risks should I consider in deciding whether to vote in favor of the Vringo Merger Proposals?</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 xml:space="preserve">You should carefully review the section of this proxy statement/prospectus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 which presents risks and uncertainties related to the Merger, the combined company, and the business and operations of each of Vringo and Innovate/Protect.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are the material federal income tax consequences of the Merger to me?</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The Merger is intended to qualify as a “reorganization” within the meaning of Section 368(a)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Mintz, Levin, Cohn, Ferris, Glovsky and Popeo, P.C. has rendered its written opinion regarding such qualification. As a result of the reorganization, Vringo stockholders generally will not recognize gain or loss for U.S. federal income tax purposes as a result of the Merger.</w:t>
      </w:r>
    </w:p>
    <w:p>
      <w:pPr>
        <w:spacing w:after="0" w:line="7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200" w:lineRule="exact"/>
        <w:rPr>
          <w:sz w:val="20"/>
          <w:szCs w:val="20"/>
          <w:color w:val="auto"/>
        </w:rPr>
      </w:pPr>
    </w:p>
    <w:p>
      <w:pPr>
        <w:spacing w:after="0" w:line="284"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b w:val="1"/>
          <w:b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b w:val="1"/>
          <w:bCs w:val="1"/>
          <w:u w:val="single" w:color="auto"/>
          <w:color w:val="0000EE"/>
        </w:rPr>
        <w:t>86</w:t>
      </w:r>
      <w:r>
        <w:rPr>
          <w:rFonts w:ascii="Arial" w:cs="Arial" w:eastAsia="Arial" w:hAnsi="Arial"/>
          <w:sz w:val="16"/>
          <w:szCs w:val="16"/>
          <w:b w:val="1"/>
          <w:bCs w:val="1"/>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Do I have appraisal rights in connection with the Merger?</w:t>
      </w:r>
    </w:p>
    <w:p>
      <w:pPr>
        <w:spacing w:after="0" w:line="105" w:lineRule="exact"/>
        <w:rPr>
          <w:sz w:val="20"/>
          <w:szCs w:val="20"/>
          <w:color w:val="auto"/>
        </w:rPr>
      </w:pPr>
    </w:p>
    <w:p>
      <w:pPr>
        <w:jc w:val="both"/>
        <w:ind w:left="260" w:right="1239" w:hanging="250"/>
        <w:spacing w:after="0" w:line="309" w:lineRule="auto"/>
        <w:tabs>
          <w:tab w:leader="none" w:pos="260" w:val="left"/>
        </w:tabs>
        <w:numPr>
          <w:ilvl w:val="0"/>
          <w:numId w:val="32"/>
        </w:numPr>
        <w:rPr>
          <w:rFonts w:ascii="Arial" w:cs="Arial" w:eastAsia="Arial" w:hAnsi="Arial"/>
          <w:sz w:val="15"/>
          <w:szCs w:val="15"/>
          <w:b w:val="1"/>
          <w:bCs w:val="1"/>
          <w:color w:val="auto"/>
        </w:rPr>
      </w:pPr>
      <w:r>
        <w:rPr>
          <w:rFonts w:ascii="Arial" w:cs="Arial" w:eastAsia="Arial" w:hAnsi="Arial"/>
          <w:sz w:val="15"/>
          <w:szCs w:val="15"/>
          <w:color w:val="auto"/>
        </w:rPr>
        <w:t>Under the Delaware General Corporation Law, (the “</w:t>
      </w:r>
      <w:r>
        <w:rPr>
          <w:rFonts w:ascii="Arial" w:cs="Arial" w:eastAsia="Arial" w:hAnsi="Arial"/>
          <w:sz w:val="15"/>
          <w:szCs w:val="15"/>
          <w:b w:val="1"/>
          <w:bCs w:val="1"/>
          <w:color w:val="auto"/>
        </w:rPr>
        <w:t>DGCL</w:t>
      </w:r>
      <w:r>
        <w:rPr>
          <w:rFonts w:ascii="Arial" w:cs="Arial" w:eastAsia="Arial" w:hAnsi="Arial"/>
          <w:sz w:val="15"/>
          <w:szCs w:val="15"/>
          <w:color w:val="auto"/>
        </w:rPr>
        <w:t>”),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When and where will the Vringo annual meeting take place?</w:t>
      </w:r>
    </w:p>
    <w:p>
      <w:pPr>
        <w:spacing w:after="0" w:line="109" w:lineRule="exact"/>
        <w:rPr>
          <w:sz w:val="20"/>
          <w:szCs w:val="20"/>
          <w:color w:val="auto"/>
        </w:rPr>
      </w:pPr>
    </w:p>
    <w:p>
      <w:pPr>
        <w:ind w:left="260" w:right="1239" w:hanging="250"/>
        <w:spacing w:after="0" w:line="299" w:lineRule="auto"/>
        <w:tabs>
          <w:tab w:leader="none" w:pos="2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The Vringo annual meeting will be held on July 19, 2012 at 10:00 a.m., local time, at the offices of Mintz, Levin, Cohn, Ferris, Glovsky and Popeo, P.C., the Chrysler Center, 666 Third Avenue, 32nd floor, New York, New York 10017.</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can attend and vote at the stockholder meetings?</w:t>
      </w:r>
    </w:p>
    <w:p>
      <w:pPr>
        <w:spacing w:after="0" w:line="109" w:lineRule="exact"/>
        <w:rPr>
          <w:sz w:val="20"/>
          <w:szCs w:val="20"/>
          <w:color w:val="auto"/>
        </w:rPr>
      </w:pPr>
    </w:p>
    <w:p>
      <w:pPr>
        <w:ind w:left="260" w:right="1239" w:hanging="250"/>
        <w:spacing w:after="0" w:line="267" w:lineRule="auto"/>
        <w:tabs>
          <w:tab w:leader="none" w:pos="26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All Vringo stockholders of record as of the close of business on June 8, 2012, the record date for the Vringo annual meeting, are entitled to receive notice of and to vote at the Vringo annual meeting.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do I need to do now and how do I vote?</w:t>
      </w:r>
    </w:p>
    <w:p>
      <w:pPr>
        <w:spacing w:after="0" w:line="109" w:lineRule="exact"/>
        <w:rPr>
          <w:sz w:val="20"/>
          <w:szCs w:val="20"/>
          <w:color w:val="auto"/>
        </w:rPr>
      </w:pPr>
    </w:p>
    <w:p>
      <w:pPr>
        <w:ind w:left="260" w:right="1239" w:hanging="250"/>
        <w:spacing w:after="0" w:line="267" w:lineRule="auto"/>
        <w:tabs>
          <w:tab w:leader="none" w:pos="260"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Vringo urges you to read this proxy statement/prospectus carefully, including its annexes, and to consider how the Merger may affect you.</w:t>
      </w:r>
    </w:p>
    <w:p>
      <w:pPr>
        <w:spacing w:after="0" w:line="66" w:lineRule="exact"/>
        <w:rPr>
          <w:sz w:val="20"/>
          <w:szCs w:val="20"/>
          <w:color w:val="auto"/>
        </w:rPr>
      </w:pPr>
    </w:p>
    <w:p>
      <w:pPr>
        <w:jc w:val="both"/>
        <w:ind w:left="300" w:right="1239"/>
        <w:spacing w:after="0" w:line="297" w:lineRule="auto"/>
        <w:rPr>
          <w:sz w:val="20"/>
          <w:szCs w:val="20"/>
          <w:color w:val="auto"/>
        </w:rPr>
      </w:pPr>
      <w:r>
        <w:rPr>
          <w:rFonts w:ascii="Arial" w:cs="Arial" w:eastAsia="Arial" w:hAnsi="Arial"/>
          <w:sz w:val="15"/>
          <w:szCs w:val="15"/>
          <w:color w:val="auto"/>
        </w:rPr>
        <w:t>If you are a Vringo stockholder, you may vote by telephone or through the Internet by following the instructions included on your proxy card, you may indicate on the enclosed proxy card how you would like to vote, sign and return the proxy card in the enclosed postage-paid envelope, or you may attend the Vringo annual meeting in person. Please provide your proxy instructions only once and as soon as possible so that your shares can be voted at the Vringo annual meeting.</w:t>
      </w:r>
    </w:p>
    <w:p>
      <w:pPr>
        <w:spacing w:after="0" w:line="4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color w:val="auto"/>
        </w:rPr>
        <w:t>If you hold your shares in “street name,” please refer to your proxy card or the information forwarded by your broker or other nominee to see which options are available to you.</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happens if I do not submit my proxy or if I elect to abstain from voting?</w:t>
      </w:r>
    </w:p>
    <w:p>
      <w:pPr>
        <w:spacing w:after="0" w:line="109" w:lineRule="exact"/>
        <w:rPr>
          <w:sz w:val="20"/>
          <w:szCs w:val="20"/>
          <w:color w:val="auto"/>
        </w:rPr>
      </w:pPr>
    </w:p>
    <w:p>
      <w:pPr>
        <w:jc w:val="both"/>
        <w:ind w:left="260" w:right="1239" w:hanging="250"/>
        <w:spacing w:after="0" w:line="266" w:lineRule="auto"/>
        <w:tabs>
          <w:tab w:leader="none" w:pos="26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If you are a Vringo stockholder and you fail to submit your proxy (i) through the Internet, (ii) by telephone or (iii) by marking, signing and dating the enclosed proxy card and returning it in the enclosed postage-paid envelope, your shares will not be counted as present for the purpose of determining the presence of a quorum, which is required to transact business at the Vringo annual meeting, and your failure to take action will have no effect on the outcome of Vringo Proposal Nos. 1 (Securities Issuance Proposal), 4 (Election of Directors Proposal), 5 (2012 Equity Incentive Plan Proposal), 6 (Ratification of the Appointment of Vringo’s Independent Registered Public Accounting Firm Proposal) and 7 (adjournment to solicit additional proxies, if necessary). However, such failure to take action will have the same effect as voting AGAINST Vringo Proposal Nos. 2 (Reverse Stock Split Proposal) and 3 (Authorized Shares Increase Proposal).</w:t>
      </w:r>
    </w:p>
    <w:p>
      <w:pPr>
        <w:spacing w:after="0" w:line="73"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If you are a Vringo stockholder and you sign, date, and mail your proxy card without indicating how you wish to vote, your proxy will be counted as present for the purpose of determining the presence of a quorum for the Vringo annual meeting and all of your shares will be voted FOR Vringo Proposal Nos. 1, 2, 3, 4, 5, 6 and 7. However, if you submit a proxy card and affirmatively elect to abstain from voting, your proxy will be counted as present for the purpose of determining the presence of a quorum for the Vringo annual meeting, but will not be voted at the Vringo annual meeting. As a result, your abstention will have the same effect as voting AGAINST Vringo Proposal Nos. 1, 2, 3, 5 and 7 and will have no effect on Vringo Proposal Nos. 4 and 6.</w:t>
      </w:r>
    </w:p>
    <w:p>
      <w:pPr>
        <w:spacing w:after="0" w:line="200" w:lineRule="exact"/>
        <w:rPr>
          <w:sz w:val="20"/>
          <w:szCs w:val="20"/>
          <w:color w:val="auto"/>
        </w:rPr>
      </w:pPr>
    </w:p>
    <w:p>
      <w:pPr>
        <w:spacing w:after="0" w:line="29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260" w:right="1239" w:hanging="250"/>
        <w:spacing w:after="0" w:line="272" w:lineRule="auto"/>
        <w:tabs>
          <w:tab w:leader="none" w:pos="2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If my Vringo shares are held in “street name” by a broker or other nominee, will my broker or nominee vote my shares for me?</w:t>
      </w:r>
    </w:p>
    <w:p>
      <w:pPr>
        <w:spacing w:after="0" w:line="62" w:lineRule="exact"/>
        <w:rPr>
          <w:sz w:val="20"/>
          <w:szCs w:val="20"/>
          <w:color w:val="auto"/>
        </w:rPr>
      </w:pPr>
    </w:p>
    <w:p>
      <w:pPr>
        <w:jc w:val="both"/>
        <w:ind w:left="260" w:right="1239" w:hanging="250"/>
        <w:spacing w:after="0" w:line="292" w:lineRule="auto"/>
        <w:tabs>
          <w:tab w:leader="none" w:pos="260" w:val="left"/>
        </w:tabs>
        <w:numPr>
          <w:ilvl w:val="0"/>
          <w:numId w:val="38"/>
        </w:numPr>
        <w:rPr>
          <w:rFonts w:ascii="Arial" w:cs="Arial" w:eastAsia="Arial" w:hAnsi="Arial"/>
          <w:sz w:val="15"/>
          <w:szCs w:val="15"/>
          <w:b w:val="1"/>
          <w:bCs w:val="1"/>
          <w:color w:val="auto"/>
        </w:rPr>
      </w:pPr>
      <w:r>
        <w:rPr>
          <w:rFonts w:ascii="Arial" w:cs="Arial" w:eastAsia="Arial" w:hAnsi="Arial"/>
          <w:sz w:val="15"/>
          <w:szCs w:val="15"/>
          <w:color w:val="auto"/>
        </w:rPr>
        <w:t>If your Vringo shares are held in “street name” in a stock brokerage account or by another nominee, you must provide the record holder of your shares with instructions on how to vote your shares. Please follow the voting instructions provided by your broker or other nominee. Please note that you may not vote shares held in “street name” by returning a proxy card directly to Vringo or by voting in person at the Vringo annual meeting unless you provide a legal proxy, which you must obtain from your broker or other nominee that holds your shares giving you the right to vote the shares in person at the Vringo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May I vote in person?</w:t>
      </w:r>
    </w:p>
    <w:p>
      <w:pPr>
        <w:spacing w:after="0" w:line="109" w:lineRule="exact"/>
        <w:rPr>
          <w:sz w:val="20"/>
          <w:szCs w:val="20"/>
          <w:color w:val="auto"/>
        </w:rPr>
      </w:pPr>
    </w:p>
    <w:p>
      <w:pPr>
        <w:jc w:val="both"/>
        <w:ind w:left="260" w:right="1239" w:hanging="250"/>
        <w:spacing w:after="0" w:line="253" w:lineRule="auto"/>
        <w:tabs>
          <w:tab w:leader="none" w:pos="26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If you are a stockholder of Vringo and your shares of Vringo common stock are registered directly in your name with Vringo’s transfer agent, you are considered, with respect to those shares, the stockholder of record, and the proxy materials and proxy card are being sent directly to you by Vringo. If you are a Vringo stockholder of record, you may attend the Vringo annual meeting and vote your shares in person, rather than submitting your proxy.</w:t>
      </w:r>
    </w:p>
    <w:p>
      <w:pPr>
        <w:spacing w:after="0" w:line="78"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If your shares of Vringo common stock are held in a brokerage account or by another nominee, you are considered the beneficial owner of shares held in street name, and these proxy materials are being forwarded to you together with a voting instruction card. As the beneficial owner, you are also invited to attend the Vringo annual meeting. However, since a beneficial owner is not the stockholder of record, you may not vote these shares in person at the Vringo annual meeting unless you obtain a legal proxy from the broker or other nominee that holds your shares giving you the right to vote the shares in person at the Vringo annual meeting.</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May I revoke or change my vote after I have provided proxy instructions?</w:t>
      </w:r>
    </w:p>
    <w:p>
      <w:pPr>
        <w:spacing w:after="0" w:line="109" w:lineRule="exact"/>
        <w:rPr>
          <w:sz w:val="20"/>
          <w:szCs w:val="20"/>
          <w:color w:val="auto"/>
        </w:rPr>
      </w:pPr>
    </w:p>
    <w:p>
      <w:pPr>
        <w:jc w:val="both"/>
        <w:ind w:left="260" w:right="1239" w:hanging="250"/>
        <w:spacing w:after="0" w:line="267" w:lineRule="auto"/>
        <w:tabs>
          <w:tab w:leader="none" w:pos="26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Yes. You may revoke or change your vote at any time before your proxy is voted at the Vringo annual meeting. You can do this in one of four ways. First, you can send a written notice to Vringo stating that you would like to revoke your proxy. Second, you can submit a duly executed proxy bearing a later date or time than that of the previously submitted proxy. Third, you can submit a later dated vote by the Internet or telephone. Fourth, you can attend the Vringo annual meeting and vote in person. Your attendance alone at the Vringo annual meeting will not revoke your proxy. If you are a Vringo stockholder and have instructed a broker or other nominee to vote your shares, you must follow directions received from your broker or other nominee in order to change those instructions.</w:t>
      </w:r>
    </w:p>
    <w:p>
      <w:pPr>
        <w:spacing w:after="0" w:line="71"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If you are a beneficial owner of Vringo common stock, you may submit new voting instructions by contacting your broker or other nominee. You also may vote in person if you obtain a legal proxy. All shares that have been properly voted and not revoked will be voted at the Vringo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constitutes a quorum?</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Stockholders who hold a majority of the shares of Vringo common stock outstanding as of the close of business on the record date for the Vringo annual meeting must be present either in person or by proxy in order to constitute a quorum to conduct business at the Vringo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 is paying for this proxy solicitation?</w:t>
      </w:r>
    </w:p>
    <w:p>
      <w:pPr>
        <w:spacing w:after="0" w:line="109" w:lineRule="exact"/>
        <w:rPr>
          <w:sz w:val="20"/>
          <w:szCs w:val="20"/>
          <w:color w:val="auto"/>
        </w:rPr>
      </w:pPr>
    </w:p>
    <w:p>
      <w:pPr>
        <w:jc w:val="both"/>
        <w:ind w:left="260" w:right="1239" w:hanging="250"/>
        <w:spacing w:after="0" w:line="266" w:lineRule="auto"/>
        <w:tabs>
          <w:tab w:leader="none" w:pos="2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Vringo may also reimburse brokerage houses and other custodians, nominees and fiduciaries for their costs of soliciting and obtaining proxies from beneficial owners, including the costs of reimbursing brokerage houses and other custodians, nominees and fiduciaries for their costs of forwarding this proxy statement/prospectus and other solicitation materials to beneficial owners. In addition, proxies may be solicited without additional compensation by directors, officers and employees of Vringo by mail, telephone, fax, or other methods of communication. Vringo has retained Morrow &amp; Co., LLC (Morrow)</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56" w:lineRule="auto"/>
        <w:rPr>
          <w:sz w:val="20"/>
          <w:szCs w:val="20"/>
          <w:color w:val="auto"/>
        </w:rPr>
      </w:pPr>
      <w:r>
        <w:rPr>
          <w:rFonts w:ascii="Arial" w:cs="Arial" w:eastAsia="Arial" w:hAnsi="Arial"/>
          <w:sz w:val="17"/>
          <w:szCs w:val="17"/>
          <w:color w:val="auto"/>
        </w:rPr>
        <w:t>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Whom should I contact if I have any questions about the Merger or the Vringo annual meeting?</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If you have any questions about the Merger, the Vringo annual meeting, or if you need assistance in submitting your proxy or voting your shares or need additional copies of this proxy statement/prospectus or the enclosed proxy card, you should contact Vringo or Morrow, Vringo’s proxy solicitor.</w:t>
      </w:r>
    </w:p>
    <w:p>
      <w:pPr>
        <w:spacing w:after="0" w:line="76" w:lineRule="exact"/>
        <w:rPr>
          <w:sz w:val="20"/>
          <w:szCs w:val="20"/>
          <w:color w:val="auto"/>
        </w:rPr>
      </w:pPr>
    </w:p>
    <w:p>
      <w:pPr>
        <w:ind w:left="300" w:right="1239"/>
        <w:spacing w:after="0" w:line="253" w:lineRule="auto"/>
        <w:rPr>
          <w:sz w:val="20"/>
          <w:szCs w:val="20"/>
          <w:color w:val="auto"/>
        </w:rPr>
      </w:pPr>
      <w:r>
        <w:rPr>
          <w:rFonts w:ascii="Arial" w:cs="Arial" w:eastAsia="Arial" w:hAnsi="Arial"/>
          <w:sz w:val="17"/>
          <w:szCs w:val="17"/>
          <w:color w:val="auto"/>
        </w:rPr>
        <w:t>If you are a Vringo stockholder you should contact Vringo or Morrow, Vringo’s proxy solicitor, at the applicable address and telephone number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35483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4838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Vringo,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44 W. 28th Street, Suite 1414</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10001</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Attn: 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(646) 525-4319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Morrow &amp; Co., LLC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470 West Avenue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Stamford, Connecticut 06902</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(203) 658-9400</w:t>
      </w:r>
    </w:p>
    <w:p>
      <w:pPr>
        <w:spacing w:after="0" w:line="289" w:lineRule="exact"/>
        <w:rPr>
          <w:sz w:val="20"/>
          <w:szCs w:val="20"/>
          <w:color w:val="auto"/>
        </w:rPr>
      </w:pPr>
    </w:p>
    <w:p>
      <w:pPr>
        <w:sectPr>
          <w:pgSz w:w="11900" w:h="16838" w:orient="portrait"/>
          <w:cols w:equalWidth="0" w:num="2">
            <w:col w:w="2560" w:space="720"/>
            <w:col w:w="6819"/>
          </w:cols>
          <w:pgMar w:left="360" w:top="746" w:right="1440" w:bottom="1440" w:gutter="0" w:footer="0" w:header="0"/>
          <w:type w:val="continuous"/>
        </w:sectPr>
      </w:pPr>
    </w:p>
    <w:p>
      <w:pPr>
        <w:ind w:left="40" w:right="1239" w:firstLine="251"/>
        <w:spacing w:after="0" w:line="272" w:lineRule="auto"/>
        <w:rPr>
          <w:sz w:val="20"/>
          <w:szCs w:val="20"/>
          <w:color w:val="auto"/>
        </w:rPr>
      </w:pPr>
      <w:r>
        <w:rPr>
          <w:rFonts w:ascii="Arial" w:cs="Arial" w:eastAsia="Arial" w:hAnsi="Arial"/>
          <w:sz w:val="17"/>
          <w:szCs w:val="17"/>
          <w:b w:val="1"/>
          <w:bCs w:val="1"/>
          <w:color w:val="auto"/>
        </w:rPr>
        <w:t xml:space="preserve">This proxy statement/prospectus, a form of proxy card and Vringo’s Annual Report to Stockholders for 2011 are available on the Internet at </w:t>
      </w:r>
      <w:r>
        <w:rPr>
          <w:rFonts w:ascii="Arial" w:cs="Arial" w:eastAsia="Arial" w:hAnsi="Arial"/>
          <w:sz w:val="17"/>
          <w:szCs w:val="17"/>
          <w:b w:val="1"/>
          <w:bCs w:val="1"/>
          <w:i w:val="1"/>
          <w:iCs w:val="1"/>
          <w:color w:val="auto"/>
        </w:rPr>
        <w:t>https://materials.proxyvote.com/92911N.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What happens if I sell my shares after the applicable record date but before the applicable annual meeting?</w:t>
      </w:r>
    </w:p>
    <w:p>
      <w:pPr>
        <w:spacing w:after="0" w:line="121" w:lineRule="exact"/>
        <w:rPr>
          <w:sz w:val="20"/>
          <w:szCs w:val="20"/>
          <w:color w:val="auto"/>
        </w:rPr>
      </w:pPr>
    </w:p>
    <w:p>
      <w:pPr>
        <w:jc w:val="both"/>
        <w:ind w:left="260" w:right="1239" w:hanging="250"/>
        <w:spacing w:after="0" w:line="256" w:lineRule="auto"/>
        <w:tabs>
          <w:tab w:leader="none" w:pos="26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If you transfer your Vringo common stock after the applicable record date but before the date of the applicable meeting, you will retain your right to vote at the annual meeting (provided that such shares remain outstanding on the date of the applicable meeting).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What do I do if I receive more than one proxy statement/prospectus or set of voting instructions?</w:t>
      </w:r>
    </w:p>
    <w:p>
      <w:pPr>
        <w:spacing w:after="0" w:line="109" w:lineRule="exact"/>
        <w:rPr>
          <w:sz w:val="20"/>
          <w:szCs w:val="20"/>
          <w:color w:val="auto"/>
        </w:rPr>
      </w:pPr>
    </w:p>
    <w:p>
      <w:pPr>
        <w:jc w:val="both"/>
        <w:ind w:left="260" w:right="1239" w:hanging="250"/>
        <w:spacing w:after="0" w:line="280" w:lineRule="auto"/>
        <w:tabs>
          <w:tab w:leader="none" w:pos="26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If you hold shares directly as a record holder and also in “street name” or otherwise through a nominee, you may receive more than one proxy statement/prospectus and/or set of voting instructions relating to the Vringo annual meeting. These should each be voted and/or returned separately in order to ensure that all of your shares are voted.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Should I send in my stock certificates now?</w:t>
      </w:r>
    </w:p>
    <w:p>
      <w:pPr>
        <w:spacing w:after="0" w:line="109" w:lineRule="exact"/>
        <w:rPr>
          <w:sz w:val="20"/>
          <w:szCs w:val="20"/>
          <w:color w:val="auto"/>
        </w:rPr>
      </w:pPr>
    </w:p>
    <w:p>
      <w:pPr>
        <w:jc w:val="both"/>
        <w:ind w:left="260" w:right="1239" w:hanging="250"/>
        <w:spacing w:after="0" w:line="256" w:lineRule="auto"/>
        <w:tabs>
          <w:tab w:leader="none" w:pos="2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No. Vringo stockholders are not required to tender or exchange their stock certificates as part of the Merger. However, you will receive written instructions from American Stock Transfer &amp; Trust Company, LLC, Vringo’s transfer agent, for exchanging your Vringo stock certificates in connection with any reverse stock split.</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7022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7545" cy="7022465"/>
                    </a:xfrm>
                    <a:prstGeom prst="rect">
                      <a:avLst/>
                    </a:prstGeom>
                    <a:noFill/>
                  </pic:spPr>
                </pic:pic>
              </a:graphicData>
            </a:graphic>
          </wp:anchor>
        </w:drawing>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SUMMARY</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 xml:space="preserve">This proxy statement/prospectus is being sent to Vringo and Innovate/Protect stockholders. This summary highlights selected information from this proxy statement/prospectus. It may not contain all of the information that is important to you with respect to the Vringo Merger Proposals and the other proposals or any other matter described in this proxy statement/prospectus. Vringo urges you to carefully read this proxy statement/prospectus, as well as the documents attached to or referred to in this proxy statement/prospectus, to fully understand the Merger. In particular, you should read the Merger Agreement, which is described elsewhere in this proxy statement/prospectus and attached as Annex A. To understand the Merger fully, you should read carefully this entire document, including the business and financial information about Vringo and Innovate/Protect, and the documents to which this proxy statement/prospectus refers, including the annexes attached hereto. See the section entitled “Where You Can Find Additional Information” beginning on page </w:t>
      </w:r>
      <w:r>
        <w:rPr>
          <w:rFonts w:ascii="Arial" w:cs="Arial" w:eastAsia="Arial" w:hAnsi="Arial"/>
          <w:sz w:val="16"/>
          <w:szCs w:val="16"/>
          <w:i w:val="1"/>
          <w:iCs w:val="1"/>
          <w:u w:val="single" w:color="auto"/>
          <w:color w:val="0000EE"/>
        </w:rPr>
        <w:t>203</w:t>
      </w:r>
      <w:r>
        <w:rPr>
          <w:rFonts w:ascii="Arial" w:cs="Arial" w:eastAsia="Arial" w:hAnsi="Arial"/>
          <w:sz w:val="16"/>
          <w:szCs w:val="16"/>
          <w:i w:val="1"/>
          <w:iCs w:val="1"/>
          <w:color w:val="auto"/>
        </w:rPr>
        <w: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Companies</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Vringo, Inc.</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a provider of software platforms for mobile social and video applications. With its award-winning video ringtone</w:t>
      </w:r>
    </w:p>
    <w:p>
      <w:pPr>
        <w:spacing w:after="0" w:line="43"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5"/>
          <w:szCs w:val="15"/>
          <w:color w:val="auto"/>
        </w:rPr>
        <w:t>application and other mobile software platforms — including Facetones</w:t>
      </w:r>
      <w:r>
        <w:rPr>
          <w:rFonts w:ascii="Arial" w:cs="Arial" w:eastAsia="Arial" w:hAnsi="Arial"/>
          <w:sz w:val="24"/>
          <w:szCs w:val="24"/>
          <w:color w:val="auto"/>
          <w:vertAlign w:val="superscript"/>
        </w:rPr>
        <w:t>TM</w:t>
      </w:r>
      <w:r>
        <w:rPr>
          <w:rFonts w:ascii="Arial" w:cs="Arial" w:eastAsia="Arial" w:hAnsi="Arial"/>
          <w:sz w:val="15"/>
          <w:szCs w:val="15"/>
          <w:color w:val="auto"/>
        </w:rPr>
        <w:t>,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Vringo has introduced its patented VringForward technology, which allows users to share video clips with friends with a simple</w:t>
      </w:r>
    </w:p>
    <w:p>
      <w:pPr>
        <w:spacing w:after="0" w:line="2" w:lineRule="exact"/>
        <w:rPr>
          <w:sz w:val="20"/>
          <w:szCs w:val="20"/>
          <w:color w:val="auto"/>
        </w:rPr>
      </w:pPr>
    </w:p>
    <w:p>
      <w:pPr>
        <w:jc w:val="both"/>
        <w:ind w:left="40" w:right="1239"/>
        <w:spacing w:after="0" w:line="244" w:lineRule="auto"/>
        <w:rPr>
          <w:sz w:val="20"/>
          <w:szCs w:val="20"/>
          <w:color w:val="auto"/>
        </w:rPr>
      </w:pPr>
      <w:r>
        <w:rPr>
          <w:rFonts w:ascii="Arial" w:cs="Arial" w:eastAsia="Arial" w:hAnsi="Arial"/>
          <w:sz w:val="16"/>
          <w:szCs w:val="16"/>
          <w:color w:val="auto"/>
        </w:rPr>
        <w:t>call. 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Additionally, Fan Loyalty is a platform that lets users interact, vote and communicate with contestants in reality TV series that it partners with, as well as downloading and setting clips from such shows as video ringtones.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headquartered in New York, New York and was incorporated in Delaware in 2006. Vringo’s principal offices are</w:t>
      </w:r>
    </w:p>
    <w:p>
      <w:pPr>
        <w:spacing w:after="0" w:line="43" w:lineRule="exact"/>
        <w:rPr>
          <w:sz w:val="20"/>
          <w:szCs w:val="20"/>
          <w:color w:val="auto"/>
        </w:rPr>
      </w:pPr>
    </w:p>
    <w:p>
      <w:pPr>
        <w:jc w:val="both"/>
        <w:ind w:left="40" w:right="1239"/>
        <w:spacing w:after="0" w:line="247" w:lineRule="auto"/>
        <w:rPr>
          <w:sz w:val="20"/>
          <w:szCs w:val="20"/>
          <w:color w:val="auto"/>
        </w:rPr>
      </w:pPr>
      <w:r>
        <w:rPr>
          <w:rFonts w:ascii="Arial" w:cs="Arial" w:eastAsia="Arial" w:hAnsi="Arial"/>
          <w:sz w:val="16"/>
          <w:szCs w:val="16"/>
          <w:color w:val="auto"/>
        </w:rPr>
        <w:t>located at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and its telephone number is (646) 525-4319. Vringo’s principal website is </w:t>
      </w:r>
      <w:r>
        <w:rPr>
          <w:rFonts w:ascii="Arial" w:cs="Arial" w:eastAsia="Arial" w:hAnsi="Arial"/>
          <w:sz w:val="16"/>
          <w:szCs w:val="16"/>
          <w:i w:val="1"/>
          <w:iCs w:val="1"/>
          <w:color w:val="auto"/>
        </w:rPr>
        <w:t>www.vringo.com</w:t>
      </w:r>
      <w:r>
        <w:rPr>
          <w:rFonts w:ascii="Arial" w:cs="Arial" w:eastAsia="Arial" w:hAnsi="Arial"/>
          <w:sz w:val="16"/>
          <w:szCs w:val="16"/>
          <w:color w:val="auto"/>
        </w:rPr>
        <w:t xml:space="preserve">. The information on or that can be accessed through Vringo’s website is not part of this proxy statement/prospectus. Vringo’s common stock is listed on the NYSE MKT and trades under the symbol “VRNG.” Additional information about Vringo and its subsidiaries is included elsewhere in this proxy statement/prospectus. See the sections entitled “Vringo’s Business,” “Vringo’s Management’s Discussion and Analysis of Financial Condition and Results of Operations,” and “Vringo’s Financial Statements” beginning on pages </w:t>
      </w:r>
      <w:r>
        <w:rPr>
          <w:rFonts w:ascii="Arial" w:cs="Arial" w:eastAsia="Arial" w:hAnsi="Arial"/>
          <w:sz w:val="16"/>
          <w:szCs w:val="16"/>
          <w:u w:val="single" w:color="auto"/>
          <w:color w:val="0000EE"/>
        </w:rPr>
        <w:t>123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129</w:t>
      </w:r>
      <w:r>
        <w:rPr>
          <w:rFonts w:ascii="Arial" w:cs="Arial" w:eastAsia="Arial" w:hAnsi="Arial"/>
          <w:sz w:val="16"/>
          <w:szCs w:val="16"/>
          <w:color w:val="auto"/>
        </w:rPr>
        <w:t>, and F-</w:t>
      </w:r>
      <w:r>
        <w:rPr>
          <w:rFonts w:ascii="Arial" w:cs="Arial" w:eastAsia="Arial" w:hAnsi="Arial"/>
          <w:sz w:val="16"/>
          <w:szCs w:val="16"/>
          <w:u w:val="single" w:color="auto"/>
          <w:color w:val="0000EE"/>
        </w:rPr>
        <w:t>1</w:t>
      </w:r>
      <w:r>
        <w:rPr>
          <w:rFonts w:ascii="Arial" w:cs="Arial" w:eastAsia="Arial" w:hAnsi="Arial"/>
          <w:sz w:val="16"/>
          <w:szCs w:val="16"/>
          <w:color w:val="auto"/>
        </w:rPr>
        <w:t>, respectively.</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Innovate/Protect, Inc.</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a company focused on the economic benefits of intellectual property assets through acquiring or internally developing patents or other intellectual property assets (or interests therein) and then monetizing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1"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Innovate/Protect is the owner of patent assets acquired from Lycos, Inc. (“</w:t>
      </w:r>
      <w:r>
        <w:rPr>
          <w:rFonts w:ascii="Arial" w:cs="Arial" w:eastAsia="Arial" w:hAnsi="Arial"/>
          <w:sz w:val="15"/>
          <w:szCs w:val="15"/>
          <w:b w:val="1"/>
          <w:bCs w:val="1"/>
          <w:color w:val="auto"/>
        </w:rPr>
        <w:t>Lycos</w:t>
      </w:r>
      <w:r>
        <w:rPr>
          <w:rFonts w:ascii="Arial" w:cs="Arial" w:eastAsia="Arial" w:hAnsi="Arial"/>
          <w:sz w:val="15"/>
          <w:szCs w:val="15"/>
          <w:color w:val="auto"/>
        </w:rPr>
        <w:t>”) one of the largest search engine websites of its kind in the mid and late 1990s, with technologies that remain critical to current search platforms. Innovate/Protect’s Chief Executive Officer, Chief Technology Officer and President, Andrew K. Lang, is the former Chief Technology Officer of Lycos and led the development of the patented technologies. On September 15, 2011, Innovate/Protect through its subsidiary, I/P Engine, initiated a patent infringement lawsuit in the United States District Court for the Eastern District of Virginia against Google, Inc., AOL, Inc., IAC Search &amp; Media, Inc., Gannett Company, Inc. and Target Corporation for unlawfully</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60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7545" cy="656082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using systems that incorporate features claimed in two patents owned by I/P Engine. The patents-in-suit relate to relevance search technology that is used in the search engine industry to produce better search results, and has also become the dominant technology used in search advertising to position high-quality advertisements.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6"/>
          <w:szCs w:val="16"/>
          <w:color w:val="auto"/>
        </w:rPr>
        <w:t>principal offices are located at 380 Madison Avenue,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10017 and its telephone number is (212) 309-7549. Innovate/Protect’s principal website is </w:t>
      </w:r>
      <w:r>
        <w:rPr>
          <w:rFonts w:ascii="Arial" w:cs="Arial" w:eastAsia="Arial" w:hAnsi="Arial"/>
          <w:sz w:val="16"/>
          <w:szCs w:val="16"/>
          <w:i w:val="1"/>
          <w:iCs w:val="1"/>
          <w:color w:val="auto"/>
        </w:rPr>
        <w:t>www.InnovateProtect.com</w:t>
      </w:r>
      <w:r>
        <w:rPr>
          <w:rFonts w:ascii="Arial" w:cs="Arial" w:eastAsia="Arial" w:hAnsi="Arial"/>
          <w:sz w:val="16"/>
          <w:szCs w:val="16"/>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6"/>
          <w:szCs w:val="16"/>
          <w:u w:val="single" w:color="auto"/>
          <w:color w:val="0000EE"/>
        </w:rPr>
        <w:t>148</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156</w:t>
      </w:r>
      <w:r>
        <w:rPr>
          <w:rFonts w:ascii="Arial" w:cs="Arial" w:eastAsia="Arial" w:hAnsi="Arial"/>
          <w:sz w:val="16"/>
          <w:szCs w:val="16"/>
          <w:color w:val="000000"/>
        </w:rPr>
        <w:t>, and F-</w:t>
      </w:r>
      <w:r>
        <w:rPr>
          <w:rFonts w:ascii="Arial" w:cs="Arial" w:eastAsia="Arial" w:hAnsi="Arial"/>
          <w:sz w:val="16"/>
          <w:szCs w:val="16"/>
          <w:u w:val="single" w:color="auto"/>
          <w:color w:val="0000EE"/>
        </w:rPr>
        <w:t>52</w:t>
      </w:r>
      <w:r>
        <w:rPr>
          <w:rFonts w:ascii="Arial" w:cs="Arial" w:eastAsia="Arial" w:hAnsi="Arial"/>
          <w:sz w:val="16"/>
          <w:szCs w:val="16"/>
          <w:color w:val="000000"/>
        </w:rPr>
        <w:t>, respectively.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VIP Merger Sub, Inc.</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and Innovate/Protect have entered into the Merger Agreement, which provides that, subject to the terms and conditions of the Merger Agreement and in accordance with the DGCL at the Effective Time (as such term is defined in the Merger Agreement), Innovate/Protect will merge with and into Merger Sub, with Merger Sub surviving as a wholly-owned subsidiary of Vringo. The board of directors of Vringo has unanimously approved the Merger Agreement and the Merger. The board of directors of Innovate/Protect has unanimously approved the Merger Agreement and the Merger.</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What Innovate/Protect Stockholders Will Receive in the Merger</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each Innovate/Protect common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June 20, 2012, shall be initially convertible into an aggregate of 20,136,445 shares of Vringo common stock (or at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60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7545" cy="656082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85" w:lineRule="auto"/>
        <w:rPr>
          <w:sz w:val="20"/>
          <w:szCs w:val="20"/>
          <w:color w:val="auto"/>
        </w:rPr>
      </w:pPr>
      <w:r>
        <w:rPr>
          <w:rFonts w:ascii="Arial" w:cs="Arial" w:eastAsia="Arial" w:hAnsi="Arial"/>
          <w:sz w:val="15"/>
          <w:szCs w:val="15"/>
          <w:color w:val="auto"/>
        </w:rPr>
        <w:t>(without taking into account any shares of Vringo common stock held by Innovate/Protect stockholders prior to the completion of the Merger), the former stockholders of Innovate/Protect are expected to own approximately 55.98% of the outstanding common stock of the combined company (or 67.69% of the outstanding common stock of the combined company calculated on a fully diluted basis) and the current stockholders of Vringo are expected to own approximately 44.02% of the outstanding common stock of the combined company (or 32.31% of the outstanding common stock of the combined company calculated on a fully diluted basis). Based on current data if the Merger had been completed on June 8, 2012, the record date for the Vringo annual meeting, an aggregate of 18,113,169 shares of Vringo common stock would have been issuable to Innovate/Protect common stockholders and the warrant holder, and an aggregate of 6,673 shares of Vringo preferred stock initially convertible into 20,136,445 shares of Vringo common stock on such date would have been issuable to Innovate/Protect stockholders upon completion of the Merger.</w:t>
      </w:r>
    </w:p>
    <w:p>
      <w:pPr>
        <w:spacing w:after="0" w:line="6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Common Stock Exchange Ratio and the number of shares for which the Innovate/Protect preferred stock shall be convertible into shall not be adjusted without the prior written consent of Innovate/Protect; provided, however that such prior written consent shall not be unreasonably conditioned, withheld or delayed with regard to any such adjustments being made with respect to a reverse split of the equity securities of Vringo undertaken for the purpose of maintaining Vringo’s listing on NYSE MKT or any other consent, approval or authorization of, or registration, declaration or filing with, any governmental authority.</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For a more complete discussion of what Innovate/Protect stockholders will receive in connection with the Merger and the formula that will be used to calculate the Exchange Ratios, see the sections entitled “The Merger — What Innovate/Protect Stockholders Will Receive in the Merger” and “The Merger Agreement — Merger Consideration” beginning on pages </w:t>
      </w:r>
      <w:r>
        <w:rPr>
          <w:rFonts w:ascii="Arial" w:cs="Arial" w:eastAsia="Arial" w:hAnsi="Arial"/>
          <w:sz w:val="17"/>
          <w:szCs w:val="17"/>
          <w:u w:val="single" w:color="auto"/>
          <w:color w:val="0000EE"/>
        </w:rPr>
        <w:t>64</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90</w:t>
      </w:r>
      <w:r>
        <w:rPr>
          <w:rFonts w:ascii="Arial" w:cs="Arial" w:eastAsia="Arial" w:hAnsi="Arial"/>
          <w:sz w:val="17"/>
          <w:szCs w:val="17"/>
          <w:color w:val="auto"/>
        </w:rPr>
        <w:t>, respectively.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Ownership of the Combined Company After the Completion of the Merger</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Upon completion of the Merger and regardless of the exact Exchange Ratios (or any reverse stock split),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Innovate/Protect Stock Options and Warrants</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Therefore, at the effective time of the Merger,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6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an aggregate of 15,959,838 warrants to purchase an aggregate of 15,959,838 shares of Vringo common stock with an exercise price of $1.76 per share, each</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84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7545" cy="658495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53" w:lineRule="auto"/>
        <w:rPr>
          <w:sz w:val="20"/>
          <w:szCs w:val="20"/>
          <w:color w:val="auto"/>
        </w:rPr>
      </w:pPr>
      <w:r>
        <w:rPr>
          <w:rFonts w:ascii="Arial" w:cs="Arial" w:eastAsia="Arial" w:hAnsi="Arial"/>
          <w:sz w:val="17"/>
          <w:szCs w:val="17"/>
          <w:color w:val="auto"/>
        </w:rPr>
        <w:t>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7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As of June 20, 2012, the latest practicable date before the printing of this proxy statement/prospectus, there were outstanding options to purchase 13,646 shares of Innovate/Protect capital stock and an outstanding warrant to purchase 250,000 shares of Innovate/Protect capital stock.</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treatment of Innovate/Protect stock options and warrants, see the section entitled “The Merger — Treatment of Innovate/Protect Stock Options and Warrants” beginning on page </w:t>
      </w:r>
      <w:r>
        <w:rPr>
          <w:rFonts w:ascii="Arial" w:cs="Arial" w:eastAsia="Arial" w:hAnsi="Arial"/>
          <w:sz w:val="17"/>
          <w:szCs w:val="17"/>
          <w:u w:val="single" w:color="auto"/>
          <w:color w:val="0000EE"/>
        </w:rPr>
        <w:t>65</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Vringo Stock Options; Change of Control Payments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of Directors and Executive Officers of the Combined Company After the Completion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executive management team of the combined company is expected to be composed of the following individuals: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320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Current Position</w:t>
            </w:r>
          </w:p>
        </w:tc>
        <w:tc>
          <w:tcPr>
            <w:tcW w:w="140" w:type="dxa"/>
            <w:vAlign w:val="bottom"/>
          </w:tcPr>
          <w:p>
            <w:pPr>
              <w:spacing w:after="0"/>
              <w:rPr>
                <w:sz w:val="14"/>
                <w:szCs w:val="14"/>
                <w:color w:val="auto"/>
              </w:rPr>
            </w:pPr>
          </w:p>
        </w:tc>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72"/>
        </w:trPr>
        <w:tc>
          <w:tcPr>
            <w:tcW w:w="1500" w:type="dxa"/>
            <w:vAlign w:val="bottom"/>
          </w:tcPr>
          <w:p>
            <w:pPr>
              <w:spacing w:after="0"/>
              <w:rPr>
                <w:sz w:val="20"/>
                <w:szCs w:val="20"/>
                <w:color w:val="auto"/>
              </w:rPr>
            </w:pPr>
            <w:r>
              <w:rPr>
                <w:rFonts w:ascii="Arial" w:cs="Arial" w:eastAsia="Arial" w:hAnsi="Arial"/>
                <w:sz w:val="15"/>
                <w:szCs w:val="15"/>
                <w:color w:val="auto"/>
              </w:rPr>
              <w:t>Andrew D. Perlman</w:t>
            </w:r>
          </w:p>
        </w:tc>
        <w:tc>
          <w:tcPr>
            <w:tcW w:w="160" w:type="dxa"/>
            <w:vAlign w:val="bottom"/>
          </w:tcPr>
          <w:p>
            <w:pPr>
              <w:spacing w:after="0"/>
              <w:rPr>
                <w:sz w:val="14"/>
                <w:szCs w:val="14"/>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Chief Executive Officer and President of Vringo</w:t>
            </w:r>
          </w:p>
        </w:tc>
        <w:tc>
          <w:tcPr>
            <w:tcW w:w="14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188"/>
        </w:trPr>
        <w:tc>
          <w:tcPr>
            <w:tcW w:w="1500" w:type="dxa"/>
            <w:vAlign w:val="bottom"/>
          </w:tcPr>
          <w:p>
            <w:pPr>
              <w:spacing w:after="0"/>
              <w:rPr>
                <w:sz w:val="20"/>
                <w:szCs w:val="20"/>
                <w:color w:val="auto"/>
              </w:rPr>
            </w:pPr>
            <w:r>
              <w:rPr>
                <w:rFonts w:ascii="Arial" w:cs="Arial" w:eastAsia="Arial" w:hAnsi="Arial"/>
                <w:sz w:val="15"/>
                <w:szCs w:val="15"/>
                <w:color w:val="auto"/>
                <w:w w:val="97"/>
              </w:rPr>
              <w:t>Andrew Kennedy Lang</w:t>
            </w:r>
          </w:p>
        </w:tc>
        <w:tc>
          <w:tcPr>
            <w:tcW w:w="1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President, Chief Executive Officer and Chief</w:t>
            </w:r>
          </w:p>
        </w:tc>
        <w:tc>
          <w:tcPr>
            <w:tcW w:w="1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5"/>
                <w:szCs w:val="15"/>
                <w:color w:val="auto"/>
                <w:w w:val="99"/>
              </w:rPr>
              <w:t>Chief Technology Officer and President</w:t>
            </w:r>
          </w:p>
        </w:tc>
      </w:tr>
      <w:tr>
        <w:trPr>
          <w:trHeight w:val="188"/>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Technology Officer of Innovate/Protect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8"/>
        </w:trPr>
        <w:tc>
          <w:tcPr>
            <w:tcW w:w="1500" w:type="dxa"/>
            <w:vAlign w:val="bottom"/>
          </w:tcPr>
          <w:p>
            <w:pPr>
              <w:spacing w:after="0"/>
              <w:rPr>
                <w:sz w:val="20"/>
                <w:szCs w:val="20"/>
                <w:color w:val="auto"/>
              </w:rPr>
            </w:pPr>
            <w:r>
              <w:rPr>
                <w:rFonts w:ascii="Arial" w:cs="Arial" w:eastAsia="Arial" w:hAnsi="Arial"/>
                <w:sz w:val="15"/>
                <w:szCs w:val="15"/>
                <w:color w:val="auto"/>
              </w:rPr>
              <w:t>Alexander R. Berger</w:t>
            </w:r>
          </w:p>
        </w:tc>
        <w:tc>
          <w:tcPr>
            <w:tcW w:w="1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w w:val="96"/>
              </w:rPr>
              <w:t>Secretary, Treasurer, Chief Operating Officer and</w:t>
            </w:r>
          </w:p>
        </w:tc>
        <w:tc>
          <w:tcPr>
            <w:tcW w:w="1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Chief Operating Officer and Secretary</w:t>
            </w:r>
          </w:p>
        </w:tc>
      </w:tr>
      <w:tr>
        <w:trPr>
          <w:trHeight w:val="188"/>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Chief Financial Officer of Innovate/Protect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90"/>
        </w:trPr>
        <w:tc>
          <w:tcPr>
            <w:tcW w:w="1500" w:type="dxa"/>
            <w:vAlign w:val="bottom"/>
          </w:tcPr>
          <w:p>
            <w:pPr>
              <w:spacing w:after="0"/>
              <w:rPr>
                <w:sz w:val="20"/>
                <w:szCs w:val="20"/>
                <w:color w:val="auto"/>
              </w:rPr>
            </w:pPr>
            <w:r>
              <w:rPr>
                <w:rFonts w:ascii="Arial" w:cs="Arial" w:eastAsia="Arial" w:hAnsi="Arial"/>
                <w:sz w:val="15"/>
                <w:szCs w:val="15"/>
                <w:color w:val="auto"/>
              </w:rPr>
              <w:t>Ellen Cohl</w:t>
            </w:r>
          </w:p>
        </w:tc>
        <w:tc>
          <w:tcPr>
            <w:tcW w:w="16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Chief Financial Officer of Vringo</w:t>
            </w:r>
          </w:p>
        </w:tc>
        <w:tc>
          <w:tcPr>
            <w:tcW w:w="14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5"/>
                <w:szCs w:val="15"/>
                <w:color w:val="auto"/>
              </w:rPr>
              <w:t>Chief Financial Officer and Treasurer</w:t>
            </w:r>
          </w:p>
        </w:tc>
      </w:tr>
    </w:tbl>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Recommendations of the Vringo Board of Directors and its Reasons for the Merger</w:t>
      </w:r>
    </w:p>
    <w:p>
      <w:pPr>
        <w:spacing w:after="0" w:line="109"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 xml:space="preserve">The Vringo board of directors, after considering the factors described in the section entitled “The Merger — Recommendations of the Vringo Board of Directors and its Reasons for the Merger” beginning on page </w:t>
      </w:r>
      <w:r>
        <w:rPr>
          <w:rFonts w:ascii="Arial" w:cs="Arial" w:eastAsia="Arial" w:hAnsi="Arial"/>
          <w:sz w:val="15"/>
          <w:szCs w:val="15"/>
          <w:u w:val="single" w:color="auto"/>
          <w:color w:val="0000EE"/>
        </w:rPr>
        <w:t>73</w:t>
      </w:r>
      <w:r>
        <w:rPr>
          <w:rFonts w:ascii="Arial" w:cs="Arial" w:eastAsia="Arial" w:hAnsi="Arial"/>
          <w:sz w:val="15"/>
          <w:szCs w:val="15"/>
          <w:color w:val="auto"/>
        </w:rPr>
        <w:t xml:space="preserve">, has unanimously approved the Merger Agreement and the transactions contemplated thereby, including the Merger. The Vringo board of directors has determined that the Merger Agreement and the transactions contemplated thereby, including the Merger, are advisable and fair to, and in the best interests of, Vringo and its stockholders, and therefore recommends that the Vringo stockholders vote FOR the Securities Issuance Proposal, FOR the Reverse Stock Split Proposal, FOR the Authorized Shares Increase Proposal, as contemplated by the Merger Agreement, FOR the election of the seven (7) director nominees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recommendations to the Vringo stockholders after considering the factors described in this proxy statement/prospectus. For a more complete discussion of the recommendations of the Vringo board of directors and its reasons for the Merger, see the section entitled “The Merger — Recommendations of the Vringo Board of Directors and its Reasons for the Merger” beginning on page </w:t>
      </w:r>
      <w:r>
        <w:rPr>
          <w:rFonts w:ascii="Arial" w:cs="Arial" w:eastAsia="Arial" w:hAnsi="Arial"/>
          <w:sz w:val="15"/>
          <w:szCs w:val="15"/>
          <w:u w:val="single" w:color="auto"/>
          <w:color w:val="0000EE"/>
        </w:rPr>
        <w:t>73</w:t>
      </w:r>
      <w:r>
        <w:rPr>
          <w:rFonts w:ascii="Arial" w:cs="Arial" w:eastAsia="Arial" w:hAnsi="Arial"/>
          <w:sz w:val="15"/>
          <w:szCs w:val="15"/>
          <w:color w:val="auto"/>
        </w:rPr>
        <w:t>.</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 w:name="page27"/>
    <w:bookmarkEnd w:id="26"/>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306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7545" cy="6306185"/>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Opinion of Etico Capital to the Vringo Board of Directors</w:t>
      </w:r>
    </w:p>
    <w:p>
      <w:pPr>
        <w:spacing w:after="0" w:line="105" w:lineRule="exact"/>
        <w:rPr>
          <w:sz w:val="20"/>
          <w:szCs w:val="20"/>
          <w:color w:val="auto"/>
        </w:rPr>
      </w:pPr>
    </w:p>
    <w:p>
      <w:pPr>
        <w:jc w:val="both"/>
        <w:ind w:left="160" w:right="1239" w:firstLine="251"/>
        <w:spacing w:after="0" w:line="286" w:lineRule="auto"/>
        <w:rPr>
          <w:sz w:val="20"/>
          <w:szCs w:val="20"/>
          <w:color w:val="auto"/>
        </w:rPr>
      </w:pPr>
      <w:r>
        <w:rPr>
          <w:rFonts w:ascii="Arial" w:cs="Arial" w:eastAsia="Arial" w:hAnsi="Arial"/>
          <w:sz w:val="15"/>
          <w:szCs w:val="15"/>
          <w:color w:val="auto"/>
        </w:rPr>
        <w:t>The board of directors of Vringo engaged Etico Capital, a division of Olympus Securities LLC (“</w:t>
      </w:r>
      <w:r>
        <w:rPr>
          <w:rFonts w:ascii="Arial" w:cs="Arial" w:eastAsia="Arial" w:hAnsi="Arial"/>
          <w:sz w:val="15"/>
          <w:szCs w:val="15"/>
          <w:b w:val="1"/>
          <w:bCs w:val="1"/>
          <w:color w:val="auto"/>
        </w:rPr>
        <w:t>Etico Capital</w:t>
      </w:r>
      <w:r>
        <w:rPr>
          <w:rFonts w:ascii="Arial" w:cs="Arial" w:eastAsia="Arial" w:hAnsi="Arial"/>
          <w:sz w:val="15"/>
          <w:szCs w:val="15"/>
          <w:color w:val="auto"/>
        </w:rPr>
        <w:t>”), to render an opinion to the board of directors as to whether the Merger consideration was fair, from a financial point of view, to the stockholders of Vringo.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5" w:lineRule="exact"/>
        <w:rPr>
          <w:sz w:val="20"/>
          <w:szCs w:val="20"/>
          <w:color w:val="auto"/>
        </w:rPr>
      </w:pPr>
    </w:p>
    <w:p>
      <w:pPr>
        <w:jc w:val="both"/>
        <w:ind w:left="160" w:right="1239" w:firstLine="251"/>
        <w:spacing w:after="0" w:line="284" w:lineRule="auto"/>
        <w:rPr>
          <w:sz w:val="20"/>
          <w:szCs w:val="20"/>
          <w:color w:val="auto"/>
        </w:rPr>
      </w:pPr>
      <w:r>
        <w:rPr>
          <w:rFonts w:ascii="Arial" w:cs="Arial" w:eastAsia="Arial" w:hAnsi="Arial"/>
          <w:sz w:val="15"/>
          <w:szCs w:val="15"/>
          <w:b w:val="1"/>
          <w:bCs w:val="1"/>
          <w:color w:val="auto"/>
        </w:rPr>
        <w:t xml:space="preserve">The full text of the written opinion, dated as of March 12, 2012, of Etico Capital is attached as </w:t>
      </w:r>
      <w:r>
        <w:rPr>
          <w:rFonts w:ascii="Arial" w:cs="Arial" w:eastAsia="Arial" w:hAnsi="Arial"/>
          <w:sz w:val="15"/>
          <w:szCs w:val="15"/>
          <w:b w:val="1"/>
          <w:bCs w:val="1"/>
          <w:u w:val="single" w:color="auto"/>
          <w:color w:val="auto"/>
        </w:rPr>
        <w:t>Annex H</w:t>
      </w:r>
      <w:r>
        <w:rPr>
          <w:rFonts w:ascii="Arial" w:cs="Arial" w:eastAsia="Arial" w:hAnsi="Arial"/>
          <w:sz w:val="15"/>
          <w:szCs w:val="15"/>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Interests of Vringo Directors and Executive Officers in the Merger</w:t>
      </w:r>
    </w:p>
    <w:p>
      <w:pPr>
        <w:spacing w:after="0" w:line="109" w:lineRule="exact"/>
        <w:rPr>
          <w:sz w:val="20"/>
          <w:szCs w:val="20"/>
          <w:color w:val="auto"/>
        </w:rPr>
      </w:pPr>
    </w:p>
    <w:p>
      <w:pPr>
        <w:jc w:val="both"/>
        <w:ind w:left="160" w:right="1239" w:firstLine="251"/>
        <w:spacing w:after="0" w:line="267" w:lineRule="auto"/>
        <w:rPr>
          <w:sz w:val="20"/>
          <w:szCs w:val="20"/>
          <w:color w:val="auto"/>
        </w:rPr>
      </w:pPr>
      <w:r>
        <w:rPr>
          <w:rFonts w:ascii="Arial" w:cs="Arial" w:eastAsia="Arial" w:hAnsi="Arial"/>
          <w:sz w:val="17"/>
          <w:szCs w:val="17"/>
          <w:color w:val="auto"/>
        </w:rPr>
        <w:t>You should be aware that certain directors and executive officers of Vringo have interests in the Merger that are different from, or in addition to, the interests of the stockholders of Vringo generally.</w:t>
      </w:r>
    </w:p>
    <w:p>
      <w:pPr>
        <w:spacing w:after="0" w:line="66" w:lineRule="exact"/>
        <w:rPr>
          <w:sz w:val="20"/>
          <w:szCs w:val="20"/>
          <w:color w:val="auto"/>
        </w:rPr>
      </w:pPr>
    </w:p>
    <w:p>
      <w:pPr>
        <w:jc w:val="both"/>
        <w:ind w:left="160" w:right="1239" w:firstLine="251"/>
        <w:spacing w:after="0" w:line="285" w:lineRule="auto"/>
        <w:rPr>
          <w:sz w:val="20"/>
          <w:szCs w:val="20"/>
          <w:color w:val="auto"/>
        </w:rPr>
      </w:pPr>
      <w:r>
        <w:rPr>
          <w:rFonts w:ascii="Arial" w:cs="Arial" w:eastAsia="Arial" w:hAnsi="Arial"/>
          <w:sz w:val="15"/>
          <w:szCs w:val="15"/>
          <w:color w:val="auto"/>
        </w:rPr>
        <w:t>Interests of Vringo’s directors and executive officers in connection with the Merger relate to (i) the continuing service of each of Seth M. Siegel, Andrew D. Perlman and John Engelman as directors of the combined company following the completion of the Merger, (ii) the fact that Andrew D. Perlman and Ellen Cohl are currently executive officers of Vringo and will remain executive officers of the combined company following the completion of the Merger, (iii) upon the change of control in connection with the consummation of the Merger, there will be a one year acceleration of option vesting for option holders for grants prior to the consummation of the Merger, except for Andrew D. Perlman who will be entitled to 50% acceleration for all of his unvested options granted to him prior to him becoming Chief Executive Officer of Vringo,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 (v) the right to continued indemnification for directors and executive officers of Vringo following the completion of the Merger.</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benefits to be made to Vringo’s directors and executive officers in connection with the</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Merger, assuming a change of control occurs and termination of Vringo’s directors as of June 20, 2012:</w:t>
      </w:r>
    </w:p>
    <w:tbl>
      <w:tblPr>
        <w:tblLayout w:type="fixed"/>
        <w:tblInd w:w="0" w:type="dxa"/>
        <w:tblCellMar>
          <w:top w:w="0" w:type="dxa"/>
          <w:left w:w="0" w:type="dxa"/>
          <w:bottom w:w="0" w:type="dxa"/>
          <w:right w:w="0" w:type="dxa"/>
        </w:tblCellMar>
      </w:tblPr>
      <w:tr>
        <w:trPr>
          <w:trHeight w:val="193"/>
        </w:trPr>
        <w:tc>
          <w:tcPr>
            <w:tcW w:w="120" w:type="dxa"/>
            <w:vAlign w:val="bottom"/>
          </w:tcPr>
          <w:p>
            <w:pPr>
              <w:spacing w:after="0"/>
              <w:rPr>
                <w:sz w:val="16"/>
                <w:szCs w:val="16"/>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3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
              <w:spacing w:after="0" w:line="193" w:lineRule="exact"/>
              <w:rPr>
                <w:sz w:val="20"/>
                <w:szCs w:val="20"/>
                <w:color w:val="auto"/>
              </w:rPr>
            </w:pPr>
            <w:r>
              <w:rPr>
                <w:rFonts w:ascii="Arial" w:cs="Arial" w:eastAsia="Arial" w:hAnsi="Arial"/>
                <w:sz w:val="13"/>
                <w:szCs w:val="13"/>
                <w:b w:val="1"/>
                <w:bCs w:val="1"/>
                <w:color w:val="auto"/>
                <w:w w:val="90"/>
              </w:rPr>
              <w:t>Equity ($)</w:t>
            </w:r>
            <w:r>
              <w:rPr>
                <w:rFonts w:ascii="Arial" w:cs="Arial" w:eastAsia="Arial" w:hAnsi="Arial"/>
                <w:sz w:val="22"/>
                <w:szCs w:val="22"/>
                <w:b w:val="1"/>
                <w:bCs w:val="1"/>
                <w:color w:val="auto"/>
                <w:w w:val="90"/>
                <w:vertAlign w:val="superscript"/>
              </w:rPr>
              <w:t>(1)</w:t>
            </w:r>
          </w:p>
        </w:tc>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20" w:type="dxa"/>
            <w:vAlign w:val="bottom"/>
          </w:tcPr>
          <w:p>
            <w:pPr>
              <w:spacing w:after="0"/>
              <w:rPr>
                <w:sz w:val="16"/>
                <w:szCs w:val="16"/>
                <w:color w:val="auto"/>
              </w:rPr>
            </w:pPr>
          </w:p>
        </w:tc>
        <w:tc>
          <w:tcPr>
            <w:tcW w:w="27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3340" w:type="dxa"/>
            <w:vAlign w:val="bottom"/>
            <w:gridSpan w:val="3"/>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107,584</w:t>
            </w:r>
          </w:p>
        </w:tc>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Seth M. Siegel</w:t>
            </w:r>
          </w:p>
        </w:tc>
        <w:tc>
          <w:tcPr>
            <w:tcW w:w="3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88,809</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27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John Engelman</w:t>
            </w:r>
          </w:p>
        </w:tc>
        <w:tc>
          <w:tcPr>
            <w:tcW w:w="3340" w:type="dxa"/>
            <w:vAlign w:val="bottom"/>
            <w:gridSpan w:val="3"/>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7,280</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1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auto"/>
              </w:rPr>
              <w:t>Ellen Cohl</w:t>
            </w:r>
          </w:p>
        </w:tc>
        <w:tc>
          <w:tcPr>
            <w:tcW w:w="3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30,606</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4"/>
        </w:trPr>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00" w:type="dxa"/>
            <w:vAlign w:val="bottom"/>
          </w:tcPr>
          <w:p>
            <w:pPr>
              <w:jc w:val="right"/>
              <w:ind w:right="1396"/>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640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7545" cy="6640830"/>
                    </a:xfrm>
                    <a:prstGeom prst="rect">
                      <a:avLst/>
                    </a:prstGeom>
                    <a:noFill/>
                  </pic:spPr>
                </pic:pic>
              </a:graphicData>
            </a:graphic>
          </wp:anchor>
        </w:drawing>
        <w:t>TABLE OF CONTENTS</w:t>
      </w:r>
    </w:p>
    <w:p>
      <w:pPr>
        <w:spacing w:after="0" w:line="200" w:lineRule="exact"/>
        <w:rPr>
          <w:sz w:val="20"/>
          <w:szCs w:val="20"/>
          <w:color w:val="auto"/>
        </w:rPr>
      </w:pPr>
    </w:p>
    <w:p>
      <w:pPr>
        <w:spacing w:after="0" w:line="260" w:lineRule="exact"/>
        <w:rPr>
          <w:sz w:val="20"/>
          <w:szCs w:val="20"/>
          <w:color w:val="auto"/>
        </w:rPr>
      </w:pPr>
    </w:p>
    <w:p>
      <w:pPr>
        <w:jc w:val="both"/>
        <w:ind w:left="260" w:right="1239" w:hanging="250"/>
        <w:spacing w:after="0" w:line="274"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Calculated based on the aggregate dollar value of in-the-money option awards for which vesting would be accelerated, determined by the difference between the price per share (as discussed in the below) and the exercise price of the options. The price per share is calculated based on the average closing market price of Vringo common stock over the first five business days following March 14, 2012, the first public announcement of the Merger.</w:t>
      </w:r>
    </w:p>
    <w:p>
      <w:pPr>
        <w:spacing w:after="0" w:line="62"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43"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 xml:space="preserve">For a more complete discussion of the interests of the directors and executive officers of Vringo in the Merger, see the section entitled “The Merger — Interests of Vringo’s Directors and Executive Officers in the Merger” beginning on page </w:t>
      </w:r>
      <w:r>
        <w:rPr>
          <w:rFonts w:ascii="Arial" w:cs="Arial" w:eastAsia="Arial" w:hAnsi="Arial"/>
          <w:sz w:val="16"/>
          <w:szCs w:val="16"/>
          <w:u w:val="single" w:color="auto"/>
          <w:color w:val="0000EE"/>
        </w:rPr>
        <w:t>82</w:t>
      </w:r>
      <w:r>
        <w:rPr>
          <w:rFonts w:ascii="Arial" w:cs="Arial" w:eastAsia="Arial" w:hAnsi="Arial"/>
          <w:sz w:val="16"/>
          <w:szCs w:val="16"/>
          <w:color w:val="auto"/>
        </w:rPr>
        <w: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Ownership Interests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following table sets forth information as of June 20, 2012, regarding the beneficial ownership of the combined company for each executive officer and director of Vringo and Innovate/Protect following the completion of the Merger. Percentage of beneficial ownership is calculated in relation to 32,357,329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June 20, 2012. The table also sets forth the total number of additional options that each executive officer and director of Innovate/Protect will have the right to acquire following the Merger, but which are not exercisable within 60 days of June 20, 2012.</w:t>
      </w:r>
    </w:p>
    <w:tbl>
      <w:tblPr>
        <w:tblLayout w:type="fixed"/>
        <w:tblInd w:w="0" w:type="dxa"/>
        <w:tblCellMar>
          <w:top w:w="0" w:type="dxa"/>
          <w:left w:w="0" w:type="dxa"/>
          <w:bottom w:w="0" w:type="dxa"/>
          <w:right w:w="0" w:type="dxa"/>
        </w:tblCellMar>
      </w:tblPr>
      <w:tr>
        <w:trPr>
          <w:trHeight w:val="141"/>
        </w:trPr>
        <w:tc>
          <w:tcPr>
            <w:tcW w:w="2940" w:type="dxa"/>
            <w:vAlign w:val="bottom"/>
          </w:tcPr>
          <w:p>
            <w:pPr>
              <w:spacing w:after="0" w:line="142"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Total Shares to be</w:t>
            </w:r>
          </w:p>
        </w:tc>
        <w:tc>
          <w:tcPr>
            <w:tcW w:w="16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Total Additional</w:t>
            </w:r>
          </w:p>
        </w:tc>
        <w:tc>
          <w:tcPr>
            <w:tcW w:w="160" w:type="dxa"/>
            <w:vAlign w:val="bottom"/>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Combined</w:t>
            </w:r>
          </w:p>
        </w:tc>
      </w:tr>
      <w:tr>
        <w:trPr>
          <w:trHeight w:val="138"/>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Beneficially Owned</w:t>
            </w:r>
          </w:p>
        </w:tc>
        <w:tc>
          <w:tcPr>
            <w:tcW w:w="16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to be Held</w:t>
            </w:r>
          </w:p>
        </w:tc>
        <w:tc>
          <w:tcPr>
            <w:tcW w:w="16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Company Beneficial</w:t>
            </w:r>
          </w:p>
        </w:tc>
      </w:tr>
      <w:tr>
        <w:trPr>
          <w:trHeight w:val="138"/>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Following the Merger</w:t>
            </w:r>
          </w:p>
        </w:tc>
        <w:tc>
          <w:tcPr>
            <w:tcW w:w="160" w:type="dxa"/>
            <w:vAlign w:val="bottom"/>
          </w:tcPr>
          <w:p>
            <w:pPr>
              <w:spacing w:after="0"/>
              <w:rPr>
                <w:sz w:val="11"/>
                <w:szCs w:val="11"/>
                <w:color w:val="auto"/>
              </w:rPr>
            </w:pPr>
          </w:p>
        </w:tc>
        <w:tc>
          <w:tcPr>
            <w:tcW w:w="13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16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Ownership Percentage</w:t>
            </w:r>
          </w:p>
        </w:tc>
      </w:tr>
      <w:tr>
        <w:trPr>
          <w:trHeight w:val="158"/>
        </w:trPr>
        <w:tc>
          <w:tcPr>
            <w:tcW w:w="2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Following the Merger</w:t>
            </w:r>
          </w:p>
        </w:tc>
      </w:tr>
      <w:tr>
        <w:trPr>
          <w:trHeight w:val="193"/>
        </w:trPr>
        <w:tc>
          <w:tcPr>
            <w:tcW w:w="29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1460" w:type="dxa"/>
            <w:vAlign w:val="bottom"/>
            <w:gridSpan w:val="2"/>
            <w:shd w:val="clear" w:color="auto" w:fill="CCFFCC"/>
          </w:tcPr>
          <w:p>
            <w:pPr>
              <w:jc w:val="right"/>
              <w:ind w:right="33"/>
              <w:spacing w:after="0" w:line="193" w:lineRule="exact"/>
              <w:rPr>
                <w:sz w:val="20"/>
                <w:szCs w:val="20"/>
                <w:color w:val="auto"/>
              </w:rPr>
            </w:pPr>
            <w:r>
              <w:rPr>
                <w:rFonts w:ascii="Arial" w:cs="Arial" w:eastAsia="Arial" w:hAnsi="Arial"/>
                <w:sz w:val="17"/>
                <w:szCs w:val="17"/>
                <w:color w:val="auto"/>
              </w:rPr>
              <w:t>607,381</w:t>
            </w:r>
          </w:p>
        </w:tc>
        <w:tc>
          <w:tcPr>
            <w:tcW w:w="1460" w:type="dxa"/>
            <w:vAlign w:val="bottom"/>
            <w:gridSpan w:val="2"/>
            <w:shd w:val="clear" w:color="auto" w:fill="CCFFCC"/>
          </w:tcPr>
          <w:p>
            <w:pPr>
              <w:jc w:val="right"/>
              <w:ind w:right="24"/>
              <w:spacing w:after="0" w:line="193" w:lineRule="exact"/>
              <w:rPr>
                <w:sz w:val="20"/>
                <w:szCs w:val="20"/>
                <w:color w:val="auto"/>
              </w:rPr>
            </w:pPr>
            <w:r>
              <w:rPr>
                <w:rFonts w:ascii="Arial" w:cs="Arial" w:eastAsia="Arial" w:hAnsi="Arial"/>
                <w:sz w:val="17"/>
                <w:szCs w:val="17"/>
                <w:color w:val="auto"/>
              </w:rPr>
              <w:t>331,453</w:t>
            </w:r>
          </w:p>
        </w:tc>
        <w:tc>
          <w:tcPr>
            <w:tcW w:w="1760" w:type="dxa"/>
            <w:vAlign w:val="bottom"/>
            <w:gridSpan w:val="2"/>
            <w:shd w:val="clear" w:color="auto" w:fill="CCFFCC"/>
          </w:tcPr>
          <w:p>
            <w:pPr>
              <w:jc w:val="right"/>
              <w:ind w:right="393"/>
              <w:spacing w:after="0" w:line="193" w:lineRule="exact"/>
              <w:rPr>
                <w:sz w:val="20"/>
                <w:szCs w:val="20"/>
                <w:color w:val="auto"/>
              </w:rPr>
            </w:pPr>
            <w:r>
              <w:rPr>
                <w:rFonts w:ascii="Arial" w:cs="Arial" w:eastAsia="Arial" w:hAnsi="Arial"/>
                <w:sz w:val="17"/>
                <w:szCs w:val="17"/>
                <w:color w:val="auto"/>
              </w:rPr>
              <w:t>1.8%</w:t>
            </w:r>
          </w:p>
        </w:tc>
      </w:tr>
      <w:tr>
        <w:trPr>
          <w:trHeight w:val="200"/>
        </w:trPr>
        <w:tc>
          <w:tcPr>
            <w:tcW w:w="2940" w:type="dxa"/>
            <w:vAlign w:val="bottom"/>
          </w:tcPr>
          <w:p>
            <w:pPr>
              <w:spacing w:after="0"/>
              <w:rPr>
                <w:sz w:val="20"/>
                <w:szCs w:val="20"/>
                <w:color w:val="auto"/>
              </w:rPr>
            </w:pPr>
            <w:r>
              <w:rPr>
                <w:rFonts w:ascii="Arial" w:cs="Arial" w:eastAsia="Arial" w:hAnsi="Arial"/>
                <w:sz w:val="17"/>
                <w:szCs w:val="17"/>
                <w:color w:val="auto"/>
              </w:rPr>
              <w:t>Seth M. Siegel</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619,289</w:t>
            </w:r>
          </w:p>
        </w:tc>
        <w:tc>
          <w:tcPr>
            <w:tcW w:w="1460" w:type="dxa"/>
            <w:vAlign w:val="bottom"/>
            <w:gridSpan w:val="2"/>
          </w:tcPr>
          <w:p>
            <w:pPr>
              <w:jc w:val="right"/>
              <w:ind w:right="24"/>
              <w:spacing w:after="0"/>
              <w:rPr>
                <w:sz w:val="20"/>
                <w:szCs w:val="20"/>
                <w:color w:val="auto"/>
              </w:rPr>
            </w:pPr>
            <w:r>
              <w:rPr>
                <w:rFonts w:ascii="Arial" w:cs="Arial" w:eastAsia="Arial" w:hAnsi="Arial"/>
                <w:sz w:val="17"/>
                <w:szCs w:val="17"/>
                <w:color w:val="auto"/>
              </w:rPr>
              <w:t>214,583</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1.9%</w:t>
            </w:r>
          </w:p>
        </w:tc>
      </w:tr>
      <w:tr>
        <w:trPr>
          <w:trHeight w:val="200"/>
        </w:trPr>
        <w:tc>
          <w:tcPr>
            <w:tcW w:w="2940" w:type="dxa"/>
            <w:vAlign w:val="bottom"/>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8,034,360</w:t>
            </w:r>
          </w:p>
        </w:tc>
        <w:tc>
          <w:tcPr>
            <w:tcW w:w="160" w:type="dxa"/>
            <w:vAlign w:val="bottom"/>
            <w:shd w:val="clear" w:color="auto" w:fill="CCFFCC"/>
          </w:tcPr>
          <w:p>
            <w:pPr>
              <w:spacing w:after="0"/>
              <w:rPr>
                <w:sz w:val="17"/>
                <w:szCs w:val="17"/>
                <w:color w:val="auto"/>
              </w:rPr>
            </w:pPr>
          </w:p>
        </w:tc>
        <w:tc>
          <w:tcPr>
            <w:tcW w:w="1300" w:type="dxa"/>
            <w:vAlign w:val="bottom"/>
            <w:shd w:val="clear" w:color="auto" w:fill="CCFFCC"/>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23.1%</w:t>
            </w:r>
          </w:p>
        </w:tc>
      </w:tr>
      <w:tr>
        <w:trPr>
          <w:trHeight w:val="200"/>
        </w:trPr>
        <w:tc>
          <w:tcPr>
            <w:tcW w:w="2940" w:type="dxa"/>
            <w:vAlign w:val="bottom"/>
          </w:tcPr>
          <w:p>
            <w:pPr>
              <w:spacing w:after="0"/>
              <w:rPr>
                <w:sz w:val="20"/>
                <w:szCs w:val="20"/>
                <w:color w:val="auto"/>
              </w:rPr>
            </w:pPr>
            <w:r>
              <w:rPr>
                <w:rFonts w:ascii="Arial" w:cs="Arial" w:eastAsia="Arial" w:hAnsi="Arial"/>
                <w:sz w:val="17"/>
                <w:szCs w:val="17"/>
                <w:color w:val="auto"/>
              </w:rPr>
              <w:t>Alexander R. Berger</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2,678,120</w:t>
            </w:r>
          </w:p>
        </w:tc>
        <w:tc>
          <w:tcPr>
            <w:tcW w:w="160" w:type="dxa"/>
            <w:vAlign w:val="bottom"/>
          </w:tcPr>
          <w:p>
            <w:pPr>
              <w:spacing w:after="0"/>
              <w:rPr>
                <w:sz w:val="17"/>
                <w:szCs w:val="17"/>
                <w:color w:val="auto"/>
              </w:rPr>
            </w:pPr>
          </w:p>
        </w:tc>
        <w:tc>
          <w:tcPr>
            <w:tcW w:w="130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8.1%</w:t>
            </w:r>
          </w:p>
        </w:tc>
      </w:tr>
      <w:tr>
        <w:trPr>
          <w:trHeight w:val="200"/>
        </w:trPr>
        <w:tc>
          <w:tcPr>
            <w:tcW w:w="2940" w:type="dxa"/>
            <w:vAlign w:val="bottom"/>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201,533</w:t>
            </w:r>
          </w:p>
        </w:tc>
        <w:tc>
          <w:tcPr>
            <w:tcW w:w="1460" w:type="dxa"/>
            <w:vAlign w:val="bottom"/>
            <w:gridSpan w:val="2"/>
            <w:shd w:val="clear" w:color="auto" w:fill="CCFFCC"/>
          </w:tcPr>
          <w:p>
            <w:pPr>
              <w:jc w:val="right"/>
              <w:ind w:right="24"/>
              <w:spacing w:after="0"/>
              <w:rPr>
                <w:sz w:val="20"/>
                <w:szCs w:val="20"/>
                <w:color w:val="auto"/>
              </w:rPr>
            </w:pPr>
            <w:r>
              <w:rPr>
                <w:rFonts w:ascii="Arial" w:cs="Arial" w:eastAsia="Arial" w:hAnsi="Arial"/>
                <w:sz w:val="17"/>
                <w:szCs w:val="17"/>
                <w:color w:val="auto"/>
              </w:rPr>
              <w:t>129,271</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0.6%</w:t>
            </w:r>
          </w:p>
        </w:tc>
      </w:tr>
      <w:tr>
        <w:trPr>
          <w:trHeight w:val="200"/>
        </w:trPr>
        <w:tc>
          <w:tcPr>
            <w:tcW w:w="2940" w:type="dxa"/>
            <w:vAlign w:val="bottom"/>
          </w:tcPr>
          <w:p>
            <w:pPr>
              <w:spacing w:after="0"/>
              <w:rPr>
                <w:sz w:val="20"/>
                <w:szCs w:val="20"/>
                <w:color w:val="auto"/>
              </w:rPr>
            </w:pPr>
            <w:r>
              <w:rPr>
                <w:rFonts w:ascii="Arial" w:cs="Arial" w:eastAsia="Arial" w:hAnsi="Arial"/>
                <w:sz w:val="17"/>
                <w:szCs w:val="17"/>
                <w:color w:val="auto"/>
              </w:rPr>
              <w:t>Donald E. Stout</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1,083,195</w:t>
            </w:r>
          </w:p>
        </w:tc>
        <w:tc>
          <w:tcPr>
            <w:tcW w:w="160" w:type="dxa"/>
            <w:vAlign w:val="bottom"/>
          </w:tcPr>
          <w:p>
            <w:pPr>
              <w:spacing w:after="0"/>
              <w:rPr>
                <w:sz w:val="17"/>
                <w:szCs w:val="17"/>
                <w:color w:val="auto"/>
              </w:rPr>
            </w:pPr>
          </w:p>
        </w:tc>
        <w:tc>
          <w:tcPr>
            <w:tcW w:w="1300" w:type="dxa"/>
            <w:vAlign w:val="bottom"/>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3.3%</w:t>
            </w:r>
          </w:p>
        </w:tc>
      </w:tr>
      <w:tr>
        <w:trPr>
          <w:trHeight w:val="200"/>
        </w:trPr>
        <w:tc>
          <w:tcPr>
            <w:tcW w:w="2940" w:type="dxa"/>
            <w:vAlign w:val="bottom"/>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171,400</w:t>
            </w:r>
          </w:p>
        </w:tc>
        <w:tc>
          <w:tcPr>
            <w:tcW w:w="160" w:type="dxa"/>
            <w:vAlign w:val="bottom"/>
            <w:shd w:val="clear" w:color="auto" w:fill="CCFFCC"/>
          </w:tcPr>
          <w:p>
            <w:pPr>
              <w:spacing w:after="0"/>
              <w:rPr>
                <w:sz w:val="17"/>
                <w:szCs w:val="17"/>
                <w:color w:val="auto"/>
              </w:rPr>
            </w:pPr>
          </w:p>
        </w:tc>
        <w:tc>
          <w:tcPr>
            <w:tcW w:w="1300" w:type="dxa"/>
            <w:vAlign w:val="bottom"/>
            <w:shd w:val="clear" w:color="auto" w:fill="CCFFCC"/>
          </w:tcPr>
          <w:p>
            <w:pPr>
              <w:jc w:val="right"/>
              <w:ind w:right="24"/>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FFCC"/>
          </w:tcPr>
          <w:p>
            <w:pPr>
              <w:jc w:val="right"/>
              <w:ind w:right="393"/>
              <w:spacing w:after="0"/>
              <w:rPr>
                <w:sz w:val="20"/>
                <w:szCs w:val="20"/>
                <w:color w:val="auto"/>
              </w:rPr>
            </w:pPr>
            <w:r>
              <w:rPr>
                <w:rFonts w:ascii="Arial" w:cs="Arial" w:eastAsia="Arial" w:hAnsi="Arial"/>
                <w:sz w:val="17"/>
                <w:szCs w:val="17"/>
                <w:color w:val="auto"/>
              </w:rPr>
              <w:t>0.5%</w:t>
            </w:r>
          </w:p>
        </w:tc>
      </w:tr>
      <w:tr>
        <w:trPr>
          <w:trHeight w:val="213"/>
        </w:trPr>
        <w:tc>
          <w:tcPr>
            <w:tcW w:w="2940" w:type="dxa"/>
            <w:vAlign w:val="bottom"/>
          </w:tcPr>
          <w:p>
            <w:pPr>
              <w:spacing w:after="0"/>
              <w:rPr>
                <w:sz w:val="20"/>
                <w:szCs w:val="20"/>
                <w:color w:val="auto"/>
              </w:rPr>
            </w:pPr>
            <w:r>
              <w:rPr>
                <w:rFonts w:ascii="Arial" w:cs="Arial" w:eastAsia="Arial" w:hAnsi="Arial"/>
                <w:sz w:val="17"/>
                <w:szCs w:val="17"/>
                <w:color w:val="auto"/>
              </w:rPr>
              <w:t>Ellen Cohl</w:t>
            </w:r>
          </w:p>
        </w:tc>
        <w:tc>
          <w:tcPr>
            <w:tcW w:w="1460" w:type="dxa"/>
            <w:vAlign w:val="bottom"/>
            <w:gridSpan w:val="2"/>
          </w:tcPr>
          <w:p>
            <w:pPr>
              <w:jc w:val="right"/>
              <w:ind w:right="33"/>
              <w:spacing w:after="0"/>
              <w:rPr>
                <w:sz w:val="20"/>
                <w:szCs w:val="20"/>
                <w:color w:val="auto"/>
              </w:rPr>
            </w:pPr>
            <w:r>
              <w:rPr>
                <w:rFonts w:ascii="Arial" w:cs="Arial" w:eastAsia="Arial" w:hAnsi="Arial"/>
                <w:sz w:val="17"/>
                <w:szCs w:val="17"/>
                <w:color w:val="auto"/>
              </w:rPr>
              <w:t>213,750</w:t>
            </w:r>
          </w:p>
        </w:tc>
        <w:tc>
          <w:tcPr>
            <w:tcW w:w="1460" w:type="dxa"/>
            <w:vAlign w:val="bottom"/>
            <w:gridSpan w:val="2"/>
          </w:tcPr>
          <w:p>
            <w:pPr>
              <w:jc w:val="right"/>
              <w:ind w:right="24"/>
              <w:spacing w:after="0"/>
              <w:rPr>
                <w:sz w:val="20"/>
                <w:szCs w:val="20"/>
                <w:color w:val="auto"/>
              </w:rPr>
            </w:pPr>
            <w:r>
              <w:rPr>
                <w:rFonts w:ascii="Arial" w:cs="Arial" w:eastAsia="Arial" w:hAnsi="Arial"/>
                <w:sz w:val="17"/>
                <w:szCs w:val="17"/>
                <w:color w:val="auto"/>
              </w:rPr>
              <w:t>186,250</w:t>
            </w:r>
          </w:p>
        </w:tc>
        <w:tc>
          <w:tcPr>
            <w:tcW w:w="1760" w:type="dxa"/>
            <w:vAlign w:val="bottom"/>
            <w:gridSpan w:val="2"/>
          </w:tcPr>
          <w:p>
            <w:pPr>
              <w:jc w:val="right"/>
              <w:ind w:right="393"/>
              <w:spacing w:after="0"/>
              <w:rPr>
                <w:sz w:val="20"/>
                <w:szCs w:val="20"/>
                <w:color w:val="auto"/>
              </w:rPr>
            </w:pPr>
            <w:r>
              <w:rPr>
                <w:rFonts w:ascii="Arial" w:cs="Arial" w:eastAsia="Arial" w:hAnsi="Arial"/>
                <w:sz w:val="17"/>
                <w:szCs w:val="17"/>
                <w:color w:val="auto"/>
              </w:rPr>
              <w:t>0.6%</w:t>
            </w:r>
          </w:p>
        </w:tc>
      </w:tr>
    </w:tbl>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Anticipated Accounting Treatment of the Merger</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Merger will be treated by Vringo as a reverse merger under the acquisition method of accounting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xml:space="preserve">”). For accounting purposes, Innovate/Protect is considered to be acquiring Vringo in this transaction. For a more complete discussion of the anticipated accounting treatment of the Merger, see the section entitled “The Merger — Anticipated Accounting Treatment”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Mintz, Levin, Cohn, Ferris, Glovsky and Popeo, P.C. has rendered its written opinion regarding such qualification. As a result of the “reorganization,” Innovate/Protect stockholders generally will not recognize gain or loss for U.S. federal income tax purposes upon the exchange of their shares of Innovate/Protect capital</w:t>
      </w:r>
    </w:p>
    <w:p>
      <w:pPr>
        <w:spacing w:after="0" w:line="200" w:lineRule="exact"/>
        <w:rPr>
          <w:sz w:val="20"/>
          <w:szCs w:val="20"/>
          <w:color w:val="auto"/>
        </w:rPr>
      </w:pP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90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7545" cy="6290310"/>
                    </a:xfrm>
                    <a:prstGeom prst="rect">
                      <a:avLst/>
                    </a:prstGeom>
                    <a:noFill/>
                  </pic:spPr>
                </pic:pic>
              </a:graphicData>
            </a:graphic>
          </wp:anchor>
        </w:drawing>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4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b w:val="1"/>
          <w:bCs w:val="1"/>
          <w:i w:val="1"/>
          <w:i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6"/>
          <w:szCs w:val="16"/>
          <w:b w:val="1"/>
          <w:bCs w:val="1"/>
          <w:i w:val="1"/>
          <w:iCs w:val="1"/>
          <w:u w:val="single" w:color="auto"/>
          <w:color w:val="0000EE"/>
        </w:rPr>
        <w:t>86</w:t>
      </w:r>
      <w:r>
        <w:rPr>
          <w:rFonts w:ascii="Arial" w:cs="Arial" w:eastAsia="Arial" w:hAnsi="Arial"/>
          <w:sz w:val="16"/>
          <w:szCs w:val="16"/>
          <w:b w:val="1"/>
          <w:bCs w:val="1"/>
          <w:i w:val="1"/>
          <w:iCs w:val="1"/>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Restrictions on Sales of Shares of Vringo Common Stock Received by Innovate/Protect Stockholder in the Merger</w:t>
      </w:r>
    </w:p>
    <w:p>
      <w:pPr>
        <w:spacing w:after="0" w:line="121"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(ii) shares of Vringo common stock issued upon exercise of any Series 1 Warrants or Series 2 Warrants issued to Hudson Bay pursuant to the Merger Agreement, in the forms attached to this proxy statement/prospectus as </w:t>
      </w:r>
      <w:r>
        <w:rPr>
          <w:rFonts w:ascii="Arial" w:cs="Arial" w:eastAsia="Arial" w:hAnsi="Arial"/>
          <w:sz w:val="15"/>
          <w:szCs w:val="15"/>
          <w:u w:val="single" w:color="auto"/>
          <w:color w:val="auto"/>
        </w:rPr>
        <w:t>Annex 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Annex G</w:t>
      </w:r>
      <w:r>
        <w:rPr>
          <w:rFonts w:ascii="Arial" w:cs="Arial" w:eastAsia="Arial" w:hAnsi="Arial"/>
          <w:sz w:val="15"/>
          <w:szCs w:val="15"/>
          <w:color w:val="auto"/>
        </w:rPr>
        <w:t>, respectively, and (iii) shares of Vringo common stock issued upon conversion of the Vringo preferred stock. This restriction is in place from the closing date until the date upon which Vringo gives notice of termination to Hudson Bay pursuant to the Merger Agreement.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w:t>
      </w:r>
    </w:p>
    <w:p>
      <w:pPr>
        <w:spacing w:after="0" w:line="2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78"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 xml:space="preserve">For a more complete discussion of the restrictions on sales of shares of Vringo common stock and preferred stock and warrants received by the Innovate/Protect stockholders and warrantholder in the Merger, see the section entitled “The Merger — Restrictions on Sales of Shares of Vringo Common Stock Received by Innovate/Protect Stockholders in the Merger” beginning on page </w:t>
      </w:r>
      <w:r>
        <w:rPr>
          <w:rFonts w:ascii="Arial" w:cs="Arial" w:eastAsia="Arial" w:hAnsi="Arial"/>
          <w:sz w:val="15"/>
          <w:szCs w:val="15"/>
          <w:u w:val="single" w:color="auto"/>
          <w:color w:val="0000EE"/>
        </w:rPr>
        <w:t>84</w:t>
      </w:r>
      <w:r>
        <w:rPr>
          <w:rFonts w:ascii="Arial" w:cs="Arial" w:eastAsia="Arial" w:hAnsi="Arial"/>
          <w:sz w:val="15"/>
          <w:szCs w:val="15"/>
          <w:color w:val="auto"/>
        </w:rPr>
        <w:t>.</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02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7545" cy="6202680"/>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Appraisal Rights</w:t>
      </w:r>
    </w:p>
    <w:p>
      <w:pPr>
        <w:spacing w:after="0" w:line="109"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Under the DGCL, holders of Vringo common stock are not entitled to appraisal rights in connection with the Merger. Under the DGCL, however, holders of Innovate/Protect capital stock may be entitled to appraisal rights in connection with the Merger.</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Regulatory Approvals</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As of the date of this proxy statement/prospectus, neither Vringo nor Innovate/Protect is required to make filings or to obtain approvals or clearances from any regulatory authorities in the U.S. or other countries to complete the Merger. In the U.S., Vringo must comply with applicable federal and state securities laws and the rules and regulations of the NYSE MKT in connection with the issuance of shares of Vringo common stock and preferred stock and the resulting change in control of Vringo and the filing of this proxy statement/prospectus with the SEC.</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Conditions to the Completion of the Merger</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and Innovate/Protect expect to complete the Merger as soon as possible following the approval of the Vringo Merger Proposals at the annual meeting. Completion of the Merger will only be possible, however, after all closing conditions contained in the Merger Agreement are satisfied or waived, including after Vringo receives stockholder approval at the annual meeting. It is possible, therefore, that factors outside of each company’s control could require them to complete the Merger at a later time or not complete it at all.</w:t>
      </w:r>
    </w:p>
    <w:p>
      <w:pPr>
        <w:spacing w:after="0" w:line="80"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obligations of Vringo and Innovate/Protect to consummate the Merger are each subject to the satisfaction or waiver (to the extent permitted under applicable law) of the following conditions, among others and subject, in some cases, to the exceptions or limitations contained in confidential disclosure schedules delivered to each party by the other:</w:t>
      </w:r>
    </w:p>
    <w:p>
      <w:pPr>
        <w:spacing w:after="0" w:line="58" w:lineRule="exact"/>
        <w:rPr>
          <w:sz w:val="20"/>
          <w:szCs w:val="20"/>
          <w:color w:val="auto"/>
        </w:rPr>
      </w:pPr>
    </w:p>
    <w:p>
      <w:pPr>
        <w:ind w:left="560" w:hanging="30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stockholders of each of Vringo and Innovate/Protect have approved the Merger and the Merger agreement;</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proxy statement/prospectus has become effective;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shares of Vringo common stock shall have been approved for listing on the NYSE MKT (formerly, NYSE Amex);</w:t>
      </w:r>
    </w:p>
    <w:p>
      <w:pPr>
        <w:spacing w:after="0" w:line="116"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Vringo or Innovate/Protect, as applicable, shall have entered into certain agreements amending and restating existing indebtedness of Innovate/Protect;</w:t>
      </w:r>
    </w:p>
    <w:p>
      <w:pPr>
        <w:spacing w:after="0" w:line="66" w:lineRule="exact"/>
        <w:rPr>
          <w:rFonts w:ascii="Arial" w:cs="Arial" w:eastAsia="Arial" w:hAnsi="Arial"/>
          <w:sz w:val="17"/>
          <w:szCs w:val="17"/>
          <w:color w:val="auto"/>
        </w:rPr>
      </w:pPr>
    </w:p>
    <w:p>
      <w:pPr>
        <w:jc w:val="both"/>
        <w:ind w:left="560" w:right="1239" w:hanging="300"/>
        <w:spacing w:after="0" w:line="297" w:lineRule="auto"/>
        <w:tabs>
          <w:tab w:leader="none" w:pos="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representations and warranties of the parties shall be true, complete and correct in all material respects on and as of the Effective Time, with the same force and effect as if made on and as of the Effective Time, except for those (x) representations and warranties that are qualified by materiality, which representations and warranties shall be true, complete and correct in all respects and (y) representations and warranties which address matters only as of a particular date;</w:t>
      </w:r>
    </w:p>
    <w:p>
      <w:pPr>
        <w:spacing w:after="0" w:line="48"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parties shall have performed or complied in all material respects with all agreements and covenants required by the Merger Agreement to be performed or complied with by it on or prior to the Effective Time;</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holders of Innovate/Protect options and warrants shall have agreed to convert their options and warrants as provided in the Merger Agreement, as applicable;</w:t>
      </w:r>
    </w:p>
    <w:p>
      <w:pPr>
        <w:spacing w:after="0" w:line="66"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since the date of the Merger Agreement there shall not have occurred, and no event or circumstance shall exist that has had or could reasonably be expected to have, a material adverse effect on Vringo or Innovate/Protect, as applicable;</w:t>
      </w:r>
    </w:p>
    <w:p>
      <w:pPr>
        <w:spacing w:after="0" w:line="1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employment and board agreements and the agreement with Ambrose Employer Group each shall have been assigned to, and assumed by, Vringo, as set forth in the Merger Agreement;</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Vringo shall have received written resignations from all of the directors and officers of Innovate/Protect and its subsidiaries;</w:t>
      </w:r>
    </w:p>
    <w:p>
      <w:pPr>
        <w:spacing w:after="0" w:line="200" w:lineRule="exact"/>
        <w:rPr>
          <w:sz w:val="20"/>
          <w:szCs w:val="20"/>
          <w:color w:val="auto"/>
        </w:rPr>
      </w:pPr>
    </w:p>
    <w:p>
      <w:pPr>
        <w:spacing w:after="0" w:line="34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845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7545" cy="5845175"/>
                    </a:xfrm>
                    <a:prstGeom prst="rect">
                      <a:avLst/>
                    </a:prstGeom>
                    <a:noFill/>
                  </pic:spPr>
                </pic:pic>
              </a:graphicData>
            </a:graphic>
          </wp:anchor>
        </w:drawing>
        <w:t>TABLE OF CONTENTS</w:t>
      </w:r>
    </w:p>
    <w:p>
      <w:pPr>
        <w:spacing w:after="0" w:line="184" w:lineRule="exact"/>
        <w:rPr>
          <w:sz w:val="20"/>
          <w:szCs w:val="20"/>
          <w:color w:val="auto"/>
        </w:rPr>
      </w:pPr>
    </w:p>
    <w:p>
      <w:pPr>
        <w:jc w:val="both"/>
        <w:ind w:left="560" w:right="1239" w:hanging="300"/>
        <w:spacing w:after="0" w:line="256"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76" w:lineRule="exact"/>
        <w:rPr>
          <w:rFonts w:ascii="Arial" w:cs="Arial" w:eastAsia="Arial" w:hAnsi="Arial"/>
          <w:sz w:val="17"/>
          <w:szCs w:val="17"/>
          <w:color w:val="auto"/>
        </w:rPr>
      </w:pPr>
    </w:p>
    <w:p>
      <w:pPr>
        <w:jc w:val="both"/>
        <w:ind w:left="560" w:right="1239" w:hanging="300"/>
        <w:spacing w:after="0" w:line="250"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7"/>
          <w:szCs w:val="17"/>
          <w:i w:val="1"/>
          <w:iCs w:val="1"/>
          <w:color w:val="auto"/>
        </w:rPr>
        <w:t>I/P Engine, Inc. v. AOL, Inc.</w:t>
      </w:r>
      <w:r>
        <w:rPr>
          <w:rFonts w:ascii="Arial" w:cs="Arial" w:eastAsia="Arial" w:hAnsi="Arial"/>
          <w:sz w:val="17"/>
          <w:szCs w:val="17"/>
          <w:color w:val="auto"/>
        </w:rPr>
        <w:t>, Civ. Action No. 2:11-cv-512, filed in United States District Court for the Eastern District of Virginia, Norfolk Division on September 15, 2011 (the “</w:t>
      </w:r>
      <w:r>
        <w:rPr>
          <w:rFonts w:ascii="Arial" w:cs="Arial" w:eastAsia="Arial" w:hAnsi="Arial"/>
          <w:sz w:val="17"/>
          <w:szCs w:val="17"/>
          <w:b w:val="1"/>
          <w:bCs w:val="1"/>
          <w:color w:val="auto"/>
        </w:rPr>
        <w:t>Litigation</w:t>
      </w:r>
      <w:r>
        <w:rPr>
          <w:rFonts w:ascii="Arial" w:cs="Arial" w:eastAsia="Arial" w:hAnsi="Arial"/>
          <w:sz w:val="17"/>
          <w:szCs w:val="17"/>
          <w:color w:val="auto"/>
        </w:rPr>
        <w:t>”) nor (B) assigned, promised, transferred, conveyed, encumbered, or granted a security interest in any of those claims and (ii) there has been no dismissal (including, without limitation, by motion to dismiss or summary judgment) of the Litigation;</w:t>
      </w:r>
    </w:p>
    <w:p>
      <w:pPr>
        <w:spacing w:after="0" w:line="81"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holders of no more than 10% of the issued and outstanding Innovate/Protect capital stock shall have demanded and perfected their right to an appraisal of Innovate/Protect capital stock under the Delaware General Corporation Law; and</w:t>
      </w:r>
    </w:p>
    <w:p>
      <w:pPr>
        <w:spacing w:after="0" w:line="19"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conditions to the completion of the Merger, see the section entitled “The Merger Agreement — Conditions to the Completion of the Merger” beginning on page </w:t>
      </w:r>
      <w:r>
        <w:rPr>
          <w:rFonts w:ascii="Arial" w:cs="Arial" w:eastAsia="Arial" w:hAnsi="Arial"/>
          <w:sz w:val="17"/>
          <w:szCs w:val="17"/>
          <w:u w:val="single" w:color="auto"/>
          <w:color w:val="0000EE"/>
        </w:rPr>
        <w:t>96</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 Solicitation</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the other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the other party to abandon or terminate the Merger Agreement;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the other party.</w:t>
      </w:r>
    </w:p>
    <w:p>
      <w:pPr>
        <w:spacing w:after="0" w:line="2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the prohibition on solicitation of acquisition proposals from third parties, see the section entitled “The Merger Agreement — No Solicitation” beginning on page </w:t>
      </w:r>
      <w:r>
        <w:rPr>
          <w:rFonts w:ascii="Arial" w:cs="Arial" w:eastAsia="Arial" w:hAnsi="Arial"/>
          <w:sz w:val="17"/>
          <w:szCs w:val="17"/>
          <w:u w:val="single" w:color="auto"/>
          <w:color w:val="0000EE"/>
        </w:rPr>
        <w:t>94</w:t>
      </w:r>
      <w:r>
        <w:rPr>
          <w:rFonts w:ascii="Arial" w:cs="Arial" w:eastAsia="Arial" w:hAnsi="Arial"/>
          <w:sz w:val="17"/>
          <w:szCs w:val="17"/>
          <w:color w:val="auto"/>
        </w:rPr>
        <w:t>.</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099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7545" cy="6099810"/>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of the Merger Agreement</w:t>
      </w:r>
    </w:p>
    <w:p>
      <w:pPr>
        <w:spacing w:after="0" w:line="109"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Generally and except as specified below, the Merger Agreement may be terminated and the Merger may be abandoned at any time prior to the completion of the Merger, including after the required Vringo stockholder approval is obtained:</w:t>
      </w:r>
    </w:p>
    <w:p>
      <w:pPr>
        <w:spacing w:after="0" w:line="43" w:lineRule="exact"/>
        <w:rPr>
          <w:sz w:val="20"/>
          <w:szCs w:val="20"/>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mutual written consent of Vringo, Merger Sub and Innovate/Protect; 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either party, if:</w:t>
      </w:r>
    </w:p>
    <w:p>
      <w:pPr>
        <w:spacing w:after="0" w:line="105" w:lineRule="exact"/>
        <w:rPr>
          <w:rFonts w:ascii="Arial" w:cs="Arial" w:eastAsia="Arial" w:hAnsi="Arial"/>
          <w:sz w:val="17"/>
          <w:szCs w:val="17"/>
          <w:color w:val="auto"/>
        </w:rPr>
      </w:pPr>
    </w:p>
    <w:p>
      <w:pPr>
        <w:ind w:left="820" w:hanging="309"/>
        <w:spacing w:after="0"/>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Merger has not been completed on or before September 30, 2012;</w:t>
      </w:r>
    </w:p>
    <w:p>
      <w:pPr>
        <w:spacing w:after="0" w:line="105" w:lineRule="exact"/>
        <w:rPr>
          <w:rFonts w:ascii="Arial" w:cs="Arial" w:eastAsia="Arial" w:hAnsi="Arial"/>
          <w:sz w:val="17"/>
          <w:szCs w:val="17"/>
          <w:color w:val="auto"/>
        </w:rPr>
      </w:pPr>
    </w:p>
    <w:p>
      <w:pPr>
        <w:ind w:left="820" w:right="1239" w:hanging="309"/>
        <w:spacing w:after="0" w:line="267"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any law enacted by a governmental authority prohibits the consummation of the Merger, or any governmental authority has issued an order prohibiting the consummation of the Merger;</w:t>
      </w:r>
    </w:p>
    <w:p>
      <w:pPr>
        <w:spacing w:after="0" w:line="66" w:lineRule="exact"/>
        <w:rPr>
          <w:rFonts w:ascii="Arial" w:cs="Arial" w:eastAsia="Arial" w:hAnsi="Arial"/>
          <w:sz w:val="17"/>
          <w:szCs w:val="17"/>
          <w:color w:val="auto"/>
        </w:rPr>
      </w:pPr>
    </w:p>
    <w:p>
      <w:pPr>
        <w:jc w:val="both"/>
        <w:ind w:left="820" w:right="1239" w:hanging="309"/>
        <w:spacing w:after="0" w:line="253"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after a vote duly taken, the required approval of the Vringo Merger Proposals by the respective stockholders of Vringo or Innovate/Protect has not been obtained at the respective stockholders meeting (or at any adjournment or postponement thereof), unless failure to obtain approval is attributable to a failure on the part of such party seeking to terminate the Agreement; or</w:t>
      </w:r>
    </w:p>
    <w:p>
      <w:pPr>
        <w:spacing w:after="0" w:line="77" w:lineRule="exact"/>
        <w:rPr>
          <w:rFonts w:ascii="Arial" w:cs="Arial" w:eastAsia="Arial" w:hAnsi="Arial"/>
          <w:sz w:val="17"/>
          <w:szCs w:val="17"/>
          <w:color w:val="auto"/>
        </w:rPr>
      </w:pPr>
    </w:p>
    <w:p>
      <w:pPr>
        <w:jc w:val="both"/>
        <w:ind w:left="820" w:right="1239" w:hanging="309"/>
        <w:spacing w:after="0" w:line="253"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subject to cure periods, the other party’s representations and warranties are inaccurate or the other party fails to comply with its covenants, in each case, such that the closing conditions relating to the accuracy of the other party’s representations and warranties or relating to the performance of the other party’s covenants, as applicable, would not be satisfied; or</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Vringo, if:</w:t>
      </w:r>
    </w:p>
    <w:p>
      <w:pPr>
        <w:spacing w:after="0" w:line="105" w:lineRule="exact"/>
        <w:rPr>
          <w:rFonts w:ascii="Arial" w:cs="Arial" w:eastAsia="Arial" w:hAnsi="Arial"/>
          <w:sz w:val="17"/>
          <w:szCs w:val="17"/>
          <w:color w:val="auto"/>
        </w:rPr>
      </w:pPr>
    </w:p>
    <w:p>
      <w:pPr>
        <w:jc w:val="both"/>
        <w:ind w:left="820" w:right="1239" w:hanging="309"/>
        <w:spacing w:after="0" w:line="249"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at any time prior to the approval of the Merger by its stockholders, (i) the Innovate/Protect board of directors has effected a recommendation change, (ii) the Innovate/Protect board of directors or any authorized committee has failed to present or recommend the approval of the Merger Agreement and the Merger to the stockholders, (iii) Innovate/Protect shall have entered or cause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or</w:t>
      </w:r>
    </w:p>
    <w:p>
      <w:pPr>
        <w:spacing w:after="0" w:line="184" w:lineRule="exact"/>
        <w:rPr>
          <w:rFonts w:ascii="Arial" w:cs="Arial" w:eastAsia="Arial" w:hAnsi="Arial"/>
          <w:sz w:val="17"/>
          <w:szCs w:val="17"/>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Innovate/Protect, if:</w:t>
      </w:r>
    </w:p>
    <w:p>
      <w:pPr>
        <w:spacing w:after="0" w:line="105" w:lineRule="exact"/>
        <w:rPr>
          <w:rFonts w:ascii="Arial" w:cs="Arial" w:eastAsia="Arial" w:hAnsi="Arial"/>
          <w:sz w:val="17"/>
          <w:szCs w:val="17"/>
          <w:color w:val="auto"/>
        </w:rPr>
      </w:pPr>
    </w:p>
    <w:p>
      <w:pPr>
        <w:jc w:val="both"/>
        <w:ind w:left="820" w:right="1239" w:hanging="309"/>
        <w:spacing w:after="0" w:line="269" w:lineRule="auto"/>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at any time prior to the approval of the Vringo Merger Proposals, (i) the Vringo board of directors has effected a recommendation change (ii) the Vringo board of directors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Vringo shall have breached any term of the non-solicitation provision of the Merger Agreement; or</w:t>
      </w:r>
    </w:p>
    <w:p>
      <w:pPr>
        <w:spacing w:after="0" w:line="65" w:lineRule="exact"/>
        <w:rPr>
          <w:rFonts w:ascii="Arial" w:cs="Arial" w:eastAsia="Arial" w:hAnsi="Arial"/>
          <w:sz w:val="16"/>
          <w:szCs w:val="16"/>
          <w:color w:val="auto"/>
        </w:rPr>
      </w:pPr>
    </w:p>
    <w:p>
      <w:pPr>
        <w:ind w:left="560" w:right="1239" w:hanging="300"/>
        <w:spacing w:after="0" w:line="335" w:lineRule="auto"/>
        <w:tabs>
          <w:tab w:leader="none" w:pos="5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by either Vringo or Innovate/Protect if prior to obtaining stockholder approval such party determines to enter into a definitive agreement relating to an Innovate/Protect Superior Proposal or Vringo Superior Proposal, as the case may be; or</w:t>
      </w:r>
    </w:p>
    <w:p>
      <w:pPr>
        <w:spacing w:after="0" w:line="19" w:lineRule="exact"/>
        <w:rPr>
          <w:rFonts w:ascii="Arial" w:cs="Arial" w:eastAsia="Arial" w:hAnsi="Arial"/>
          <w:sz w:val="15"/>
          <w:szCs w:val="15"/>
          <w:color w:val="auto"/>
        </w:rPr>
      </w:pPr>
    </w:p>
    <w:p>
      <w:pPr>
        <w:ind w:left="560" w:hanging="300"/>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by Innovate/Protect at any time, upon payment to Vringo of the Innovate/Protect termination fee.</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termination of the Merger Agreement, see the section entitled “The Merger Agreement — Termination of the Merger Agreement” beginning on page </w:t>
      </w:r>
      <w:r>
        <w:rPr>
          <w:rFonts w:ascii="Arial" w:cs="Arial" w:eastAsia="Arial" w:hAnsi="Arial"/>
          <w:sz w:val="17"/>
          <w:szCs w:val="17"/>
          <w:u w:val="single" w:color="auto"/>
          <w:color w:val="0000EE"/>
        </w:rPr>
        <w:t>97</w:t>
      </w:r>
      <w:r>
        <w:rPr>
          <w:rFonts w:ascii="Arial" w:cs="Arial" w:eastAsia="Arial" w:hAnsi="Arial"/>
          <w:sz w:val="17"/>
          <w:szCs w:val="17"/>
          <w:color w:val="auto"/>
        </w:rPr>
        <w:t>.</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035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7545" cy="6035675"/>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Fees and Expenses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Under certain circumstances, if the Merger is terminated by either Vringo or Innovate/Protect, then Innovate/Protect shall pay to Vringo, a fee in cash equal to $5,000,000.</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certain circumstances, if the Merger is terminated by either Vringo or Innovate/Protect in connection with or due to Vringo entering into an alternate transaction constituting a superior proposal, then Vringo shall pay to Innovate/Protect, a fee equal to 5% of the consideration paid to all security holders of Vringo in connection with the Vringo Superior Proposal in the same form as such consideration is paid to such security holders.</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 more complete discussion of termination fees and expenses, see the section entitled “The Merger Agreement — Termination Fees and Expenses” beginning on page </w:t>
      </w:r>
      <w:r>
        <w:rPr>
          <w:rFonts w:ascii="Arial" w:cs="Arial" w:eastAsia="Arial" w:hAnsi="Arial"/>
          <w:sz w:val="17"/>
          <w:szCs w:val="17"/>
          <w:u w:val="single" w:color="auto"/>
          <w:color w:val="0000EE"/>
        </w:rPr>
        <w:t>97</w:t>
      </w:r>
      <w:r>
        <w:rPr>
          <w:rFonts w:ascii="Arial" w:cs="Arial" w:eastAsia="Arial" w:hAnsi="Arial"/>
          <w:sz w:val="17"/>
          <w:szCs w:val="17"/>
          <w:color w:val="auto"/>
        </w:rPr>
        <w: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by Vringo Directors and Executive Officers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As of June 20, 2012, the latest practicable date before the printing of this proxy statement/prospectus, directors and executive officers of Vringo beneficially owned and were entitled to vote 243,053 shares of Vringo common stock, or approximately 1.73% of the total outstanding voting power of Vringo. It is expected that Vringo’s directors and executive officers will vote their shares FOR the approval of the Merger, although none of them has entered into any agreement requiring them to do so.</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Rights of Innovate/Protect Stockholders Will Change as a Result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Due to differences between the governing documents of Vringo and Innovate/Protect, Innovate/Protect stockholders receiving Vringo common stock and preferred stock in connection with the Merger will have different rights once they become Vringo stockholders. The material differences are described in detail under the section entitled “Comparison of Rights of Vringo Stockholders and Innovate/Protect Stockholders” beginning on page </w:t>
      </w:r>
      <w:r>
        <w:rPr>
          <w:rFonts w:ascii="Arial" w:cs="Arial" w:eastAsia="Arial" w:hAnsi="Arial"/>
          <w:sz w:val="17"/>
          <w:szCs w:val="17"/>
          <w:u w:val="single" w:color="auto"/>
          <w:color w:val="0000EE"/>
        </w:rPr>
        <w:t>197</w:t>
      </w:r>
      <w:r>
        <w:rPr>
          <w:rFonts w:ascii="Arial" w:cs="Arial" w:eastAsia="Arial" w:hAnsi="Arial"/>
          <w:sz w:val="17"/>
          <w:szCs w:val="17"/>
          <w:color w:val="auto"/>
        </w:rPr>
        <w: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 Factors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Merger, including the possibility that the Merger may not be completed, poses a number of risks to each company and its respective stockholders, including the following:</w:t>
      </w:r>
    </w:p>
    <w:p>
      <w:pPr>
        <w:spacing w:after="0" w:line="66" w:lineRule="exact"/>
        <w:rPr>
          <w:sz w:val="20"/>
          <w:szCs w:val="20"/>
          <w:color w:val="auto"/>
        </w:rPr>
      </w:pPr>
    </w:p>
    <w:p>
      <w:pPr>
        <w:ind w:left="560" w:right="1239" w:hanging="300"/>
        <w:spacing w:after="0" w:line="335" w:lineRule="auto"/>
        <w:tabs>
          <w:tab w:leader="none" w:pos="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issuance of shares of Vringo common stock and preferred stock and warrants to the Innovate/Protect stockholders and warrantholder in connection with the Merger will substantially dilute the voting power of current Vringo stockholders;</w:t>
      </w:r>
    </w:p>
    <w:p>
      <w:pPr>
        <w:spacing w:after="0" w:line="19" w:lineRule="exact"/>
        <w:rPr>
          <w:rFonts w:ascii="Arial" w:cs="Arial" w:eastAsia="Arial" w:hAnsi="Arial"/>
          <w:sz w:val="15"/>
          <w:szCs w:val="15"/>
          <w:color w:val="auto"/>
        </w:rPr>
      </w:pPr>
    </w:p>
    <w:p>
      <w:pPr>
        <w:ind w:left="560" w:right="1239" w:hanging="300"/>
        <w:spacing w:after="0" w:line="299" w:lineRule="auto"/>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announcement and pendency of the Merger could have an adverse effect on the Vringo stock price and/or the business, financial condition, results of operations, or business prospects for Vringo and/or Innovate/Protect;</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failure to complete the Merger or delays in completing the Merger could negatively impact Vringo’s and Innovate/Protect’s respective businesses, financial condition, or results of operations or the Vringo stock price;</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some of the directors and executive officers of Vringo and Innovate/Protect have interests in the Merger that are different from, or in addition to, those of the other Vringo and Innovate/Protect stockholders;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Merger Agreement contains provisions that could discourage or make it difficult for a third party to acquire Vringo or Innovate/Protect prior to the completion of the Merger.</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In addition, each of Vringo, Innovate/Protect, and the combined company is subject to various risks associated with its business. The risks are discussed in greater detail in the section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 Vringo encourages you to read and consider all of these risks carefully.</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7969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7545" cy="5796915"/>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Matters to Be Considered at the Vringo Annual Meeting</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Vringo Annual Meeting</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Date, Time and Place</w:t>
      </w:r>
      <w:r>
        <w:rPr>
          <w:rFonts w:ascii="Arial" w:cs="Arial" w:eastAsia="Arial" w:hAnsi="Arial"/>
          <w:sz w:val="17"/>
          <w:szCs w:val="17"/>
          <w:color w:val="auto"/>
        </w:rPr>
        <w:t>. The Vringo annual meeting will be held on July 19, 2012 at 10:00 a.m., local time, at the offices of</w:t>
      </w:r>
      <w:r>
        <w:rPr>
          <w:rFonts w:ascii="Arial" w:cs="Arial" w:eastAsia="Arial" w:hAnsi="Arial"/>
          <w:sz w:val="17"/>
          <w:szCs w:val="17"/>
          <w:i w:val="1"/>
          <w:iCs w:val="1"/>
          <w:color w:val="auto"/>
        </w:rPr>
        <w:t xml:space="preserve"> </w:t>
      </w:r>
      <w:r>
        <w:rPr>
          <w:rFonts w:ascii="Arial" w:cs="Arial" w:eastAsia="Arial" w:hAnsi="Arial"/>
          <w:sz w:val="17"/>
          <w:szCs w:val="17"/>
          <w:color w:val="auto"/>
        </w:rPr>
        <w:t>Mintz, Levin, Cohn, Ferris, Glovsky and Popeo, P.C., the Chrysler Center, 666 Third Avenue, 32nd floor, New York, New York 10017.</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Matters to be Considered at the Vringo Annual Meeting</w:t>
      </w:r>
      <w:r>
        <w:rPr>
          <w:rFonts w:ascii="Arial" w:cs="Arial" w:eastAsia="Arial" w:hAnsi="Arial"/>
          <w:sz w:val="17"/>
          <w:szCs w:val="17"/>
          <w:color w:val="auto"/>
        </w:rPr>
        <w:t>. At the Vringo annual meeting, and any adjournments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postponements thereof, Vringo stockholders will be asked to:</w:t>
      </w:r>
    </w:p>
    <w:p>
      <w:pPr>
        <w:spacing w:after="0" w:line="66" w:lineRule="exact"/>
        <w:rPr>
          <w:sz w:val="20"/>
          <w:szCs w:val="20"/>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Securities Issuance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Reverse Stock Split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Authorized Shares Increase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elect seven (7) director nominees to the Vringo board of directors as set forth in the Election of Directors Proposal;</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2012 Equity Incentive Plan Proposal;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approve the Ratification of the Appointment of Vringo’s Independent Registered Public Accounting Firm Proposal;</w:t>
      </w:r>
    </w:p>
    <w:p>
      <w:pPr>
        <w:spacing w:after="0" w:line="116"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adjournment of the Vringo annual meeting, if necessary, to solicit additional proxies if there are not sufficient votes in favor of the Vringo Merger Proposals;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conduct any other business as may properly come before the Vringo annual meeting or any adjournment or postponement thereof.</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Record Date</w:t>
      </w:r>
      <w:r>
        <w:rPr>
          <w:rFonts w:ascii="Arial" w:cs="Arial" w:eastAsia="Arial" w:hAnsi="Arial"/>
          <w:sz w:val="17"/>
          <w:szCs w:val="17"/>
          <w:color w:val="auto"/>
        </w:rPr>
        <w:t>. The Vringo board of directors has fixed the close of business on June 8, 2012 as the record date for determining</w:t>
      </w:r>
      <w:r>
        <w:rPr>
          <w:rFonts w:ascii="Arial" w:cs="Arial" w:eastAsia="Arial" w:hAnsi="Arial"/>
          <w:sz w:val="17"/>
          <w:szCs w:val="17"/>
          <w:i w:val="1"/>
          <w:iCs w:val="1"/>
          <w:color w:val="auto"/>
        </w:rPr>
        <w:t xml:space="preserve"> </w:t>
      </w:r>
      <w:r>
        <w:rPr>
          <w:rFonts w:ascii="Arial" w:cs="Arial" w:eastAsia="Arial" w:hAnsi="Arial"/>
          <w:sz w:val="17"/>
          <w:szCs w:val="17"/>
          <w:color w:val="auto"/>
        </w:rPr>
        <w:t>the Vringo stockholders entitled to notice of and to vote at the Vringo annual meeting and any adjournment or postponement thereof.</w:t>
      </w:r>
    </w:p>
    <w:p>
      <w:pPr>
        <w:spacing w:after="0" w:line="7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i w:val="1"/>
          <w:iCs w:val="1"/>
          <w:color w:val="auto"/>
        </w:rPr>
        <w:t>Required Vote</w:t>
      </w:r>
      <w:r>
        <w:rPr>
          <w:rFonts w:ascii="Arial" w:cs="Arial" w:eastAsia="Arial" w:hAnsi="Arial"/>
          <w:sz w:val="15"/>
          <w:szCs w:val="15"/>
          <w:color w:val="auto"/>
        </w:rPr>
        <w:t>. Approval of the Securities Issuance Proposal, approval of the 2012 Equity Incentive Plan Proposal and approval</w:t>
      </w:r>
      <w:r>
        <w:rPr>
          <w:rFonts w:ascii="Arial" w:cs="Arial" w:eastAsia="Arial" w:hAnsi="Arial"/>
          <w:sz w:val="15"/>
          <w:szCs w:val="15"/>
          <w:i w:val="1"/>
          <w:iCs w:val="1"/>
          <w:color w:val="auto"/>
        </w:rPr>
        <w:t xml:space="preserve"> </w:t>
      </w:r>
      <w:r>
        <w:rPr>
          <w:rFonts w:ascii="Arial" w:cs="Arial" w:eastAsia="Arial" w:hAnsi="Arial"/>
          <w:sz w:val="15"/>
          <w:szCs w:val="15"/>
          <w:color w:val="auto"/>
        </w:rPr>
        <w:t>the Ratification of the Appointment of Vringo’s Independent Registered Public Accounting Firm Proposal require the affirmative vote of the holders of a majority of the shares of Vringo common stock present and entitled to vote on the matter either in person or by proxy at the Vringo annual meeting. Approval of the Reverse Stock Split Proposal and the Authorized Shares Increase Proposal require the affirmative vote of the holders of a majority of the shares of Vringo common stock outstanding and entitled to vote on the matter either in person or by proxy at the Vringo annual meeting. The election of the director nominees set forth in the Election of Directors Proposal requires the affirmative vote of a plurality of the voting power of the shares present or represented by proxy at the Vringo annual meeting and entitled to vote on the election of directors. 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on the matter either in person or by proxy at the Vringo annual meeting. As of the close of business on the record date for the Vringo annual meeting, there were 14,064,466 shares of Vringo common stock outstanding.</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For additional information about the Vringo annual meeting, see the section entitled “The Annual Meeting of Vringo Stockholders” beginning on page </w:t>
      </w:r>
      <w:r>
        <w:rPr>
          <w:rFonts w:ascii="Arial" w:cs="Arial" w:eastAsia="Arial" w:hAnsi="Arial"/>
          <w:sz w:val="17"/>
          <w:szCs w:val="17"/>
          <w:u w:val="single" w:color="auto"/>
          <w:color w:val="0000EE"/>
        </w:rPr>
        <w:t>101</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66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7545" cy="6266815"/>
                    </a:xfrm>
                    <a:prstGeom prst="rect">
                      <a:avLst/>
                    </a:prstGeom>
                    <a:noFill/>
                  </pic:spPr>
                </pic:pic>
              </a:graphicData>
            </a:graphic>
          </wp:anchor>
        </w:drawing>
        <w:t>TABLE OF CONTENTS</w:t>
      </w:r>
    </w:p>
    <w:p>
      <w:pPr>
        <w:spacing w:after="0" w:line="280"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SELECTED HISTORICAL FINANCIAL DATA OF VRINGO</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following table sets forth Vringo selected historical financial data as of the dates and for each of the periods indicated. The financial data for the years ended December 31, 2011 and 2010, and as of December 31, 2011 and 2010 is derived from Vringo’s audited financial statements, which are included elsewhere in this proxy statement/prospectus. The financial data as of and for the years ended December 31, 2009, 2008, and 2007 is derived from Vringo’s audited historical financial statements, which are not included or incorporated by reference into this proxy statement/prospectus. The financial data for the three-month periods ended March 31, 2012 and 2011 and as of March 31, 2012 is derived from Vringo’s unaudited financial statements which are included elsewhere in this proxy statement/prospectus.</w:t>
      </w:r>
    </w:p>
    <w:p>
      <w:pPr>
        <w:spacing w:after="0" w:line="71"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You should read the selected historical financial data below together with Vringo’s Management’s Discussion and Analysis of Financial Condition and Results of Operations and with the financial statements and notes thereto for the year ended December 31, 2011 and for the three months ended March 31, 2012, each of which are included elsewhere in this proxy statement/prospectus.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gridSpan w:val="36"/>
          </w:tcPr>
          <w:p>
            <w:pPr>
              <w:ind w:left="40"/>
              <w:spacing w:after="0"/>
              <w:rPr>
                <w:sz w:val="20"/>
                <w:szCs w:val="20"/>
                <w:color w:val="auto"/>
              </w:rPr>
            </w:pPr>
            <w:r>
              <w:rPr>
                <w:rFonts w:ascii="Arial" w:cs="Arial" w:eastAsia="Arial" w:hAnsi="Arial"/>
                <w:sz w:val="17"/>
                <w:szCs w:val="17"/>
                <w:b w:val="1"/>
                <w:bCs w:val="1"/>
                <w:color w:val="auto"/>
                <w:w w:val="89"/>
              </w:rPr>
              <w:t>Statements of Operations Data (U.S. dollars; in thousands, except for share and per share data):</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340" w:type="dxa"/>
            <w:vAlign w:val="bottom"/>
          </w:tcPr>
          <w:p>
            <w:pPr>
              <w:spacing w:after="0"/>
              <w:rPr>
                <w:sz w:val="10"/>
                <w:szCs w:val="10"/>
                <w:color w:val="auto"/>
              </w:rPr>
            </w:pPr>
          </w:p>
        </w:tc>
        <w:tc>
          <w:tcPr>
            <w:tcW w:w="1700" w:type="dxa"/>
            <w:vAlign w:val="bottom"/>
            <w:tcBorders>
              <w:bottom w:val="single" w:sz="8" w:color="auto"/>
            </w:tcBorders>
            <w:gridSpan w:val="8"/>
          </w:tcPr>
          <w:p>
            <w:pPr>
              <w:jc w:val="right"/>
              <w:ind w:right="40"/>
              <w:spacing w:after="0" w:line="125" w:lineRule="exact"/>
              <w:rPr>
                <w:sz w:val="20"/>
                <w:szCs w:val="20"/>
                <w:color w:val="auto"/>
              </w:rPr>
            </w:pPr>
            <w:r>
              <w:rPr>
                <w:rFonts w:ascii="Arial" w:cs="Arial" w:eastAsia="Arial" w:hAnsi="Arial"/>
                <w:sz w:val="12"/>
                <w:szCs w:val="12"/>
                <w:b w:val="1"/>
                <w:bCs w:val="1"/>
                <w:color w:val="auto"/>
                <w:w w:val="92"/>
              </w:rPr>
              <w:t>Three Months Ended March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12"/>
          </w:tcPr>
          <w:p>
            <w:pPr>
              <w:jc w:val="right"/>
              <w:spacing w:after="0" w:line="125" w:lineRule="exact"/>
              <w:rPr>
                <w:sz w:val="20"/>
                <w:szCs w:val="20"/>
                <w:color w:val="auto"/>
              </w:rPr>
            </w:pPr>
            <w:r>
              <w:rPr>
                <w:rFonts w:ascii="Arial" w:cs="Arial" w:eastAsia="Arial" w:hAnsi="Arial"/>
                <w:sz w:val="12"/>
                <w:szCs w:val="12"/>
                <w:b w:val="1"/>
                <w:bCs w:val="1"/>
                <w:color w:val="auto"/>
              </w:rPr>
              <w:t>Years Ended December 31,</w:t>
            </w: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vMerge w:val="restart"/>
          </w:tcPr>
          <w:p>
            <w:pPr>
              <w:spacing w:after="0"/>
              <w:rPr>
                <w:sz w:val="20"/>
                <w:szCs w:val="20"/>
                <w:color w:val="auto"/>
              </w:rPr>
            </w:pPr>
            <w:r>
              <w:rPr>
                <w:rFonts w:ascii="Arial" w:cs="Arial" w:eastAsia="Arial" w:hAnsi="Arial"/>
                <w:sz w:val="13"/>
                <w:szCs w:val="13"/>
                <w:b w:val="1"/>
                <w:bCs w:val="1"/>
                <w:color w:val="auto"/>
              </w:rPr>
              <w:t>Revenue</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5"/>
              <w:spacing w:after="0" w:line="130" w:lineRule="exact"/>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80"/>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5"/>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5"/>
              <w:spacing w:after="0" w:line="130" w:lineRule="exact"/>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line="130" w:lineRule="exact"/>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5"/>
              <w:spacing w:after="0" w:line="130" w:lineRule="exact"/>
              <w:rPr>
                <w:sz w:val="20"/>
                <w:szCs w:val="20"/>
                <w:color w:val="auto"/>
              </w:rPr>
            </w:pPr>
            <w:r>
              <w:rPr>
                <w:rFonts w:ascii="Arial" w:cs="Arial" w:eastAsia="Arial" w:hAnsi="Arial"/>
                <w:sz w:val="12"/>
                <w:szCs w:val="12"/>
                <w:b w:val="1"/>
                <w:bCs w:val="1"/>
                <w:color w:val="auto"/>
              </w:rPr>
              <w:t>2008</w:t>
            </w: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5"/>
              <w:spacing w:after="0" w:line="130" w:lineRule="exact"/>
              <w:rPr>
                <w:sz w:val="20"/>
                <w:szCs w:val="20"/>
                <w:color w:val="auto"/>
              </w:rPr>
            </w:pPr>
            <w:r>
              <w:rPr>
                <w:rFonts w:ascii="Arial" w:cs="Arial" w:eastAsia="Arial" w:hAnsi="Arial"/>
                <w:sz w:val="12"/>
                <w:szCs w:val="12"/>
                <w:b w:val="1"/>
                <w:bCs w:val="1"/>
                <w:color w:val="auto"/>
              </w:rPr>
              <w:t>2007</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rPr>
              <w:t>106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1"/>
                <w:szCs w:val="11"/>
                <w:color w:val="auto"/>
              </w:rPr>
            </w:pP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b w:val="1"/>
                <w:bCs w:val="1"/>
                <w:color w:val="auto"/>
              </w:rPr>
              <w:t>147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718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211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right"/>
              <w:ind w:right="110"/>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640" w:type="dxa"/>
            <w:vAlign w:val="bottom"/>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0"/>
        </w:trPr>
        <w:tc>
          <w:tcPr>
            <w:tcW w:w="1340" w:type="dxa"/>
            <w:vAlign w:val="bottom"/>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Costs and Expenses</w:t>
            </w:r>
          </w:p>
        </w:tc>
        <w:tc>
          <w:tcPr>
            <w:tcW w:w="8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12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20" w:type="dxa"/>
            <w:vAlign w:val="bottom"/>
            <w:tcBorders>
              <w:top w:val="single" w:sz="8" w:color="auto"/>
            </w:tcBorders>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580" w:type="dxa"/>
            <w:vAlign w:val="bottom"/>
            <w:tcBorders>
              <w:top w:val="single" w:sz="8" w:color="auto"/>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tcBorders>
              <w:top w:val="single" w:sz="8" w:color="auto"/>
            </w:tcBorders>
            <w:shd w:val="clear" w:color="auto" w:fill="CCFFCC"/>
          </w:tcPr>
          <w:p>
            <w:pPr>
              <w:spacing w:after="0"/>
              <w:rPr>
                <w:sz w:val="11"/>
                <w:szCs w:val="11"/>
                <w:color w:val="auto"/>
              </w:rPr>
            </w:pPr>
          </w:p>
        </w:tc>
        <w:tc>
          <w:tcPr>
            <w:tcW w:w="18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Cost of revenue</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155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180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Research and</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512</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519</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2,017</w:t>
            </w: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2,503</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1,975</w:t>
            </w: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3,110</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2,429</w:t>
            </w:r>
          </w:p>
        </w:tc>
        <w:tc>
          <w:tcPr>
            <w:tcW w:w="0" w:type="dxa"/>
            <w:vAlign w:val="bottom"/>
          </w:tcPr>
          <w:p>
            <w:pPr>
              <w:spacing w:after="0"/>
              <w:rPr>
                <w:sz w:val="1"/>
                <w:szCs w:val="1"/>
                <w:color w:val="auto"/>
              </w:rPr>
            </w:pPr>
          </w:p>
        </w:tc>
      </w:tr>
      <w:tr>
        <w:trPr>
          <w:trHeight w:val="156"/>
        </w:trPr>
        <w:tc>
          <w:tcPr>
            <w:tcW w:w="13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development</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8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100" w:type="dxa"/>
            <w:vAlign w:val="bottom"/>
            <w:tcBorders>
              <w:right w:val="single" w:sz="8" w:color="CCFFCC"/>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line="138" w:lineRule="exact"/>
              <w:rPr>
                <w:sz w:val="20"/>
                <w:szCs w:val="20"/>
                <w:color w:val="auto"/>
              </w:rPr>
            </w:pPr>
            <w:r>
              <w:rPr>
                <w:rFonts w:ascii="Arial" w:cs="Arial" w:eastAsia="Arial" w:hAnsi="Arial"/>
                <w:sz w:val="13"/>
                <w:szCs w:val="13"/>
                <w:color w:val="auto"/>
              </w:rPr>
              <w:t>Marketing</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621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color w:val="auto"/>
              </w:rPr>
              <w:t>2,193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2,183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auto"/>
              </w:rPr>
              <w:t>1,752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2,769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General and</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1,460</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665</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6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2,777</w:t>
            </w:r>
          </w:p>
        </w:tc>
        <w:tc>
          <w:tcPr>
            <w:tcW w:w="10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1,840</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color w:val="auto"/>
              </w:rPr>
              <w:t>1,568</w:t>
            </w: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1,409</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912</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administrative</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340" w:type="dxa"/>
            <w:vAlign w:val="bottom"/>
          </w:tcPr>
          <w:p>
            <w:pPr>
              <w:spacing w:after="0" w:line="131" w:lineRule="exact"/>
              <w:rPr>
                <w:sz w:val="20"/>
                <w:szCs w:val="20"/>
                <w:color w:val="auto"/>
              </w:rPr>
            </w:pPr>
            <w:r>
              <w:rPr>
                <w:rFonts w:ascii="Arial" w:cs="Arial" w:eastAsia="Arial" w:hAnsi="Arial"/>
                <w:sz w:val="13"/>
                <w:szCs w:val="13"/>
                <w:b w:val="1"/>
                <w:bCs w:val="1"/>
                <w:color w:val="auto"/>
              </w:rPr>
              <w:t>Operating loss</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1" w:lineRule="exact"/>
              <w:rPr>
                <w:sz w:val="20"/>
                <w:szCs w:val="20"/>
                <w:color w:val="auto"/>
              </w:rPr>
            </w:pPr>
            <w:r>
              <w:rPr>
                <w:rFonts w:ascii="Arial" w:cs="Arial" w:eastAsia="Arial" w:hAnsi="Arial"/>
                <w:sz w:val="13"/>
                <w:szCs w:val="13"/>
                <w:b w:val="1"/>
                <w:bCs w:val="1"/>
                <w:color w:val="auto"/>
              </w:rPr>
              <w:t>(2,656)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(1,683)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(6,424)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(6,495)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(5,306)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(7,288)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jc w:val="right"/>
              <w:ind w:right="60"/>
              <w:spacing w:after="0" w:line="131" w:lineRule="exact"/>
              <w:rPr>
                <w:sz w:val="20"/>
                <w:szCs w:val="20"/>
                <w:color w:val="auto"/>
              </w:rPr>
            </w:pPr>
            <w:r>
              <w:rPr>
                <w:rFonts w:ascii="Arial" w:cs="Arial" w:eastAsia="Arial" w:hAnsi="Arial"/>
                <w:sz w:val="13"/>
                <w:szCs w:val="13"/>
                <w:b w:val="1"/>
                <w:bCs w:val="1"/>
                <w:color w:val="auto"/>
              </w:rPr>
              <w:t>(5,035)</w:t>
            </w: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Finance income</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(2,968)</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ind w:left="280"/>
              <w:spacing w:after="0" w:line="119" w:lineRule="exact"/>
              <w:rPr>
                <w:sz w:val="20"/>
                <w:szCs w:val="20"/>
                <w:color w:val="auto"/>
              </w:rPr>
            </w:pPr>
            <w:r>
              <w:rPr>
                <w:rFonts w:ascii="Arial" w:cs="Arial" w:eastAsia="Arial" w:hAnsi="Arial"/>
                <w:sz w:val="13"/>
                <w:szCs w:val="13"/>
                <w:color w:val="auto"/>
              </w:rPr>
              <w:t>592</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(965)</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(3,412)</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(770)</w:t>
            </w: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(51)</w:t>
            </w: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(expense), net</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line="110" w:lineRule="exact"/>
              <w:rPr>
                <w:sz w:val="20"/>
                <w:szCs w:val="20"/>
                <w:color w:val="auto"/>
              </w:rPr>
            </w:pPr>
            <w:r>
              <w:rPr>
                <w:rFonts w:ascii="Arial" w:cs="Arial" w:eastAsia="Arial" w:hAnsi="Arial"/>
                <w:sz w:val="12"/>
                <w:szCs w:val="12"/>
                <w:b w:val="1"/>
                <w:bCs w:val="1"/>
                <w:color w:val="auto"/>
              </w:rPr>
              <w:t>Loss before taxes on</w:t>
            </w:r>
          </w:p>
        </w:tc>
        <w:tc>
          <w:tcPr>
            <w:tcW w:w="80" w:type="dxa"/>
            <w:vAlign w:val="bottom"/>
          </w:tcPr>
          <w:p>
            <w:pPr>
              <w:spacing w:after="0"/>
              <w:rPr>
                <w:sz w:val="9"/>
                <w:szCs w:val="9"/>
                <w:color w:val="auto"/>
              </w:rPr>
            </w:pPr>
          </w:p>
        </w:tc>
        <w:tc>
          <w:tcPr>
            <w:tcW w:w="720" w:type="dxa"/>
            <w:vAlign w:val="bottom"/>
            <w:gridSpan w:val="2"/>
          </w:tcPr>
          <w:p>
            <w:pPr>
              <w:jc w:val="right"/>
              <w:ind w:right="40"/>
              <w:spacing w:after="0" w:line="110" w:lineRule="exact"/>
              <w:rPr>
                <w:sz w:val="20"/>
                <w:szCs w:val="20"/>
                <w:color w:val="auto"/>
              </w:rPr>
            </w:pPr>
            <w:r>
              <w:rPr>
                <w:rFonts w:ascii="Arial" w:cs="Arial" w:eastAsia="Arial" w:hAnsi="Arial"/>
                <w:sz w:val="12"/>
                <w:szCs w:val="12"/>
                <w:color w:val="auto"/>
              </w:rPr>
              <w:t>(5,624)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60"/>
              <w:spacing w:after="0" w:line="110" w:lineRule="exact"/>
              <w:rPr>
                <w:sz w:val="20"/>
                <w:szCs w:val="20"/>
                <w:color w:val="auto"/>
              </w:rPr>
            </w:pPr>
            <w:r>
              <w:rPr>
                <w:rFonts w:ascii="Arial" w:cs="Arial" w:eastAsia="Arial" w:hAnsi="Arial"/>
                <w:sz w:val="12"/>
                <w:szCs w:val="12"/>
                <w:color w:val="auto"/>
              </w:rPr>
              <w:t>(1,091)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80"/>
              <w:spacing w:after="0" w:line="110" w:lineRule="exact"/>
              <w:rPr>
                <w:sz w:val="20"/>
                <w:szCs w:val="20"/>
                <w:color w:val="auto"/>
              </w:rPr>
            </w:pPr>
            <w:r>
              <w:rPr>
                <w:rFonts w:ascii="Arial" w:cs="Arial" w:eastAsia="Arial" w:hAnsi="Arial"/>
                <w:sz w:val="12"/>
                <w:szCs w:val="12"/>
                <w:color w:val="auto"/>
              </w:rPr>
              <w:t>(7,389)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rPr>
              <w:t>(9,907)</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(6,076)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(7,339)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2"/>
                <w:szCs w:val="12"/>
                <w:b w:val="1"/>
                <w:bCs w:val="1"/>
                <w:color w:val="auto"/>
              </w:rPr>
              <w:t>(4,969)</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340" w:type="dxa"/>
            <w:vAlign w:val="bottom"/>
            <w:shd w:val="clear" w:color="auto" w:fill="CCFFCC"/>
          </w:tcPr>
          <w:p>
            <w:pPr>
              <w:spacing w:after="0" w:line="119" w:lineRule="exact"/>
              <w:rPr>
                <w:sz w:val="20"/>
                <w:szCs w:val="20"/>
                <w:color w:val="auto"/>
              </w:rPr>
            </w:pPr>
            <w:r>
              <w:rPr>
                <w:rFonts w:ascii="Arial" w:cs="Arial" w:eastAsia="Arial" w:hAnsi="Arial"/>
                <w:sz w:val="13"/>
                <w:szCs w:val="13"/>
                <w:color w:val="auto"/>
              </w:rPr>
              <w:t>Income tax benefit</w:t>
            </w:r>
          </w:p>
        </w:tc>
        <w:tc>
          <w:tcPr>
            <w:tcW w:w="8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(20)</w:t>
            </w: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(18)</w:t>
            </w:r>
          </w:p>
        </w:tc>
        <w:tc>
          <w:tcPr>
            <w:tcW w:w="80" w:type="dxa"/>
            <w:vAlign w:val="bottom"/>
            <w:tcBorders>
              <w:left w:val="single" w:sz="8" w:color="CCFFCC"/>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(90)</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(35)</w:t>
            </w:r>
          </w:p>
        </w:tc>
        <w:tc>
          <w:tcPr>
            <w:tcW w:w="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80"/>
              <w:spacing w:after="0" w:line="119" w:lineRule="exact"/>
              <w:rPr>
                <w:sz w:val="20"/>
                <w:szCs w:val="20"/>
                <w:color w:val="auto"/>
              </w:rPr>
            </w:pPr>
            <w:r>
              <w:rPr>
                <w:rFonts w:ascii="Arial" w:cs="Arial" w:eastAsia="Arial" w:hAnsi="Arial"/>
                <w:sz w:val="13"/>
                <w:szCs w:val="13"/>
                <w:color w:val="auto"/>
              </w:rPr>
              <w:t>(73)</w:t>
            </w:r>
          </w:p>
        </w:tc>
        <w:tc>
          <w:tcPr>
            <w:tcW w:w="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color w:val="auto"/>
              </w:rPr>
              <w:t>7</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color w:val="auto"/>
              </w:rPr>
              <w:t>(expense)</w:t>
            </w:r>
          </w:p>
        </w:tc>
        <w:tc>
          <w:tcPr>
            <w:tcW w:w="80" w:type="dxa"/>
            <w:vAlign w:val="bottom"/>
            <w:tcBorders>
              <w:bottom w:val="single" w:sz="8" w:color="auto"/>
            </w:tcBorders>
            <w:shd w:val="clear" w:color="auto" w:fill="CCFFCC"/>
          </w:tcPr>
          <w:p>
            <w:pPr>
              <w:spacing w:after="0"/>
              <w:rPr>
                <w:sz w:val="13"/>
                <w:szCs w:val="13"/>
                <w:color w:val="auto"/>
              </w:rPr>
            </w:pPr>
          </w:p>
        </w:tc>
        <w:tc>
          <w:tcPr>
            <w:tcW w:w="62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auto"/>
            </w:tcBorders>
            <w:shd w:val="clear" w:color="auto" w:fill="CCFFCC"/>
          </w:tcPr>
          <w:p>
            <w:pPr>
              <w:spacing w:after="0"/>
              <w:rPr>
                <w:sz w:val="13"/>
                <w:szCs w:val="13"/>
                <w:color w:val="auto"/>
              </w:rPr>
            </w:pPr>
          </w:p>
        </w:tc>
        <w:tc>
          <w:tcPr>
            <w:tcW w:w="480" w:type="dxa"/>
            <w:vAlign w:val="bottom"/>
            <w:tcBorders>
              <w:bottom w:val="single" w:sz="8" w:color="auto"/>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left w:val="single" w:sz="8" w:color="CCFFCC"/>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6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20" w:type="dxa"/>
            <w:vAlign w:val="bottom"/>
            <w:tcBorders>
              <w:bottom w:val="single" w:sz="8" w:color="auto"/>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4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80" w:type="dxa"/>
            <w:vAlign w:val="bottom"/>
            <w:tcBorders>
              <w:bottom w:val="single" w:sz="8" w:color="auto"/>
            </w:tcBorders>
            <w:shd w:val="clear" w:color="auto" w:fill="CCFFCC"/>
          </w:tcPr>
          <w:p>
            <w:pPr>
              <w:spacing w:after="0"/>
              <w:rPr>
                <w:sz w:val="13"/>
                <w:szCs w:val="13"/>
                <w:color w:val="auto"/>
              </w:rPr>
            </w:pPr>
          </w:p>
        </w:tc>
        <w:tc>
          <w:tcPr>
            <w:tcW w:w="580" w:type="dxa"/>
            <w:vAlign w:val="bottom"/>
            <w:tcBorders>
              <w:bottom w:val="single" w:sz="8" w:color="auto"/>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CCFFCC"/>
            </w:tcBorders>
            <w:shd w:val="clear" w:color="auto" w:fill="CCFFCC"/>
          </w:tcPr>
          <w:p>
            <w:pPr>
              <w:spacing w:after="0"/>
              <w:rPr>
                <w:sz w:val="13"/>
                <w:szCs w:val="13"/>
                <w:color w:val="auto"/>
              </w:rPr>
            </w:pPr>
          </w:p>
        </w:tc>
        <w:tc>
          <w:tcPr>
            <w:tcW w:w="60" w:type="dxa"/>
            <w:vAlign w:val="bottom"/>
            <w:tcBorders>
              <w:bottom w:val="single" w:sz="8" w:color="auto"/>
            </w:tcBorders>
            <w:shd w:val="clear" w:color="auto" w:fill="CCFFCC"/>
          </w:tcPr>
          <w:p>
            <w:pPr>
              <w:spacing w:after="0"/>
              <w:rPr>
                <w:sz w:val="13"/>
                <w:szCs w:val="13"/>
                <w:color w:val="auto"/>
              </w:rPr>
            </w:pPr>
          </w:p>
        </w:tc>
        <w:tc>
          <w:tcPr>
            <w:tcW w:w="180" w:type="dxa"/>
            <w:vAlign w:val="bottom"/>
            <w:tcBorders>
              <w:bottom w:val="single" w:sz="8" w:color="auto"/>
            </w:tcBorders>
            <w:shd w:val="clear" w:color="auto" w:fill="CCFFCC"/>
          </w:tcPr>
          <w:p>
            <w:pPr>
              <w:spacing w:after="0"/>
              <w:rPr>
                <w:sz w:val="13"/>
                <w:szCs w:val="13"/>
                <w:color w:val="auto"/>
              </w:rPr>
            </w:pPr>
          </w:p>
        </w:tc>
        <w:tc>
          <w:tcPr>
            <w:tcW w:w="460" w:type="dxa"/>
            <w:vAlign w:val="bottom"/>
            <w:tcBorders>
              <w:bottom w:val="single" w:sz="8" w:color="auto"/>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right w:val="single" w:sz="8" w:color="CCFFCC"/>
            </w:tcBorders>
            <w:shd w:val="clear" w:color="auto" w:fill="CCFFCC"/>
          </w:tcPr>
          <w:p>
            <w:pPr>
              <w:spacing w:after="0"/>
              <w:rPr>
                <w:sz w:val="13"/>
                <w:szCs w:val="13"/>
                <w:color w:val="auto"/>
              </w:rPr>
            </w:pPr>
          </w:p>
        </w:tc>
        <w:tc>
          <w:tcPr>
            <w:tcW w:w="200" w:type="dxa"/>
            <w:vAlign w:val="bottom"/>
            <w:tcBorders>
              <w:bottom w:val="single" w:sz="8" w:color="auto"/>
            </w:tcBorders>
            <w:shd w:val="clear" w:color="auto" w:fill="CCFFCC"/>
          </w:tcPr>
          <w:p>
            <w:pPr>
              <w:spacing w:after="0"/>
              <w:rPr>
                <w:sz w:val="13"/>
                <w:szCs w:val="13"/>
                <w:color w:val="auto"/>
              </w:rPr>
            </w:pPr>
          </w:p>
        </w:tc>
        <w:tc>
          <w:tcPr>
            <w:tcW w:w="540" w:type="dxa"/>
            <w:vAlign w:val="bottom"/>
            <w:tcBorders>
              <w:bottom w:val="single" w:sz="8" w:color="auto"/>
            </w:tcBorders>
            <w:shd w:val="clear" w:color="auto" w:fill="CCFFCC"/>
          </w:tcPr>
          <w:p>
            <w:pPr>
              <w:spacing w:after="0"/>
              <w:rPr>
                <w:sz w:val="13"/>
                <w:szCs w:val="13"/>
                <w:color w:val="auto"/>
              </w:rPr>
            </w:pPr>
          </w:p>
        </w:tc>
        <w:tc>
          <w:tcPr>
            <w:tcW w:w="100" w:type="dxa"/>
            <w:vAlign w:val="bottom"/>
            <w:tcBorders>
              <w:left w:val="single" w:sz="8" w:color="CCFFCC"/>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line="110" w:lineRule="exact"/>
              <w:rPr>
                <w:sz w:val="20"/>
                <w:szCs w:val="20"/>
                <w:color w:val="auto"/>
              </w:rPr>
            </w:pPr>
            <w:r>
              <w:rPr>
                <w:rFonts w:ascii="Arial" w:cs="Arial" w:eastAsia="Arial" w:hAnsi="Arial"/>
                <w:sz w:val="12"/>
                <w:szCs w:val="12"/>
                <w:b w:val="1"/>
                <w:bCs w:val="1"/>
                <w:color w:val="auto"/>
              </w:rPr>
              <w:t>Net loss for the</w:t>
            </w:r>
          </w:p>
        </w:tc>
        <w:tc>
          <w:tcPr>
            <w:tcW w:w="80" w:type="dxa"/>
            <w:vAlign w:val="bottom"/>
          </w:tcPr>
          <w:p>
            <w:pPr>
              <w:spacing w:after="0"/>
              <w:rPr>
                <w:sz w:val="9"/>
                <w:szCs w:val="9"/>
                <w:color w:val="auto"/>
              </w:rPr>
            </w:pPr>
          </w:p>
        </w:tc>
        <w:tc>
          <w:tcPr>
            <w:tcW w:w="720" w:type="dxa"/>
            <w:vAlign w:val="bottom"/>
            <w:gridSpan w:val="2"/>
          </w:tcPr>
          <w:p>
            <w:pPr>
              <w:jc w:val="right"/>
              <w:ind w:right="80"/>
              <w:spacing w:after="0" w:line="110" w:lineRule="exact"/>
              <w:rPr>
                <w:sz w:val="20"/>
                <w:szCs w:val="20"/>
                <w:color w:val="auto"/>
              </w:rPr>
            </w:pPr>
            <w:r>
              <w:rPr>
                <w:rFonts w:ascii="Arial" w:cs="Arial" w:eastAsia="Arial" w:hAnsi="Arial"/>
                <w:sz w:val="12"/>
                <w:szCs w:val="12"/>
                <w:b w:val="1"/>
                <w:bCs w:val="1"/>
                <w:color w:val="auto"/>
              </w:rPr>
              <w:t>(5,644)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(1,109)</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(7,479)</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rPr>
              <w:t>(9,942)</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(6,149)</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(7,332)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60"/>
              <w:spacing w:after="0" w:line="110" w:lineRule="exact"/>
              <w:rPr>
                <w:sz w:val="20"/>
                <w:szCs w:val="20"/>
                <w:color w:val="auto"/>
              </w:rPr>
            </w:pPr>
            <w:r>
              <w:rPr>
                <w:rFonts w:ascii="Arial" w:cs="Arial" w:eastAsia="Arial" w:hAnsi="Arial"/>
                <w:sz w:val="12"/>
                <w:szCs w:val="12"/>
                <w:b w:val="1"/>
                <w:bCs w:val="1"/>
                <w:color w:val="auto"/>
              </w:rPr>
              <w:t>(4,953)</w:t>
            </w:r>
          </w:p>
        </w:tc>
        <w:tc>
          <w:tcPr>
            <w:tcW w:w="0" w:type="dxa"/>
            <w:vAlign w:val="bottom"/>
          </w:tcPr>
          <w:p>
            <w:pPr>
              <w:spacing w:after="0"/>
              <w:rPr>
                <w:sz w:val="1"/>
                <w:szCs w:val="1"/>
                <w:color w:val="auto"/>
              </w:rPr>
            </w:pPr>
          </w:p>
        </w:tc>
      </w:tr>
      <w:tr>
        <w:trPr>
          <w:trHeight w:val="158"/>
        </w:trPr>
        <w:tc>
          <w:tcPr>
            <w:tcW w:w="1340" w:type="dxa"/>
            <w:vAlign w:val="bottom"/>
          </w:tcPr>
          <w:p>
            <w:pPr>
              <w:ind w:left="160"/>
              <w:spacing w:after="0"/>
              <w:rPr>
                <w:sz w:val="20"/>
                <w:szCs w:val="20"/>
                <w:color w:val="auto"/>
              </w:rPr>
            </w:pPr>
            <w:r>
              <w:rPr>
                <w:rFonts w:ascii="Arial" w:cs="Arial" w:eastAsia="Arial" w:hAnsi="Arial"/>
                <w:sz w:val="13"/>
                <w:szCs w:val="13"/>
                <w:b w:val="1"/>
                <w:bCs w:val="1"/>
                <w:color w:val="auto"/>
              </w:rPr>
              <w:t>period</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340" w:type="dxa"/>
            <w:vAlign w:val="bottom"/>
            <w:shd w:val="clear" w:color="auto" w:fill="CCFFCC"/>
          </w:tcPr>
          <w:p>
            <w:pPr>
              <w:spacing w:after="0" w:line="108" w:lineRule="exact"/>
              <w:rPr>
                <w:sz w:val="20"/>
                <w:szCs w:val="20"/>
                <w:color w:val="auto"/>
              </w:rPr>
            </w:pPr>
            <w:r>
              <w:rPr>
                <w:rFonts w:ascii="Arial" w:cs="Arial" w:eastAsia="Arial" w:hAnsi="Arial"/>
                <w:sz w:val="12"/>
                <w:szCs w:val="12"/>
                <w:b w:val="1"/>
                <w:bCs w:val="1"/>
                <w:color w:val="auto"/>
              </w:rPr>
              <w:t>Basic and diluted net</w:t>
            </w:r>
          </w:p>
        </w:tc>
        <w:tc>
          <w:tcPr>
            <w:tcW w:w="80" w:type="dxa"/>
            <w:vAlign w:val="bottom"/>
            <w:shd w:val="clear" w:color="auto" w:fill="CCFFCC"/>
          </w:tcPr>
          <w:p>
            <w:pPr>
              <w:spacing w:after="0"/>
              <w:rPr>
                <w:sz w:val="9"/>
                <w:szCs w:val="9"/>
                <w:color w:val="auto"/>
              </w:rPr>
            </w:pPr>
          </w:p>
        </w:tc>
        <w:tc>
          <w:tcPr>
            <w:tcW w:w="720" w:type="dxa"/>
            <w:vAlign w:val="bottom"/>
            <w:gridSpan w:val="2"/>
            <w:shd w:val="clear" w:color="auto" w:fill="CCFFCC"/>
          </w:tcPr>
          <w:p>
            <w:pPr>
              <w:jc w:val="right"/>
              <w:ind w:right="80"/>
              <w:spacing w:after="0" w:line="108" w:lineRule="exact"/>
              <w:rPr>
                <w:sz w:val="20"/>
                <w:szCs w:val="20"/>
                <w:color w:val="auto"/>
              </w:rPr>
            </w:pPr>
            <w:r>
              <w:rPr>
                <w:rFonts w:ascii="Arial" w:cs="Arial" w:eastAsia="Arial" w:hAnsi="Arial"/>
                <w:sz w:val="12"/>
                <w:szCs w:val="12"/>
                <w:b w:val="1"/>
                <w:bCs w:val="1"/>
                <w:color w:val="auto"/>
              </w:rPr>
              <w:t>(0.46)</w:t>
            </w: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gridSpan w:val="2"/>
            <w:shd w:val="clear" w:color="auto" w:fill="CCFFCC"/>
          </w:tcPr>
          <w:p>
            <w:pPr>
              <w:jc w:val="right"/>
              <w:ind w:right="100"/>
              <w:spacing w:after="0" w:line="108" w:lineRule="exact"/>
              <w:rPr>
                <w:sz w:val="20"/>
                <w:szCs w:val="20"/>
                <w:color w:val="auto"/>
              </w:rPr>
            </w:pPr>
            <w:r>
              <w:rPr>
                <w:rFonts w:ascii="Arial" w:cs="Arial" w:eastAsia="Arial" w:hAnsi="Arial"/>
                <w:sz w:val="12"/>
                <w:szCs w:val="12"/>
                <w:b w:val="1"/>
                <w:bCs w:val="1"/>
                <w:color w:val="auto"/>
              </w:rPr>
              <w:t>(0.19)</w:t>
            </w:r>
          </w:p>
        </w:tc>
        <w:tc>
          <w:tcPr>
            <w:tcW w:w="80" w:type="dxa"/>
            <w:vAlign w:val="bottom"/>
            <w:tcBorders>
              <w:left w:val="single" w:sz="8" w:color="CCFFCC"/>
            </w:tcBorders>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60" w:type="dxa"/>
            <w:vAlign w:val="bottom"/>
            <w:tcBorders>
              <w:right w:val="single" w:sz="8" w:color="CCFFCC"/>
            </w:tcBorders>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(1.17)</w:t>
            </w:r>
          </w:p>
        </w:tc>
        <w:tc>
          <w:tcPr>
            <w:tcW w:w="10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gridSpan w:val="2"/>
            <w:shd w:val="clear" w:color="auto" w:fill="CCFFCC"/>
          </w:tcPr>
          <w:p>
            <w:pPr>
              <w:jc w:val="right"/>
              <w:ind w:right="120"/>
              <w:spacing w:after="0" w:line="108" w:lineRule="exact"/>
              <w:rPr>
                <w:sz w:val="20"/>
                <w:szCs w:val="20"/>
                <w:color w:val="auto"/>
              </w:rPr>
            </w:pPr>
            <w:r>
              <w:rPr>
                <w:rFonts w:ascii="Arial" w:cs="Arial" w:eastAsia="Arial" w:hAnsi="Arial"/>
                <w:sz w:val="12"/>
                <w:szCs w:val="12"/>
                <w:b w:val="1"/>
                <w:bCs w:val="1"/>
                <w:color w:val="auto"/>
              </w:rPr>
              <w:t>(3.15)</w:t>
            </w:r>
          </w:p>
        </w:tc>
        <w:tc>
          <w:tcPr>
            <w:tcW w:w="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80" w:type="dxa"/>
            <w:vAlign w:val="bottom"/>
            <w:tcBorders>
              <w:right w:val="single" w:sz="8" w:color="CCFFCC"/>
            </w:tcBorders>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(16.76)</w:t>
            </w:r>
          </w:p>
        </w:tc>
        <w:tc>
          <w:tcPr>
            <w:tcW w:w="10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60" w:type="dxa"/>
            <w:vAlign w:val="bottom"/>
            <w:shd w:val="clear" w:color="auto" w:fill="CCFFCC"/>
          </w:tcPr>
          <w:p>
            <w:pPr>
              <w:jc w:val="right"/>
              <w:spacing w:after="0" w:line="108" w:lineRule="exact"/>
              <w:rPr>
                <w:sz w:val="20"/>
                <w:szCs w:val="20"/>
                <w:color w:val="auto"/>
              </w:rPr>
            </w:pPr>
            <w:r>
              <w:rPr>
                <w:rFonts w:ascii="Arial" w:cs="Arial" w:eastAsia="Arial" w:hAnsi="Arial"/>
                <w:sz w:val="12"/>
                <w:szCs w:val="12"/>
                <w:b w:val="1"/>
                <w:bCs w:val="1"/>
                <w:color w:val="auto"/>
              </w:rPr>
              <w:t>(19.99)</w:t>
            </w:r>
          </w:p>
        </w:tc>
        <w:tc>
          <w:tcPr>
            <w:tcW w:w="12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100" w:type="dxa"/>
            <w:vAlign w:val="bottom"/>
            <w:tcBorders>
              <w:right w:val="single" w:sz="8" w:color="CCFFCC"/>
            </w:tcBorders>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40" w:type="dxa"/>
            <w:vAlign w:val="bottom"/>
            <w:gridSpan w:val="2"/>
            <w:shd w:val="clear" w:color="auto" w:fill="CCFFCC"/>
          </w:tcPr>
          <w:p>
            <w:pPr>
              <w:jc w:val="right"/>
              <w:ind w:right="60"/>
              <w:spacing w:after="0" w:line="108" w:lineRule="exact"/>
              <w:rPr>
                <w:sz w:val="20"/>
                <w:szCs w:val="20"/>
                <w:color w:val="auto"/>
              </w:rPr>
            </w:pPr>
            <w:r>
              <w:rPr>
                <w:rFonts w:ascii="Arial" w:cs="Arial" w:eastAsia="Arial" w:hAnsi="Arial"/>
                <w:sz w:val="12"/>
                <w:szCs w:val="12"/>
                <w:b w:val="1"/>
                <w:bCs w:val="1"/>
                <w:color w:val="auto"/>
              </w:rPr>
              <w:t>(13.50)</w:t>
            </w: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ind w:left="160"/>
              <w:spacing w:after="0" w:line="138" w:lineRule="exact"/>
              <w:rPr>
                <w:sz w:val="20"/>
                <w:szCs w:val="20"/>
                <w:color w:val="auto"/>
              </w:rPr>
            </w:pPr>
            <w:r>
              <w:rPr>
                <w:rFonts w:ascii="Arial" w:cs="Arial" w:eastAsia="Arial" w:hAnsi="Arial"/>
                <w:sz w:val="13"/>
                <w:szCs w:val="13"/>
                <w:b w:val="1"/>
                <w:bCs w:val="1"/>
                <w:color w:val="auto"/>
              </w:rPr>
              <w:t>loss per</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6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340" w:type="dxa"/>
            <w:vAlign w:val="bottom"/>
            <w:shd w:val="clear" w:color="auto" w:fill="CCFFCC"/>
          </w:tcPr>
          <w:p>
            <w:pPr>
              <w:ind w:left="160"/>
              <w:spacing w:after="0"/>
              <w:rPr>
                <w:sz w:val="20"/>
                <w:szCs w:val="20"/>
                <w:color w:val="auto"/>
              </w:rPr>
            </w:pPr>
            <w:r>
              <w:rPr>
                <w:rFonts w:ascii="Arial" w:cs="Arial" w:eastAsia="Arial" w:hAnsi="Arial"/>
                <w:sz w:val="13"/>
                <w:szCs w:val="13"/>
                <w:b w:val="1"/>
                <w:bCs w:val="1"/>
                <w:color w:val="auto"/>
              </w:rPr>
              <w:t>common share</w:t>
            </w: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0" w:type="dxa"/>
            <w:vAlign w:val="bottom"/>
            <w:tcBorders>
              <w:left w:val="single" w:sz="8" w:color="CCFFCC"/>
            </w:tcBorders>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6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20" w:type="dxa"/>
            <w:vAlign w:val="bottom"/>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580" w:type="dxa"/>
            <w:vAlign w:val="bottom"/>
            <w:tcBorders>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4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100" w:type="dxa"/>
            <w:vAlign w:val="bottom"/>
            <w:tcBorders>
              <w:right w:val="single" w:sz="8" w:color="CCFFCC"/>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540" w:type="dxa"/>
            <w:vAlign w:val="bottom"/>
            <w:shd w:val="clear" w:color="auto" w:fill="CCFFCC"/>
          </w:tcPr>
          <w:p>
            <w:pPr>
              <w:spacing w:after="0"/>
              <w:rPr>
                <w:sz w:val="13"/>
                <w:szCs w:val="13"/>
                <w:color w:val="auto"/>
              </w:rPr>
            </w:pPr>
          </w:p>
        </w:tc>
        <w:tc>
          <w:tcPr>
            <w:tcW w:w="100" w:type="dxa"/>
            <w:vAlign w:val="bottom"/>
            <w:tcBorders>
              <w:left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340" w:type="dxa"/>
            <w:vAlign w:val="bottom"/>
          </w:tcPr>
          <w:p>
            <w:pPr>
              <w:spacing w:after="0" w:line="119" w:lineRule="exact"/>
              <w:rPr>
                <w:sz w:val="20"/>
                <w:szCs w:val="20"/>
                <w:color w:val="auto"/>
              </w:rPr>
            </w:pPr>
            <w:r>
              <w:rPr>
                <w:rFonts w:ascii="Arial" w:cs="Arial" w:eastAsia="Arial" w:hAnsi="Arial"/>
                <w:sz w:val="13"/>
                <w:szCs w:val="13"/>
                <w:color w:val="auto"/>
              </w:rPr>
              <w:t>Weighted average</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5"/>
              </w:rPr>
              <w:t>12,371,472</w:t>
            </w:r>
          </w:p>
        </w:tc>
        <w:tc>
          <w:tcPr>
            <w:tcW w:w="900" w:type="dxa"/>
            <w:vAlign w:val="bottom"/>
            <w:gridSpan w:val="5"/>
          </w:tcPr>
          <w:p>
            <w:pPr>
              <w:jc w:val="right"/>
              <w:ind w:right="100"/>
              <w:spacing w:after="0" w:line="119" w:lineRule="exact"/>
              <w:rPr>
                <w:sz w:val="20"/>
                <w:szCs w:val="20"/>
                <w:color w:val="auto"/>
              </w:rPr>
            </w:pPr>
            <w:r>
              <w:rPr>
                <w:rFonts w:ascii="Arial" w:cs="Arial" w:eastAsia="Arial" w:hAnsi="Arial"/>
                <w:sz w:val="13"/>
                <w:szCs w:val="13"/>
                <w:b w:val="1"/>
                <w:bCs w:val="1"/>
                <w:color w:val="auto"/>
              </w:rPr>
              <w:t>5,724,253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color w:val="auto"/>
                <w:w w:val="89"/>
              </w:rPr>
              <w:t>6,372,659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89"/>
              </w:rPr>
              <w:t>3,154,489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366,782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3"/>
              </w:rPr>
              <w:t>366,782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366,782</w:t>
            </w: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number of shares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used in computing</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basic and diluted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Pr>
          <w:p>
            <w:pPr>
              <w:ind w:left="160"/>
              <w:spacing w:after="0" w:line="138" w:lineRule="exact"/>
              <w:rPr>
                <w:sz w:val="20"/>
                <w:szCs w:val="20"/>
                <w:color w:val="auto"/>
              </w:rPr>
            </w:pPr>
            <w:r>
              <w:rPr>
                <w:rFonts w:ascii="Arial" w:cs="Arial" w:eastAsia="Arial" w:hAnsi="Arial"/>
                <w:sz w:val="13"/>
                <w:szCs w:val="13"/>
                <w:color w:val="auto"/>
              </w:rPr>
              <w:t>net loss per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40" w:type="dxa"/>
            <w:vAlign w:val="bottom"/>
          </w:tcPr>
          <w:p>
            <w:pPr>
              <w:ind w:left="160"/>
              <w:spacing w:after="0"/>
              <w:rPr>
                <w:sz w:val="20"/>
                <w:szCs w:val="20"/>
                <w:color w:val="auto"/>
              </w:rPr>
            </w:pPr>
            <w:r>
              <w:rPr>
                <w:rFonts w:ascii="Arial" w:cs="Arial" w:eastAsia="Arial" w:hAnsi="Arial"/>
                <w:sz w:val="13"/>
                <w:szCs w:val="13"/>
                <w:color w:val="auto"/>
              </w:rPr>
              <w:t>common share</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960" w:type="dxa"/>
            <w:vAlign w:val="bottom"/>
            <w:gridSpan w:val="15"/>
          </w:tcPr>
          <w:p>
            <w:pPr>
              <w:ind w:left="40"/>
              <w:spacing w:after="0"/>
              <w:rPr>
                <w:sz w:val="20"/>
                <w:szCs w:val="20"/>
                <w:color w:val="auto"/>
              </w:rPr>
            </w:pPr>
            <w:r>
              <w:rPr>
                <w:rFonts w:ascii="Arial" w:cs="Arial" w:eastAsia="Arial" w:hAnsi="Arial"/>
                <w:sz w:val="17"/>
                <w:szCs w:val="17"/>
                <w:b w:val="1"/>
                <w:bCs w:val="1"/>
                <w:color w:val="auto"/>
              </w:rPr>
              <w:t>Balance Sheet Data (U.S. dollars; in thousands):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94"/>
              </w:rPr>
              <w:t>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0"/>
              <w:spacing w:after="0" w:line="125" w:lineRule="exact"/>
              <w:rPr>
                <w:sz w:val="20"/>
                <w:szCs w:val="20"/>
                <w:color w:val="auto"/>
              </w:rPr>
            </w:pPr>
            <w:r>
              <w:rPr>
                <w:rFonts w:ascii="Arial" w:cs="Arial" w:eastAsia="Arial" w:hAnsi="Arial"/>
                <w:sz w:val="12"/>
                <w:szCs w:val="12"/>
                <w:b w:val="1"/>
                <w:bCs w:val="1"/>
                <w:color w:val="auto"/>
                <w:w w:val="93"/>
              </w:rPr>
              <w:t>March 31,</w:t>
            </w: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160"/>
              <w:spacing w:after="0" w:line="130" w:lineRule="exact"/>
              <w:rPr>
                <w:sz w:val="20"/>
                <w:szCs w:val="20"/>
                <w:color w:val="auto"/>
              </w:rPr>
            </w:pPr>
            <w:r>
              <w:rPr>
                <w:rFonts w:ascii="Arial" w:cs="Arial" w:eastAsia="Arial" w:hAnsi="Arial"/>
                <w:sz w:val="12"/>
                <w:szCs w:val="12"/>
                <w:b w:val="1"/>
                <w:bCs w:val="1"/>
                <w:color w:val="auto"/>
              </w:rPr>
              <w:t>2012</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5"/>
              <w:spacing w:after="0" w:line="130" w:lineRule="exact"/>
              <w:rPr>
                <w:sz w:val="20"/>
                <w:szCs w:val="20"/>
                <w:color w:val="auto"/>
              </w:rPr>
            </w:pPr>
            <w:r>
              <w:rPr>
                <w:rFonts w:ascii="Arial" w:cs="Arial" w:eastAsia="Arial" w:hAnsi="Arial"/>
                <w:sz w:val="12"/>
                <w:szCs w:val="12"/>
                <w:b w:val="1"/>
                <w:bCs w:val="1"/>
                <w:color w:val="auto"/>
              </w:rPr>
              <w:t>2011</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5"/>
              <w:spacing w:after="0" w:line="130" w:lineRule="exact"/>
              <w:rPr>
                <w:sz w:val="20"/>
                <w:szCs w:val="20"/>
                <w:color w:val="auto"/>
              </w:rPr>
            </w:pPr>
            <w:r>
              <w:rPr>
                <w:rFonts w:ascii="Arial" w:cs="Arial" w:eastAsia="Arial" w:hAnsi="Arial"/>
                <w:sz w:val="12"/>
                <w:szCs w:val="12"/>
                <w:b w:val="1"/>
                <w:bCs w:val="1"/>
                <w:color w:val="auto"/>
              </w:rPr>
              <w:t>2010</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5"/>
              <w:spacing w:after="0" w:line="130" w:lineRule="exact"/>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5"/>
              <w:spacing w:after="0" w:line="130" w:lineRule="exact"/>
              <w:rPr>
                <w:sz w:val="20"/>
                <w:szCs w:val="20"/>
                <w:color w:val="auto"/>
              </w:rPr>
            </w:pPr>
            <w:r>
              <w:rPr>
                <w:rFonts w:ascii="Arial" w:cs="Arial" w:eastAsia="Arial" w:hAnsi="Arial"/>
                <w:sz w:val="12"/>
                <w:szCs w:val="12"/>
                <w:b w:val="1"/>
                <w:bCs w:val="1"/>
                <w:color w:val="auto"/>
              </w:rPr>
              <w:t>2008</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5"/>
              <w:spacing w:after="0" w:line="130" w:lineRule="exact"/>
              <w:rPr>
                <w:sz w:val="20"/>
                <w:szCs w:val="20"/>
                <w:color w:val="auto"/>
              </w:rPr>
            </w:pPr>
            <w:r>
              <w:rPr>
                <w:rFonts w:ascii="Arial" w:cs="Arial" w:eastAsia="Arial" w:hAnsi="Arial"/>
                <w:sz w:val="12"/>
                <w:szCs w:val="12"/>
                <w:b w:val="1"/>
                <w:bCs w:val="1"/>
                <w:color w:val="auto"/>
              </w:rPr>
              <w:t>2007</w:t>
            </w: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color w:val="auto"/>
                <w:w w:val="79"/>
              </w:rPr>
              <w:t>3,926</w:t>
            </w:r>
          </w:p>
        </w:tc>
        <w:tc>
          <w:tcPr>
            <w:tcW w:w="8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1,718</w:t>
            </w: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31" w:lineRule="exact"/>
              <w:rPr>
                <w:sz w:val="20"/>
                <w:szCs w:val="20"/>
                <w:color w:val="auto"/>
              </w:rPr>
            </w:pPr>
            <w:r>
              <w:rPr>
                <w:rFonts w:ascii="Arial" w:cs="Arial" w:eastAsia="Arial" w:hAnsi="Arial"/>
                <w:sz w:val="13"/>
                <w:szCs w:val="13"/>
                <w:color w:val="auto"/>
              </w:rPr>
              <w:t>5,675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jc w:val="right"/>
              <w:spacing w:after="0" w:line="131"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3,518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6,122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ind w:right="62"/>
              <w:spacing w:after="0" w:line="131"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1" w:lineRule="exact"/>
              <w:rPr>
                <w:sz w:val="20"/>
                <w:szCs w:val="20"/>
                <w:color w:val="auto"/>
              </w:rPr>
            </w:pPr>
            <w:r>
              <w:rPr>
                <w:rFonts w:ascii="Arial" w:cs="Arial" w:eastAsia="Arial" w:hAnsi="Arial"/>
                <w:sz w:val="13"/>
                <w:szCs w:val="13"/>
                <w:color w:val="auto"/>
              </w:rPr>
              <w:t>8,580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spacing w:after="0" w:line="138" w:lineRule="exact"/>
              <w:rPr>
                <w:sz w:val="20"/>
                <w:szCs w:val="20"/>
                <w:color w:val="auto"/>
              </w:rPr>
            </w:pPr>
            <w:r>
              <w:rPr>
                <w:rFonts w:ascii="Arial" w:cs="Arial" w:eastAsia="Arial" w:hAnsi="Arial"/>
                <w:sz w:val="13"/>
                <w:szCs w:val="13"/>
                <w:color w:val="auto"/>
              </w:rPr>
              <w:t>Long-term deposit</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8</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8</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9</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12</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12</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3</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40" w:type="dxa"/>
            <w:vAlign w:val="bottom"/>
            <w:gridSpan w:val="4"/>
          </w:tcPr>
          <w:p>
            <w:pPr>
              <w:spacing w:after="0" w:line="138" w:lineRule="exact"/>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144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3"/>
                <w:szCs w:val="13"/>
                <w:color w:val="auto"/>
              </w:rPr>
              <w:t>178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259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265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140" w:type="dxa"/>
            <w:vAlign w:val="bottom"/>
            <w:gridSpan w:val="4"/>
            <w:shd w:val="clear" w:color="auto" w:fill="CCFFCC"/>
          </w:tcPr>
          <w:p>
            <w:pPr>
              <w:spacing w:after="0" w:line="138" w:lineRule="exact"/>
              <w:rPr>
                <w:sz w:val="20"/>
                <w:szCs w:val="20"/>
                <w:color w:val="auto"/>
              </w:rPr>
            </w:pPr>
            <w:r>
              <w:rPr>
                <w:rFonts w:ascii="Arial" w:cs="Arial" w:eastAsia="Arial" w:hAnsi="Arial"/>
                <w:sz w:val="13"/>
                <w:szCs w:val="13"/>
                <w:color w:val="auto"/>
              </w:rPr>
              <w:t>Deferred tax assets – long-term</w:t>
            </w: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25</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27</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80</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50</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color w:val="auto"/>
              </w:rPr>
              <w:t>16</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CCFFCC"/>
            </w:tcBorders>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340" w:type="dxa"/>
            <w:vAlign w:val="bottom"/>
          </w:tcPr>
          <w:p>
            <w:pPr>
              <w:spacing w:after="0" w:line="131" w:lineRule="exact"/>
              <w:rPr>
                <w:sz w:val="20"/>
                <w:szCs w:val="20"/>
                <w:color w:val="auto"/>
              </w:rPr>
            </w:pPr>
            <w:r>
              <w:rPr>
                <w:rFonts w:ascii="Arial" w:cs="Arial" w:eastAsia="Arial" w:hAnsi="Arial"/>
                <w:sz w:val="13"/>
                <w:szCs w:val="13"/>
                <w:b w:val="1"/>
                <w:bCs w:val="1"/>
                <w:color w:val="auto"/>
              </w:rPr>
              <w:t>Total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jc w:val="right"/>
              <w:spacing w:after="0" w:line="131" w:lineRule="exact"/>
              <w:rPr>
                <w:sz w:val="20"/>
                <w:szCs w:val="20"/>
                <w:color w:val="auto"/>
              </w:rPr>
            </w:pPr>
            <w:r>
              <w:rPr>
                <w:rFonts w:ascii="Arial" w:cs="Arial" w:eastAsia="Arial" w:hAnsi="Arial"/>
                <w:sz w:val="13"/>
                <w:szCs w:val="13"/>
                <w:b w:val="1"/>
                <w:bCs w:val="1"/>
                <w:color w:val="auto"/>
                <w:w w:val="82"/>
              </w:rPr>
              <w:t>$</w:t>
            </w:r>
          </w:p>
        </w:tc>
        <w:tc>
          <w:tcPr>
            <w:tcW w:w="580" w:type="dxa"/>
            <w:vAlign w:val="bottom"/>
            <w:gridSpan w:val="2"/>
          </w:tcPr>
          <w:p>
            <w:pPr>
              <w:ind w:left="280"/>
              <w:spacing w:after="0" w:line="131" w:lineRule="exact"/>
              <w:rPr>
                <w:sz w:val="20"/>
                <w:szCs w:val="20"/>
                <w:color w:val="auto"/>
              </w:rPr>
            </w:pPr>
            <w:r>
              <w:rPr>
                <w:rFonts w:ascii="Arial" w:cs="Arial" w:eastAsia="Arial" w:hAnsi="Arial"/>
                <w:sz w:val="13"/>
                <w:szCs w:val="13"/>
                <w:b w:val="1"/>
                <w:bCs w:val="1"/>
                <w:color w:val="auto"/>
                <w:w w:val="79"/>
              </w:rPr>
              <w:t>4,067</w:t>
            </w:r>
          </w:p>
        </w:tc>
        <w:tc>
          <w:tcPr>
            <w:tcW w:w="26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1,895</w:t>
            </w:r>
          </w:p>
        </w:tc>
        <w:tc>
          <w:tcPr>
            <w:tcW w:w="24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5,889</w:t>
            </w:r>
          </w:p>
        </w:tc>
        <w:tc>
          <w:tcPr>
            <w:tcW w:w="140" w:type="dxa"/>
            <w:vAlign w:val="bottom"/>
          </w:tcPr>
          <w:p>
            <w:pPr>
              <w:spacing w:after="0"/>
              <w:rPr>
                <w:sz w:val="11"/>
                <w:szCs w:val="11"/>
                <w:color w:val="auto"/>
              </w:rPr>
            </w:pPr>
          </w:p>
        </w:tc>
        <w:tc>
          <w:tcPr>
            <w:tcW w:w="220" w:type="dxa"/>
            <w:vAlign w:val="bottom"/>
            <w:gridSpan w:val="4"/>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3,789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jc w:val="right"/>
              <w:ind w:right="70"/>
              <w:spacing w:after="0" w:line="131" w:lineRule="exact"/>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6,443</w:t>
            </w:r>
          </w:p>
        </w:tc>
        <w:tc>
          <w:tcPr>
            <w:tcW w:w="320" w:type="dxa"/>
            <w:vAlign w:val="bottom"/>
            <w:gridSpan w:val="3"/>
          </w:tcPr>
          <w:p>
            <w:pPr>
              <w:jc w:val="right"/>
              <w:ind w:right="62"/>
              <w:spacing w:after="0" w:line="131"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8,865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40" w:type="dxa"/>
            <w:vAlign w:val="bottom"/>
            <w:shd w:val="clear" w:color="auto" w:fill="CCFFCC"/>
          </w:tcPr>
          <w:p>
            <w:pPr>
              <w:spacing w:after="0" w:line="128" w:lineRule="exact"/>
              <w:rPr>
                <w:sz w:val="20"/>
                <w:szCs w:val="20"/>
                <w:color w:val="auto"/>
              </w:rPr>
            </w:pPr>
            <w:r>
              <w:rPr>
                <w:rFonts w:ascii="Arial" w:cs="Arial" w:eastAsia="Arial" w:hAnsi="Arial"/>
                <w:sz w:val="13"/>
                <w:szCs w:val="13"/>
                <w:color w:val="auto"/>
              </w:rPr>
              <w:t>Total current liabilities</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ind w:left="280"/>
              <w:spacing w:after="0" w:line="128" w:lineRule="exact"/>
              <w:rPr>
                <w:sz w:val="20"/>
                <w:szCs w:val="20"/>
                <w:color w:val="auto"/>
              </w:rPr>
            </w:pPr>
            <w:r>
              <w:rPr>
                <w:rFonts w:ascii="Arial" w:cs="Arial" w:eastAsia="Arial" w:hAnsi="Arial"/>
                <w:sz w:val="13"/>
                <w:szCs w:val="13"/>
                <w:color w:val="auto"/>
                <w:w w:val="79"/>
              </w:rPr>
              <w:t>1,210</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723</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20" w:type="dxa"/>
            <w:vAlign w:val="bottom"/>
            <w:shd w:val="clear" w:color="auto" w:fill="CCFFCC"/>
          </w:tcPr>
          <w:p>
            <w:pPr>
              <w:jc w:val="right"/>
              <w:spacing w:after="0" w:line="128" w:lineRule="exact"/>
              <w:rPr>
                <w:sz w:val="20"/>
                <w:szCs w:val="20"/>
                <w:color w:val="auto"/>
              </w:rPr>
            </w:pPr>
            <w:r>
              <w:rPr>
                <w:rFonts w:ascii="Arial" w:cs="Arial" w:eastAsia="Arial" w:hAnsi="Arial"/>
                <w:sz w:val="13"/>
                <w:szCs w:val="13"/>
                <w:color w:val="auto"/>
              </w:rPr>
              <w:t>2,269</w:t>
            </w:r>
          </w:p>
        </w:tc>
        <w:tc>
          <w:tcPr>
            <w:tcW w:w="140" w:type="dxa"/>
            <w:vAlign w:val="bottom"/>
            <w:tcBorders>
              <w:left w:val="single" w:sz="8" w:color="CCFFCC"/>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4,719</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28" w:lineRule="exact"/>
              <w:rPr>
                <w:sz w:val="20"/>
                <w:szCs w:val="20"/>
                <w:color w:val="auto"/>
              </w:rPr>
            </w:pPr>
            <w:r>
              <w:rPr>
                <w:rFonts w:ascii="Arial" w:cs="Arial" w:eastAsia="Arial" w:hAnsi="Arial"/>
                <w:sz w:val="13"/>
                <w:szCs w:val="13"/>
                <w:color w:val="auto"/>
              </w:rPr>
              <w:t>1,281</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28" w:lineRule="exact"/>
              <w:rPr>
                <w:sz w:val="20"/>
                <w:szCs w:val="20"/>
                <w:color w:val="auto"/>
              </w:rPr>
            </w:pPr>
            <w:r>
              <w:rPr>
                <w:rFonts w:ascii="Arial" w:cs="Arial" w:eastAsia="Arial" w:hAnsi="Arial"/>
                <w:sz w:val="13"/>
                <w:szCs w:val="13"/>
                <w:color w:val="auto"/>
              </w:rPr>
              <w:t>696</w:t>
            </w:r>
          </w:p>
        </w:tc>
        <w:tc>
          <w:tcPr>
            <w:tcW w:w="100" w:type="dxa"/>
            <w:vAlign w:val="bottom"/>
            <w:tcBorders>
              <w:lef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420" w:type="dxa"/>
            <w:vAlign w:val="bottom"/>
            <w:gridSpan w:val="2"/>
          </w:tcPr>
          <w:p>
            <w:pPr>
              <w:spacing w:after="0" w:line="138" w:lineRule="exact"/>
              <w:rPr>
                <w:sz w:val="20"/>
                <w:szCs w:val="20"/>
                <w:color w:val="auto"/>
              </w:rPr>
            </w:pPr>
            <w:r>
              <w:rPr>
                <w:rFonts w:ascii="Arial" w:cs="Arial" w:eastAsia="Arial" w:hAnsi="Arial"/>
                <w:sz w:val="13"/>
                <w:szCs w:val="13"/>
                <w:color w:val="auto"/>
                <w:w w:val="99"/>
              </w:rPr>
              <w:t>Total long-term liabilities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w w:val="79"/>
              </w:rPr>
              <w:t>1,836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2,337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Arial" w:cs="Arial" w:eastAsia="Arial" w:hAnsi="Arial"/>
                <w:sz w:val="13"/>
                <w:szCs w:val="13"/>
                <w:color w:val="auto"/>
              </w:rPr>
              <w:t>3,859</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3,480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4,171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FFCC"/>
          </w:tcPr>
          <w:p>
            <w:pPr>
              <w:spacing w:after="0" w:line="138" w:lineRule="exact"/>
              <w:rPr>
                <w:sz w:val="20"/>
                <w:szCs w:val="20"/>
                <w:color w:val="auto"/>
              </w:rPr>
            </w:pPr>
            <w:r>
              <w:rPr>
                <w:rFonts w:ascii="Arial" w:cs="Arial" w:eastAsia="Arial" w:hAnsi="Arial"/>
                <w:sz w:val="13"/>
                <w:szCs w:val="13"/>
                <w:color w:val="auto"/>
              </w:rPr>
              <w:t>Total temporary equity</w:t>
            </w: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w:t>
            </w:r>
          </w:p>
        </w:tc>
        <w:tc>
          <w:tcPr>
            <w:tcW w:w="80" w:type="dxa"/>
            <w:vAlign w:val="bottom"/>
            <w:tcBorders>
              <w:left w:val="single" w:sz="8" w:color="CCFFCC"/>
            </w:tcBorders>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11,968</w:t>
            </w:r>
          </w:p>
        </w:tc>
        <w:tc>
          <w:tcPr>
            <w:tcW w:w="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8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11,961</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140" w:type="dxa"/>
            <w:vAlign w:val="bottom"/>
            <w:gridSpan w:val="4"/>
          </w:tcPr>
          <w:p>
            <w:pPr>
              <w:spacing w:after="0" w:line="138" w:lineRule="exact"/>
              <w:rPr>
                <w:sz w:val="20"/>
                <w:szCs w:val="20"/>
                <w:color w:val="auto"/>
              </w:rPr>
            </w:pPr>
            <w:r>
              <w:rPr>
                <w:rFonts w:ascii="Arial" w:cs="Arial" w:eastAsia="Arial" w:hAnsi="Arial"/>
                <w:sz w:val="13"/>
                <w:szCs w:val="13"/>
                <w:color w:val="auto"/>
              </w:rPr>
              <w:t>Total stockholders’ equity (deficit)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ind w:left="280"/>
              <w:spacing w:after="0" w:line="138" w:lineRule="exact"/>
              <w:rPr>
                <w:sz w:val="20"/>
                <w:szCs w:val="20"/>
                <w:color w:val="auto"/>
              </w:rPr>
            </w:pPr>
            <w:r>
              <w:rPr>
                <w:rFonts w:ascii="Arial" w:cs="Arial" w:eastAsia="Arial" w:hAnsi="Arial"/>
                <w:sz w:val="13"/>
                <w:szCs w:val="13"/>
                <w:color w:val="auto"/>
                <w:w w:val="79"/>
              </w:rPr>
              <w:t>1,021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(1,165)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(239)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(16,378)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(10,970)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Arial" w:cs="Arial" w:eastAsia="Arial" w:hAnsi="Arial"/>
                <w:sz w:val="13"/>
                <w:szCs w:val="13"/>
                <w:color w:val="auto"/>
              </w:rPr>
              <w:t>8,103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140" w:type="dxa"/>
            <w:vAlign w:val="bottom"/>
            <w:gridSpan w:val="4"/>
            <w:shd w:val="clear" w:color="auto" w:fill="CCFFCC"/>
          </w:tcPr>
          <w:p>
            <w:pPr>
              <w:spacing w:after="0" w:line="110" w:lineRule="exact"/>
              <w:rPr>
                <w:sz w:val="20"/>
                <w:szCs w:val="20"/>
                <w:color w:val="auto"/>
              </w:rPr>
            </w:pPr>
            <w:r>
              <w:rPr>
                <w:rFonts w:ascii="Arial" w:cs="Arial" w:eastAsia="Arial" w:hAnsi="Arial"/>
                <w:sz w:val="12"/>
                <w:szCs w:val="12"/>
                <w:b w:val="1"/>
                <w:bCs w:val="1"/>
                <w:color w:val="auto"/>
              </w:rPr>
              <w:t>Total liabilities and stockholders’</w:t>
            </w:r>
          </w:p>
        </w:tc>
        <w:tc>
          <w:tcPr>
            <w:tcW w:w="200" w:type="dxa"/>
            <w:vAlign w:val="bottom"/>
            <w:gridSpan w:val="2"/>
            <w:shd w:val="clear" w:color="auto" w:fill="CCFFCC"/>
          </w:tcPr>
          <w:p>
            <w:pPr>
              <w:spacing w:after="0"/>
              <w:rPr>
                <w:sz w:val="9"/>
                <w:szCs w:val="9"/>
                <w:color w:val="auto"/>
              </w:rPr>
            </w:pPr>
          </w:p>
        </w:tc>
        <w:tc>
          <w:tcPr>
            <w:tcW w:w="12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w w:val="89"/>
              </w:rPr>
              <w:t>$</w:t>
            </w:r>
          </w:p>
        </w:tc>
        <w:tc>
          <w:tcPr>
            <w:tcW w:w="580" w:type="dxa"/>
            <w:vAlign w:val="bottom"/>
            <w:gridSpan w:val="2"/>
            <w:shd w:val="clear" w:color="auto" w:fill="CCFFCC"/>
          </w:tcPr>
          <w:p>
            <w:pPr>
              <w:ind w:left="280"/>
              <w:spacing w:after="0" w:line="110" w:lineRule="exact"/>
              <w:rPr>
                <w:sz w:val="20"/>
                <w:szCs w:val="20"/>
                <w:color w:val="auto"/>
              </w:rPr>
            </w:pPr>
            <w:r>
              <w:rPr>
                <w:rFonts w:ascii="Arial" w:cs="Arial" w:eastAsia="Arial" w:hAnsi="Arial"/>
                <w:sz w:val="12"/>
                <w:szCs w:val="12"/>
                <w:b w:val="1"/>
                <w:bCs w:val="1"/>
                <w:color w:val="auto"/>
                <w:w w:val="86"/>
              </w:rPr>
              <w:t>4,067</w:t>
            </w:r>
          </w:p>
        </w:tc>
        <w:tc>
          <w:tcPr>
            <w:tcW w:w="260" w:type="dxa"/>
            <w:vAlign w:val="bottom"/>
            <w:tcBorders>
              <w:left w:val="single" w:sz="8" w:color="CCFFCC"/>
            </w:tcBorders>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1,895</w:t>
            </w:r>
          </w:p>
        </w:tc>
        <w:tc>
          <w:tcPr>
            <w:tcW w:w="240" w:type="dxa"/>
            <w:vAlign w:val="bottom"/>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52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5,889</w:t>
            </w:r>
          </w:p>
        </w:tc>
        <w:tc>
          <w:tcPr>
            <w:tcW w:w="140" w:type="dxa"/>
            <w:vAlign w:val="bottom"/>
            <w:tcBorders>
              <w:left w:val="single" w:sz="8" w:color="CCFFCC"/>
            </w:tcBorders>
            <w:shd w:val="clear" w:color="auto" w:fill="CCFFCC"/>
          </w:tcPr>
          <w:p>
            <w:pPr>
              <w:spacing w:after="0"/>
              <w:rPr>
                <w:sz w:val="9"/>
                <w:szCs w:val="9"/>
                <w:color w:val="auto"/>
              </w:rPr>
            </w:pPr>
          </w:p>
        </w:tc>
        <w:tc>
          <w:tcPr>
            <w:tcW w:w="220" w:type="dxa"/>
            <w:vAlign w:val="bottom"/>
            <w:gridSpan w:val="4"/>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3,789</w:t>
            </w:r>
          </w:p>
        </w:tc>
        <w:tc>
          <w:tcPr>
            <w:tcW w:w="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240" w:type="dxa"/>
            <w:vAlign w:val="bottom"/>
            <w:gridSpan w:val="2"/>
            <w:shd w:val="clear" w:color="auto" w:fill="CCFFCC"/>
          </w:tcPr>
          <w:p>
            <w:pPr>
              <w:jc w:val="right"/>
              <w:ind w:right="70"/>
              <w:spacing w:after="0" w:line="110" w:lineRule="exact"/>
              <w:rPr>
                <w:sz w:val="20"/>
                <w:szCs w:val="20"/>
                <w:color w:val="auto"/>
              </w:rPr>
            </w:pPr>
            <w:r>
              <w:rPr>
                <w:rFonts w:ascii="Arial" w:cs="Arial" w:eastAsia="Arial" w:hAnsi="Arial"/>
                <w:sz w:val="12"/>
                <w:szCs w:val="12"/>
                <w:b w:val="1"/>
                <w:bCs w:val="1"/>
                <w:color w:val="auto"/>
              </w:rPr>
              <w:t>$</w:t>
            </w:r>
          </w:p>
        </w:tc>
        <w:tc>
          <w:tcPr>
            <w:tcW w:w="580" w:type="dxa"/>
            <w:vAlign w:val="bottom"/>
            <w:gridSpan w:val="2"/>
            <w:shd w:val="clear" w:color="auto" w:fill="CCFFCC"/>
          </w:tcPr>
          <w:p>
            <w:pPr>
              <w:jc w:val="right"/>
              <w:ind w:right="100"/>
              <w:spacing w:after="0" w:line="110" w:lineRule="exact"/>
              <w:rPr>
                <w:sz w:val="20"/>
                <w:szCs w:val="20"/>
                <w:color w:val="auto"/>
              </w:rPr>
            </w:pPr>
            <w:r>
              <w:rPr>
                <w:rFonts w:ascii="Arial" w:cs="Arial" w:eastAsia="Arial" w:hAnsi="Arial"/>
                <w:sz w:val="12"/>
                <w:szCs w:val="12"/>
                <w:b w:val="1"/>
                <w:bCs w:val="1"/>
                <w:color w:val="auto"/>
              </w:rPr>
              <w:t>6,443</w:t>
            </w:r>
          </w:p>
        </w:tc>
        <w:tc>
          <w:tcPr>
            <w:tcW w:w="320" w:type="dxa"/>
            <w:vAlign w:val="bottom"/>
            <w:gridSpan w:val="3"/>
            <w:shd w:val="clear" w:color="auto" w:fill="CCFFCC"/>
          </w:tcPr>
          <w:p>
            <w:pPr>
              <w:jc w:val="right"/>
              <w:ind w:right="62"/>
              <w:spacing w:after="0" w:line="110" w:lineRule="exact"/>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FFCC"/>
          </w:tcPr>
          <w:p>
            <w:pPr>
              <w:jc w:val="right"/>
              <w:spacing w:after="0" w:line="110" w:lineRule="exact"/>
              <w:rPr>
                <w:sz w:val="20"/>
                <w:szCs w:val="20"/>
                <w:color w:val="auto"/>
              </w:rPr>
            </w:pPr>
            <w:r>
              <w:rPr>
                <w:rFonts w:ascii="Arial" w:cs="Arial" w:eastAsia="Arial" w:hAnsi="Arial"/>
                <w:sz w:val="12"/>
                <w:szCs w:val="12"/>
                <w:b w:val="1"/>
                <w:bCs w:val="1"/>
                <w:color w:val="auto"/>
              </w:rPr>
              <w:t>8,865</w:t>
            </w:r>
          </w:p>
        </w:tc>
        <w:tc>
          <w:tcPr>
            <w:tcW w:w="100" w:type="dxa"/>
            <w:vAlign w:val="bottom"/>
            <w:tcBorders>
              <w:lef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3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3"/>
                <w:szCs w:val="13"/>
                <w:b w:val="1"/>
                <w:bCs w:val="1"/>
                <w:color w:val="auto"/>
              </w:rPr>
              <w:t>equity (deficit)</w:t>
            </w:r>
          </w:p>
        </w:tc>
        <w:tc>
          <w:tcPr>
            <w:tcW w:w="80" w:type="dxa"/>
            <w:vAlign w:val="bottom"/>
            <w:tcBorders>
              <w:bottom w:val="single" w:sz="8" w:color="CCFFCC"/>
            </w:tcBorders>
            <w:shd w:val="clear" w:color="auto" w:fill="CCFFCC"/>
          </w:tcPr>
          <w:p>
            <w:pPr>
              <w:spacing w:after="0"/>
              <w:rPr>
                <w:sz w:val="17"/>
                <w:szCs w:val="17"/>
                <w:color w:val="auto"/>
              </w:rPr>
            </w:pPr>
          </w:p>
        </w:tc>
        <w:tc>
          <w:tcPr>
            <w:tcW w:w="6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480" w:type="dxa"/>
            <w:vAlign w:val="bottom"/>
            <w:tcBorders>
              <w:bottom w:val="single" w:sz="8" w:color="auto"/>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80" w:type="dxa"/>
            <w:vAlign w:val="bottom"/>
            <w:tcBorders>
              <w:left w:val="single" w:sz="8" w:color="CCFFCC"/>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60" w:type="dxa"/>
            <w:vAlign w:val="bottom"/>
            <w:tcBorders>
              <w:bottom w:val="single" w:sz="8" w:color="auto"/>
              <w:right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20" w:type="dxa"/>
            <w:vAlign w:val="bottom"/>
            <w:tcBorders>
              <w:bottom w:val="single" w:sz="8" w:color="auto"/>
            </w:tcBorders>
            <w:shd w:val="clear" w:color="auto" w:fill="CCFFCC"/>
          </w:tcPr>
          <w:p>
            <w:pPr>
              <w:spacing w:after="0"/>
              <w:rPr>
                <w:sz w:val="17"/>
                <w:szCs w:val="17"/>
                <w:color w:val="auto"/>
              </w:rPr>
            </w:pPr>
          </w:p>
        </w:tc>
        <w:tc>
          <w:tcPr>
            <w:tcW w:w="140" w:type="dxa"/>
            <w:vAlign w:val="bottom"/>
            <w:tcBorders>
              <w:left w:val="single" w:sz="8" w:color="CCFFCC"/>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580" w:type="dxa"/>
            <w:vAlign w:val="bottom"/>
            <w:tcBorders>
              <w:bottom w:val="single" w:sz="8" w:color="auto"/>
              <w:right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460" w:type="dxa"/>
            <w:vAlign w:val="bottom"/>
            <w:tcBorders>
              <w:bottom w:val="single" w:sz="8" w:color="auto"/>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right w:val="single" w:sz="8" w:color="CCFFCC"/>
            </w:tcBorders>
            <w:shd w:val="clear" w:color="auto" w:fill="CCFFCC"/>
          </w:tcPr>
          <w:p>
            <w:pPr>
              <w:spacing w:after="0"/>
              <w:rPr>
                <w:sz w:val="17"/>
                <w:szCs w:val="17"/>
                <w:color w:val="auto"/>
              </w:rPr>
            </w:pPr>
          </w:p>
        </w:tc>
        <w:tc>
          <w:tcPr>
            <w:tcW w:w="200" w:type="dxa"/>
            <w:vAlign w:val="bottom"/>
            <w:tcBorders>
              <w:bottom w:val="single" w:sz="8" w:color="auto"/>
            </w:tcBorders>
            <w:shd w:val="clear" w:color="auto" w:fill="CCFFCC"/>
          </w:tcPr>
          <w:p>
            <w:pPr>
              <w:spacing w:after="0"/>
              <w:rPr>
                <w:sz w:val="17"/>
                <w:szCs w:val="17"/>
                <w:color w:val="auto"/>
              </w:rPr>
            </w:pPr>
          </w:p>
        </w:tc>
        <w:tc>
          <w:tcPr>
            <w:tcW w:w="540" w:type="dxa"/>
            <w:vAlign w:val="bottom"/>
            <w:tcBorders>
              <w:bottom w:val="single" w:sz="8" w:color="auto"/>
            </w:tcBorders>
            <w:shd w:val="clear" w:color="auto" w:fill="CCFFCC"/>
          </w:tcPr>
          <w:p>
            <w:pPr>
              <w:spacing w:after="0"/>
              <w:rPr>
                <w:sz w:val="17"/>
                <w:szCs w:val="17"/>
                <w:color w:val="auto"/>
              </w:rPr>
            </w:pPr>
          </w:p>
        </w:tc>
        <w:tc>
          <w:tcPr>
            <w:tcW w:w="100" w:type="dxa"/>
            <w:vAlign w:val="bottom"/>
            <w:tcBorders>
              <w:left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 w:name="page36"/>
    <w:bookmarkEnd w:id="35"/>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940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7545" cy="5940425"/>
                    </a:xfrm>
                    <a:prstGeom prst="rect">
                      <a:avLst/>
                    </a:prstGeom>
                    <a:noFill/>
                  </pic:spPr>
                </pic:pic>
              </a:graphicData>
            </a:graphic>
          </wp:anchor>
        </w:drawing>
        <w:t>TABLE OF CONTENTS</w:t>
      </w:r>
    </w:p>
    <w:p>
      <w:pPr>
        <w:spacing w:after="0" w:line="280"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SELECTED HISTORICAL FINANCIAL DATA OF INNOVATE/PROTECT</w:t>
      </w:r>
    </w:p>
    <w:p>
      <w:pPr>
        <w:spacing w:after="0" w:line="109" w:lineRule="exact"/>
        <w:rPr>
          <w:sz w:val="20"/>
          <w:szCs w:val="20"/>
          <w:color w:val="auto"/>
        </w:rPr>
      </w:pPr>
    </w:p>
    <w:p>
      <w:pPr>
        <w:jc w:val="both"/>
        <w:ind w:left="160" w:right="1239" w:firstLine="251"/>
        <w:spacing w:after="0" w:line="253" w:lineRule="auto"/>
        <w:rPr>
          <w:sz w:val="20"/>
          <w:szCs w:val="20"/>
          <w:color w:val="auto"/>
        </w:rPr>
      </w:pPr>
      <w:r>
        <w:rPr>
          <w:rFonts w:ascii="Arial" w:cs="Arial" w:eastAsia="Arial" w:hAnsi="Arial"/>
          <w:sz w:val="17"/>
          <w:szCs w:val="17"/>
          <w:color w:val="auto"/>
        </w:rPr>
        <w:t>The following table sets forth Innovate/Protect selected historical financial data as of December 31, 2011, which financial data is derived from Innovate/Protect’s audited financial statements, which are included elsewhere in this proxy statement/prospectus. The financial data for the three-month period ended March 31, 2012 is derived from Innovate/Protect’s unaudited financial statements which are included elsewhere in this proxy statement/prospectus.</w:t>
      </w:r>
    </w:p>
    <w:p>
      <w:pPr>
        <w:spacing w:after="0" w:line="78" w:lineRule="exact"/>
        <w:rPr>
          <w:sz w:val="20"/>
          <w:szCs w:val="20"/>
          <w:color w:val="auto"/>
        </w:rPr>
      </w:pPr>
    </w:p>
    <w:p>
      <w:pPr>
        <w:jc w:val="both"/>
        <w:ind w:left="160" w:right="1239" w:firstLine="251"/>
        <w:spacing w:after="0" w:line="253" w:lineRule="auto"/>
        <w:rPr>
          <w:sz w:val="20"/>
          <w:szCs w:val="20"/>
          <w:color w:val="auto"/>
        </w:rPr>
      </w:pPr>
      <w:r>
        <w:rPr>
          <w:rFonts w:ascii="Arial" w:cs="Arial" w:eastAsia="Arial" w:hAnsi="Arial"/>
          <w:sz w:val="17"/>
          <w:szCs w:val="17"/>
          <w:color w:val="auto"/>
        </w:rPr>
        <w:t>You should read the selected historical financial data below together with Innovate/Protect’s Management’s Discussion and Analysis of Financial Condition and Results of Operations and with the financial statements and notes thereto as of and for the period ended December 31, 2011 and for the three months ended March 31, 2012, each of which are included elsewhere in this proxy statement/prospectus.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Three Months</w:t>
            </w:r>
          </w:p>
        </w:tc>
        <w:tc>
          <w:tcPr>
            <w:tcW w:w="140" w:type="dxa"/>
            <w:vAlign w:val="bottom"/>
          </w:tcPr>
          <w:p>
            <w:pPr>
              <w:spacing w:after="0"/>
              <w:rPr>
                <w:sz w:val="13"/>
                <w:szCs w:val="13"/>
                <w:color w:val="auto"/>
              </w:rPr>
            </w:pPr>
          </w:p>
        </w:tc>
        <w:tc>
          <w:tcPr>
            <w:tcW w:w="2440" w:type="dxa"/>
            <w:vAlign w:val="bottom"/>
            <w:gridSpan w:val="4"/>
          </w:tcPr>
          <w:p>
            <w:pPr>
              <w:jc w:val="center"/>
              <w:ind w:right="1320"/>
              <w:spacing w:after="0"/>
              <w:rPr>
                <w:sz w:val="20"/>
                <w:szCs w:val="20"/>
                <w:color w:val="auto"/>
              </w:rPr>
            </w:pPr>
            <w:r>
              <w:rPr>
                <w:rFonts w:ascii="Arial" w:cs="Arial" w:eastAsia="Arial" w:hAnsi="Arial"/>
                <w:sz w:val="13"/>
                <w:szCs w:val="13"/>
                <w:b w:val="1"/>
                <w:bCs w:val="1"/>
                <w:color w:val="auto"/>
                <w:w w:val="91"/>
              </w:rPr>
              <w:t>From June 8, 2011</w:t>
            </w:r>
          </w:p>
        </w:tc>
        <w:tc>
          <w:tcPr>
            <w:tcW w:w="1100" w:type="dxa"/>
            <w:vAlign w:val="bottom"/>
          </w:tcPr>
          <w:p>
            <w:pPr>
              <w:spacing w:after="0"/>
              <w:rPr>
                <w:sz w:val="13"/>
                <w:szCs w:val="13"/>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60" w:type="dxa"/>
            <w:vAlign w:val="bottom"/>
            <w:gridSpan w:val="3"/>
          </w:tcPr>
          <w:p>
            <w:pPr>
              <w:jc w:val="center"/>
              <w:ind w:right="40"/>
              <w:spacing w:after="0" w:line="138" w:lineRule="exact"/>
              <w:rPr>
                <w:sz w:val="20"/>
                <w:szCs w:val="20"/>
                <w:color w:val="auto"/>
              </w:rPr>
            </w:pPr>
            <w:r>
              <w:rPr>
                <w:rFonts w:ascii="Arial" w:cs="Arial" w:eastAsia="Arial" w:hAnsi="Arial"/>
                <w:sz w:val="13"/>
                <w:szCs w:val="13"/>
                <w:b w:val="1"/>
                <w:bCs w:val="1"/>
                <w:color w:val="auto"/>
                <w:w w:val="94"/>
              </w:rPr>
              <w:t>Ended March 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3"/>
          </w:tcPr>
          <w:p>
            <w:pPr>
              <w:jc w:val="center"/>
              <w:ind w:right="1480"/>
              <w:spacing w:after="0" w:line="138" w:lineRule="exact"/>
              <w:rPr>
                <w:sz w:val="20"/>
                <w:szCs w:val="20"/>
                <w:color w:val="auto"/>
              </w:rPr>
            </w:pPr>
            <w:r>
              <w:rPr>
                <w:rFonts w:ascii="Arial" w:cs="Arial" w:eastAsia="Arial" w:hAnsi="Arial"/>
                <w:sz w:val="13"/>
                <w:szCs w:val="13"/>
                <w:b w:val="1"/>
                <w:bCs w:val="1"/>
                <w:color w:val="auto"/>
                <w:w w:val="93"/>
              </w:rPr>
              <w:t>(inception)</w:t>
            </w:r>
          </w:p>
        </w:tc>
        <w:tc>
          <w:tcPr>
            <w:tcW w:w="1100" w:type="dxa"/>
            <w:vAlign w:val="bottom"/>
          </w:tcPr>
          <w:p>
            <w:pPr>
              <w:spacing w:after="0"/>
              <w:rPr>
                <w:sz w:val="11"/>
                <w:szCs w:val="11"/>
                <w:color w:val="auto"/>
              </w:rPr>
            </w:pPr>
          </w:p>
        </w:tc>
      </w:tr>
      <w:tr>
        <w:trPr>
          <w:trHeight w:val="138"/>
        </w:trPr>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gridSpan w:val="3"/>
          </w:tcPr>
          <w:p>
            <w:pPr>
              <w:jc w:val="center"/>
              <w:ind w:right="1480"/>
              <w:spacing w:after="0" w:line="138" w:lineRule="exact"/>
              <w:rPr>
                <w:sz w:val="20"/>
                <w:szCs w:val="20"/>
                <w:color w:val="auto"/>
              </w:rPr>
            </w:pPr>
            <w:r>
              <w:rPr>
                <w:rFonts w:ascii="Arial" w:cs="Arial" w:eastAsia="Arial" w:hAnsi="Arial"/>
                <w:sz w:val="13"/>
                <w:szCs w:val="13"/>
                <w:b w:val="1"/>
                <w:bCs w:val="1"/>
                <w:color w:val="auto"/>
                <w:w w:val="93"/>
              </w:rPr>
              <w:t>through</w:t>
            </w:r>
          </w:p>
        </w:tc>
        <w:tc>
          <w:tcPr>
            <w:tcW w:w="1100" w:type="dxa"/>
            <w:vAlign w:val="bottom"/>
          </w:tcPr>
          <w:p>
            <w:pPr>
              <w:spacing w:after="0"/>
              <w:rPr>
                <w:sz w:val="11"/>
                <w:szCs w:val="1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4"/>
          </w:tcPr>
          <w:p>
            <w:pPr>
              <w:ind w:left="20"/>
              <w:spacing w:after="0"/>
              <w:rPr>
                <w:sz w:val="20"/>
                <w:szCs w:val="20"/>
                <w:color w:val="auto"/>
              </w:rPr>
            </w:pPr>
            <w:r>
              <w:rPr>
                <w:rFonts w:ascii="Arial" w:cs="Arial" w:eastAsia="Arial" w:hAnsi="Arial"/>
                <w:sz w:val="13"/>
                <w:szCs w:val="13"/>
                <w:b w:val="1"/>
                <w:bCs w:val="1"/>
                <w:color w:val="auto"/>
              </w:rPr>
              <w:t>December 31, 2011</w:t>
            </w:r>
          </w:p>
        </w:tc>
        <w:tc>
          <w:tcPr>
            <w:tcW w:w="1100" w:type="dxa"/>
            <w:vAlign w:val="bottom"/>
          </w:tcPr>
          <w:p>
            <w:pPr>
              <w:spacing w:after="0"/>
              <w:rPr>
                <w:sz w:val="13"/>
                <w:szCs w:val="13"/>
                <w:color w:val="auto"/>
              </w:rPr>
            </w:pPr>
          </w:p>
        </w:tc>
      </w:tr>
      <w:tr>
        <w:trPr>
          <w:trHeight w:val="193"/>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100" w:type="dxa"/>
            <w:vAlign w:val="bottom"/>
            <w:tcBorders>
              <w:top w:val="single" w:sz="8" w:color="auto"/>
            </w:tcBorders>
            <w:shd w:val="clear" w:color="auto" w:fill="CCFFCC"/>
          </w:tcPr>
          <w:p>
            <w:pPr>
              <w:spacing w:after="0"/>
              <w:rPr>
                <w:sz w:val="16"/>
                <w:szCs w:val="16"/>
                <w:color w:val="auto"/>
              </w:rPr>
            </w:pPr>
          </w:p>
        </w:tc>
        <w:tc>
          <w:tcPr>
            <w:tcW w:w="960" w:type="dxa"/>
            <w:vAlign w:val="bottom"/>
            <w:tcBorders>
              <w:top w:val="single" w:sz="8" w:color="auto"/>
            </w:tcBorders>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940" w:type="dxa"/>
            <w:vAlign w:val="bottom"/>
            <w:tcBorders>
              <w:top w:val="single" w:sz="8" w:color="auto"/>
            </w:tcBorders>
            <w:gridSpan w:val="2"/>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120" w:type="dxa"/>
            <w:vAlign w:val="bottom"/>
          </w:tcPr>
          <w:p>
            <w:pPr>
              <w:spacing w:after="0"/>
              <w:rPr>
                <w:sz w:val="16"/>
                <w:szCs w:val="16"/>
                <w:color w:val="auto"/>
              </w:rPr>
            </w:pPr>
          </w:p>
        </w:tc>
        <w:tc>
          <w:tcPr>
            <w:tcW w:w="53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Operating Expenses: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Legal</w:t>
            </w:r>
          </w:p>
        </w:tc>
        <w:tc>
          <w:tcPr>
            <w:tcW w:w="100" w:type="dxa"/>
            <w:vAlign w:val="bottom"/>
            <w:shd w:val="clear" w:color="auto" w:fill="CCFFCC"/>
          </w:tcPr>
          <w:p>
            <w:pPr>
              <w:jc w:val="right"/>
              <w:ind w:right="5"/>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1,172</w:t>
            </w:r>
          </w:p>
        </w:tc>
        <w:tc>
          <w:tcPr>
            <w:tcW w:w="120" w:type="dxa"/>
            <w:vAlign w:val="bottom"/>
            <w:shd w:val="clear" w:color="auto" w:fill="CCFFCC"/>
          </w:tcPr>
          <w:p>
            <w:pPr>
              <w:spacing w:after="0"/>
              <w:rPr>
                <w:sz w:val="17"/>
                <w:szCs w:val="17"/>
                <w:color w:val="auto"/>
              </w:rPr>
            </w:pPr>
          </w:p>
        </w:tc>
        <w:tc>
          <w:tcPr>
            <w:tcW w:w="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1,102</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Compensation</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997</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Amortization and depreciation</w:t>
            </w:r>
          </w:p>
        </w:tc>
        <w:tc>
          <w:tcPr>
            <w:tcW w:w="10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328</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213</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106</w:t>
            </w:r>
          </w:p>
        </w:tc>
        <w:tc>
          <w:tcPr>
            <w:tcW w:w="140" w:type="dxa"/>
            <w:vAlign w:val="bottom"/>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Finance income (expense), net</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(8)</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tcBorders>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Income tax benefit (expense)</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160" w:type="dxa"/>
            <w:vAlign w:val="bottom"/>
            <w:tcBorders>
              <w:right w:val="single" w:sz="8" w:color="auto"/>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 for the period</w:t>
            </w:r>
          </w:p>
        </w:tc>
        <w:tc>
          <w:tcPr>
            <w:tcW w:w="100" w:type="dxa"/>
            <w:vAlign w:val="bottom"/>
          </w:tcPr>
          <w:p>
            <w:pPr>
              <w:jc w:val="right"/>
              <w:ind w:right="5"/>
              <w:spacing w:after="0"/>
              <w:rPr>
                <w:sz w:val="20"/>
                <w:szCs w:val="20"/>
                <w:color w:val="auto"/>
              </w:rPr>
            </w:pPr>
            <w:r>
              <w:rPr>
                <w:rFonts w:ascii="Arial" w:cs="Arial" w:eastAsia="Arial" w:hAnsi="Arial"/>
                <w:sz w:val="5"/>
                <w:szCs w:val="5"/>
                <w:b w:val="1"/>
                <w:bCs w:val="1"/>
                <w:color w:val="auto"/>
                <w:w w:val="70"/>
              </w:rPr>
              <w:t>$</w:t>
            </w: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20" w:type="dxa"/>
            <w:vAlign w:val="bottom"/>
          </w:tcPr>
          <w:p>
            <w:pPr>
              <w:spacing w:after="0"/>
              <w:rPr>
                <w:sz w:val="16"/>
                <w:szCs w:val="16"/>
                <w:color w:val="auto"/>
              </w:rPr>
            </w:pPr>
          </w:p>
        </w:tc>
        <w:tc>
          <w:tcPr>
            <w:tcW w:w="320" w:type="dxa"/>
            <w:vAlign w:val="bottom"/>
            <w:gridSpan w:val="2"/>
          </w:tcPr>
          <w:p>
            <w:pPr>
              <w:ind w:left="16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5300" w:type="dxa"/>
            <w:vAlign w:val="bottom"/>
            <w:tcBorders>
              <w:right w:val="single" w:sz="8" w:color="CCFFCC"/>
            </w:tcBorders>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Basic and diluted net loss per common share</w:t>
            </w:r>
          </w:p>
        </w:tc>
        <w:tc>
          <w:tcPr>
            <w:tcW w:w="10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140" w:type="dxa"/>
            <w:vAlign w:val="bottom"/>
            <w:shd w:val="clear" w:color="auto" w:fill="CCFFCC"/>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4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5300" w:type="dxa"/>
            <w:vAlign w:val="bottom"/>
            <w:gridSpan w:val="2"/>
          </w:tcPr>
          <w:p>
            <w:pPr>
              <w:spacing w:after="0" w:line="178" w:lineRule="exact"/>
              <w:rPr>
                <w:sz w:val="20"/>
                <w:szCs w:val="20"/>
                <w:color w:val="auto"/>
              </w:rPr>
            </w:pPr>
            <w:r>
              <w:rPr>
                <w:rFonts w:ascii="Arial" w:cs="Arial" w:eastAsia="Arial" w:hAnsi="Arial"/>
                <w:sz w:val="17"/>
                <w:szCs w:val="17"/>
                <w:color w:val="auto"/>
                <w:w w:val="90"/>
              </w:rPr>
              <w:t>Weighted average number of shares used in computing basic and diluted net</w:t>
            </w: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7"/>
                <w:szCs w:val="17"/>
                <w:color w:val="auto"/>
              </w:rPr>
              <w:t>4,365,117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color w:val="auto"/>
              </w:rPr>
              <w:t>2,802,100</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rPr>
              <w:t>loss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1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7"/>
                <w:szCs w:val="17"/>
                <w:color w:val="auto"/>
              </w:rPr>
              <w:t>per common share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5"/>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6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3"/>
              </w:rPr>
              <w:t>As of March 31,</w:t>
            </w:r>
          </w:p>
        </w:tc>
        <w:tc>
          <w:tcPr>
            <w:tcW w:w="140" w:type="dxa"/>
            <w:vAlign w:val="bottom"/>
          </w:tcPr>
          <w:p>
            <w:pPr>
              <w:spacing w:after="0"/>
              <w:rPr>
                <w:sz w:val="12"/>
                <w:szCs w:val="12"/>
                <w:color w:val="auto"/>
              </w:rPr>
            </w:pPr>
          </w:p>
        </w:tc>
        <w:tc>
          <w:tcPr>
            <w:tcW w:w="2440" w:type="dxa"/>
            <w:vAlign w:val="bottom"/>
            <w:gridSpan w:val="4"/>
          </w:tcPr>
          <w:p>
            <w:pPr>
              <w:ind w:left="20"/>
              <w:spacing w:after="0" w:line="146" w:lineRule="exact"/>
              <w:rPr>
                <w:sz w:val="20"/>
                <w:szCs w:val="20"/>
                <w:color w:val="auto"/>
              </w:rPr>
            </w:pPr>
            <w:r>
              <w:rPr>
                <w:rFonts w:ascii="Arial" w:cs="Arial" w:eastAsia="Arial" w:hAnsi="Arial"/>
                <w:sz w:val="13"/>
                <w:szCs w:val="13"/>
                <w:b w:val="1"/>
                <w:bCs w:val="1"/>
                <w:color w:val="auto"/>
              </w:rPr>
              <w:t>December 31, 2011</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3" w:lineRule="exact"/>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4,020</w:t>
            </w:r>
          </w:p>
        </w:tc>
        <w:tc>
          <w:tcPr>
            <w:tcW w:w="32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5,238</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bottom w:val="single" w:sz="8" w:color="CCFFCC"/>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2,912</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3,068</w:t>
            </w:r>
          </w:p>
        </w:tc>
        <w:tc>
          <w:tcPr>
            <w:tcW w:w="140" w:type="dxa"/>
            <w:vAlign w:val="bottom"/>
            <w:tcBorders>
              <w:bottom w:val="single" w:sz="8" w:color="CCFFCC"/>
            </w:tcBorders>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8,314</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120" w:type="dxa"/>
            <w:vAlign w:val="bottom"/>
          </w:tcPr>
          <w:p>
            <w:pPr>
              <w:spacing w:after="0"/>
              <w:rPr>
                <w:sz w:val="16"/>
                <w:szCs w:val="16"/>
                <w:color w:val="auto"/>
              </w:rPr>
            </w:pPr>
          </w:p>
        </w:tc>
        <w:tc>
          <w:tcPr>
            <w:tcW w:w="5300" w:type="dxa"/>
            <w:vAlign w:val="bottom"/>
            <w:tcBorders>
              <w:right w:val="single" w:sz="8" w:color="CCFFCC"/>
            </w:tcBorders>
            <w:gridSpan w:val="2"/>
            <w:shd w:val="clear" w:color="auto" w:fill="CCFFCC"/>
          </w:tcPr>
          <w:p>
            <w:pPr>
              <w:spacing w:after="0" w:line="191"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2,866</w:t>
            </w:r>
          </w:p>
        </w:tc>
        <w:tc>
          <w:tcPr>
            <w:tcW w:w="1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140"/>
              <w:spacing w:after="0" w:line="191" w:lineRule="exact"/>
              <w:rPr>
                <w:sz w:val="20"/>
                <w:szCs w:val="20"/>
                <w:color w:val="auto"/>
              </w:rPr>
            </w:pPr>
            <w:r>
              <w:rPr>
                <w:rFonts w:ascii="Arial" w:cs="Arial" w:eastAsia="Arial" w:hAnsi="Arial"/>
                <w:sz w:val="17"/>
                <w:szCs w:val="17"/>
                <w:color w:val="auto"/>
              </w:rPr>
              <w:t>2,449</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Note Payable-related party</w:t>
            </w: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1,200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1,200</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5300" w:type="dxa"/>
            <w:vAlign w:val="bottom"/>
            <w:tcBorders>
              <w:bottom w:val="single" w:sz="8" w:color="CCFFCC"/>
              <w:right w:val="single" w:sz="8" w:color="CCFFCC"/>
            </w:tcBorders>
            <w:gridSpan w:val="2"/>
            <w:shd w:val="clear" w:color="auto" w:fill="CCFFCC"/>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1,117</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2,865</w:t>
            </w:r>
          </w:p>
        </w:tc>
        <w:tc>
          <w:tcPr>
            <w:tcW w:w="140" w:type="dxa"/>
            <w:vAlign w:val="bottom"/>
            <w:tcBorders>
              <w:bottom w:val="single" w:sz="8" w:color="CCFFCC"/>
            </w:tcBorders>
            <w:shd w:val="clear" w:color="auto" w:fill="CCFFCC"/>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3"/>
        </w:trPr>
        <w:tc>
          <w:tcPr>
            <w:tcW w:w="120" w:type="dxa"/>
            <w:vAlign w:val="bottom"/>
          </w:tcPr>
          <w:p>
            <w:pPr>
              <w:spacing w:after="0"/>
              <w:rPr>
                <w:sz w:val="16"/>
                <w:szCs w:val="16"/>
                <w:color w:val="auto"/>
              </w:rPr>
            </w:pPr>
          </w:p>
        </w:tc>
        <w:tc>
          <w:tcPr>
            <w:tcW w:w="53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6,944</w:t>
            </w:r>
          </w:p>
        </w:tc>
        <w:tc>
          <w:tcPr>
            <w:tcW w:w="320" w:type="dxa"/>
            <w:vAlign w:val="bottom"/>
            <w:gridSpan w:val="2"/>
          </w:tcPr>
          <w:p>
            <w:pPr>
              <w:ind w:left="16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8,314</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5420" w:type="dxa"/>
            <w:vAlign w:val="bottom"/>
            <w:gridSpan w:val="3"/>
          </w:tcPr>
          <w:p>
            <w:pPr>
              <w:jc w:val="right"/>
              <w:ind w:right="900"/>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226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7545" cy="6226810"/>
                    </a:xfrm>
                    <a:prstGeom prst="rect">
                      <a:avLst/>
                    </a:prstGeom>
                    <a:noFill/>
                  </pic:spPr>
                </pic:pic>
              </a:graphicData>
            </a:graphic>
          </wp:anchor>
        </w:drawing>
        <w:t>TABLE OF CONTENTS</w:t>
      </w:r>
    </w:p>
    <w:p>
      <w:pPr>
        <w:spacing w:after="0" w:line="280" w:lineRule="exact"/>
        <w:rPr>
          <w:sz w:val="20"/>
          <w:szCs w:val="20"/>
          <w:color w:val="auto"/>
        </w:rPr>
      </w:pPr>
    </w:p>
    <w:p>
      <w:pPr>
        <w:ind w:left="1700"/>
        <w:spacing w:after="0"/>
        <w:rPr>
          <w:sz w:val="20"/>
          <w:szCs w:val="20"/>
          <w:color w:val="auto"/>
        </w:rPr>
      </w:pPr>
      <w:r>
        <w:rPr>
          <w:rFonts w:ascii="Arial" w:cs="Arial" w:eastAsia="Arial" w:hAnsi="Arial"/>
          <w:sz w:val="17"/>
          <w:szCs w:val="17"/>
          <w:b w:val="1"/>
          <w:bCs w:val="1"/>
          <w:color w:val="auto"/>
        </w:rPr>
        <w:t>SUMMARY UNAUDITED PRO FORMA COMBINED FINANCIAL DATA</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statements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5"/>
          <w:szCs w:val="15"/>
          <w:u w:val="single" w:color="auto"/>
          <w:color w:val="0000EE"/>
        </w:rPr>
        <w:t>188</w:t>
      </w:r>
      <w:r>
        <w:rPr>
          <w:rFonts w:ascii="Arial" w:cs="Arial" w:eastAsia="Arial" w:hAnsi="Arial"/>
          <w:sz w:val="15"/>
          <w:szCs w:val="15"/>
          <w:color w:val="auto"/>
        </w:rPr>
        <w:t xml:space="preserve"> and the audited historical financial statements of Vringo and Innovate/Protect and the notes thereto beginning on pages F-</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and F-</w:t>
      </w:r>
      <w:r>
        <w:rPr>
          <w:rFonts w:ascii="Arial" w:cs="Arial" w:eastAsia="Arial" w:hAnsi="Arial"/>
          <w:sz w:val="15"/>
          <w:szCs w:val="15"/>
          <w:u w:val="single" w:color="auto"/>
          <w:color w:val="0000EE"/>
        </w:rPr>
        <w:t>52</w:t>
      </w:r>
      <w:r>
        <w:rPr>
          <w:rFonts w:ascii="Arial" w:cs="Arial" w:eastAsia="Arial" w:hAnsi="Arial"/>
          <w:sz w:val="15"/>
          <w:szCs w:val="15"/>
          <w:color w:val="auto"/>
        </w:rPr>
        <w:t xml:space="preserve">, respectively, the sections entitled “Vringo’s Management’s Discussion and Analysis of Financial Condition and Results of Operations” beginning on page </w:t>
      </w:r>
      <w:r>
        <w:rPr>
          <w:rFonts w:ascii="Arial" w:cs="Arial" w:eastAsia="Arial" w:hAnsi="Arial"/>
          <w:sz w:val="15"/>
          <w:szCs w:val="15"/>
          <w:u w:val="single" w:color="auto"/>
          <w:color w:val="0000EE"/>
        </w:rPr>
        <w:t>129</w:t>
      </w:r>
      <w:r>
        <w:rPr>
          <w:rFonts w:ascii="Arial" w:cs="Arial" w:eastAsia="Arial" w:hAnsi="Arial"/>
          <w:sz w:val="15"/>
          <w:szCs w:val="15"/>
          <w:color w:val="auto"/>
        </w:rPr>
        <w:t xml:space="preserve"> and “Innovate/Protect’s Management’s Discussion and Analysis of Financial Condition and Results of Operations” beginning on page </w:t>
      </w:r>
      <w:r>
        <w:rPr>
          <w:rFonts w:ascii="Arial" w:cs="Arial" w:eastAsia="Arial" w:hAnsi="Arial"/>
          <w:sz w:val="15"/>
          <w:szCs w:val="15"/>
          <w:u w:val="single" w:color="auto"/>
          <w:color w:val="0000EE"/>
        </w:rPr>
        <w:t>156</w:t>
      </w:r>
      <w:r>
        <w:rPr>
          <w:rFonts w:ascii="Arial" w:cs="Arial" w:eastAsia="Arial" w:hAnsi="Arial"/>
          <w:sz w:val="15"/>
          <w:szCs w:val="15"/>
          <w:color w:val="000000"/>
        </w:rPr>
        <w:t>, and the other information contained in this proxy statement/prospectus. The following information does not give effect to the</w:t>
      </w:r>
      <w:r>
        <w:rPr>
          <w:rFonts w:ascii="Arial" w:cs="Arial" w:eastAsia="Arial" w:hAnsi="Arial"/>
          <w:sz w:val="15"/>
          <w:szCs w:val="15"/>
          <w:color w:val="0000EE"/>
        </w:rPr>
        <w:t xml:space="preserve"> </w:t>
      </w:r>
      <w:r>
        <w:rPr>
          <w:rFonts w:ascii="Arial" w:cs="Arial" w:eastAsia="Arial" w:hAnsi="Arial"/>
          <w:sz w:val="15"/>
          <w:szCs w:val="15"/>
          <w:color w:val="000000"/>
        </w:rPr>
        <w:t>proposed reverse stock split of Vringo common stock described in Vringo Proposal No. 2.</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Accounting Treatment of the Merger</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5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summary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 w:name="page38"/>
    <w:bookmarkEnd w:id="37"/>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5766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7545" cy="6576695"/>
                    </a:xfrm>
                    <a:prstGeom prst="rect">
                      <a:avLst/>
                    </a:prstGeom>
                    <a:noFill/>
                  </pic:spPr>
                </pic:pic>
              </a:graphicData>
            </a:graphic>
          </wp:anchor>
        </w:drawing>
        <w:t>TABLE OF CONTENTS</w:t>
      </w:r>
    </w:p>
    <w:p>
      <w:pPr>
        <w:spacing w:after="0" w:line="184" w:lineRule="exact"/>
        <w:rPr>
          <w:sz w:val="20"/>
          <w:szCs w:val="20"/>
          <w:color w:val="auto"/>
        </w:rPr>
      </w:pPr>
    </w:p>
    <w:p>
      <w:pPr>
        <w:jc w:val="both"/>
        <w:ind w:left="160" w:right="1239" w:firstLine="251"/>
        <w:spacing w:after="0" w:line="251" w:lineRule="auto"/>
        <w:rPr>
          <w:sz w:val="20"/>
          <w:szCs w:val="20"/>
          <w:color w:val="auto"/>
        </w:rPr>
      </w:pPr>
      <w:r>
        <w:rPr>
          <w:rFonts w:ascii="Arial" w:cs="Arial" w:eastAsia="Arial" w:hAnsi="Arial"/>
          <w:sz w:val="17"/>
          <w:szCs w:val="17"/>
          <w:color w:val="auto"/>
        </w:rPr>
        <w:t>The summary unaudited pro forma statements of operations for the periods from June 8, 2011 through December 31, 2011 and from January 1, 2012 to March 31, 2012 combine the historical statements of operations of Vringo for the periods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historical financial data has been adjusted to give pro forma effect to events that are (i) directly attributable to the Merger,</w:t>
      </w:r>
    </w:p>
    <w:p>
      <w:pPr>
        <w:spacing w:after="0" w:line="40" w:lineRule="exact"/>
        <w:rPr>
          <w:sz w:val="20"/>
          <w:szCs w:val="20"/>
          <w:color w:val="auto"/>
        </w:rPr>
      </w:pPr>
    </w:p>
    <w:p>
      <w:pPr>
        <w:jc w:val="both"/>
        <w:ind w:left="160" w:right="1239" w:firstLine="7"/>
        <w:spacing w:after="0" w:line="248" w:lineRule="auto"/>
        <w:tabs>
          <w:tab w:leader="none" w:pos="437" w:val="left"/>
        </w:tabs>
        <w:numPr>
          <w:ilvl w:val="0"/>
          <w:numId w:val="54"/>
        </w:numPr>
        <w:rPr>
          <w:rFonts w:ascii="Arial" w:cs="Arial" w:eastAsia="Arial" w:hAnsi="Arial"/>
          <w:sz w:val="17"/>
          <w:szCs w:val="17"/>
          <w:color w:val="auto"/>
        </w:rPr>
      </w:pPr>
      <w:r>
        <w:rPr>
          <w:rFonts w:ascii="Arial" w:cs="Arial" w:eastAsia="Arial" w:hAnsi="Arial"/>
          <w:sz w:val="17"/>
          <w:szCs w:val="17"/>
          <w:color w:val="auto"/>
        </w:rPr>
        <w:t>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2" w:lineRule="exact"/>
        <w:rPr>
          <w:sz w:val="20"/>
          <w:szCs w:val="20"/>
          <w:color w:val="auto"/>
        </w:rPr>
      </w:pPr>
    </w:p>
    <w:p>
      <w:pPr>
        <w:jc w:val="both"/>
        <w:ind w:left="160" w:right="1239" w:firstLine="251"/>
        <w:spacing w:after="0" w:line="288" w:lineRule="auto"/>
        <w:rPr>
          <w:sz w:val="20"/>
          <w:szCs w:val="20"/>
          <w:color w:val="auto"/>
        </w:rPr>
      </w:pPr>
      <w:r>
        <w:rPr>
          <w:rFonts w:ascii="Arial" w:cs="Arial" w:eastAsia="Arial" w:hAnsi="Arial"/>
          <w:sz w:val="15"/>
          <w:szCs w:val="15"/>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Combined Financial Statements” beginning on page </w:t>
      </w:r>
      <w:r>
        <w:rPr>
          <w:rFonts w:ascii="Arial" w:cs="Arial" w:eastAsia="Arial" w:hAnsi="Arial"/>
          <w:sz w:val="15"/>
          <w:szCs w:val="15"/>
          <w:u w:val="single" w:color="auto"/>
          <w:color w:val="0000EE"/>
        </w:rPr>
        <w:t>188</w:t>
      </w:r>
      <w:r>
        <w:rPr>
          <w:rFonts w:ascii="Arial" w:cs="Arial" w:eastAsia="Arial" w:hAnsi="Arial"/>
          <w:sz w:val="15"/>
          <w:szCs w:val="15"/>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Unaudited Pro Forma Consolidated Statement of Operations, for the period from June 8, 2011 (date of inception of</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Innovate/Protect) through December 31, 2011: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2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2"/>
                <w:szCs w:val="12"/>
                <w:color w:val="auto"/>
              </w:rPr>
            </w:pPr>
          </w:p>
        </w:tc>
        <w:tc>
          <w:tcPr>
            <w:tcW w:w="50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w w:val="99"/>
              </w:rPr>
              <w:t>Notes</w:t>
            </w:r>
          </w:p>
        </w:tc>
        <w:tc>
          <w:tcPr>
            <w:tcW w:w="2200" w:type="dxa"/>
            <w:vAlign w:val="bottom"/>
            <w:gridSpan w:val="2"/>
          </w:tcPr>
          <w:p>
            <w:pPr>
              <w:jc w:val="center"/>
              <w:ind w:right="1300"/>
              <w:spacing w:after="0" w:line="148" w:lineRule="exact"/>
              <w:rPr>
                <w:sz w:val="20"/>
                <w:szCs w:val="20"/>
                <w:color w:val="auto"/>
              </w:rPr>
            </w:pPr>
            <w:r>
              <w:rPr>
                <w:rFonts w:ascii="Arial" w:cs="Arial" w:eastAsia="Arial" w:hAnsi="Arial"/>
                <w:sz w:val="13"/>
                <w:szCs w:val="13"/>
                <w:b w:val="1"/>
                <w:bCs w:val="1"/>
                <w:color w:val="auto"/>
                <w:w w:val="95"/>
              </w:rPr>
              <w:t>Pro Forma</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adjustments</w:t>
            </w: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consolidated</w:t>
            </w:r>
          </w:p>
        </w:tc>
        <w:tc>
          <w:tcPr>
            <w:tcW w:w="1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360" w:type="dxa"/>
            <w:vAlign w:val="bottom"/>
            <w:gridSpan w:val="10"/>
          </w:tcPr>
          <w:p>
            <w:pPr>
              <w:ind w:left="54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1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1,026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1,132</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997</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(997)</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(328)</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1,171</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1,171</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1,610</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1,431</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3,254</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3,971</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7,743</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(3,556)</w:t>
            </w:r>
          </w:p>
        </w:tc>
        <w:tc>
          <w:tcPr>
            <w:tcW w:w="860" w:type="dxa"/>
            <w:vAlign w:val="bottom"/>
            <w:gridSpan w:val="3"/>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(7,328)</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0" w:type="dxa"/>
            <w:vAlign w:val="bottom"/>
            <w:tcBorders>
              <w:left w:val="single" w:sz="8" w:color="CCFFCC"/>
            </w:tcBorders>
            <w:shd w:val="clear" w:color="auto" w:fill="CCFFCC"/>
          </w:tcPr>
          <w:p>
            <w:pPr>
              <w:spacing w:after="0"/>
              <w:rPr>
                <w:sz w:val="16"/>
                <w:szCs w:val="16"/>
                <w:color w:val="auto"/>
              </w:rPr>
            </w:pPr>
          </w:p>
        </w:tc>
        <w:tc>
          <w:tcPr>
            <w:tcW w:w="7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w w:val="93"/>
              </w:rPr>
              <w:t>Interest and amortization of debt discount expense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(1,324)</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(1,324)</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38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7"/>
                <w:szCs w:val="17"/>
                <w:color w:val="auto"/>
              </w:rPr>
              <w:t>Gain on restructuring of venture loan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963</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963</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(4,838)</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(8,618)</w:t>
            </w:r>
          </w:p>
        </w:tc>
        <w:tc>
          <w:tcPr>
            <w:tcW w:w="138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580" w:type="dxa"/>
            <w:vAlign w:val="bottom"/>
            <w:gridSpan w:val="2"/>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(4,899)</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(8,679)</w:t>
            </w:r>
          </w:p>
        </w:tc>
        <w:tc>
          <w:tcPr>
            <w:tcW w:w="1380" w:type="dxa"/>
            <w:vAlign w:val="bottom"/>
            <w:tcBorders>
              <w:left w:val="single" w:sz="8" w:color="CCFFCC"/>
            </w:tcBorders>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1"/>
        </w:trPr>
        <w:tc>
          <w:tcPr>
            <w:tcW w:w="120" w:type="dxa"/>
            <w:vAlign w:val="bottom"/>
          </w:tcPr>
          <w:p>
            <w:pPr>
              <w:spacing w:after="0"/>
              <w:rPr>
                <w:sz w:val="16"/>
                <w:szCs w:val="16"/>
                <w:color w:val="auto"/>
              </w:rPr>
            </w:pPr>
          </w:p>
        </w:tc>
        <w:tc>
          <w:tcPr>
            <w:tcW w:w="358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840" w:type="dxa"/>
            <w:vAlign w:val="bottom"/>
            <w:gridSpan w:val="2"/>
          </w:tcPr>
          <w:p>
            <w:pPr>
              <w:jc w:val="right"/>
              <w:spacing w:after="0" w:line="191" w:lineRule="exact"/>
              <w:rPr>
                <w:sz w:val="20"/>
                <w:szCs w:val="20"/>
                <w:color w:val="auto"/>
              </w:rPr>
            </w:pPr>
            <w:r>
              <w:rPr>
                <w:rFonts w:ascii="Arial" w:cs="Arial" w:eastAsia="Arial" w:hAnsi="Arial"/>
                <w:sz w:val="17"/>
                <w:szCs w:val="17"/>
                <w:b w:val="1"/>
                <w:bCs w:val="1"/>
                <w:color w:val="auto"/>
              </w:rPr>
              <w:t>(0.</w:t>
            </w:r>
            <w:r>
              <w:rPr>
                <w:rFonts w:ascii="Arial" w:cs="Arial" w:eastAsia="Arial" w:hAnsi="Arial"/>
                <w:sz w:val="17"/>
                <w:szCs w:val="17"/>
                <w:b w:val="1"/>
                <w:bCs w:val="1"/>
                <w:u w:val="single" w:color="auto"/>
                <w:color w:val="auto"/>
              </w:rPr>
              <w:t>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(0.35)</w:t>
            </w: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358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shares used in computing basic</w:t>
            </w:r>
          </w:p>
        </w:tc>
        <w:tc>
          <w:tcPr>
            <w:tcW w:w="90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2,802,100</w:t>
            </w:r>
          </w:p>
        </w:tc>
        <w:tc>
          <w:tcPr>
            <w:tcW w:w="840" w:type="dxa"/>
            <w:vAlign w:val="bottom"/>
            <w:tcBorders>
              <w:left w:val="single" w:sz="8" w:color="CCFFCC"/>
            </w:tcBorders>
            <w:gridSpan w:val="2"/>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6,965,927</w:t>
            </w:r>
          </w:p>
        </w:tc>
        <w:tc>
          <w:tcPr>
            <w:tcW w:w="100" w:type="dxa"/>
            <w:vAlign w:val="bottom"/>
            <w:tcBorders>
              <w:left w:val="single" w:sz="8" w:color="CCFFCC"/>
            </w:tcBorders>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560" w:type="dxa"/>
            <w:vAlign w:val="bottom"/>
            <w:tcBorders>
              <w:right w:val="single" w:sz="8" w:color="CCFFCC"/>
            </w:tcBorders>
            <w:gridSpan w:val="2"/>
            <w:shd w:val="clear" w:color="auto" w:fill="CCFFCC"/>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3"/>
              </w:rPr>
              <w:t>25,079,096</w:t>
            </w:r>
          </w:p>
        </w:tc>
        <w:tc>
          <w:tcPr>
            <w:tcW w:w="1380" w:type="dxa"/>
            <w:vAlign w:val="bottom"/>
            <w:tcBorders>
              <w:left w:val="single" w:sz="8" w:color="CCFFCC"/>
            </w:tcBorders>
          </w:tcPr>
          <w:p>
            <w:pPr>
              <w:spacing w:after="0"/>
              <w:rPr>
                <w:sz w:val="15"/>
                <w:szCs w:val="15"/>
                <w:color w:val="auto"/>
              </w:rPr>
            </w:pPr>
          </w:p>
        </w:tc>
        <w:tc>
          <w:tcPr>
            <w:tcW w:w="1100" w:type="dxa"/>
            <w:vAlign w:val="bottom"/>
          </w:tcPr>
          <w:p>
            <w:pPr>
              <w:spacing w:after="0"/>
              <w:rPr>
                <w:sz w:val="15"/>
                <w:szCs w:val="15"/>
                <w:color w:val="auto"/>
              </w:rPr>
            </w:pPr>
          </w:p>
        </w:tc>
      </w:tr>
      <w:tr>
        <w:trPr>
          <w:trHeight w:val="253"/>
        </w:trPr>
        <w:tc>
          <w:tcPr>
            <w:tcW w:w="120" w:type="dxa"/>
            <w:vAlign w:val="bottom"/>
          </w:tcPr>
          <w:p>
            <w:pPr>
              <w:spacing w:after="0"/>
              <w:rPr>
                <w:sz w:val="21"/>
                <w:szCs w:val="21"/>
                <w:color w:val="auto"/>
              </w:rPr>
            </w:pPr>
          </w:p>
        </w:tc>
        <w:tc>
          <w:tcPr>
            <w:tcW w:w="35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and diluted net loss per common share</w:t>
            </w:r>
          </w:p>
        </w:tc>
        <w:tc>
          <w:tcPr>
            <w:tcW w:w="9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left w:val="single" w:sz="8" w:color="CCFFCC"/>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right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1380" w:type="dxa"/>
            <w:vAlign w:val="bottom"/>
            <w:tcBorders>
              <w:left w:val="single" w:sz="8" w:color="CCFFCC"/>
            </w:tcBorders>
          </w:tcPr>
          <w:p>
            <w:pPr>
              <w:spacing w:after="0"/>
              <w:rPr>
                <w:sz w:val="21"/>
                <w:szCs w:val="21"/>
                <w:color w:val="auto"/>
              </w:rPr>
            </w:pPr>
          </w:p>
        </w:tc>
        <w:tc>
          <w:tcPr>
            <w:tcW w:w="1100" w:type="dxa"/>
            <w:vAlign w:val="bottom"/>
          </w:tcPr>
          <w:p>
            <w:pPr>
              <w:spacing w:after="0"/>
              <w:rPr>
                <w:sz w:val="21"/>
                <w:szCs w:val="2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38" w:name="page39"/>
    <w:bookmarkEnd w:id="38"/>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5725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7545" cy="5725795"/>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380" w:right="1239" w:hanging="250"/>
        <w:spacing w:after="0" w:line="26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39"/>
        </w:trPr>
        <w:tc>
          <w:tcPr>
            <w:tcW w:w="360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Gross carrying amount</w:t>
            </w:r>
          </w:p>
        </w:tc>
        <w:tc>
          <w:tcPr>
            <w:tcW w:w="1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Life</w:t>
            </w:r>
          </w:p>
        </w:tc>
        <w:tc>
          <w:tcPr>
            <w:tcW w:w="140" w:type="dxa"/>
            <w:vAlign w:val="bottom"/>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Period from June 8,</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2011 through</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183"/>
        </w:trPr>
        <w:tc>
          <w:tcPr>
            <w:tcW w:w="36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50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7"/>
                <w:szCs w:val="17"/>
                <w:color w:val="auto"/>
              </w:rPr>
              <w:t>10,906</w:t>
            </w:r>
          </w:p>
        </w:tc>
        <w:tc>
          <w:tcPr>
            <w:tcW w:w="760" w:type="dxa"/>
            <w:vAlign w:val="bottom"/>
            <w:tcBorders>
              <w:bottom w:val="single" w:sz="8" w:color="CCFFCC"/>
            </w:tcBorders>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FFCC"/>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1,026</w:t>
            </w:r>
          </w:p>
        </w:tc>
        <w:tc>
          <w:tcPr>
            <w:tcW w:w="2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1,026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6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  Amortization and depreciation, startup and capital acquisition costs, were reclassified into general and administrative:</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Period from June 8, 2011</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through December 31, 2011</w:t>
            </w:r>
          </w:p>
        </w:tc>
      </w:tr>
      <w:tr>
        <w:trPr>
          <w:trHeight w:val="181"/>
        </w:trPr>
        <w:tc>
          <w:tcPr>
            <w:tcW w:w="53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80" w:type="dxa"/>
            <w:vAlign w:val="bottom"/>
          </w:tcPr>
          <w:p>
            <w:pPr>
              <w:jc w:val="right"/>
              <w:spacing w:after="0"/>
              <w:rPr>
                <w:sz w:val="20"/>
                <w:szCs w:val="20"/>
                <w:color w:val="auto"/>
              </w:rPr>
            </w:pPr>
            <w:r>
              <w:rPr>
                <w:rFonts w:ascii="Arial" w:cs="Arial" w:eastAsia="Arial" w:hAnsi="Arial"/>
                <w:sz w:val="17"/>
                <w:szCs w:val="17"/>
                <w:color w:val="auto"/>
              </w:rPr>
              <w:t>1,431</w:t>
            </w:r>
          </w:p>
        </w:tc>
        <w:tc>
          <w:tcPr>
            <w:tcW w:w="340" w:type="dxa"/>
            <w:vAlign w:val="bottom"/>
          </w:tcPr>
          <w:p>
            <w:pPr>
              <w:spacing w:after="0"/>
              <w:rPr>
                <w:sz w:val="18"/>
                <w:szCs w:val="18"/>
                <w:color w:val="auto"/>
              </w:rPr>
            </w:pPr>
          </w:p>
        </w:tc>
      </w:tr>
      <w:tr>
        <w:trPr>
          <w:trHeight w:val="201"/>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Compensation</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(997)</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Amortization and depreciation</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r>
      <w:tr>
        <w:trPr>
          <w:trHeight w:val="200"/>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(106)</w:t>
            </w:r>
          </w:p>
        </w:tc>
      </w:tr>
      <w:tr>
        <w:trPr>
          <w:trHeight w:val="20"/>
        </w:trPr>
        <w:tc>
          <w:tcPr>
            <w:tcW w:w="53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193"/>
        </w:trPr>
        <w:tc>
          <w:tcPr>
            <w:tcW w:w="5320" w:type="dxa"/>
            <w:vAlign w:val="bottom"/>
          </w:tcPr>
          <w:p>
            <w:pPr>
              <w:spacing w:after="0"/>
              <w:rPr>
                <w:sz w:val="16"/>
                <w:szCs w:val="16"/>
                <w:color w:val="auto"/>
              </w:rPr>
            </w:pPr>
          </w:p>
        </w:tc>
        <w:tc>
          <w:tcPr>
            <w:tcW w:w="1620" w:type="dxa"/>
            <w:vAlign w:val="bottom"/>
            <w:gridSpan w:val="2"/>
          </w:tcPr>
          <w:p>
            <w:pPr>
              <w:jc w:val="right"/>
              <w:ind w:right="340"/>
              <w:spacing w:after="0" w:line="193" w:lineRule="exact"/>
              <w:rPr>
                <w:sz w:val="20"/>
                <w:szCs w:val="20"/>
                <w:color w:val="auto"/>
              </w:rPr>
            </w:pPr>
            <w:r>
              <w:rPr>
                <w:rFonts w:ascii="Arial" w:cs="Arial" w:eastAsia="Arial" w:hAnsi="Arial"/>
                <w:sz w:val="17"/>
                <w:szCs w:val="17"/>
                <w:color w:val="auto"/>
              </w:rPr>
              <w:t>—</w:t>
            </w:r>
          </w:p>
        </w:tc>
      </w:tr>
      <w:tr>
        <w:trPr>
          <w:trHeight w:val="20"/>
        </w:trPr>
        <w:tc>
          <w:tcPr>
            <w:tcW w:w="5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380" w:right="1239" w:hanging="250"/>
        <w:spacing w:after="0" w:line="285"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940" w:type="dxa"/>
            <w:vAlign w:val="bottom"/>
            <w:gridSpan w:val="3"/>
          </w:tcPr>
          <w:p>
            <w:pPr>
              <w:jc w:val="center"/>
              <w:ind w:right="1320"/>
              <w:spacing w:after="0" w:line="142" w:lineRule="exact"/>
              <w:rPr>
                <w:sz w:val="20"/>
                <w:szCs w:val="20"/>
                <w:color w:val="auto"/>
              </w:rPr>
            </w:pPr>
            <w:r>
              <w:rPr>
                <w:rFonts w:ascii="Arial" w:cs="Arial" w:eastAsia="Arial" w:hAnsi="Arial"/>
                <w:sz w:val="13"/>
                <w:szCs w:val="13"/>
                <w:b w:val="1"/>
                <w:bCs w:val="1"/>
                <w:color w:val="auto"/>
                <w:w w:val="92"/>
              </w:rPr>
              <w:t>Period from June 8, 2011</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1"/>
              </w:rPr>
              <w:t>through December 31, 2011</w:t>
            </w: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940" w:type="dxa"/>
            <w:vAlign w:val="bottom"/>
            <w:gridSpan w:val="3"/>
          </w:tcPr>
          <w:p>
            <w:pPr>
              <w:jc w:val="center"/>
              <w:ind w:right="1320"/>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6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Numerator:</w:t>
            </w:r>
          </w:p>
        </w:tc>
        <w:tc>
          <w:tcPr>
            <w:tcW w:w="2940" w:type="dxa"/>
            <w:vAlign w:val="bottom"/>
            <w:gridSpan w:val="3"/>
          </w:tcPr>
          <w:p>
            <w:pPr>
              <w:jc w:val="center"/>
              <w:ind w:right="1320"/>
              <w:spacing w:after="0"/>
              <w:rPr>
                <w:sz w:val="20"/>
                <w:szCs w:val="20"/>
                <w:color w:val="auto"/>
              </w:rPr>
            </w:pPr>
            <w:r>
              <w:rPr>
                <w:rFonts w:ascii="Arial" w:cs="Arial" w:eastAsia="Arial" w:hAnsi="Arial"/>
                <w:sz w:val="13"/>
                <w:szCs w:val="13"/>
                <w:b w:val="1"/>
                <w:bCs w:val="1"/>
                <w:color w:val="auto"/>
                <w:w w:val="92"/>
              </w:rPr>
              <w:t>share and per share data)</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(8,679)</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6,965,927</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000" w:type="dxa"/>
            <w:vAlign w:val="bottom"/>
            <w:gridSpan w:val="2"/>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60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25,079,096</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486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6000" w:type="dxa"/>
            <w:vAlign w:val="bottom"/>
            <w:gridSpan w:val="2"/>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(0.35)</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6120" w:type="dxa"/>
            <w:vAlign w:val="bottom"/>
            <w:gridSpan w:val="3"/>
          </w:tcPr>
          <w:p>
            <w:pPr>
              <w:jc w:val="right"/>
              <w:ind w:right="1600"/>
              <w:spacing w:after="0"/>
              <w:rPr>
                <w:sz w:val="20"/>
                <w:szCs w:val="20"/>
                <w:color w:val="auto"/>
              </w:rPr>
            </w:pPr>
            <w:r>
              <w:rPr>
                <w:rFonts w:ascii="Arial" w:cs="Arial" w:eastAsia="Arial" w:hAnsi="Arial"/>
                <w:sz w:val="17"/>
                <w:szCs w:val="17"/>
                <w:color w:val="auto"/>
              </w:rPr>
              <w:t>29</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39" w:name="page40"/>
    <w:bookmarkEnd w:id="39"/>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3966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7545" cy="3966845"/>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Unaudited Pro Forma Consolidated Statement of Operations, for the three month period ended March 31, 2012: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00" w:type="dxa"/>
            <w:vAlign w:val="bottom"/>
          </w:tcPr>
          <w:p>
            <w:pPr>
              <w:spacing w:after="0"/>
              <w:rPr>
                <w:sz w:val="12"/>
                <w:szCs w:val="12"/>
                <w:color w:val="auto"/>
              </w:rPr>
            </w:pPr>
          </w:p>
        </w:tc>
        <w:tc>
          <w:tcPr>
            <w:tcW w:w="800" w:type="dxa"/>
            <w:vAlign w:val="bottom"/>
          </w:tcPr>
          <w:p>
            <w:pPr>
              <w:ind w:left="24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40" w:type="dxa"/>
            <w:vAlign w:val="bottom"/>
          </w:tcPr>
          <w:p>
            <w:pPr>
              <w:spacing w:after="0"/>
              <w:rPr>
                <w:sz w:val="12"/>
                <w:szCs w:val="12"/>
                <w:color w:val="auto"/>
              </w:rPr>
            </w:pPr>
          </w:p>
        </w:tc>
        <w:tc>
          <w:tcPr>
            <w:tcW w:w="5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Notes</w:t>
            </w:r>
          </w:p>
        </w:tc>
        <w:tc>
          <w:tcPr>
            <w:tcW w:w="2040" w:type="dxa"/>
            <w:vAlign w:val="bottom"/>
            <w:gridSpan w:val="2"/>
          </w:tcPr>
          <w:p>
            <w:pPr>
              <w:jc w:val="center"/>
              <w:ind w:right="1180"/>
              <w:spacing w:after="0" w:line="148" w:lineRule="exact"/>
              <w:rPr>
                <w:sz w:val="20"/>
                <w:szCs w:val="20"/>
                <w:color w:val="auto"/>
              </w:rPr>
            </w:pPr>
            <w:r>
              <w:rPr>
                <w:rFonts w:ascii="Arial" w:cs="Arial" w:eastAsia="Arial" w:hAnsi="Arial"/>
                <w:sz w:val="13"/>
                <w:szCs w:val="13"/>
                <w:b w:val="1"/>
                <w:bCs w:val="1"/>
                <w:color w:val="auto"/>
                <w:w w:val="95"/>
              </w:rPr>
              <w:t>Pro Forma</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80" w:type="dxa"/>
            <w:vAlign w:val="bottom"/>
            <w:gridSpan w:val="10"/>
          </w:tcPr>
          <w:p>
            <w:pPr>
              <w:ind w:left="56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110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454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485</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378</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(378)</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(156)</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759</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162</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1,460</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534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2,156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5,084</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88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(4,978)</w:t>
            </w:r>
          </w:p>
        </w:tc>
        <w:tc>
          <w:tcPr>
            <w:tcW w:w="124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(411)</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240" w:type="dxa"/>
            <w:vAlign w:val="bottom"/>
            <w:tcBorders>
              <w:left w:val="single" w:sz="8" w:color="CCFFCC"/>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(7,950)</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240" w:type="dxa"/>
            <w:vAlign w:val="bottom"/>
            <w:tcBorders>
              <w:left w:val="single" w:sz="8" w:color="CCFFCC"/>
            </w:tcBorders>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120" w:type="dxa"/>
            <w:vAlign w:val="bottom"/>
          </w:tcPr>
          <w:p>
            <w:pPr>
              <w:spacing w:after="0"/>
              <w:rPr>
                <w:sz w:val="16"/>
                <w:szCs w:val="16"/>
                <w:color w:val="auto"/>
              </w:rPr>
            </w:pPr>
          </w:p>
        </w:tc>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(7,970)</w:t>
            </w: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00" w:type="dxa"/>
            <w:vAlign w:val="bottom"/>
            <w:tcBorders>
              <w:left w:val="single" w:sz="8" w:color="CCFFCC"/>
            </w:tcBorders>
            <w:shd w:val="clear" w:color="auto" w:fill="CCFFCC"/>
          </w:tcPr>
          <w:p>
            <w:pPr>
              <w:spacing w:after="0"/>
              <w:rPr>
                <w:sz w:val="18"/>
                <w:szCs w:val="18"/>
                <w:color w:val="auto"/>
              </w:rPr>
            </w:pP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0" w:type="dxa"/>
            <w:vAlign w:val="bottom"/>
            <w:tcBorders>
              <w:lef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2"/>
            <w:shd w:val="clear" w:color="auto" w:fill="CCFFCC"/>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(0.26)</w:t>
            </w:r>
          </w:p>
        </w:tc>
        <w:tc>
          <w:tcPr>
            <w:tcW w:w="1240" w:type="dxa"/>
            <w:vAlign w:val="bottom"/>
            <w:tcBorders>
              <w:left w:val="single" w:sz="8" w:color="CCFFCC"/>
            </w:tcBorders>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left w:val="single" w:sz="8" w:color="CCFFCC"/>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8"/>
        </w:trPr>
        <w:tc>
          <w:tcPr>
            <w:tcW w:w="120" w:type="dxa"/>
            <w:vAlign w:val="bottom"/>
          </w:tcPr>
          <w:p>
            <w:pPr>
              <w:spacing w:after="0"/>
              <w:rPr>
                <w:sz w:val="15"/>
                <w:szCs w:val="15"/>
                <w:color w:val="auto"/>
              </w:rPr>
            </w:pPr>
          </w:p>
        </w:tc>
        <w:tc>
          <w:tcPr>
            <w:tcW w:w="3660" w:type="dxa"/>
            <w:vAlign w:val="bottom"/>
            <w:gridSpan w:val="2"/>
          </w:tcPr>
          <w:p>
            <w:pPr>
              <w:spacing w:after="0" w:line="178" w:lineRule="exact"/>
              <w:rPr>
                <w:sz w:val="20"/>
                <w:szCs w:val="20"/>
                <w:color w:val="auto"/>
              </w:rPr>
            </w:pPr>
            <w:r>
              <w:rPr>
                <w:rFonts w:ascii="Arial" w:cs="Arial" w:eastAsia="Arial" w:hAnsi="Arial"/>
                <w:sz w:val="17"/>
                <w:szCs w:val="17"/>
                <w:color w:val="auto"/>
                <w:w w:val="87"/>
              </w:rPr>
              <w:t>Weighted average shares used in computing basic and</w:t>
            </w:r>
          </w:p>
        </w:tc>
        <w:tc>
          <w:tcPr>
            <w:tcW w:w="9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rPr>
              <w:t>4,635,117</w:t>
            </w:r>
          </w:p>
        </w:tc>
        <w:tc>
          <w:tcPr>
            <w:tcW w:w="10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3"/>
              </w:rPr>
              <w:t>12,371,472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1"/>
              </w:rPr>
              <w:t>30,484,641</w:t>
            </w: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3"/>
        </w:trPr>
        <w:tc>
          <w:tcPr>
            <w:tcW w:w="1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7"/>
                <w:szCs w:val="17"/>
                <w:color w:val="auto"/>
              </w:rPr>
              <w:t>diluted net loss per common share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ind w:left="58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7563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7545" cy="7563485"/>
                    </a:xfrm>
                    <a:prstGeom prst="rect">
                      <a:avLst/>
                    </a:prstGeom>
                    <a:noFill/>
                  </pic:spPr>
                </pic:pic>
              </a:graphicData>
            </a:graphic>
          </wp:anchor>
        </w:drawing>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Balance Sheets, as of March 31, 2012: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Historical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Vringo</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2"/>
                <w:szCs w:val="12"/>
                <w:color w:val="auto"/>
              </w:rPr>
            </w:pPr>
          </w:p>
        </w:tc>
        <w:tc>
          <w:tcPr>
            <w:tcW w:w="50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Notes</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58"/>
        </w:trPr>
        <w:tc>
          <w:tcPr>
            <w:tcW w:w="9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94"/>
              </w:rPr>
              <w:t>consolidated</w:t>
            </w:r>
          </w:p>
        </w:tc>
      </w:tr>
      <w:tr>
        <w:trPr>
          <w:trHeight w:val="188"/>
        </w:trPr>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 —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3,980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3,630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7,610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receivable</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152</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144</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184</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4,020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3,926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7,946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8</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145</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2,912</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10,906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10,906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Goodwill</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56,335</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56,335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60" w:type="dxa"/>
            <w:vAlign w:val="bottom"/>
            <w:shd w:val="clear" w:color="auto" w:fill="CCFFCC"/>
          </w:tcPr>
          <w:p>
            <w:pPr>
              <w:spacing w:after="0"/>
              <w:rPr>
                <w:sz w:val="16"/>
                <w:szCs w:val="16"/>
                <w:color w:val="auto"/>
              </w:rPr>
            </w:pP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Deferred tax liabilities, net – short-term</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payable and accrued expenses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525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1,994</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Accrued severance pay</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233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233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Accrued employee compensation</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341</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698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portion, note payable – related party</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1,210</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852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4,928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Long-term liabilities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Note payable – related party</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1,200</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Derivative liabilities on account of warrants</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1,836</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21,733</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25,839</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(1,836)</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1,836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24,003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27,039</w:t>
            </w: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5"/>
              </w:rPr>
              <w:t>Preferred stock, Series A Convertible, $0.0001 par</w:t>
            </w:r>
          </w:p>
        </w:tc>
        <w:tc>
          <w:tcPr>
            <w:tcW w:w="86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6,968 authorized and issued and 6,818</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 (deficit)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Preferred stock, Series A Convertible, $0.01 par</w:t>
            </w:r>
          </w:p>
        </w:tc>
        <w:tc>
          <w:tcPr>
            <w:tcW w:w="1000" w:type="dxa"/>
            <w:vAlign w:val="bottom"/>
            <w:tcBorders>
              <w:right w:val="single" w:sz="8" w:color="CCFFCC"/>
            </w:tcBorders>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per share; 6,818 authorized, issued and</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88"/>
        </w:trPr>
        <w:tc>
          <w:tcPr>
            <w:tcW w:w="3660" w:type="dxa"/>
            <w:vAlign w:val="bottom"/>
            <w:gridSpan w:val="2"/>
          </w:tcPr>
          <w:p>
            <w:pPr>
              <w:spacing w:after="0" w:line="188" w:lineRule="exact"/>
              <w:rPr>
                <w:sz w:val="20"/>
                <w:szCs w:val="20"/>
                <w:color w:val="auto"/>
              </w:rPr>
            </w:pPr>
            <w:r>
              <w:rPr>
                <w:rFonts w:ascii="Arial" w:cs="Arial" w:eastAsia="Arial" w:hAnsi="Arial"/>
                <w:sz w:val="17"/>
                <w:szCs w:val="17"/>
                <w:color w:val="auto"/>
              </w:rPr>
              <w:t>Common stock, $0.01 par value per share,</w:t>
            </w:r>
          </w:p>
        </w:tc>
        <w:tc>
          <w:tcPr>
            <w:tcW w:w="86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139</w:t>
            </w:r>
          </w:p>
        </w:tc>
        <w:tc>
          <w:tcPr>
            <w:tcW w:w="70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620" w:type="dxa"/>
            <w:vAlign w:val="bottom"/>
            <w:gridSpan w:val="2"/>
          </w:tcPr>
          <w:p>
            <w:pPr>
              <w:jc w:val="right"/>
              <w:ind w:right="53"/>
              <w:spacing w:after="0" w:line="188" w:lineRule="exact"/>
              <w:rPr>
                <w:sz w:val="20"/>
                <w:szCs w:val="20"/>
                <w:color w:val="auto"/>
              </w:rPr>
            </w:pPr>
            <w:r>
              <w:rPr>
                <w:rFonts w:ascii="Arial" w:cs="Arial" w:eastAsia="Arial" w:hAnsi="Arial"/>
                <w:sz w:val="17"/>
                <w:szCs w:val="17"/>
                <w:color w:val="auto"/>
              </w:rPr>
              <w:t>7</w:t>
            </w:r>
          </w:p>
        </w:tc>
        <w:tc>
          <w:tcPr>
            <w:tcW w:w="82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320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w w:val="93"/>
              </w:rPr>
              <w:t>150,000,000** authorized, 31,979,592 issued and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181</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5,742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44,072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(15,237)</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51,443</w:t>
            </w: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6,734</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10,132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Accumulated deficit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(4,626)</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(43,190)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(5,478)</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43,190</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1,117</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1,021</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44,147</w:t>
            </w: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46,285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900" w:type="dxa"/>
            <w:vAlign w:val="bottom"/>
            <w:tcBorders>
              <w:bottom w:val="single" w:sz="8" w:color="auto"/>
            </w:tcBorders>
          </w:tcPr>
          <w:p>
            <w:pPr>
              <w:spacing w:after="0"/>
              <w:rPr>
                <w:sz w:val="21"/>
                <w:szCs w:val="21"/>
                <w:color w:val="auto"/>
              </w:rPr>
            </w:pPr>
          </w:p>
        </w:tc>
        <w:tc>
          <w:tcPr>
            <w:tcW w:w="2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45" w:lineRule="exact"/>
        <w:rPr>
          <w:sz w:val="20"/>
          <w:szCs w:val="20"/>
          <w:color w:val="auto"/>
        </w:rPr>
      </w:pPr>
    </w:p>
    <w:p>
      <w:pPr>
        <w:ind w:left="260" w:hanging="250"/>
        <w:spacing w:after="0"/>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Refer to preliminary Purchase Price Allocation table on page </w:t>
      </w:r>
      <w:r>
        <w:rPr>
          <w:rFonts w:ascii="Arial" w:cs="Arial" w:eastAsia="Arial" w:hAnsi="Arial"/>
          <w:sz w:val="13"/>
          <w:szCs w:val="13"/>
          <w:u w:val="single" w:color="auto"/>
          <w:color w:val="0000EE"/>
        </w:rPr>
        <w:t>189</w:t>
      </w:r>
      <w:r>
        <w:rPr>
          <w:rFonts w:ascii="Arial" w:cs="Arial" w:eastAsia="Arial" w:hAnsi="Arial"/>
          <w:sz w:val="13"/>
          <w:szCs w:val="13"/>
          <w:color w:val="auto"/>
        </w:rPr>
        <w:t>.</w:t>
      </w:r>
    </w:p>
    <w:p>
      <w:pPr>
        <w:spacing w:after="0" w:line="114" w:lineRule="exact"/>
        <w:rPr>
          <w:sz w:val="20"/>
          <w:szCs w:val="20"/>
          <w:color w:val="auto"/>
        </w:rPr>
      </w:pPr>
    </w:p>
    <w:p>
      <w:pPr>
        <w:ind w:left="260" w:right="1239" w:hanging="250"/>
        <w:spacing w:after="0" w:line="296"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26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 w:name="page42"/>
    <w:bookmarkEnd w:id="41"/>
    <w:p>
      <w:pPr>
        <w:ind w:left="120"/>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107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7545" cy="6107430"/>
                    </a:xfrm>
                    <a:prstGeom prst="rect">
                      <a:avLst/>
                    </a:prstGeom>
                    <a:noFill/>
                  </pic:spPr>
                </pic:pic>
              </a:graphicData>
            </a:graphic>
          </wp:anchor>
        </w:drawing>
        <w:t>TABLE OF CONTENTS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380" w:right="1239" w:hanging="250"/>
        <w:spacing w:after="0" w:line="264" w:lineRule="auto"/>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3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w w:val="93"/>
              </w:rPr>
              <w:t>Gross carrying 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17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83"/>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60" w:type="dxa"/>
            <w:vAlign w:val="bottom"/>
          </w:tcPr>
          <w:p>
            <w:pPr>
              <w:spacing w:after="0"/>
              <w:rPr>
                <w:sz w:val="15"/>
                <w:szCs w:val="15"/>
                <w:color w:val="auto"/>
              </w:rPr>
            </w:pPr>
          </w:p>
        </w:tc>
        <w:tc>
          <w:tcPr>
            <w:tcW w:w="1440" w:type="dxa"/>
            <w:vAlign w:val="bottom"/>
            <w:gridSpan w:val="3"/>
          </w:tcPr>
          <w:p>
            <w:pPr>
              <w:ind w:left="200"/>
              <w:spacing w:after="0"/>
              <w:rPr>
                <w:sz w:val="20"/>
                <w:szCs w:val="20"/>
                <w:color w:val="auto"/>
              </w:rPr>
            </w:pPr>
            <w:r>
              <w:rPr>
                <w:rFonts w:ascii="Arial" w:cs="Arial" w:eastAsia="Arial" w:hAnsi="Arial"/>
                <w:sz w:val="13"/>
                <w:szCs w:val="13"/>
                <w:b w:val="1"/>
                <w:bCs w:val="1"/>
                <w:color w:val="auto"/>
              </w:rPr>
              <w:t>($ — 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16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gridSpan w:val="2"/>
            <w:shd w:val="clear" w:color="auto" w:fill="CCFFCC"/>
          </w:tcPr>
          <w:p>
            <w:pPr>
              <w:jc w:val="right"/>
              <w:ind w:right="17"/>
              <w:spacing w:after="0"/>
              <w:rPr>
                <w:sz w:val="20"/>
                <w:szCs w:val="20"/>
                <w:color w:val="auto"/>
              </w:rPr>
            </w:pPr>
            <w:r>
              <w:rPr>
                <w:rFonts w:ascii="Arial" w:cs="Arial" w:eastAsia="Arial" w:hAnsi="Arial"/>
                <w:sz w:val="17"/>
                <w:szCs w:val="17"/>
                <w:color w:val="auto"/>
              </w:rPr>
              <w:t>10,906</w:t>
            </w:r>
          </w:p>
        </w:tc>
        <w:tc>
          <w:tcPr>
            <w:tcW w:w="800" w:type="dxa"/>
            <w:vAlign w:val="bottom"/>
            <w:tcBorders>
              <w:bottom w:val="single" w:sz="8" w:color="CCFFCC"/>
            </w:tcBorders>
            <w:gridSpan w:val="3"/>
            <w:shd w:val="clear" w:color="auto" w:fill="CCFFCC"/>
          </w:tcPr>
          <w:p>
            <w:pPr>
              <w:jc w:val="right"/>
              <w:ind w:right="113"/>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454</w:t>
            </w:r>
          </w:p>
        </w:tc>
        <w:tc>
          <w:tcPr>
            <w:tcW w:w="3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92"/>
              </w:rPr>
              <w:t>Gross carrying</w:t>
            </w:r>
          </w:p>
        </w:tc>
        <w:tc>
          <w:tcPr>
            <w:tcW w:w="160" w:type="dxa"/>
            <w:vAlign w:val="bottom"/>
          </w:tcPr>
          <w:p>
            <w:pPr>
              <w:spacing w:after="0"/>
              <w:rPr>
                <w:sz w:val="12"/>
                <w:szCs w:val="12"/>
                <w:color w:val="auto"/>
              </w:rPr>
            </w:pPr>
          </w:p>
        </w:tc>
        <w:tc>
          <w:tcPr>
            <w:tcW w:w="3260" w:type="dxa"/>
            <w:vAlign w:val="bottom"/>
            <w:gridSpan w:val="7"/>
          </w:tcPr>
          <w:p>
            <w:pPr>
              <w:ind w:left="280"/>
              <w:spacing w:after="0" w:line="148" w:lineRule="exact"/>
              <w:rPr>
                <w:sz w:val="20"/>
                <w:szCs w:val="20"/>
                <w:color w:val="auto"/>
              </w:rPr>
            </w:pPr>
            <w:r>
              <w:rPr>
                <w:rFonts w:ascii="Arial" w:cs="Arial" w:eastAsia="Arial" w:hAnsi="Arial"/>
                <w:sz w:val="13"/>
                <w:szCs w:val="13"/>
                <w:b w:val="1"/>
                <w:bCs w:val="1"/>
                <w:color w:val="auto"/>
              </w:rPr>
              <w:t>Amortization of intangible assets and liabilities</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gridSpan w:val="6"/>
          </w:tcPr>
          <w:p>
            <w:pPr>
              <w:jc w:val="center"/>
              <w:ind w:right="1600"/>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Goodwill</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56,335</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8"/>
              </w:rPr>
              <w:t>Goodwill is reviewed for impairment at least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annually in accordance with the provisions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ACS 350 “Intangibles, Goodwill and Other”</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8"/>
              </w:rPr>
              <w:t>Fair value of vested stock options granted to</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6,734</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(which also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employees, management and consultants,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reflects the impact of partial acceleration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7"/>
              </w:rPr>
              <w:t>classified as equity in these consolidated pro</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vesting of outstanding options granted to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forma financial 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employees, management and consultants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3"/>
              </w:rPr>
              <w:t>Vringo triggered directly by the Merger)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1"/>
              </w:rPr>
              <w:t>adjusted for options exercised. This adjustment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will be recorded as internal reclassification in</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additional paid-in capital.</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4,106</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4"/>
              </w:rPr>
              <w:t>Vringo prior to the Merger, classified as a long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classified as a derivative liability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term derivative liability, as these warrants bear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adjusted at the end of each reporting period.</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certain down-round protection clauses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10,132</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Vringo prior to the Merger, classified as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0"/>
              </w:rPr>
              <w:t>classified as equity will be adjusted for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in these consolidated pro forma financial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2"/>
              </w:rPr>
              <w:t>exercised. This adjustment will be recorded as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internal reclassification in additional paid-in</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6"/>
              </w:rPr>
              <w:t>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6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  Amortization and depreciation and capital acquisition costs, were reclassified into general and administrative: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2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Three month period ended</w:t>
            </w:r>
          </w:p>
        </w:tc>
        <w:tc>
          <w:tcPr>
            <w:tcW w:w="1100" w:type="dxa"/>
            <w:vAlign w:val="bottom"/>
          </w:tcPr>
          <w:p>
            <w:pPr>
              <w:spacing w:after="0"/>
              <w:rPr>
                <w:sz w:val="12"/>
                <w:szCs w:val="12"/>
                <w:color w:val="auto"/>
              </w:rPr>
            </w:pPr>
          </w:p>
        </w:tc>
      </w:tr>
      <w:tr>
        <w:trPr>
          <w:trHeight w:val="158"/>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20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1"/>
        </w:trPr>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620" w:type="dxa"/>
            <w:vAlign w:val="bottom"/>
            <w:gridSpan w:val="3"/>
          </w:tcPr>
          <w:p>
            <w:pPr>
              <w:jc w:val="center"/>
              <w:ind w:right="1980"/>
              <w:spacing w:after="0"/>
              <w:rPr>
                <w:sz w:val="20"/>
                <w:szCs w:val="20"/>
                <w:color w:val="auto"/>
              </w:rPr>
            </w:pPr>
            <w:r>
              <w:rPr>
                <w:rFonts w:ascii="Arial" w:cs="Arial" w:eastAsia="Arial" w:hAnsi="Arial"/>
                <w:sz w:val="13"/>
                <w:szCs w:val="13"/>
                <w:b w:val="1"/>
                <w:bCs w:val="1"/>
                <w:color w:val="auto"/>
                <w:w w:val="92"/>
              </w:rPr>
              <w:t>($ — in thousands)</w:t>
            </w:r>
          </w:p>
        </w:tc>
        <w:tc>
          <w:tcPr>
            <w:tcW w:w="1100" w:type="dxa"/>
            <w:vAlign w:val="bottom"/>
          </w:tcPr>
          <w:p>
            <w:pPr>
              <w:spacing w:after="0"/>
              <w:rPr>
                <w:sz w:val="15"/>
                <w:szCs w:val="15"/>
                <w:color w:val="auto"/>
              </w:rPr>
            </w:pPr>
          </w:p>
        </w:tc>
      </w:tr>
      <w:tr>
        <w:trPr>
          <w:trHeight w:val="213"/>
        </w:trPr>
        <w:tc>
          <w:tcPr>
            <w:tcW w:w="1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3800" w:type="dxa"/>
            <w:vAlign w:val="bottom"/>
            <w:gridSpan w:val="3"/>
          </w:tcPr>
          <w:p>
            <w:pPr>
              <w:jc w:val="right"/>
              <w:ind w:right="380"/>
              <w:spacing w:after="0"/>
              <w:rPr>
                <w:sz w:val="20"/>
                <w:szCs w:val="20"/>
                <w:color w:val="auto"/>
              </w:rPr>
            </w:pPr>
            <w:r>
              <w:rPr>
                <w:rFonts w:ascii="Arial" w:cs="Arial" w:eastAsia="Arial" w:hAnsi="Arial"/>
                <w:sz w:val="17"/>
                <w:szCs w:val="17"/>
                <w:color w:val="auto"/>
              </w:rPr>
              <w:t>534</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1"/>
        </w:trPr>
        <w:tc>
          <w:tcPr>
            <w:tcW w:w="120" w:type="dxa"/>
            <w:vAlign w:val="bottom"/>
          </w:tcPr>
          <w:p>
            <w:pPr>
              <w:spacing w:after="0"/>
              <w:rPr>
                <w:sz w:val="17"/>
                <w:szCs w:val="17"/>
                <w:color w:val="auto"/>
              </w:rPr>
            </w:pPr>
          </w:p>
        </w:tc>
        <w:tc>
          <w:tcPr>
            <w:tcW w:w="31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380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(378)</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3800" w:type="dxa"/>
            <w:vAlign w:val="bottom"/>
            <w:gridSpan w:val="3"/>
          </w:tcPr>
          <w:p>
            <w:pPr>
              <w:jc w:val="right"/>
              <w:ind w:right="340"/>
              <w:spacing w:after="0"/>
              <w:rPr>
                <w:sz w:val="20"/>
                <w:szCs w:val="20"/>
                <w:color w:val="auto"/>
              </w:rPr>
            </w:pPr>
            <w:r>
              <w:rPr>
                <w:rFonts w:ascii="Arial" w:cs="Arial" w:eastAsia="Arial" w:hAnsi="Arial"/>
                <w:sz w:val="17"/>
                <w:szCs w:val="17"/>
                <w:color w:val="auto"/>
              </w:rPr>
              <w:t>(156)</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120" w:type="dxa"/>
            <w:vAlign w:val="bottom"/>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0" w:type="dxa"/>
            <w:vAlign w:val="bottom"/>
            <w:shd w:val="clear" w:color="auto" w:fill="CCFFCC"/>
          </w:tcPr>
          <w:p>
            <w:pPr>
              <w:spacing w:after="0"/>
              <w:rPr>
                <w:sz w:val="17"/>
                <w:szCs w:val="17"/>
                <w:color w:val="auto"/>
              </w:rPr>
            </w:pPr>
          </w:p>
        </w:tc>
        <w:tc>
          <w:tcPr>
            <w:tcW w:w="2180" w:type="dxa"/>
            <w:vAlign w:val="bottom"/>
            <w:shd w:val="clear" w:color="auto" w:fill="CCFFCC"/>
          </w:tcPr>
          <w:p>
            <w:pPr>
              <w:spacing w:after="0"/>
              <w:rPr>
                <w:sz w:val="17"/>
                <w:szCs w:val="17"/>
                <w:color w:val="auto"/>
              </w:rPr>
            </w:pPr>
          </w:p>
        </w:tc>
        <w:tc>
          <w:tcPr>
            <w:tcW w:w="1620" w:type="dxa"/>
            <w:vAlign w:val="bottom"/>
            <w:gridSpan w:val="2"/>
            <w:shd w:val="clear" w:color="auto" w:fill="CCFFCC"/>
          </w:tcPr>
          <w:p>
            <w:pPr>
              <w:jc w:val="right"/>
              <w:ind w:right="380"/>
              <w:spacing w:after="0"/>
              <w:rPr>
                <w:sz w:val="20"/>
                <w:szCs w:val="20"/>
                <w:color w:val="auto"/>
              </w:rPr>
            </w:pPr>
            <w:r>
              <w:rPr>
                <w:rFonts w:ascii="Arial" w:cs="Arial" w:eastAsia="Arial" w:hAnsi="Arial"/>
                <w:sz w:val="17"/>
                <w:szCs w:val="17"/>
                <w:color w:val="auto"/>
              </w:rPr>
              <w:t>—</w:t>
            </w: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120" w:type="dxa"/>
            <w:vAlign w:val="bottom"/>
            <w:tcBorders>
              <w:bottom w:val="single" w:sz="8" w:color="auto"/>
            </w:tcBorders>
          </w:tcPr>
          <w:p>
            <w:pPr>
              <w:spacing w:after="0"/>
              <w:rPr>
                <w:sz w:val="17"/>
                <w:szCs w:val="17"/>
                <w:color w:val="auto"/>
              </w:rPr>
            </w:pPr>
          </w:p>
        </w:tc>
        <w:tc>
          <w:tcPr>
            <w:tcW w:w="1140" w:type="dxa"/>
            <w:vAlign w:val="bottom"/>
            <w:tcBorders>
              <w:top w:val="single" w:sz="8" w:color="CCFFCC"/>
              <w:bottom w:val="single" w:sz="8" w:color="auto"/>
            </w:tcBorders>
          </w:tcPr>
          <w:p>
            <w:pPr>
              <w:spacing w:after="0"/>
              <w:rPr>
                <w:sz w:val="17"/>
                <w:szCs w:val="17"/>
                <w:color w:val="auto"/>
              </w:rPr>
            </w:pPr>
          </w:p>
        </w:tc>
        <w:tc>
          <w:tcPr>
            <w:tcW w:w="2000" w:type="dxa"/>
            <w:vAlign w:val="bottom"/>
            <w:tcBorders>
              <w:top w:val="single" w:sz="8" w:color="CCFFCC"/>
              <w:bottom w:val="single" w:sz="8" w:color="auto"/>
            </w:tcBorders>
          </w:tcPr>
          <w:p>
            <w:pPr>
              <w:spacing w:after="0"/>
              <w:rPr>
                <w:sz w:val="17"/>
                <w:szCs w:val="17"/>
                <w:color w:val="auto"/>
              </w:rPr>
            </w:pPr>
          </w:p>
        </w:tc>
        <w:tc>
          <w:tcPr>
            <w:tcW w:w="2180" w:type="dxa"/>
            <w:vAlign w:val="bottom"/>
            <w:tcBorders>
              <w:top w:val="single" w:sz="8" w:color="CCFFCC"/>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CCFFCC"/>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497"/>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80" w:type="dxa"/>
            <w:vAlign w:val="bottom"/>
          </w:tcPr>
          <w:p>
            <w:pPr>
              <w:jc w:val="right"/>
              <w:ind w:right="836"/>
              <w:spacing w:after="0"/>
              <w:rPr>
                <w:sz w:val="20"/>
                <w:szCs w:val="20"/>
                <w:color w:val="auto"/>
              </w:rPr>
            </w:pPr>
            <w:r>
              <w:rPr>
                <w:rFonts w:ascii="Arial" w:cs="Arial" w:eastAsia="Arial" w:hAnsi="Arial"/>
                <w:sz w:val="17"/>
                <w:szCs w:val="17"/>
                <w:color w:val="auto"/>
              </w:rPr>
              <w:t>32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0"/>
        </w:trPr>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21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r>
      <w:tr>
        <w:trPr>
          <w:trHeight w:val="20"/>
        </w:trPr>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6432550</wp:posOffset>
            </wp:positionH>
            <wp:positionV relativeFrom="paragraph">
              <wp:posOffset>-43815</wp:posOffset>
            </wp:positionV>
            <wp:extent cx="33655" cy="57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-43815</wp:posOffset>
            </wp:positionV>
            <wp:extent cx="33655" cy="571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219"/>
          </w:cols>
          <w:pgMar w:left="240" w:top="746" w:right="1440"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60598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7545" cy="6059805"/>
                    </a:xfrm>
                    <a:prstGeom prst="rect">
                      <a:avLst/>
                    </a:prstGeom>
                    <a:noFill/>
                  </pic:spPr>
                </pic:pic>
              </a:graphicData>
            </a:graphic>
          </wp:anchor>
        </w:drawing>
        <w:t>TABLE OF CONTENTS</w:t>
      </w:r>
    </w:p>
    <w:p>
      <w:pPr>
        <w:spacing w:after="0" w:line="184" w:lineRule="exact"/>
        <w:rPr>
          <w:sz w:val="20"/>
          <w:szCs w:val="20"/>
          <w:color w:val="auto"/>
        </w:rPr>
      </w:pPr>
    </w:p>
    <w:p>
      <w:pPr>
        <w:jc w:val="both"/>
        <w:ind w:left="260" w:right="1239" w:hanging="250"/>
        <w:spacing w:after="0" w:line="285" w:lineRule="auto"/>
        <w:tabs>
          <w:tab w:leader="none" w:pos="2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6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0" w:type="dxa"/>
            <w:vAlign w:val="bottom"/>
          </w:tcPr>
          <w:p>
            <w:pPr>
              <w:spacing w:after="0"/>
              <w:rPr>
                <w:sz w:val="1"/>
                <w:szCs w:val="1"/>
                <w:color w:val="auto"/>
              </w:rPr>
            </w:pPr>
          </w:p>
        </w:tc>
      </w:tr>
      <w:tr>
        <w:trPr>
          <w:trHeight w:val="185"/>
        </w:trPr>
        <w:tc>
          <w:tcPr>
            <w:tcW w:w="60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(7,970)</w:t>
            </w:r>
          </w:p>
        </w:tc>
        <w:tc>
          <w:tcPr>
            <w:tcW w:w="0" w:type="dxa"/>
            <w:vAlign w:val="bottom"/>
          </w:tcPr>
          <w:p>
            <w:pPr>
              <w:spacing w:after="0"/>
              <w:rPr>
                <w:sz w:val="1"/>
                <w:szCs w:val="1"/>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12,371,472</w:t>
            </w:r>
          </w:p>
        </w:tc>
        <w:tc>
          <w:tcPr>
            <w:tcW w:w="0" w:type="dxa"/>
            <w:vAlign w:val="bottom"/>
          </w:tcPr>
          <w:p>
            <w:pPr>
              <w:spacing w:after="0"/>
              <w:rPr>
                <w:sz w:val="1"/>
                <w:szCs w:val="1"/>
                <w:color w:val="auto"/>
              </w:rPr>
            </w:pPr>
          </w:p>
        </w:tc>
      </w:tr>
      <w:tr>
        <w:trPr>
          <w:trHeight w:val="188"/>
        </w:trPr>
        <w:tc>
          <w:tcPr>
            <w:tcW w:w="6000" w:type="dxa"/>
            <w:vAlign w:val="bottom"/>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0" w:type="dxa"/>
            <w:vAlign w:val="bottom"/>
          </w:tcPr>
          <w:p>
            <w:pPr>
              <w:spacing w:after="0"/>
              <w:rPr>
                <w:sz w:val="1"/>
                <w:szCs w:val="1"/>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30,484,641</w:t>
            </w:r>
          </w:p>
        </w:tc>
        <w:tc>
          <w:tcPr>
            <w:tcW w:w="0" w:type="dxa"/>
            <w:vAlign w:val="bottom"/>
          </w:tcPr>
          <w:p>
            <w:pPr>
              <w:spacing w:after="0"/>
              <w:rPr>
                <w:sz w:val="1"/>
                <w:szCs w:val="1"/>
                <w:color w:val="auto"/>
              </w:rPr>
            </w:pPr>
          </w:p>
        </w:tc>
      </w:tr>
      <w:tr>
        <w:trPr>
          <w:trHeight w:val="20"/>
        </w:trPr>
        <w:tc>
          <w:tcPr>
            <w:tcW w:w="600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260" w:right="1239" w:hanging="250"/>
        <w:spacing w:after="0" w:line="267" w:lineRule="auto"/>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adjustment represents direct, incremental costs of this Merger, which were not yet reflected in the historical financial statements of either company. These costs include mainly legal, accounting and filing fees.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1" w:lineRule="exact"/>
        <w:rPr>
          <w:rFonts w:ascii="Arial" w:cs="Arial" w:eastAsia="Arial" w:hAnsi="Arial"/>
          <w:sz w:val="15"/>
          <w:szCs w:val="15"/>
          <w:color w:val="auto"/>
        </w:rPr>
      </w:pPr>
    </w:p>
    <w:p>
      <w:pPr>
        <w:jc w:val="both"/>
        <w:ind w:left="260" w:right="1239" w:hanging="250"/>
        <w:spacing w:after="0" w:line="251" w:lineRule="auto"/>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150495</wp:posOffset>
            </wp:positionH>
            <wp:positionV relativeFrom="page">
              <wp:posOffset>293370</wp:posOffset>
            </wp:positionV>
            <wp:extent cx="5757545" cy="24790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7545" cy="2479040"/>
                    </a:xfrm>
                    <a:prstGeom prst="rect">
                      <a:avLst/>
                    </a:prstGeom>
                    <a:noFill/>
                  </pic:spPr>
                </pic:pic>
              </a:graphicData>
            </a:graphic>
          </wp:anchor>
        </w:drawing>
        <w:t>TABLE OF CONTENTS</w:t>
      </w:r>
    </w:p>
    <w:p>
      <w:pPr>
        <w:spacing w:after="0" w:line="184" w:lineRule="exact"/>
        <w:rPr>
          <w:sz w:val="20"/>
          <w:szCs w:val="20"/>
          <w:color w:val="auto"/>
        </w:rPr>
      </w:pPr>
    </w:p>
    <w:p>
      <w:pPr>
        <w:jc w:val="both"/>
        <w:ind w:left="260" w:right="1239" w:hanging="250"/>
        <w:spacing w:after="0" w:line="256" w:lineRule="auto"/>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620" w:type="dxa"/>
            <w:vAlign w:val="bottom"/>
            <w:gridSpan w:val="2"/>
          </w:tcPr>
          <w:p>
            <w:pPr>
              <w:jc w:val="right"/>
              <w:ind w:right="660"/>
              <w:spacing w:after="0" w:line="144" w:lineRule="exact"/>
              <w:rPr>
                <w:sz w:val="20"/>
                <w:szCs w:val="20"/>
                <w:color w:val="auto"/>
              </w:rPr>
            </w:pPr>
            <w:r>
              <w:rPr>
                <w:rFonts w:ascii="Arial" w:cs="Arial" w:eastAsia="Arial" w:hAnsi="Arial"/>
                <w:sz w:val="13"/>
                <w:szCs w:val="13"/>
                <w:b w:val="1"/>
                <w:bCs w:val="1"/>
                <w:color w:val="auto"/>
              </w:rPr>
              <w:t>As of</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March 31, 2012</w:t>
            </w: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Vringo common stock outstanding as of March 31, 2012</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13,866,423</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Vringo common stock issued to former Innovate/Protect stockholders</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18,113,169</w:t>
            </w:r>
          </w:p>
        </w:tc>
      </w:tr>
      <w:tr>
        <w:trPr>
          <w:trHeight w:val="20"/>
        </w:trPr>
        <w:tc>
          <w:tcPr>
            <w:tcW w:w="5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common stock outstanding, pursuant to the Merger</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31,979,592</w:t>
            </w:r>
          </w:p>
        </w:tc>
      </w:tr>
      <w:tr>
        <w:trPr>
          <w:trHeight w:val="20"/>
        </w:trPr>
        <w:tc>
          <w:tcPr>
            <w:tcW w:w="53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88" w:lineRule="exact"/>
        <w:rPr>
          <w:sz w:val="20"/>
          <w:szCs w:val="20"/>
          <w:color w:val="auto"/>
        </w:rPr>
      </w:pPr>
    </w:p>
    <w:p>
      <w:pPr>
        <w:jc w:val="both"/>
        <w:ind w:left="260" w:right="1239" w:hanging="250"/>
        <w:spacing w:after="0" w:line="267" w:lineRule="auto"/>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MARKET PRICE DATA AND DIVIDEND INFORMATION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 Price</w:t>
      </w:r>
    </w:p>
    <w:p>
      <w:pPr>
        <w:spacing w:after="0" w:line="105" w:lineRule="exact"/>
        <w:rPr>
          <w:sz w:val="20"/>
          <w:szCs w:val="20"/>
          <w:color w:val="auto"/>
        </w:rPr>
      </w:pPr>
    </w:p>
    <w:p>
      <w:pPr>
        <w:ind w:left="40" w:right="1239" w:firstLine="251"/>
        <w:spacing w:after="0" w:line="252" w:lineRule="auto"/>
        <w:rPr>
          <w:sz w:val="20"/>
          <w:szCs w:val="20"/>
          <w:color w:val="auto"/>
        </w:rPr>
      </w:pPr>
      <w:r>
        <w:rPr>
          <w:rFonts w:ascii="Arial" w:cs="Arial" w:eastAsia="Arial" w:hAnsi="Arial"/>
          <w:sz w:val="16"/>
          <w:szCs w:val="16"/>
          <w:color w:val="auto"/>
        </w:rPr>
        <w:t>The table below sets forth, for the calendar quarters indicated, the high and low sales prices per share of Vringo common stock, which trades on the NYSE MKT under the symbol “VRNG.” Vringo’s fiscal year ends on December 31</w:t>
      </w:r>
      <w:r>
        <w:rPr>
          <w:rFonts w:ascii="Arial" w:cs="Arial" w:eastAsia="Arial" w:hAnsi="Arial"/>
          <w:sz w:val="26"/>
          <w:szCs w:val="26"/>
          <w:color w:val="auto"/>
          <w:vertAlign w:val="superscript"/>
        </w:rPr>
        <w:t>st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4837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3"/>
                <w:szCs w:val="13"/>
                <w:b w:val="1"/>
                <w:bCs w:val="1"/>
                <w:color w:val="auto"/>
                <w:w w:val="98"/>
              </w:rPr>
              <w:t>Vringo Common Stock</w:t>
            </w:r>
          </w:p>
        </w:tc>
        <w:tc>
          <w:tcPr>
            <w:tcW w:w="0" w:type="dxa"/>
            <w:vAlign w:val="bottom"/>
          </w:tcPr>
          <w:p>
            <w:pPr>
              <w:spacing w:after="0"/>
              <w:rPr>
                <w:sz w:val="1"/>
                <w:szCs w:val="1"/>
                <w:color w:val="auto"/>
              </w:rPr>
            </w:pPr>
          </w:p>
        </w:tc>
      </w:tr>
      <w:tr>
        <w:trPr>
          <w:trHeight w:val="18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Fiscal Year 2010</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3"/>
                <w:szCs w:val="13"/>
                <w:b w:val="1"/>
                <w:bCs w:val="1"/>
                <w:color w:val="auto"/>
              </w:rPr>
              <w:t>Low</w:t>
            </w:r>
          </w:p>
        </w:tc>
        <w:tc>
          <w:tcPr>
            <w:tcW w:w="0" w:type="dxa"/>
            <w:vAlign w:val="bottom"/>
          </w:tcPr>
          <w:p>
            <w:pPr>
              <w:spacing w:after="0"/>
              <w:rPr>
                <w:sz w:val="1"/>
                <w:szCs w:val="1"/>
                <w:color w:val="auto"/>
              </w:rPr>
            </w:pPr>
          </w:p>
        </w:tc>
      </w:tr>
      <w:tr>
        <w:trPr>
          <w:trHeight w:val="193"/>
        </w:trPr>
        <w:tc>
          <w:tcPr>
            <w:tcW w:w="5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60" w:type="dxa"/>
            <w:vAlign w:val="bottom"/>
            <w:shd w:val="clear" w:color="auto" w:fill="CCFFCC"/>
          </w:tcPr>
          <w:p>
            <w:pPr>
              <w:spacing w:after="0" w:line="239" w:lineRule="exact"/>
              <w:rPr>
                <w:sz w:val="20"/>
                <w:szCs w:val="20"/>
                <w:color w:val="auto"/>
              </w:rPr>
            </w:pPr>
            <w:r>
              <w:rPr>
                <w:rFonts w:ascii="Arial" w:cs="Arial" w:eastAsia="Arial" w:hAnsi="Arial"/>
                <w:sz w:val="17"/>
                <w:szCs w:val="17"/>
                <w:color w:val="auto"/>
              </w:rPr>
              <w:t>Third Quarter</w:t>
            </w:r>
            <w:r>
              <w:rPr>
                <w:rFonts w:ascii="Arial" w:cs="Arial" w:eastAsia="Arial" w:hAnsi="Arial"/>
                <w:sz w:val="27"/>
                <w:szCs w:val="27"/>
                <w:color w:val="auto"/>
                <w:vertAlign w:val="superscript"/>
              </w:rPr>
              <w:t>(1)</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3.60</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Fourth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3.30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Fiscal Year 2011</w:t>
            </w:r>
          </w:p>
        </w:tc>
        <w:tc>
          <w:tcPr>
            <w:tcW w:w="18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First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3.30</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Second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2.65</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Third Quarter</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2.63</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Fourth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1.89</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0.98</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b w:val="1"/>
                <w:bCs w:val="1"/>
                <w:color w:val="auto"/>
              </w:rPr>
              <w:t>Fiscal Year 2012</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First Quarter</w:t>
            </w:r>
          </w:p>
        </w:tc>
        <w:tc>
          <w:tcPr>
            <w:tcW w:w="180" w:type="dxa"/>
            <w:vAlign w:val="bottom"/>
            <w:shd w:val="clear" w:color="auto" w:fill="CCFFC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FFCC"/>
          </w:tcPr>
          <w:p>
            <w:pPr>
              <w:jc w:val="right"/>
              <w:ind w:right="20"/>
              <w:spacing w:after="0"/>
              <w:rPr>
                <w:sz w:val="20"/>
                <w:szCs w:val="20"/>
                <w:color w:val="auto"/>
              </w:rPr>
            </w:pPr>
            <w:r>
              <w:rPr>
                <w:rFonts w:ascii="Arial" w:cs="Arial" w:eastAsia="Arial" w:hAnsi="Arial"/>
                <w:sz w:val="17"/>
                <w:szCs w:val="17"/>
                <w:color w:val="auto"/>
              </w:rPr>
              <w:t>1.84</w:t>
            </w: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ind w:right="38"/>
              <w:spacing w:after="0"/>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7"/>
                <w:szCs w:val="17"/>
                <w:color w:val="auto"/>
              </w:rPr>
              <w:t>Second Quarter (through June 20, 2012)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5.45</w:t>
            </w:r>
          </w:p>
        </w:tc>
        <w:tc>
          <w:tcPr>
            <w:tcW w:w="3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38"/>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57277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00" w:right="2339" w:hanging="290"/>
        <w:spacing w:after="0" w:line="369" w:lineRule="auto"/>
        <w:tabs>
          <w:tab w:leader="none" w:pos="262" w:val="left"/>
        </w:tabs>
        <w:numPr>
          <w:ilvl w:val="0"/>
          <w:numId w:val="64"/>
        </w:numPr>
        <w:rPr>
          <w:rFonts w:ascii="Arial" w:cs="Arial" w:eastAsia="Arial" w:hAnsi="Arial"/>
          <w:sz w:val="17"/>
          <w:szCs w:val="17"/>
          <w:color w:val="auto"/>
        </w:rPr>
      </w:pPr>
      <w:r>
        <w:rPr>
          <w:rFonts w:ascii="Arial" w:cs="Arial" w:eastAsia="Arial" w:hAnsi="Arial"/>
          <w:sz w:val="17"/>
          <w:szCs w:val="17"/>
          <w:color w:val="auto"/>
        </w:rPr>
        <w:t>Vringo shares of common stock initiated trading on the NYSE MKT (formerly, NYSE Amex) on June 22, 2010. The closing price as of June 20, 2012 was $4.19.</w:t>
      </w:r>
    </w:p>
    <w:p>
      <w:pPr>
        <w:ind w:left="300"/>
        <w:spacing w:after="0"/>
        <w:rPr>
          <w:rFonts w:ascii="Arial" w:cs="Arial" w:eastAsia="Arial" w:hAnsi="Arial"/>
          <w:sz w:val="17"/>
          <w:szCs w:val="17"/>
          <w:color w:val="auto"/>
        </w:rPr>
      </w:pPr>
      <w:r>
        <w:rPr>
          <w:rFonts w:ascii="Arial" w:cs="Arial" w:eastAsia="Arial" w:hAnsi="Arial"/>
          <w:sz w:val="17"/>
          <w:szCs w:val="17"/>
          <w:color w:val="auto"/>
        </w:rPr>
        <w:t>Innovate/Protect is a private company and shares of its capital stock are not publicly traded.</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Record Holders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20, 2012, Vringo had 22 stockholders of record.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Dividends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has not declared or paid any cash dividend on its capital stock during the two most recent fiscal years. Any determination to pay dividends to holders of Vringo common stock in the future will be at the discretion of the Vringo board of directors and will depend upon many factors, including Vringo’s financial condition, results of operations, capital requirements and any other factors that the Vringo board of directors considers appropriate.</w:t>
      </w:r>
    </w:p>
    <w:p>
      <w:pPr>
        <w:spacing w:after="0" w:line="7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On March 14, 2012, the trading day of the announcement of the Merger, the last reported sale price of Vringo’s common stock was $1.84, for an aggregate market value of Vringo of $25.5 million, or $48.7 million on a fully diluted basis. On June 20, 2012, the latest practicable date before the printing of this proxy statement/prospectus, the last reported sale price of Vringo’s common stock was $4.19, for an aggregate market value of Vringo of $59.7 million, or $110.2 million on a fully diluted basis. Assuming the issuance on such date of an aggregate of 18,113,169 shares of Vringo common stock based on a common stock Exchange Ratio of 3.0176, an aggregate of 6,673 shares of Vringo preferred stock, an aggregate of 16,809,838 of Vringo warrants and options to purchase an aggregate of 41,178 shares of Vringo common stock if the Merger was completed on such date, the market value attributable to the shares of Vringo common stock to be issued to Innovate/Protect’s stockholders in the aggregate, or approximately 67.69% of the outstanding shares of the combined company calculated on a fully diluted basis, would equal $231 million.</w:t>
      </w:r>
    </w:p>
    <w:p>
      <w:pPr>
        <w:spacing w:after="0" w:line="7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following table sets forth information as of June 20,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3" w:lineRule="auto"/>
        <w:rPr>
          <w:sz w:val="20"/>
          <w:szCs w:val="20"/>
          <w:color w:val="auto"/>
        </w:rPr>
      </w:pPr>
      <w:r>
        <w:rPr>
          <w:rFonts w:ascii="Arial" w:cs="Arial" w:eastAsia="Arial" w:hAnsi="Arial"/>
          <w:sz w:val="17"/>
          <w:szCs w:val="17"/>
          <w:color w:val="auto"/>
        </w:rPr>
        <w:t>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based on 14,244,160 shares of Vringo common stock outstanding as of June 20, 2012 and 12,592,661 shares of Innovate/Protect capital stock outstanding as of June 20, 2012 (which includes 6,673 shares of preferred stock and 5,919,661 shares of common stock). The percent of common stock of the combined company is based on 32,357,329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June 20,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June 20,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49"/>
        </w:trPr>
        <w:tc>
          <w:tcPr>
            <w:tcW w:w="2840" w:type="dxa"/>
            <w:vAlign w:val="bottom"/>
            <w:gridSpan w:val="4"/>
          </w:tcPr>
          <w:p>
            <w:pPr>
              <w:spacing w:after="0"/>
              <w:rPr>
                <w:sz w:val="20"/>
                <w:szCs w:val="20"/>
                <w:color w:val="auto"/>
              </w:rPr>
            </w:pPr>
            <w:r>
              <w:rPr>
                <w:rFonts w:ascii="Arial" w:cs="Arial" w:eastAsia="Arial" w:hAnsi="Arial"/>
                <w:sz w:val="13"/>
                <w:szCs w:val="13"/>
                <w:b w:val="1"/>
                <w:bCs w:val="1"/>
                <w:color w:val="0000EE"/>
              </w:rPr>
              <w:t>TABLE OF CONTENTS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5"/>
        </w:trPr>
        <w:tc>
          <w:tcPr>
            <w:tcW w:w="2840" w:type="dxa"/>
            <w:vAlign w:val="bottom"/>
            <w:gridSpan w:val="4"/>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Total Voting</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Percent of</w:t>
            </w:r>
          </w:p>
        </w:tc>
        <w:tc>
          <w:tcPr>
            <w:tcW w:w="2420" w:type="dxa"/>
            <w:vAlign w:val="bottom"/>
          </w:tcPr>
          <w:p>
            <w:pPr>
              <w:spacing w:after="0"/>
              <w:rPr>
                <w:sz w:val="20"/>
                <w:szCs w:val="20"/>
                <w:color w:val="auto"/>
              </w:rPr>
            </w:pPr>
          </w:p>
        </w:tc>
      </w:tr>
      <w:tr>
        <w:trPr>
          <w:trHeight w:val="159"/>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Class</w:t>
            </w:r>
          </w:p>
        </w:tc>
        <w:tc>
          <w:tcPr>
            <w:tcW w:w="160" w:type="dxa"/>
            <w:vAlign w:val="bottom"/>
          </w:tcPr>
          <w:p>
            <w:pPr>
              <w:spacing w:after="0"/>
              <w:rPr>
                <w:sz w:val="13"/>
                <w:szCs w:val="13"/>
                <w:color w:val="auto"/>
              </w:rPr>
            </w:pPr>
          </w:p>
        </w:tc>
        <w:tc>
          <w:tcPr>
            <w:tcW w:w="1100" w:type="dxa"/>
            <w:vAlign w:val="bottom"/>
            <w:gridSpan w:val="2"/>
          </w:tcPr>
          <w:p>
            <w:pPr>
              <w:jc w:val="center"/>
              <w:spacing w:after="0" w:line="159" w:lineRule="exact"/>
              <w:rPr>
                <w:sz w:val="20"/>
                <w:szCs w:val="20"/>
                <w:color w:val="auto"/>
              </w:rPr>
            </w:pPr>
            <w:r>
              <w:rPr>
                <w:rFonts w:ascii="Arial" w:cs="Arial" w:eastAsia="Arial" w:hAnsi="Arial"/>
                <w:sz w:val="11"/>
                <w:szCs w:val="11"/>
                <w:b w:val="1"/>
                <w:bCs w:val="1"/>
                <w:color w:val="auto"/>
              </w:rPr>
              <w:t>Power</w:t>
            </w:r>
            <w:r>
              <w:rPr>
                <w:rFonts w:ascii="Arial" w:cs="Arial" w:eastAsia="Arial" w:hAnsi="Arial"/>
                <w:sz w:val="18"/>
                <w:szCs w:val="18"/>
                <w:b w:val="1"/>
                <w:bCs w:val="1"/>
                <w:color w:val="auto"/>
                <w:vertAlign w:val="superscript"/>
              </w:rPr>
              <w:t>(8)</w:t>
            </w:r>
          </w:p>
        </w:tc>
        <w:tc>
          <w:tcPr>
            <w:tcW w:w="14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Class</w:t>
            </w:r>
          </w:p>
        </w:tc>
        <w:tc>
          <w:tcPr>
            <w:tcW w:w="2420" w:type="dxa"/>
            <w:vAlign w:val="bottom"/>
          </w:tcPr>
          <w:p>
            <w:pPr>
              <w:spacing w:after="0"/>
              <w:rPr>
                <w:sz w:val="13"/>
                <w:szCs w:val="13"/>
                <w:color w:val="auto"/>
              </w:rPr>
            </w:pPr>
          </w:p>
        </w:tc>
      </w:tr>
      <w:tr>
        <w:trPr>
          <w:trHeight w:val="174"/>
        </w:trPr>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2"/>
                <w:szCs w:val="12"/>
                <w:b w:val="1"/>
                <w:bCs w:val="1"/>
                <w:color w:val="auto"/>
                <w:w w:val="96"/>
              </w:rPr>
              <w:t>Ownership</w:t>
            </w:r>
            <w:r>
              <w:rPr>
                <w:rFonts w:ascii="Arial" w:cs="Arial" w:eastAsia="Arial" w:hAnsi="Arial"/>
                <w:sz w:val="20"/>
                <w:szCs w:val="20"/>
                <w:b w:val="1"/>
                <w:bCs w:val="1"/>
                <w:color w:val="auto"/>
                <w:w w:val="96"/>
                <w:vertAlign w:val="superscript"/>
              </w:rPr>
              <w:t>(3)</w:t>
            </w: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20" w:type="dxa"/>
            <w:vAlign w:val="bottom"/>
          </w:tcPr>
          <w:p>
            <w:pPr>
              <w:spacing w:after="0"/>
              <w:rPr>
                <w:sz w:val="15"/>
                <w:szCs w:val="15"/>
                <w:color w:val="auto"/>
              </w:rPr>
            </w:pPr>
          </w:p>
        </w:tc>
      </w:tr>
      <w:tr>
        <w:trPr>
          <w:trHeight w:val="193"/>
        </w:trPr>
        <w:tc>
          <w:tcPr>
            <w:tcW w:w="2840" w:type="dxa"/>
            <w:vAlign w:val="bottom"/>
            <w:gridSpan w:val="4"/>
            <w:shd w:val="clear" w:color="auto" w:fill="CCFFCC"/>
          </w:tcPr>
          <w:p>
            <w:pPr>
              <w:spacing w:after="0" w:line="193" w:lineRule="exact"/>
              <w:rPr>
                <w:sz w:val="20"/>
                <w:szCs w:val="20"/>
                <w:color w:val="auto"/>
              </w:rPr>
            </w:pPr>
            <w:r>
              <w:rPr>
                <w:rFonts w:ascii="Arial" w:cs="Arial" w:eastAsia="Arial" w:hAnsi="Arial"/>
                <w:sz w:val="17"/>
                <w:szCs w:val="17"/>
                <w:b w:val="1"/>
                <w:bCs w:val="1"/>
                <w:i w:val="1"/>
                <w:iCs w:val="1"/>
                <w:color w:val="auto"/>
              </w:rPr>
              <w:t>5% Stockholders (Preferred)</w:t>
            </w:r>
          </w:p>
        </w:tc>
        <w:tc>
          <w:tcPr>
            <w:tcW w:w="1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26"/>
        </w:trPr>
        <w:tc>
          <w:tcPr>
            <w:tcW w:w="2840" w:type="dxa"/>
            <w:vAlign w:val="bottom"/>
            <w:gridSpan w:val="4"/>
          </w:tcPr>
          <w:p>
            <w:pPr>
              <w:spacing w:after="0" w:line="226"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6,181</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92.6%</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9"/>
                <w:szCs w:val="19"/>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777 Third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10017</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shd w:val="clear" w:color="auto" w:fill="CCFFCC"/>
          </w:tcPr>
          <w:p>
            <w:pPr>
              <w:spacing w:after="0" w:line="226"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6,181</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92.6%</w:t>
            </w:r>
          </w:p>
        </w:tc>
        <w:tc>
          <w:tcPr>
            <w:tcW w:w="16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9"/>
                <w:szCs w:val="19"/>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c/o Hudson Bay Capital Management</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LP</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227"/>
        </w:trPr>
        <w:tc>
          <w:tcPr>
            <w:tcW w:w="2840" w:type="dxa"/>
            <w:vAlign w:val="bottom"/>
            <w:gridSpan w:val="4"/>
          </w:tcPr>
          <w:p>
            <w:pPr>
              <w:spacing w:after="0" w:line="227" w:lineRule="exact"/>
              <w:rPr>
                <w:sz w:val="20"/>
                <w:szCs w:val="20"/>
                <w:color w:val="auto"/>
              </w:rPr>
            </w:pPr>
            <w:r>
              <w:rPr>
                <w:rFonts w:ascii="Arial" w:cs="Arial" w:eastAsia="Arial" w:hAnsi="Arial"/>
                <w:sz w:val="16"/>
                <w:szCs w:val="16"/>
                <w:color w:val="auto"/>
              </w:rPr>
              <w:t>Iroquois Master Fund Ltd.</w:t>
            </w:r>
            <w:r>
              <w:rPr>
                <w:rFonts w:ascii="Arial" w:cs="Arial" w:eastAsia="Arial" w:hAnsi="Arial"/>
                <w:sz w:val="26"/>
                <w:szCs w:val="26"/>
                <w:color w:val="auto"/>
                <w:vertAlign w:val="superscript"/>
              </w:rPr>
              <w:t>(6)</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344</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36"/>
        </w:trPr>
        <w:tc>
          <w:tcPr>
            <w:tcW w:w="2840" w:type="dxa"/>
            <w:vAlign w:val="bottom"/>
            <w:gridSpan w:val="4"/>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10022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b w:val="1"/>
                <w:bCs w:val="1"/>
                <w:i w:val="1"/>
                <w:iCs w:val="1"/>
                <w:color w:val="auto"/>
              </w:rPr>
              <w:t>5% Stockholders (Common)</w:t>
            </w:r>
          </w:p>
        </w:tc>
        <w:tc>
          <w:tcPr>
            <w:tcW w:w="1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b w:val="1"/>
                <w:bCs w:val="1"/>
                <w:i w:val="1"/>
                <w:iCs w:val="1"/>
                <w:color w:val="auto"/>
                <w:w w:val="93"/>
              </w:rPr>
              <w:t>(Excluding Named Executive Officers</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b w:val="1"/>
                <w:bCs w:val="1"/>
                <w:i w:val="1"/>
                <w:iCs w:val="1"/>
                <w:color w:val="auto"/>
              </w:rPr>
              <w:t>and Directors)</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tcPr>
          <w:p>
            <w:pPr>
              <w:spacing w:after="0" w:line="226"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6"/>
                <w:szCs w:val="26"/>
                <w:color w:val="auto"/>
                <w:vertAlign w:val="superscript"/>
              </w:rPr>
              <w:t>(5)</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3,548,875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9.99%</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3,548,875</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9.99%</w:t>
            </w:r>
          </w:p>
        </w:tc>
        <w:tc>
          <w:tcPr>
            <w:tcW w:w="2420" w:type="dxa"/>
            <w:vAlign w:val="bottom"/>
          </w:tcPr>
          <w:p>
            <w:pPr>
              <w:spacing w:after="0"/>
              <w:rPr>
                <w:sz w:val="19"/>
                <w:szCs w:val="19"/>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777 Third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10017</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26"/>
        </w:trPr>
        <w:tc>
          <w:tcPr>
            <w:tcW w:w="2840" w:type="dxa"/>
            <w:vAlign w:val="bottom"/>
            <w:gridSpan w:val="4"/>
            <w:shd w:val="clear" w:color="auto" w:fill="CCFFCC"/>
          </w:tcPr>
          <w:p>
            <w:pPr>
              <w:spacing w:after="0" w:line="226" w:lineRule="exact"/>
              <w:rPr>
                <w:sz w:val="20"/>
                <w:szCs w:val="20"/>
                <w:color w:val="auto"/>
              </w:rPr>
            </w:pPr>
            <w:r>
              <w:rPr>
                <w:rFonts w:ascii="Arial" w:cs="Arial" w:eastAsia="Arial" w:hAnsi="Arial"/>
                <w:sz w:val="16"/>
                <w:szCs w:val="16"/>
                <w:color w:val="auto"/>
              </w:rPr>
              <w:t>Sander Gerber</w:t>
            </w:r>
            <w:r>
              <w:rPr>
                <w:rFonts w:ascii="Arial" w:cs="Arial" w:eastAsia="Arial" w:hAnsi="Arial"/>
                <w:sz w:val="26"/>
                <w:szCs w:val="26"/>
                <w:color w:val="auto"/>
                <w:vertAlign w:val="superscript"/>
              </w:rPr>
              <w:t>(5)</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3,548,875</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9.99%</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3,548,875</w:t>
            </w:r>
          </w:p>
        </w:tc>
        <w:tc>
          <w:tcPr>
            <w:tcW w:w="1360" w:type="dxa"/>
            <w:vAlign w:val="bottom"/>
            <w:gridSpan w:val="3"/>
            <w:shd w:val="clear" w:color="auto" w:fill="CCFFCC"/>
          </w:tcPr>
          <w:p>
            <w:pPr>
              <w:jc w:val="right"/>
              <w:ind w:right="320"/>
              <w:spacing w:after="0"/>
              <w:rPr>
                <w:sz w:val="20"/>
                <w:szCs w:val="20"/>
                <w:color w:val="auto"/>
              </w:rPr>
            </w:pPr>
            <w:r>
              <w:rPr>
                <w:rFonts w:ascii="Arial" w:cs="Arial" w:eastAsia="Arial" w:hAnsi="Arial"/>
                <w:sz w:val="17"/>
                <w:szCs w:val="17"/>
                <w:color w:val="auto"/>
              </w:rPr>
              <w:t>9.99%</w:t>
            </w:r>
          </w:p>
        </w:tc>
        <w:tc>
          <w:tcPr>
            <w:tcW w:w="2420" w:type="dxa"/>
            <w:vAlign w:val="bottom"/>
          </w:tcPr>
          <w:p>
            <w:pPr>
              <w:spacing w:after="0"/>
              <w:rPr>
                <w:sz w:val="19"/>
                <w:szCs w:val="19"/>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c/o Hudson Bay Capital Management</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LP</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227"/>
        </w:trPr>
        <w:tc>
          <w:tcPr>
            <w:tcW w:w="2840" w:type="dxa"/>
            <w:vAlign w:val="bottom"/>
            <w:gridSpan w:val="4"/>
          </w:tcPr>
          <w:p>
            <w:pPr>
              <w:spacing w:after="0" w:line="227" w:lineRule="exact"/>
              <w:rPr>
                <w:sz w:val="20"/>
                <w:szCs w:val="20"/>
                <w:color w:val="auto"/>
              </w:rPr>
            </w:pPr>
            <w:r>
              <w:rPr>
                <w:rFonts w:ascii="Arial" w:cs="Arial" w:eastAsia="Arial" w:hAnsi="Arial"/>
                <w:sz w:val="16"/>
                <w:szCs w:val="16"/>
                <w:color w:val="auto"/>
              </w:rPr>
              <w:t>Iroquois Master Fund Ltd.</w:t>
            </w:r>
            <w:r>
              <w:rPr>
                <w:rFonts w:ascii="Arial" w:cs="Arial" w:eastAsia="Arial" w:hAnsi="Arial"/>
                <w:sz w:val="26"/>
                <w:szCs w:val="26"/>
                <w:color w:val="auto"/>
                <w:vertAlign w:val="superscript"/>
              </w:rPr>
              <w:t>(6)</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2,219,446</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6.7%</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524,936</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1.6%</w:t>
            </w:r>
          </w:p>
        </w:tc>
        <w:tc>
          <w:tcPr>
            <w:tcW w:w="2420" w:type="dxa"/>
            <w:vAlign w:val="bottom"/>
          </w:tcPr>
          <w:p>
            <w:pPr>
              <w:spacing w:after="0"/>
              <w:rPr>
                <w:sz w:val="19"/>
                <w:szCs w:val="19"/>
                <w:color w:val="auto"/>
              </w:rPr>
            </w:pPr>
          </w:p>
        </w:tc>
      </w:tr>
      <w:tr>
        <w:trPr>
          <w:trHeight w:val="236"/>
        </w:trPr>
        <w:tc>
          <w:tcPr>
            <w:tcW w:w="2840" w:type="dxa"/>
            <w:vAlign w:val="bottom"/>
            <w:gridSpan w:val="4"/>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New York, NY 10022</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color w:val="auto"/>
              </w:rPr>
              <w:t>Frost Gamma Investments Trust</w:t>
            </w:r>
          </w:p>
        </w:tc>
        <w:tc>
          <w:tcPr>
            <w:tcW w:w="12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1,606,872</w:t>
            </w:r>
          </w:p>
        </w:tc>
        <w:tc>
          <w:tcPr>
            <w:tcW w:w="940" w:type="dxa"/>
            <w:vAlign w:val="bottom"/>
            <w:gridSpan w:val="3"/>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4.9%</w:t>
            </w:r>
          </w:p>
        </w:tc>
        <w:tc>
          <w:tcPr>
            <w:tcW w:w="1260" w:type="dxa"/>
            <w:vAlign w:val="bottom"/>
            <w:gridSpan w:val="3"/>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1,131,600</w:t>
            </w:r>
          </w:p>
        </w:tc>
        <w:tc>
          <w:tcPr>
            <w:tcW w:w="1360" w:type="dxa"/>
            <w:vAlign w:val="bottom"/>
            <w:gridSpan w:val="3"/>
            <w:shd w:val="clear" w:color="auto" w:fill="CCFFCC"/>
          </w:tcPr>
          <w:p>
            <w:pPr>
              <w:jc w:val="right"/>
              <w:ind w:right="320"/>
              <w:spacing w:after="0" w:line="188" w:lineRule="exact"/>
              <w:rPr>
                <w:sz w:val="20"/>
                <w:szCs w:val="20"/>
                <w:color w:val="auto"/>
              </w:rPr>
            </w:pPr>
            <w:r>
              <w:rPr>
                <w:rFonts w:ascii="Arial" w:cs="Arial" w:eastAsia="Arial" w:hAnsi="Arial"/>
                <w:sz w:val="17"/>
                <w:szCs w:val="17"/>
                <w:color w:val="auto"/>
              </w:rPr>
              <w:t>3.5%</w:t>
            </w: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4400 Biscayne Boulevard</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Miami, FL 33137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tcPr>
          <w:p>
            <w:pPr>
              <w:spacing w:after="0" w:line="188" w:lineRule="exact"/>
              <w:rPr>
                <w:sz w:val="20"/>
                <w:szCs w:val="20"/>
                <w:color w:val="auto"/>
              </w:rPr>
            </w:pPr>
            <w:r>
              <w:rPr>
                <w:rFonts w:ascii="Arial" w:cs="Arial" w:eastAsia="Arial" w:hAnsi="Arial"/>
                <w:sz w:val="17"/>
                <w:szCs w:val="17"/>
                <w:color w:val="auto"/>
              </w:rPr>
              <w:t>Michael and Betsy Brauser TBE</w:t>
            </w:r>
          </w:p>
        </w:tc>
        <w:tc>
          <w:tcPr>
            <w:tcW w:w="122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1,660,435</w:t>
            </w:r>
          </w:p>
        </w:tc>
        <w:tc>
          <w:tcPr>
            <w:tcW w:w="940" w:type="dxa"/>
            <w:vAlign w:val="bottom"/>
            <w:gridSpan w:val="3"/>
          </w:tcPr>
          <w:p>
            <w:pPr>
              <w:jc w:val="right"/>
              <w:ind w:right="140"/>
              <w:spacing w:after="0" w:line="188" w:lineRule="exact"/>
              <w:rPr>
                <w:sz w:val="20"/>
                <w:szCs w:val="20"/>
                <w:color w:val="auto"/>
              </w:rPr>
            </w:pPr>
            <w:r>
              <w:rPr>
                <w:rFonts w:ascii="Arial" w:cs="Arial" w:eastAsia="Arial" w:hAnsi="Arial"/>
                <w:sz w:val="17"/>
                <w:szCs w:val="17"/>
                <w:color w:val="auto"/>
              </w:rPr>
              <w:t>5.1%</w:t>
            </w:r>
          </w:p>
        </w:tc>
        <w:tc>
          <w:tcPr>
            <w:tcW w:w="126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1,169,320</w:t>
            </w:r>
          </w:p>
        </w:tc>
        <w:tc>
          <w:tcPr>
            <w:tcW w:w="1360" w:type="dxa"/>
            <w:vAlign w:val="bottom"/>
            <w:gridSpan w:val="3"/>
          </w:tcPr>
          <w:p>
            <w:pPr>
              <w:jc w:val="right"/>
              <w:ind w:right="320"/>
              <w:spacing w:after="0" w:line="188" w:lineRule="exact"/>
              <w:rPr>
                <w:sz w:val="20"/>
                <w:szCs w:val="20"/>
                <w:color w:val="auto"/>
              </w:rPr>
            </w:pPr>
            <w:r>
              <w:rPr>
                <w:rFonts w:ascii="Arial" w:cs="Arial" w:eastAsia="Arial" w:hAnsi="Arial"/>
                <w:sz w:val="17"/>
                <w:szCs w:val="17"/>
                <w:color w:val="auto"/>
              </w:rPr>
              <w:t>3.6%</w:t>
            </w:r>
          </w:p>
        </w:tc>
        <w:tc>
          <w:tcPr>
            <w:tcW w:w="2420" w:type="dxa"/>
            <w:vAlign w:val="bottom"/>
          </w:tcPr>
          <w:p>
            <w:pPr>
              <w:spacing w:after="0"/>
              <w:rPr>
                <w:sz w:val="16"/>
                <w:szCs w:val="16"/>
                <w:color w:val="auto"/>
              </w:rPr>
            </w:pPr>
          </w:p>
        </w:tc>
      </w:tr>
      <w:tr>
        <w:trPr>
          <w:trHeight w:val="200"/>
        </w:trPr>
        <w:tc>
          <w:tcPr>
            <w:tcW w:w="2840" w:type="dxa"/>
            <w:vAlign w:val="bottom"/>
            <w:gridSpan w:val="4"/>
          </w:tcPr>
          <w:p>
            <w:pPr>
              <w:spacing w:after="0"/>
              <w:rPr>
                <w:sz w:val="20"/>
                <w:szCs w:val="20"/>
                <w:color w:val="auto"/>
              </w:rPr>
            </w:pPr>
            <w:r>
              <w:rPr>
                <w:rFonts w:ascii="Arial" w:cs="Arial" w:eastAsia="Arial" w:hAnsi="Arial"/>
                <w:sz w:val="17"/>
                <w:szCs w:val="17"/>
                <w:color w:val="auto"/>
              </w:rPr>
              <w:t>3164 NE 31st Avenue</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tcPr>
          <w:p>
            <w:pPr>
              <w:spacing w:after="0"/>
              <w:rPr>
                <w:sz w:val="20"/>
                <w:szCs w:val="20"/>
                <w:color w:val="auto"/>
              </w:rPr>
            </w:pPr>
            <w:r>
              <w:rPr>
                <w:rFonts w:ascii="Arial" w:cs="Arial" w:eastAsia="Arial" w:hAnsi="Arial"/>
                <w:sz w:val="17"/>
                <w:szCs w:val="17"/>
                <w:color w:val="auto"/>
              </w:rPr>
              <w:t>Lighthouse Point, FL 33064</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shd w:val="clear" w:color="auto" w:fill="CCFFCC"/>
          </w:tcPr>
          <w:p>
            <w:pPr>
              <w:spacing w:after="0" w:line="188" w:lineRule="exact"/>
              <w:rPr>
                <w:sz w:val="20"/>
                <w:szCs w:val="20"/>
                <w:color w:val="auto"/>
              </w:rPr>
            </w:pPr>
            <w:r>
              <w:rPr>
                <w:rFonts w:ascii="Arial" w:cs="Arial" w:eastAsia="Arial" w:hAnsi="Arial"/>
                <w:sz w:val="17"/>
                <w:szCs w:val="17"/>
                <w:color w:val="auto"/>
              </w:rPr>
              <w:t>Barry Honig</w:t>
            </w:r>
          </w:p>
        </w:tc>
        <w:tc>
          <w:tcPr>
            <w:tcW w:w="12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1,874,684</w:t>
            </w:r>
          </w:p>
        </w:tc>
        <w:tc>
          <w:tcPr>
            <w:tcW w:w="940" w:type="dxa"/>
            <w:vAlign w:val="bottom"/>
            <w:gridSpan w:val="3"/>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5.7%</w:t>
            </w:r>
          </w:p>
        </w:tc>
        <w:tc>
          <w:tcPr>
            <w:tcW w:w="1260" w:type="dxa"/>
            <w:vAlign w:val="bottom"/>
            <w:gridSpan w:val="3"/>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1,320,200</w:t>
            </w:r>
          </w:p>
        </w:tc>
        <w:tc>
          <w:tcPr>
            <w:tcW w:w="1360" w:type="dxa"/>
            <w:vAlign w:val="bottom"/>
            <w:gridSpan w:val="3"/>
            <w:shd w:val="clear" w:color="auto" w:fill="CCFFCC"/>
          </w:tcPr>
          <w:p>
            <w:pPr>
              <w:jc w:val="right"/>
              <w:ind w:right="320"/>
              <w:spacing w:after="0" w:line="188" w:lineRule="exact"/>
              <w:rPr>
                <w:sz w:val="20"/>
                <w:szCs w:val="20"/>
                <w:color w:val="auto"/>
              </w:rPr>
            </w:pPr>
            <w:r>
              <w:rPr>
                <w:rFonts w:ascii="Arial" w:cs="Arial" w:eastAsia="Arial" w:hAnsi="Arial"/>
                <w:sz w:val="17"/>
                <w:szCs w:val="17"/>
                <w:color w:val="auto"/>
              </w:rPr>
              <w:t>4.1%</w:t>
            </w:r>
          </w:p>
        </w:tc>
        <w:tc>
          <w:tcPr>
            <w:tcW w:w="2420" w:type="dxa"/>
            <w:vAlign w:val="bottom"/>
          </w:tcPr>
          <w:p>
            <w:pPr>
              <w:spacing w:after="0"/>
              <w:rPr>
                <w:sz w:val="16"/>
                <w:szCs w:val="16"/>
                <w:color w:val="auto"/>
              </w:rPr>
            </w:pPr>
          </w:p>
        </w:tc>
      </w:tr>
      <w:tr>
        <w:trPr>
          <w:trHeight w:val="200"/>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4400 Biscayne Boulevard, Suite 850</w:t>
            </w: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284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Miami, FL 33137</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2840" w:type="dxa"/>
            <w:vAlign w:val="bottom"/>
            <w:gridSpan w:val="4"/>
          </w:tcPr>
          <w:p>
            <w:pPr>
              <w:spacing w:after="0" w:line="188" w:lineRule="exact"/>
              <w:rPr>
                <w:sz w:val="20"/>
                <w:szCs w:val="20"/>
                <w:color w:val="auto"/>
              </w:rPr>
            </w:pPr>
            <w:r>
              <w:rPr>
                <w:rFonts w:ascii="Arial" w:cs="Arial" w:eastAsia="Arial" w:hAnsi="Arial"/>
                <w:sz w:val="17"/>
                <w:szCs w:val="17"/>
                <w:b w:val="1"/>
                <w:bCs w:val="1"/>
                <w:i w:val="1"/>
                <w:iCs w:val="1"/>
                <w:color w:val="auto"/>
              </w:rPr>
              <w:t>Named Executive Officers and</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2840" w:type="dxa"/>
            <w:vAlign w:val="bottom"/>
            <w:gridSpan w:val="4"/>
          </w:tcPr>
          <w:p>
            <w:pPr>
              <w:ind w:left="160"/>
              <w:spacing w:after="0"/>
              <w:rPr>
                <w:sz w:val="20"/>
                <w:szCs w:val="20"/>
                <w:color w:val="auto"/>
              </w:rPr>
            </w:pPr>
            <w:r>
              <w:rPr>
                <w:rFonts w:ascii="Arial" w:cs="Arial" w:eastAsia="Arial" w:hAnsi="Arial"/>
                <w:sz w:val="17"/>
                <w:szCs w:val="17"/>
                <w:b w:val="1"/>
                <w:bCs w:val="1"/>
                <w:i w:val="1"/>
                <w:iCs w:val="1"/>
                <w:color w:val="auto"/>
              </w:rPr>
              <w:t>Directors: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Andrew D. Perlman</w:t>
            </w:r>
            <w:r>
              <w:rPr>
                <w:rFonts w:ascii="Arial" w:cs="Arial" w:eastAsia="Arial" w:hAnsi="Arial"/>
                <w:sz w:val="27"/>
                <w:szCs w:val="27"/>
                <w:color w:val="auto"/>
                <w:vertAlign w:val="superscript"/>
              </w:rPr>
              <w:t>(1)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607,381</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1.8%</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66,666</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Andrew Kennedy Lang</w:t>
            </w:r>
            <w:r>
              <w:rPr>
                <w:rFonts w:ascii="Arial" w:cs="Arial" w:eastAsia="Arial" w:hAnsi="Arial"/>
                <w:sz w:val="27"/>
                <w:szCs w:val="27"/>
                <w:color w:val="auto"/>
                <w:vertAlign w:val="superscript"/>
              </w:rPr>
              <w:t>(2)</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8,034,360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23.1%</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5,658,000</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17.5%</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Seth M. Siegel</w:t>
            </w:r>
            <w:r>
              <w:rPr>
                <w:rFonts w:ascii="Arial" w:cs="Arial" w:eastAsia="Arial" w:hAnsi="Arial"/>
                <w:sz w:val="27"/>
                <w:szCs w:val="27"/>
                <w:color w:val="auto"/>
                <w:vertAlign w:val="superscript"/>
              </w:rPr>
              <w:t>(1)</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619,289</w:t>
            </w:r>
          </w:p>
        </w:tc>
        <w:tc>
          <w:tcPr>
            <w:tcW w:w="94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1.9%</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92,773</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Alexander R. Berger</w:t>
            </w:r>
            <w:r>
              <w:rPr>
                <w:rFonts w:ascii="Arial" w:cs="Arial" w:eastAsia="Arial" w:hAnsi="Arial"/>
                <w:sz w:val="27"/>
                <w:szCs w:val="27"/>
                <w:color w:val="auto"/>
                <w:vertAlign w:val="superscript"/>
              </w:rPr>
              <w:t>(2)(4)</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2,678,120</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8.1%</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1,886,000</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5.8%</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John Engelman</w:t>
            </w:r>
            <w:r>
              <w:rPr>
                <w:rFonts w:ascii="Arial" w:cs="Arial" w:eastAsia="Arial" w:hAnsi="Arial"/>
                <w:sz w:val="27"/>
                <w:szCs w:val="27"/>
                <w:color w:val="auto"/>
                <w:vertAlign w:val="superscript"/>
              </w:rPr>
              <w:t>(2)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201,533</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43,614</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Donald E. Stout</w:t>
            </w:r>
            <w:r>
              <w:rPr>
                <w:rFonts w:ascii="Arial" w:cs="Arial" w:eastAsia="Arial" w:hAnsi="Arial"/>
                <w:sz w:val="27"/>
                <w:szCs w:val="27"/>
                <w:color w:val="auto"/>
                <w:vertAlign w:val="superscript"/>
              </w:rPr>
              <w:t>(2)(7)</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1,083,195</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3.3%</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733,814</w:t>
            </w:r>
          </w:p>
        </w:tc>
        <w:tc>
          <w:tcPr>
            <w:tcW w:w="1360" w:type="dxa"/>
            <w:vAlign w:val="bottom"/>
            <w:gridSpan w:val="3"/>
          </w:tcPr>
          <w:p>
            <w:pPr>
              <w:jc w:val="right"/>
              <w:ind w:right="320"/>
              <w:spacing w:after="0"/>
              <w:rPr>
                <w:sz w:val="20"/>
                <w:szCs w:val="20"/>
                <w:color w:val="auto"/>
              </w:rPr>
            </w:pPr>
            <w:r>
              <w:rPr>
                <w:rFonts w:ascii="Arial" w:cs="Arial" w:eastAsia="Arial" w:hAnsi="Arial"/>
                <w:sz w:val="17"/>
                <w:szCs w:val="17"/>
                <w:color w:val="auto"/>
              </w:rPr>
              <w:t>2.3%</w:t>
            </w:r>
          </w:p>
        </w:tc>
        <w:tc>
          <w:tcPr>
            <w:tcW w:w="2420" w:type="dxa"/>
            <w:vAlign w:val="bottom"/>
          </w:tcPr>
          <w:p>
            <w:pPr>
              <w:spacing w:after="0"/>
              <w:rPr>
                <w:sz w:val="20"/>
                <w:szCs w:val="20"/>
                <w:color w:val="auto"/>
              </w:rPr>
            </w:pPr>
          </w:p>
        </w:tc>
      </w:tr>
      <w:tr>
        <w:trPr>
          <w:trHeight w:val="238"/>
        </w:trPr>
        <w:tc>
          <w:tcPr>
            <w:tcW w:w="2840" w:type="dxa"/>
            <w:vAlign w:val="bottom"/>
            <w:gridSpan w:val="4"/>
            <w:shd w:val="clear" w:color="auto" w:fill="CCFFCC"/>
          </w:tcPr>
          <w:p>
            <w:pPr>
              <w:spacing w:after="0" w:line="239" w:lineRule="exact"/>
              <w:rPr>
                <w:sz w:val="20"/>
                <w:szCs w:val="20"/>
                <w:color w:val="auto"/>
              </w:rPr>
            </w:pPr>
            <w:r>
              <w:rPr>
                <w:rFonts w:ascii="Arial" w:cs="Arial" w:eastAsia="Arial" w:hAnsi="Arial"/>
                <w:sz w:val="17"/>
                <w:szCs w:val="17"/>
                <w:color w:val="auto"/>
              </w:rPr>
              <w:t>H. Van Sinclair</w:t>
            </w:r>
            <w:r>
              <w:rPr>
                <w:rFonts w:ascii="Arial" w:cs="Arial" w:eastAsia="Arial" w:hAnsi="Arial"/>
                <w:sz w:val="27"/>
                <w:szCs w:val="27"/>
                <w:color w:val="auto"/>
                <w:vertAlign w:val="superscript"/>
              </w:rPr>
              <w:t>(2)</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171,400</w:t>
            </w:r>
          </w:p>
        </w:tc>
        <w:tc>
          <w:tcPr>
            <w:tcW w:w="9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120,704</w:t>
            </w:r>
          </w:p>
        </w:tc>
        <w:tc>
          <w:tcPr>
            <w:tcW w:w="1360" w:type="dxa"/>
            <w:vAlign w:val="bottom"/>
            <w:gridSpan w:val="3"/>
            <w:shd w:val="clear" w:color="auto" w:fill="CCFFCC"/>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38"/>
        </w:trPr>
        <w:tc>
          <w:tcPr>
            <w:tcW w:w="2840" w:type="dxa"/>
            <w:vAlign w:val="bottom"/>
            <w:gridSpan w:val="4"/>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(1)</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231,750</w:t>
            </w:r>
          </w:p>
        </w:tc>
        <w:tc>
          <w:tcPr>
            <w:tcW w:w="94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7"/>
                <w:szCs w:val="17"/>
                <w:color w:val="auto"/>
              </w:rPr>
              <w:t>35,000</w:t>
            </w:r>
          </w:p>
        </w:tc>
        <w:tc>
          <w:tcPr>
            <w:tcW w:w="136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81"/>
        </w:trPr>
        <w:tc>
          <w:tcPr>
            <w:tcW w:w="2840" w:type="dxa"/>
            <w:vAlign w:val="bottom"/>
            <w:gridSpan w:val="4"/>
            <w:shd w:val="clear" w:color="auto" w:fill="CCFFCC"/>
          </w:tcPr>
          <w:p>
            <w:pPr>
              <w:spacing w:after="0" w:line="180" w:lineRule="exact"/>
              <w:rPr>
                <w:sz w:val="20"/>
                <w:szCs w:val="20"/>
                <w:color w:val="auto"/>
              </w:rPr>
            </w:pPr>
            <w:r>
              <w:rPr>
                <w:rFonts w:ascii="Arial" w:cs="Arial" w:eastAsia="Arial" w:hAnsi="Arial"/>
                <w:sz w:val="17"/>
                <w:szCs w:val="17"/>
                <w:b w:val="1"/>
                <w:bCs w:val="1"/>
                <w:i w:val="1"/>
                <w:iCs w:val="1"/>
                <w:color w:val="auto"/>
                <w:w w:val="88"/>
              </w:rPr>
              <w:t>All executive officers and directors as a</w:t>
            </w:r>
          </w:p>
        </w:tc>
        <w:tc>
          <w:tcPr>
            <w:tcW w:w="1220" w:type="dxa"/>
            <w:vAlign w:val="bottom"/>
            <w:gridSpan w:val="2"/>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13,627,028</w:t>
            </w:r>
          </w:p>
        </w:tc>
        <w:tc>
          <w:tcPr>
            <w:tcW w:w="940" w:type="dxa"/>
            <w:vAlign w:val="bottom"/>
            <w:gridSpan w:val="3"/>
            <w:shd w:val="clear" w:color="auto" w:fill="CCFFCC"/>
          </w:tcPr>
          <w:p>
            <w:pPr>
              <w:jc w:val="right"/>
              <w:ind w:right="140"/>
              <w:spacing w:after="0" w:line="180" w:lineRule="exact"/>
              <w:rPr>
                <w:sz w:val="20"/>
                <w:szCs w:val="20"/>
                <w:color w:val="auto"/>
              </w:rPr>
            </w:pPr>
            <w:r>
              <w:rPr>
                <w:rFonts w:ascii="Arial" w:cs="Arial" w:eastAsia="Arial" w:hAnsi="Arial"/>
                <w:sz w:val="17"/>
                <w:szCs w:val="17"/>
                <w:color w:val="auto"/>
              </w:rPr>
              <w:t>39.9%</w:t>
            </w:r>
          </w:p>
        </w:tc>
        <w:tc>
          <w:tcPr>
            <w:tcW w:w="1260" w:type="dxa"/>
            <w:vAlign w:val="bottom"/>
            <w:gridSpan w:val="3"/>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8,636,571</w:t>
            </w:r>
          </w:p>
        </w:tc>
        <w:tc>
          <w:tcPr>
            <w:tcW w:w="1360" w:type="dxa"/>
            <w:vAlign w:val="bottom"/>
            <w:gridSpan w:val="3"/>
            <w:shd w:val="clear" w:color="auto" w:fill="CCFFCC"/>
          </w:tcPr>
          <w:p>
            <w:pPr>
              <w:jc w:val="right"/>
              <w:ind w:right="320"/>
              <w:spacing w:after="0" w:line="180" w:lineRule="exact"/>
              <w:rPr>
                <w:sz w:val="20"/>
                <w:szCs w:val="20"/>
                <w:color w:val="auto"/>
              </w:rPr>
            </w:pPr>
            <w:r>
              <w:rPr>
                <w:rFonts w:ascii="Arial" w:cs="Arial" w:eastAsia="Arial" w:hAnsi="Arial"/>
                <w:sz w:val="17"/>
                <w:szCs w:val="17"/>
                <w:color w:val="auto"/>
              </w:rPr>
              <w:t>26.3%</w:t>
            </w:r>
          </w:p>
        </w:tc>
        <w:tc>
          <w:tcPr>
            <w:tcW w:w="2420" w:type="dxa"/>
            <w:vAlign w:val="bottom"/>
          </w:tcPr>
          <w:p>
            <w:pPr>
              <w:spacing w:after="0"/>
              <w:rPr>
                <w:sz w:val="15"/>
                <w:szCs w:val="15"/>
                <w:color w:val="auto"/>
              </w:rPr>
            </w:pPr>
          </w:p>
        </w:tc>
      </w:tr>
      <w:tr>
        <w:trPr>
          <w:trHeight w:val="213"/>
        </w:trPr>
        <w:tc>
          <w:tcPr>
            <w:tcW w:w="2840" w:type="dxa"/>
            <w:vAlign w:val="bottom"/>
            <w:gridSpan w:val="4"/>
            <w:shd w:val="clear" w:color="auto" w:fill="CCFFCC"/>
          </w:tcPr>
          <w:p>
            <w:pPr>
              <w:ind w:left="160"/>
              <w:spacing w:after="0"/>
              <w:rPr>
                <w:sz w:val="20"/>
                <w:szCs w:val="20"/>
                <w:color w:val="auto"/>
              </w:rPr>
            </w:pPr>
            <w:r>
              <w:rPr>
                <w:rFonts w:ascii="Arial" w:cs="Arial" w:eastAsia="Arial" w:hAnsi="Arial"/>
                <w:sz w:val="17"/>
                <w:szCs w:val="17"/>
                <w:b w:val="1"/>
                <w:bCs w:val="1"/>
                <w:i w:val="1"/>
                <w:iCs w:val="1"/>
                <w:color w:val="auto"/>
              </w:rPr>
              <w:t>group (8 persons)</w:t>
            </w: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53"/>
              <w:spacing w:after="0"/>
              <w:rPr>
                <w:sz w:val="20"/>
                <w:szCs w:val="20"/>
                <w:color w:val="auto"/>
              </w:rPr>
            </w:pPr>
            <w:r>
              <w:rPr>
                <w:rFonts w:ascii="Arial" w:cs="Arial" w:eastAsia="Arial" w:hAnsi="Arial"/>
                <w:sz w:val="17"/>
                <w:szCs w:val="17"/>
                <w:color w:val="auto"/>
              </w:rPr>
              <w:t>37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-7343140</wp:posOffset>
            </wp:positionV>
            <wp:extent cx="4837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727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hanging="250"/>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address of each listed stockholder is c/o Vringo Inc., 44 W. 28th Street New York, New York, 10001.</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June 20, 2012.</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Held by ARB-A Investment Trust, of which Mr. Berger is the trustee.</w:t>
      </w:r>
    </w:p>
    <w:p>
      <w:pPr>
        <w:spacing w:after="0" w:line="105" w:lineRule="exact"/>
        <w:rPr>
          <w:rFonts w:ascii="Arial" w:cs="Arial" w:eastAsia="Arial" w:hAnsi="Arial"/>
          <w:sz w:val="17"/>
          <w:szCs w:val="17"/>
          <w:color w:val="auto"/>
        </w:rPr>
      </w:pPr>
    </w:p>
    <w:p>
      <w:pPr>
        <w:jc w:val="both"/>
        <w:ind w:left="260" w:right="1239" w:hanging="250"/>
        <w:spacing w:after="0" w:line="282" w:lineRule="auto"/>
        <w:tabs>
          <w:tab w:leader="none" w:pos="2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7"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Does not include options, warrants or other convertible securities held by the principal stockholders.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Because the market price of Vringo common stock is subject to fluctuation, the market value of the shares of Vringo common stock that holders of Innovate/Protect capital stock will receive in the Merger may increase or decrease. The foregoing information reflects only historical information.</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Following the completion of the Merger and successful reapplication to the NYSE MKT for initial inclusion of the Vringo common stock on the NYSE MKT, the common stock of Vringo, including the shares of Vringo common stock issued to Innovate/Protect stockholders in connection with the Merger, will continue to be listed on the NYSE MKT.</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09" w:lineRule="exact"/>
        <w:rPr>
          <w:sz w:val="20"/>
          <w:szCs w:val="20"/>
          <w:color w:val="auto"/>
        </w:rPr>
      </w:pPr>
    </w:p>
    <w:p>
      <w:pPr>
        <w:jc w:val="both"/>
        <w:ind w:left="40" w:right="1239" w:firstLine="251"/>
        <w:spacing w:after="0" w:line="263" w:lineRule="auto"/>
        <w:rPr>
          <w:sz w:val="20"/>
          <w:szCs w:val="20"/>
          <w:color w:val="auto"/>
        </w:rPr>
      </w:pPr>
      <w:r>
        <w:rPr>
          <w:rFonts w:ascii="Arial" w:cs="Arial" w:eastAsia="Arial" w:hAnsi="Arial"/>
          <w:sz w:val="16"/>
          <w:szCs w:val="16"/>
          <w:color w:val="auto"/>
        </w:rPr>
        <w:t>This proxy statement/prospectus and the other documents referred to in this proxy statement/prospectus contain or may contain forward-looking statements of Vringo within the meaning of Section 21E of the Exchange Act, which is applicable to Vringo but not to Innovate/Protect because Vringo, unlike Innovate/Protect, is a public company subject to the reporting requirements of the Exchange Act. For this purpose, any statements contained herein, other than statements of historical fact, may be forward-looking statements under the provisions of the Private Securities Litigation Reform Act of 1995. Such statements can be identified by the fact that they do not relate strictly to historical or current facts.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this proxy statement/prospectus and the other documents referred to and relate to a variety of matters, including but not limited to (i) the timing and anticipated completion of the Merger, (ii) the benefits expected to result from the Merger, (iii) the anticipated business of the combined company following the completion of the Merger, and (iv) other statements that are not purely statements of historical fact.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this proxy statement/prospectus and those that are referred to in this proxy statement/prospectus. Important factors that could cause actual results to differ materially from those described in forward-looking statements contained herein include, but are not limited to:</w:t>
      </w:r>
    </w:p>
    <w:p>
      <w:pPr>
        <w:spacing w:after="0" w:line="81" w:lineRule="exact"/>
        <w:rPr>
          <w:sz w:val="20"/>
          <w:szCs w:val="20"/>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expected timetable for completing the transaction;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potential value created by the Merger for Vringo’s and Innovate/Protect’s stockholders;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potential of the combined company’s technology platform;</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respective or combined ability to raise capital to fund the combined operations and business plan;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continued listing of Vringo’s or the combined company’s securities on the NYSE MKT;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market acceptance of Vringo products;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collective ability to protect intellectual property rights;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competition from other providers and products;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ability to license and monetize the patents owned by Innovate/Protect, including the outcome of the Litigation against online search firms and other companies;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combined company’s management and board of directors.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risk factors identified elsewhere, various important risks and uncertainties affecting each of Vringo and Innovate/Protect may cause the actual results of the combined company to differ materially from the results indicated by the forward-looking statement in this proxy statement/prospectus, including without limitation:</w:t>
      </w:r>
    </w:p>
    <w:p>
      <w:pPr>
        <w:spacing w:after="0" w:line="76" w:lineRule="exact"/>
        <w:rPr>
          <w:sz w:val="20"/>
          <w:szCs w:val="20"/>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financial condition, financing requirements, prospects and cash flow of Vringo and Innovate/Protect;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expectations regarding potential growth;</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inability to have Vringo securities listed for trading on the NYSE MKT or another national securities exchange;</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loss of strategic relationships;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competitive position;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introduction and proliferation of competitive products;</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changes in technology;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inability to achieve sustained profitability;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failure to implement short- or long-term growth strategies;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decrease in the market price for the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cost of retaining and recruiting key personnel or the loss of such key personnel;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compliance with applicable laws;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maintain or protect the validity of patents and other intellectual property;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obtain a positive verdict or settlement arrangement in Innovate/Protect’s initial Litigation;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ability to internally develop new inventions and intellectual property;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liquidity.</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You are cautioned not to place undue reliance on these forward-looking statements, which speak only as of the date of this proxy statement/prospectus or, in the case of documents referred to in this proxy statement/prospectus, as of the date of those documents. Vringo disclaims any obligation to publicly update or release any revisions to these forward-looking statements, whether as a result of new information, future events or otherwise, after the date of this proxy statement/prospectus or to reflect the occurrence of unanticipated events, except as required by law.</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RISK FACTORS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i w:val="1"/>
          <w:iCs w:val="1"/>
          <w:color w:val="auto"/>
        </w:rPr>
        <w:t xml:space="preserve">In addition to the other information included and referred to in this proxy statement/prospectus, including the matters addressed in the section entitled “Cautionary Statement Regarding Forward-Looking Statements” beginning on page </w:t>
      </w:r>
      <w:r>
        <w:rPr>
          <w:rFonts w:ascii="Arial" w:cs="Arial" w:eastAsia="Arial" w:hAnsi="Arial"/>
          <w:sz w:val="16"/>
          <w:szCs w:val="16"/>
          <w:i w:val="1"/>
          <w:iCs w:val="1"/>
          <w:u w:val="single" w:color="auto"/>
          <w:color w:val="0000EE"/>
        </w:rPr>
        <w:t>39</w:t>
      </w:r>
      <w:r>
        <w:rPr>
          <w:rFonts w:ascii="Arial" w:cs="Arial" w:eastAsia="Arial" w:hAnsi="Arial"/>
          <w:sz w:val="16"/>
          <w:szCs w:val="16"/>
          <w:i w:val="1"/>
          <w:iCs w:val="1"/>
          <w:color w:val="auto"/>
        </w:rPr>
        <w:t>, you should carefully consider the following risk factors before deciding how to vote your shares of Vringo common stock at the Vringo annual meeting. These factors should be considered in conjunction with the other information included by Vringo in this proxy statement/prospectus. If any of the risks described below or referred to in this proxy statement/prospectus actually materialize, the business, financial condition, results of operations, or prospects of Vringo, Innovate/Protect, and/or the combined company, or the stock price of Vringo and/or the combined company, could be materially and adversely affected.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the Merger</w:t>
      </w:r>
    </w:p>
    <w:p>
      <w:pPr>
        <w:spacing w:after="0" w:line="105"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issuance of Vringo’s securities to Innovate/Protect security holders in connection with the Merger will substantially dilute the voting power of current Vringo stockholders.</w:t>
      </w:r>
    </w:p>
    <w:p>
      <w:pPr>
        <w:spacing w:after="0" w:line="62"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i w:val="1"/>
          <w:iCs w:val="1"/>
          <w:color w:val="auto"/>
        </w:rPr>
        <w:t>Pursuant to the terms of the Merger Agreement, it is anticipated that Vringo will issue to Innovate/Protect common and preferred stockholders shares of Vringo common stock and Vringo preferred stock, and warrants to purchase shares of Vringo common stock. After such issuance (without taking into account any shares of Vringo common stock held by Innovate/Protect stockholders prior to the completion of the Merger), the stockholders of Innovate/Protect are expected to own approximately 55.98% of the outstanding common stock of the combined company (or 67.69% of the outstanding common stock of the combined company calculated on a fully diluted basis) and the stockholders of Vringo are expected to own approximately 44.02% of the outstanding common stock of the combined company (or 32.31% of the outstanding common stock of the combined company calculated on a fully diluted basis). Accordingly, the issuance of shares of Vringo common stock to Innovate/Protect stockholders in connection with the Merger will significantly reduce the relative voting power of each share of Vringo common stock held by current Vringo stockholders.</w:t>
      </w:r>
    </w:p>
    <w:p>
      <w:pPr>
        <w:spacing w:after="0" w:line="70" w:lineRule="exact"/>
        <w:rPr>
          <w:sz w:val="20"/>
          <w:szCs w:val="20"/>
          <w:color w:val="auto"/>
        </w:rPr>
      </w:pPr>
    </w:p>
    <w:p>
      <w:pPr>
        <w:jc w:val="both"/>
        <w:ind w:left="40" w:right="1239" w:firstLine="251"/>
        <w:spacing w:after="0" w:line="340" w:lineRule="auto"/>
        <w:rPr>
          <w:sz w:val="20"/>
          <w:szCs w:val="20"/>
          <w:color w:val="auto"/>
        </w:rPr>
      </w:pPr>
      <w:r>
        <w:rPr>
          <w:rFonts w:ascii="Arial" w:cs="Arial" w:eastAsia="Arial" w:hAnsi="Arial"/>
          <w:sz w:val="15"/>
          <w:szCs w:val="15"/>
          <w:b w:val="1"/>
          <w:bCs w:val="1"/>
          <w:color w:val="auto"/>
        </w:rPr>
        <w:t>The announcement and pendency of the Merger could have an adverse effect on the business prospects for Vringo and/or Innovate/Protect and on Vringo’s stock price and/or business, financial condition or results of operations.</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While there have been no significant adverse effects to date, the announcement and pendency of the Merger could disrupt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Vringo’s and/or Innovate/Protect’s prospective and current businesses in the following ways, among others:</w:t>
      </w:r>
    </w:p>
    <w:p>
      <w:pPr>
        <w:spacing w:after="0" w:line="93" w:lineRule="exact"/>
        <w:rPr>
          <w:sz w:val="20"/>
          <w:szCs w:val="20"/>
          <w:color w:val="auto"/>
        </w:rPr>
      </w:pPr>
    </w:p>
    <w:p>
      <w:pPr>
        <w:jc w:val="both"/>
        <w:ind w:left="560" w:right="1239" w:hanging="300"/>
        <w:spacing w:after="0" w:line="270" w:lineRule="auto"/>
        <w:tabs>
          <w:tab w:leader="none" w:pos="5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third parties, including customers, suppliers and operators, may seek to terminate and/or renegotiate their relationships with Vringo or Innovate/Protect or decide not to conduct business with either Vringo or Innovate/Protect as a result of the Merger, whether pursuant to the terms of their existing agreements with Vringo and/or Innovate/Protect or otherwise. For example, Google, Inc. who was named as a defendant in the Litigation, may decline to conduct any business with Vringo or may seek to assert patent litigation claims against Vringo; and</w:t>
      </w:r>
    </w:p>
    <w:p>
      <w:pPr>
        <w:spacing w:after="0" w:line="6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attention of Vringo and/or Innovate/Protect management may be directed toward the completion of the Merger and related matters and may be diverted from the day-to-day business operations of their respective companies, including from other opportunities that might otherwise be beneficial to Vringo or Innovate/Protect.</w:t>
      </w:r>
    </w:p>
    <w:p>
      <w:pPr>
        <w:spacing w:after="0" w:line="7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Should they occur, any of these matters could adversely affect the stock price of Vringo or harm the financial condition, results of operations, or business prospects of Vringo, Innovate/Protect, and/or the combined company.</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Failure to complete the Merger or delays in completing the Merger could negatively impact Vringo’s business, financial condition, or results of operations or Vringo’s stock price.</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completion of the Merger is subject to a number of conditions and there can be no assurance that the conditions to the completion of the Merger will be satisfied at all or satisfied in a timely manner. If the Merger is not completed or delayed, Vringo will be subject to several risks, including:</w:t>
      </w:r>
    </w:p>
    <w:p>
      <w:pPr>
        <w:spacing w:after="0" w:line="76" w:lineRule="exact"/>
        <w:rPr>
          <w:sz w:val="20"/>
          <w:szCs w:val="20"/>
          <w:color w:val="auto"/>
        </w:rPr>
      </w:pPr>
    </w:p>
    <w:p>
      <w:pPr>
        <w:jc w:val="both"/>
        <w:ind w:left="560" w:right="1239" w:hanging="300"/>
        <w:spacing w:after="0" w:line="256"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current trading price of Vringo common stock may reflect a market assumption that the Merger will occur, meaning that a failure to complete the Merger or delays in completing the Merger could result in a decline in the price of Vringo common stock;</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certain executive officers and/or directors of Vringo or Innovate/Protect may seek other employment opportunities, and the departure of any of Vringo’s or Innovate/Protect’s executive officers and the possibility that Vringo would be unable to recruit and hire experienced executives could negatively impact Vringo’s future business;</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Vringo board of directors will need to reevaluate Vringo’s strategic alternatives, such alternatives will include other merger and acquisition opportunities and/or additional financing necessary to ensure that Vringo will continue to operate as a going concern;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Vringo may be delisted from the NYSE MKT for failure to comply with NYSE MKT requirements related to minimum stockholders’ equity;</w:t>
      </w:r>
    </w:p>
    <w:p>
      <w:pPr>
        <w:spacing w:after="0" w:line="66" w:lineRule="exact"/>
        <w:rPr>
          <w:rFonts w:ascii="Arial" w:cs="Arial" w:eastAsia="Arial" w:hAnsi="Arial"/>
          <w:sz w:val="17"/>
          <w:szCs w:val="17"/>
          <w:color w:val="auto"/>
        </w:rPr>
      </w:pPr>
    </w:p>
    <w:p>
      <w:pPr>
        <w:jc w:val="both"/>
        <w:ind w:left="560" w:right="1239" w:hanging="300"/>
        <w:spacing w:after="0" w:line="274" w:lineRule="auto"/>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w:t>
      </w:r>
    </w:p>
    <w:p>
      <w:pPr>
        <w:spacing w:after="0" w:line="61"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Vringo is expected to incur substantial transaction costs in connection with the Merger whether or not the Merger is completed;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Vringo would not realize any of the anticipated benefits of having completed the Merger.</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If the Merger is not completed, these risks may materialize and materially and adversely affect Vringo’s business, financial condition, results of operations, and Vringo’s stock price.</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Any delay in completing the Merger may substantially reduce the benefits that Vringo expects to obtain from the Merger.</w:t>
      </w:r>
    </w:p>
    <w:p>
      <w:pPr>
        <w:spacing w:after="0" w:line="62"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In addition to obtaining the approval of the stockholders of each of Vringo and Innovate/Protect for the consummation of the Merger, the Merger is subject to a number of other conditions beyond the control of Vringo that may prevent, delay, or otherwise materially adversely affect its completion. Vringo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Vringo expects to achieve if the Merger and the integration of the companies’ respective businesses are completed within the expected timeframe.</w:t>
      </w:r>
    </w:p>
    <w:p>
      <w:pPr>
        <w:spacing w:after="0" w:line="80"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NYSE MKT considers the anticipated Merger a “reverse merger” and therefore has required that Vringo submit a new listing application, which requires certain actions on the part of the combined company which may not be successful and, if unsuccessful, could make it more difficult for holders of shares of the combined company to sell their shares.</w:t>
      </w:r>
    </w:p>
    <w:p>
      <w:pPr>
        <w:spacing w:after="0" w:line="3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NYSE MKT considers the Merger proposed in this proxy statement/prospectus a “reverse merger” and has required that Vringo submit a new listing application. NYSE MKT may not approve Vringo’s new listing application for the NYSE MKT on a timely basis, or at all. If this occurs and the Merger is still completed, you may have difficulty converting your investments into cash effectively.</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Additionally, as part of the new listing application, Vringo may be required to submit, among other things, a plan for the combined company to conduct a reverse stock split. A reverse stock split would likely increase the per share trading price by an as yet undetermined multiple. The change in share price may affect the volatility and liquidity of the combined company’s stock, as well as the marketplace’s perception of the stock. As a result, the relative price of the combined company’s stock may decline and/or fluctuate more than in the past, and you may have trouble converting your investments in the combined company into cash effectively.</w:t>
      </w:r>
    </w:p>
    <w:p>
      <w:pPr>
        <w:spacing w:after="0" w:line="7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Some of the directors and executive officers of Vringo have interests in the Merger that are different from, or in addition to, those of the other Vringo stockholders.</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When considering the recommendation by the Vringo board of directors that the Vringo stockholders vote “for” each of the Vringo Merger Proposals, Vringo’s stockholders should be aware that certain of the directors and executive officers of Vringo have arrangements that provide them with interests in the Merger that are different from, or in addition to, those of the stockholders of Vringo.</w:t>
      </w:r>
    </w:p>
    <w:p>
      <w:pPr>
        <w:spacing w:after="0" w:line="7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For instance, in connection with the Merger, (i) each of Seth M. Siegel, Andrew D. Perlman and John Engelman, each a current director of the Vringo board of directors, will continue to serve as a director of the combined company following the completion of the Merger, and the remaining directors of Vringo will resign, effective as of the completion of the Merger, (ii) Andrew D. Perlman and Ellen Cohl, currently executive officers of Vringo, will remain executive officers of the combined company following the completion of the Merger, (iii) upon the change of control in connection with the consummation of the Merger, there will be a one year acceleration of option vesting for option holders for option grants prior to the consummation of the Merger, except for Andrew D. Perlman who will be entitled to 50% acceleration for all of his unvested options granted to him prior to him becoming Chief Executive Officer of Vringo; and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7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In addition, the directors and executive officers of Vringo also have certain rights to indemnification and to directors’ and officers’ liability insurance that will be provided by the combined company following the completion of the Merger. See the sections entitled “The Merger — Interests of Vringo Directors and Executive Officers in the Merger” beginning on page </w:t>
      </w:r>
      <w:r>
        <w:rPr>
          <w:rFonts w:ascii="Arial" w:cs="Arial" w:eastAsia="Arial" w:hAnsi="Arial"/>
          <w:sz w:val="16"/>
          <w:szCs w:val="16"/>
          <w:u w:val="single" w:color="auto"/>
          <w:color w:val="0000EE"/>
        </w:rPr>
        <w:t>82</w:t>
      </w:r>
      <w:r>
        <w:rPr>
          <w:rFonts w:ascii="Arial" w:cs="Arial" w:eastAsia="Arial" w:hAnsi="Arial"/>
          <w:sz w:val="16"/>
          <w:szCs w:val="16"/>
          <w:color w:val="auto"/>
        </w:rPr>
        <w:t>.</w:t>
      </w:r>
    </w:p>
    <w:p>
      <w:pPr>
        <w:spacing w:after="0" w:line="5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11, 2012, in connection with the appointment of Andrew D. Perlman as Chief Executive Officer, the Vringo board of directors approved an increase in Mr. Perlman’s salary to $250,000 per year and the payment of severance for one year in the event he is no longer the Chief Executive Officer in connection with a change of control. In addition, the Vringo board of directors approved the grant of options to purchase 450,000 shares at an exercise price of $1.65 per share. Vringo and Mr. Perlman expect to enter into an amendment to his employment agreement to memorialize the foregoing terms.</w:t>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39"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Merger Agreement contains provisions that could discourage or make it difficult for a third party to acquire Vringo prior to the completion of the Merger.</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 xml:space="preserve">The Merger Agreement contains provisions that make it difficult for Vringo to entertain a third-party proposal for an acquisition of Vringo. These provisions include the general prohibition on Vringo’s soliciting or engaging in discussions or negotiations regarding any alternative acquisition proposal. In addition, 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 See the sections entitled “The Merger Agreement — No Solicitation,” “The Merger Agreement — Board Recommendations” and “The Merger Agreement — Termination Fees and Expenses” beginning on pages </w:t>
      </w:r>
      <w:r>
        <w:rPr>
          <w:rFonts w:ascii="Arial" w:cs="Arial" w:eastAsia="Arial" w:hAnsi="Arial"/>
          <w:sz w:val="15"/>
          <w:szCs w:val="15"/>
          <w:u w:val="single" w:color="auto"/>
          <w:color w:val="0000EE"/>
        </w:rPr>
        <w:t>94</w:t>
      </w:r>
      <w:r>
        <w:rPr>
          <w:rFonts w:ascii="Arial" w:cs="Arial" w:eastAsia="Arial" w:hAnsi="Arial"/>
          <w:sz w:val="15"/>
          <w:szCs w:val="15"/>
          <w:color w:val="auto"/>
        </w:rPr>
        <w:t xml:space="preserve">, </w:t>
      </w:r>
      <w:r>
        <w:rPr>
          <w:rFonts w:ascii="Arial" w:cs="Arial" w:eastAsia="Arial" w:hAnsi="Arial"/>
          <w:sz w:val="15"/>
          <w:szCs w:val="15"/>
          <w:u w:val="single" w:color="auto"/>
          <w:color w:val="0000EE"/>
        </w:rPr>
        <w:t>95</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97</w:t>
      </w:r>
      <w:r>
        <w:rPr>
          <w:rFonts w:ascii="Arial" w:cs="Arial" w:eastAsia="Arial" w:hAnsi="Arial"/>
          <w:sz w:val="15"/>
          <w:szCs w:val="15"/>
          <w:color w:val="auto"/>
        </w:rPr>
        <w:t>, respectively.</w:t>
      </w: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These provisions might discourage an otherwise interested third party from considering or proposing an acquisition of Vringo, even one that may be deemed of greater value than the Merger to Vringo stockholders.</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Innovate/Protect can terminate the Merger Agreement for any reason or no reason upon payment of a termination fee and Vringo will have no recourse against Innovate/Protect.</w:t>
      </w:r>
    </w:p>
    <w:p>
      <w:pPr>
        <w:spacing w:after="0" w:line="62"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Pursuant to the Merger Agreement, Innovate/Protect can terminate the Merger Agreement, at any time, for any reason or no reason, upon payment to Vringo of a termination fee equal to $5,000,000. Vringo will have no recourse against Innovate/Protect other than receiving such termination fee and would not realize any of the anticipated benefits of having completed the Merger.</w:t>
      </w:r>
    </w:p>
    <w:p>
      <w:pPr>
        <w:spacing w:after="0" w:line="36"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If the Merger does not qualify as a “reorganization” under Section 368(a) of the Code, the stockholders of Innovate/Protect may be required to pay substantial U.S. federal income taxes as a result of the Merger as would Innovate/Protect.</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and Innovate/Protect intend that the Merger will qualify as a “reorganization” under Section 368(a) of the Code. Vringo and Innovate/Protect currently anticipate that the U.S. holders of shares of Innovate/Protect capital stock generally will not recognize taxable gain or loss as a result of the Merger. However, neither Vringo nor Innovate/Protect has requested, or intends to request, a ruling from the Internal Revenue Service (the “</w:t>
      </w:r>
      <w:r>
        <w:rPr>
          <w:rFonts w:ascii="Arial" w:cs="Arial" w:eastAsia="Arial" w:hAnsi="Arial"/>
          <w:sz w:val="15"/>
          <w:szCs w:val="15"/>
          <w:b w:val="1"/>
          <w:bCs w:val="1"/>
          <w:color w:val="auto"/>
        </w:rPr>
        <w:t>IRS</w:t>
      </w:r>
      <w:r>
        <w:rPr>
          <w:rFonts w:ascii="Arial" w:cs="Arial" w:eastAsia="Arial" w:hAnsi="Arial"/>
          <w:sz w:val="15"/>
          <w:szCs w:val="15"/>
          <w:color w:val="auto"/>
        </w:rPr>
        <w:t xml:space="preserve">”)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 For a more complete discussion of the material U.S. federal income tax consequences of the Merger, see the section entitled “Material U.S. Federal Income Tax Consequences of the Merger” beginning on page </w:t>
      </w:r>
      <w:r>
        <w:rPr>
          <w:rFonts w:ascii="Arial" w:cs="Arial" w:eastAsia="Arial" w:hAnsi="Arial"/>
          <w:sz w:val="15"/>
          <w:szCs w:val="15"/>
          <w:u w:val="single" w:color="auto"/>
          <w:color w:val="0000EE"/>
        </w:rPr>
        <w:t>86</w:t>
      </w:r>
      <w:r>
        <w:rPr>
          <w:rFonts w:ascii="Arial" w:cs="Arial" w:eastAsia="Arial" w:hAnsi="Arial"/>
          <w:sz w:val="15"/>
          <w:szCs w:val="15"/>
          <w:color w:val="auto"/>
        </w:rPr>
        <w:t>.</w:t>
      </w:r>
    </w:p>
    <w:p>
      <w:pPr>
        <w:spacing w:after="0" w:line="53"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Litigation may be instituted against Vringo, members of the Vringo board of directors, Innovate/Protect, members of the Innovate/Protect board of directors, and Merger Sub challenging the Merger and adverse judgments in these lawsuits may prevent the Merger from becoming effective within the expected timeframe or at all.</w:t>
      </w:r>
    </w:p>
    <w:p>
      <w:pPr>
        <w:spacing w:after="0" w:line="3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Vringo, members of the Vringo board of directors, Innovate/Protect, members of the Innovate/Protect board of directors, and Merger Sub may be named as defendants in class action lawsuits to be brought by Vringo of Innovate/Protect stockholders challenging the Merger. If the plaintiffs in these potential cases are successful, they may prevent the parties from completing the Merger in the expected timeframe, if at all. Even if the plaintiffs in these potential actions are not successful, the costs of defending against such claims could adversely affect the financial condition of Vringo or Innovate/Protect.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the Combined Company if the Merger Is Completed</w:t>
      </w:r>
    </w:p>
    <w:p>
      <w:pPr>
        <w:spacing w:after="0" w:line="105"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3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success of the Merger will depend, in large part, on the ability of the combined company following the completion of the Merger to realize the anticipated benefits from combining the businesses of Vringo and Innovate/Protect.</w:t>
      </w:r>
    </w:p>
    <w:p>
      <w:pPr>
        <w:spacing w:after="0" w:line="43"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200" w:lineRule="exact"/>
        <w:rPr>
          <w:sz w:val="20"/>
          <w:szCs w:val="20"/>
          <w:color w:val="auto"/>
        </w:rPr>
      </w:pPr>
    </w:p>
    <w:p>
      <w:pPr>
        <w:spacing w:after="0" w:line="26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Potential difficulties that may be encountered in the integration process include the following:</w:t>
      </w:r>
    </w:p>
    <w:p>
      <w:pPr>
        <w:spacing w:after="0" w:line="105" w:lineRule="exact"/>
        <w:rPr>
          <w:sz w:val="20"/>
          <w:szCs w:val="20"/>
          <w:color w:val="auto"/>
        </w:rPr>
      </w:pPr>
    </w:p>
    <w:p>
      <w:pPr>
        <w:ind w:left="560" w:hanging="300"/>
        <w:spacing w:after="0"/>
        <w:tabs>
          <w:tab w:leader="none" w:pos="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using the combined company’s cash and other assets efficiently to develop the business of the combined company;</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appropriately managing the liabilities of the combined company;</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potential unknown or currently unquantifiable liabilities associated with the Merger and the operations of the combined company;</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potential unknown and unforeseen expenses, delays or regulatory conditions associated with the Merger;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performance shortfalls at one or both of the companies as a result of the diversion of management’s attention caused by completing the Merger and integrating the companies’ operations.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realize the potential value and benefits created by the Merger.</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success of the Merger will depend, in part, on Vringo’s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48" w:lineRule="exact"/>
        <w:rPr>
          <w:sz w:val="20"/>
          <w:szCs w:val="20"/>
          <w:color w:val="auto"/>
        </w:rPr>
      </w:pPr>
    </w:p>
    <w:p>
      <w:pPr>
        <w:ind w:left="560" w:hanging="300"/>
        <w:spacing w:after="0"/>
        <w:tabs>
          <w:tab w:leader="none" w:pos="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failure to implement Vringo’s business plan for the combined business;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unanticipated issues in integrating the business of both companies;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potential lost sales and customers if any customer of Vringo decides not to do business with Vringo after the Merger;</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loss of key employees with knowledge of Vringo’s historical business and operations;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unanticipated changes in applicable laws and regulations;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other unanticipated issues, expenses, or liabilities that could impact, among other things, Vringo’s ability to realize any expected benefits on a timely basis, or at all.</w:t>
      </w:r>
    </w:p>
    <w:p>
      <w:pPr>
        <w:spacing w:after="0" w:line="6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 may not accomplish the integration of Innovate/Protect’s business smoothly, successfully, or within the anticipated costs or time frame. The diversion of the attention of management from Vringo’s current operations to the integration effort and any difficulties encountered in combining businesses could prevent Vringo from realizing the full expected potential value and benefits to result from the Merger and could adversely affect its business. In addition, the integration efforts could divert the focus and resources of the management of Vringo and Innovate/Protect from other strategic opportunities and operational matters during the integration process.</w:t>
      </w:r>
    </w:p>
    <w:p>
      <w:pPr>
        <w:spacing w:after="0" w:line="77"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The combined company will be dependent on certain key personnel, and the loss of these key personnel could have a material adverse effect on the combined company’s business, financial conditions and results of operations.</w:t>
      </w:r>
    </w:p>
    <w:p>
      <w:pPr>
        <w:spacing w:after="0" w:line="3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success and future prospects of the combined company largely depend on the skills, experience and efforts of its key personnel, including Andrew D. Perlman, Vringo’s current Chief Executive Officer and President, and Andrew Kennedy Lang, Innovate/Protect’s Chief Executive Officer, Chief Technology Officer and President. The loss of Messrs. Perlman or Lang or other executives of the combined company, or the combined company’s failure to retain other key personnel, would jeopardize the combined company’s ability to execute its strategic plan and materially harm its business.</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Merger will result in changes to the Vringo board of directors and the combined company may pursue different strategies than either Vringo or Innovate/Protect may have pursued independently.</w:t>
      </w:r>
    </w:p>
    <w:p>
      <w:pPr>
        <w:spacing w:after="0" w:line="62"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If the parties complete the Merger, the composition of the Vringo board of directors will change in accordance with the Merger Agreement. Following the completion of the Merger, the combined company’s board of directors will consist of seven members, including Seth M. Siegel, as Chairman, Andrew D. Perlman, John Engelman, all of whom are currently members of the Vringo board of directors, and Andrew Kennedy Lang, Alexander R. Berger, Donald E. Stout and H. Van Sinclair, all of whom are currently members of the Innovate/Protect board of directors. Currently, it is anticipated that the combined company will maximize the economic benefits of its intellectual property portfolio, add significant talent in technological innovation and potentially enhance its opportunities for revenue generation through the monetization of the combined company’s assets. However, because the composition of the board of directors of the combined company will consist of directors from both Vringo and Innovate/Protect, the combined company may determine to pursue certain business strategies that neither Vringo nor Innovate/Protect would have pursued independently.</w:t>
      </w:r>
    </w:p>
    <w:p>
      <w:pPr>
        <w:spacing w:after="0" w:line="7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Ownership of the combined company’s common stock may be highly concentrated, and it may prevent you and other stockholders from influencing significant corporate decisions and may result in conflicts of interest that could cause the combined company’s stock price to decline.</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Upon completion of the Merger, Vringo’s and Innovate/Protect’s executive officers and directors continuing with the combined company and are expected to beneficially own or control approximately 40.6% of the combined company (see the sections entitled “Vringo Security Ownership of Certain Beneficial Owners and Management” beginning on page </w:t>
      </w:r>
      <w:r>
        <w:rPr>
          <w:rFonts w:ascii="Arial" w:cs="Arial" w:eastAsia="Arial" w:hAnsi="Arial"/>
          <w:sz w:val="15"/>
          <w:szCs w:val="15"/>
          <w:u w:val="single" w:color="auto"/>
          <w:color w:val="0000EE"/>
        </w:rPr>
        <w:t>178</w:t>
      </w:r>
      <w:r>
        <w:rPr>
          <w:rFonts w:ascii="Arial" w:cs="Arial" w:eastAsia="Arial" w:hAnsi="Arial"/>
          <w:sz w:val="15"/>
          <w:szCs w:val="15"/>
          <w:color w:val="auto"/>
        </w:rPr>
        <w:t xml:space="preserve">, “Innovate/Protect Security Ownership of Certain Beneficial Owners and Management” beginning on page </w:t>
      </w:r>
      <w:r>
        <w:rPr>
          <w:rFonts w:ascii="Arial" w:cs="Arial" w:eastAsia="Arial" w:hAnsi="Arial"/>
          <w:sz w:val="15"/>
          <w:szCs w:val="15"/>
          <w:u w:val="single" w:color="auto"/>
          <w:color w:val="0000EE"/>
        </w:rPr>
        <w:t>180</w:t>
      </w:r>
      <w:r>
        <w:rPr>
          <w:rFonts w:ascii="Arial" w:cs="Arial" w:eastAsia="Arial" w:hAnsi="Arial"/>
          <w:sz w:val="15"/>
          <w:szCs w:val="15"/>
          <w:color w:val="auto"/>
        </w:rPr>
        <w:t xml:space="preserve"> and “Security Ownership of Certain Beneficial Owners and Management of the Combined Company Following the Merger” beginning on page </w:t>
      </w:r>
      <w:r>
        <w:rPr>
          <w:rFonts w:ascii="Arial" w:cs="Arial" w:eastAsia="Arial" w:hAnsi="Arial"/>
          <w:sz w:val="15"/>
          <w:szCs w:val="15"/>
          <w:u w:val="single" w:color="auto"/>
          <w:color w:val="0000EE"/>
        </w:rPr>
        <w:t>182</w:t>
      </w:r>
      <w:r>
        <w:rPr>
          <w:rFonts w:ascii="Arial" w:cs="Arial" w:eastAsia="Arial" w:hAnsi="Arial"/>
          <w:sz w:val="15"/>
          <w:szCs w:val="15"/>
          <w:color w:val="auto"/>
        </w:rPr>
        <w:t xml:space="preserve"> for more information on the estimated ownership of the combined company following the Merger). Accordingly, these executive officers and directors, acting individually or as a group,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may also exert influence in delaying or preventing a change in control of the combined company, even if such change in control would benefit the other stockholders of the combined company. In addition, the significant concentration of stock ownership may adversely affect the market value of the combined company’s common stock due to investors’ perception that conflicts of interest may exist or arise.</w:t>
      </w:r>
    </w:p>
    <w:p>
      <w:pPr>
        <w:spacing w:after="0" w:line="53"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The success of the combined company will depend in part on relationships with third parties, which relationships may be affected by third-party preferences or public attitudes about the Merger. Any adverse changes in these relationships could adversely affect the combined company’s business, financial condition, or results of operations.</w:t>
      </w:r>
    </w:p>
    <w:p>
      <w:pPr>
        <w:spacing w:after="0" w:line="3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combined company’s success will be dependent on its ability to maintain and renew the business relationships of both Vringo and Innovate/Protect and to establish new business relationships. There can be no assurance that the management of the combined company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the combined company.</w:t>
      </w:r>
    </w:p>
    <w:p>
      <w:pPr>
        <w:spacing w:after="0" w:line="4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Future results of the combined company may differ materially from the unaudited pro forma financial statements presented in this proxy statement/prospectus and the financial forecasts prepared by Vringo and Innovate/Protect in connection with discussions concerning the Merger.</w:t>
      </w:r>
    </w:p>
    <w:p>
      <w:pPr>
        <w:spacing w:after="0" w:line="73"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future results of the combined company may be materially different from those shown in the unaudited pro forma combined financial statements presented in this proxy statement/prospectus, which show only a combination of the historical results of Vringo and Innovate/Protect prepared by Vringo and Innovate/Protect in connection with discussions concerning the Merger. Vringo expects to incur significant costs associated with the completion of the Merger and combining the operations of the two companies. The exact magnitude of these costs are not yet known, but are estimated to be approximately $0.9 million. Furthermore,</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9" w:lineRule="auto"/>
        <w:rPr>
          <w:sz w:val="20"/>
          <w:szCs w:val="20"/>
          <w:color w:val="auto"/>
        </w:rPr>
      </w:pPr>
      <w:r>
        <w:rPr>
          <w:rFonts w:ascii="Arial" w:cs="Arial" w:eastAsia="Arial" w:hAnsi="Arial"/>
          <w:sz w:val="16"/>
          <w:szCs w:val="16"/>
          <w:color w:val="auto"/>
        </w:rPr>
        <w:t>these costs may decrease the capital that the combined company could use for continued development of the combined company’s business in the future or may cause the combined company to seek to raise new capital sooner than expected.</w:t>
      </w:r>
    </w:p>
    <w:p>
      <w:pPr>
        <w:spacing w:after="0" w:line="3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The combined company will require additional capital to support its present business plan and its anticipated business growth, and such capital may not be available on acceptable terms, or at all, which would adversely affect the combined company’s ability to operate.</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combined company will require additional funds to further develop its business plan. Based on current operating plans of Vringo and Innovate/Protect, the current resources of the combined company are expected to be sufficient to fund its planned operations into the fourth quarter of 2012.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73"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25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combined company intends to continue to make investments to support its business growth, including patent or other intellectual property asset creation. In addition, the combined company may also need additional funds to respond to business opportunities and challenges, including its ongoing operating expenses, protecting its assets, satisfying debt payment obligations, developing new lines of business and enhancing its operating infrastructure. While the combined company will need to seek additional funding, it may not be able to obtain financing on acceptable terms, or at all. In addition, the terms of the combined company’s financings may be dilutive to, or otherwise adversely affect, holders of its common stock. The combined company may also seek additional funds through arrangements with collaborators or other third parties. The combined company may not be able to negotiate arrangements on acceptable terms, if at all. If the combined company is unable to obtain additional funding on a timely basis, it may be required to curtail or terminate some or all of its business plans.</w:t>
      </w:r>
    </w:p>
    <w:p>
      <w:pPr>
        <w:spacing w:after="0" w:line="200" w:lineRule="exact"/>
        <w:rPr>
          <w:sz w:val="20"/>
          <w:szCs w:val="20"/>
          <w:color w:val="auto"/>
        </w:rPr>
      </w:pPr>
    </w:p>
    <w:p>
      <w:pPr>
        <w:spacing w:after="0" w:line="27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combined company’s business and financial condition could be constrained by the debt incurred in connection with the Merger.</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Innovate/Protect is obligated under a senior secured note payable to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w:t>
      </w:r>
    </w:p>
    <w:p>
      <w:pPr>
        <w:spacing w:after="0" w:line="5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w:t>
      </w:r>
    </w:p>
    <w:p>
      <w:pPr>
        <w:spacing w:after="0" w:line="200" w:lineRule="exact"/>
        <w:rPr>
          <w:sz w:val="20"/>
          <w:szCs w:val="20"/>
          <w:color w:val="auto"/>
        </w:rPr>
      </w:pPr>
    </w:p>
    <w:p>
      <w:pPr>
        <w:spacing w:after="0" w:line="28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w:t>
      </w:r>
    </w:p>
    <w:p>
      <w:pPr>
        <w:spacing w:after="0" w:line="1" w:lineRule="exact"/>
        <w:rPr>
          <w:sz w:val="20"/>
          <w:szCs w:val="20"/>
          <w:color w:val="auto"/>
        </w:rPr>
      </w:pPr>
    </w:p>
    <w:p>
      <w:pPr>
        <w:jc w:val="both"/>
        <w:ind w:left="40" w:right="1239" w:firstLine="7"/>
        <w:spacing w:after="0" w:line="291" w:lineRule="auto"/>
        <w:tabs>
          <w:tab w:leader="none" w:pos="285"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connection with the Merger, Vringo will guaranty the senior secured note and any financing drawn down under new facility. This could have a material adverse effect on the financial condition of Vringo following the Merger, including limiting Vringo’s ability to incur additional indebtedness, limiting its available funds for future operations and making Vringo vulnerable to economic or industry downturns.</w:t>
      </w:r>
    </w:p>
    <w:p>
      <w:pPr>
        <w:spacing w:after="0" w:line="74"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price of Vringo common stock after the Merger is completed may be affected by factors different from those currently affecting the shares of Vringo.</w:t>
      </w:r>
    </w:p>
    <w:p>
      <w:pPr>
        <w:spacing w:after="0" w:line="62"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Upon completion of the Merger, holders of Innovate/Protect capital stock will become holders of Vringo common stock and preferred stock. The business of Vringo differs from the business of Innovate/Protect and, accordingly, the results of operations of the combined company and the trading price of Vringo common stock following the completion of the Merger may be significantly affected by factors different from those currently affecting the independent results of operations of Vringo because the combined company will be conducting activities not undertaken by Vringo prior to the completion of the Merger. For a discussion of the businesses of Vringo and Innovate/Protect and of certain factors to consider in connection with those businesses, see the sections entitled “Vringo’s Business,” “Vringo’s Management’s Discussion and Analysis of Financial Condition and Results of Operations,” “Innovate/Protect’s Business,” “Innovate/Protect’s Management’s Discussion and Analysis of Financial Condition and Results of Operations,” and the financial statements of Vringo and Innovate/Protect, including the notes thereto, which are included elsewhere in this proxy statement/prospectus, and the other information contained in this proxy statement/prospectus.</w:t>
      </w:r>
    </w:p>
    <w:p>
      <w:pPr>
        <w:spacing w:after="0" w:line="53"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Material weaknesses may exist when the combined company reports on the effectiveness of its internal control over financial reporting for purposes of its reporting requirements.</w:t>
      </w:r>
    </w:p>
    <w:p>
      <w:pPr>
        <w:spacing w:after="0" w:line="62"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Prior to the filing of the registration statement of which this proxy statement/prospectus forms a part, Innovate/Protect was not subject to Sarbanes-Oxley Act of 2002 (“</w:t>
      </w:r>
      <w:r>
        <w:rPr>
          <w:rFonts w:ascii="Arial" w:cs="Arial" w:eastAsia="Arial" w:hAnsi="Arial"/>
          <w:sz w:val="16"/>
          <w:szCs w:val="16"/>
          <w:b w:val="1"/>
          <w:bCs w:val="1"/>
          <w:color w:val="auto"/>
        </w:rPr>
        <w:t>Sarbanes-Oxley</w:t>
      </w:r>
      <w:r>
        <w:rPr>
          <w:rFonts w:ascii="Arial" w:cs="Arial" w:eastAsia="Arial" w:hAnsi="Arial"/>
          <w:sz w:val="16"/>
          <w:szCs w:val="16"/>
          <w:color w:val="auto"/>
        </w:rPr>
        <w:t>”).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within the expected timeframe, the combined company will be required to provide management’s report on internal control over financial reporting in its Annual Report on Form 10-K for the year ending December 31, 2012, as required by Section 404 of Sarbanes-Oxley. Material weaknesses may exist when the combined company reports on the effectiveness of its internal control over financial reporting for purposes of its reporting requirements under the Exchange Act or Section 404 of Sarbanes-Oxley following the completion of the Merger. The existence of one or more material weaknesses would preclude a conclusion that the combined company maintains effective internal control over financial reporting. Such a conclusion would be required to be disclosed in the combined company’s future Annual Reports on Form 10-K and could impact the accuracy and timing of its financial reporting and the reliability of its internal control over financial reporting, which could harm the combined company’s reputation and cause the market price of its common stock to drop.</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does not expect the combined company to pay cash dividends on its common stock.</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anticipates that the combined company will retain its earnings, if any, for future growth and therefore does not anticipate paying cash dividends on its common stock in the future. Investors seeking cash dividends should not invest in the combined company’s common stock for that purpose.</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Anti-takeover provisions in the combined company’s charter and bylaws may prevent or frustrate attempts by stockholders to change the board of directors or current management and could make a third-party acquisition of the combined company difficult.</w:t>
      </w:r>
    </w:p>
    <w:p>
      <w:pPr>
        <w:spacing w:after="0" w:line="7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combined company’s certificate of incorporation and bylaws will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the combined company’s common stock.</w:t>
      </w:r>
    </w:p>
    <w:p>
      <w:pPr>
        <w:spacing w:after="0" w:line="7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Because the lack of a public market for Innovate/Protect’s capital stock makes it difficult to evaluate the fairness of the Merger, Innovate/Protect’s stockholders may receive consideration in the Merger that is greater than or less than the fair market value of Innovate/Protect’s capital stock.</w:t>
      </w:r>
    </w:p>
    <w:p>
      <w:pPr>
        <w:spacing w:after="0" w:line="7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outstanding capital stock of Innovate/Protect is privately held and is not traded in any public market. The lack of a public market makes it difficult to determine the fair market value of Innovate/Protect. Since the percentage of Vringo common stock, preferred stock and warrants to be issued to Innovate/Protect’s stockholders was determined based on negotiations between the parties, it is possible that the value of the Vringo common stock, preferred stock and warrants to be issued in connection with the Merger will be greater than the fair market value of Innovate/Protect. Alternatively, it is possible that the value of the shares of Vringo common stock, preferred stock and warrants to be issued in connection with the Merger will be less than the fair market value of Innovate/Protect.</w:t>
      </w:r>
    </w:p>
    <w:p>
      <w:pPr>
        <w:spacing w:after="0" w:line="80"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If any of the events described in “Risks Related to Vringo’s Business” or “Risks Related to Innovate/Protect’s Business” occur, those events could cause the potential benefits of the Merger not to be realized.</w:t>
      </w:r>
    </w:p>
    <w:p>
      <w:pPr>
        <w:spacing w:after="0" w:line="3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Following the completion of the Merger, current Vringo executive officers and certain Innovate/Protect executive officers and certain Innovate/Protect and Vringo directors will direct the business and operations of the combined company. Additionally, Innovate/Protect’s business is expected to be an important part of the business of the combined company following the Merger. As a result, the risks described below in the section entitled “Risks Related to Innovate/Protect’s Business” beginning on page </w:t>
      </w:r>
      <w:r>
        <w:rPr>
          <w:rFonts w:ascii="Arial" w:cs="Arial" w:eastAsia="Arial" w:hAnsi="Arial"/>
          <w:sz w:val="16"/>
          <w:szCs w:val="16"/>
          <w:u w:val="single" w:color="auto"/>
          <w:color w:val="0000EE"/>
        </w:rPr>
        <w:t>58</w:t>
      </w:r>
      <w:r>
        <w:rPr>
          <w:rFonts w:ascii="Arial" w:cs="Arial" w:eastAsia="Arial" w:hAnsi="Arial"/>
          <w:sz w:val="16"/>
          <w:szCs w:val="16"/>
          <w:color w:val="auto"/>
        </w:rPr>
        <w:t xml:space="preserve"> are among the significant risks to the combined company if the Merger is completed. To the extent any of the events in the risks described below in either the section entitled “Risks Related to Vringo’s Business” or “Risks Related to Innovate/Protect’s Business” occur, those events could cause the potential benefits of the Merger not to be realized and the market price of the combined company’s common stock to decline.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Vringo’s Business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i w:val="1"/>
          <w:iCs w:val="1"/>
          <w:color w:val="auto"/>
        </w:rPr>
        <w:t>Vringo is currently, and after the completion of the Merger the combined company will continue to be, subject to the risks described below.</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be able to consummate the Merger with Innovate/Protect.</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consummation of the Merger with Innovate/Protect is subject to stockholders approval and other closing conditions. Vringo has expended significant effort and management attention to the proposed transaction. There is no assurance that the Merger will be approved. For example, Vringo’s stockholders may not approve the Merger. If the Merger is not consummated for any reason, Vringo’s business and operations, as well as the market price of its stock and warrants may be adversely affected.</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To date, Vringo has generated only losses, which are expected to continue for the foreseeable future.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200" w:lineRule="exact"/>
        <w:rPr>
          <w:sz w:val="20"/>
          <w:szCs w:val="20"/>
          <w:color w:val="auto"/>
        </w:rPr>
      </w:pPr>
    </w:p>
    <w:p>
      <w:pPr>
        <w:spacing w:after="0" w:line="30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 is a development stage company with no significant source of income and there is a significant doubt about Vringo’s ability to continue its activities as a going concern.</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60"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believes that current cash levels will be sufficient to support its activity into the first quarter of 2013. The continuation of its business is dependent upon the successful consummation of the Merger with Innovate/Protect, or similar merger or acquisition, financing and upon the further development of Vringo’s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56"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exercise of a substantial number of warrants or options by Vringo’s security holders may have an adverse effect on the market price of Vringo common stock.</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Should Vringo’s currently outstanding warrants be exercised, there will be an additional 7,385,364 shares of common stock eligible for trading in the public market. In addition, Vringo currently has options outstanding to purchase 4,675,887 shares of common stock, granted as of the reporting date,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June 20, 2012, is $3.21 per share.</w:t>
      </w:r>
    </w:p>
    <w:p>
      <w:pPr>
        <w:spacing w:after="0" w:line="6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Under the terms of the Merger Agreement, Vringo will issue Innovate/Protect stockholders warrants to purchase 15,959,838 shares of Vringo common stock at an exercise price of $1.76 per share, each subject to equitable adjustment in the event of a reverse stock split. In addition, the issued and outstanding warrant to</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purchase 250,000 shares of Innovate/Protect’s common stock that is outstanding and unexercised immediately prior to the Merger will be exchanged for 250,000 shares of Vringo common stock and 850,000 warrant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Vringo’s security holders will be increased by 16,851,016 and the former stockholders of Innovate/Protect (without taking into account any shares of Vringo common stock held by Innovate/Protect stockholders prior to the completion of the Merger) are expected to own approximately 55.98% of the outstanding common stock of the combined company (or 67.69% of the outstanding common stock of the combined company calculated on a fully diluted basis) and the current stockholders of Vringo are expected to own approximately 44.02% of the outstanding common stock of the combined company (or 32.31% of the outstanding common stock of the combined company calculated on a fully diluted basis).</w:t>
      </w:r>
    </w:p>
    <w:p>
      <w:pPr>
        <w:spacing w:after="0" w:line="61"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Future sales of Vringo’s shares of common stock by its stockholders could cause the market price of Vringo common stock to drop significantly, even if Vringo’s business is performing well.</w:t>
      </w:r>
    </w:p>
    <w:p>
      <w:pPr>
        <w:spacing w:after="0" w:line="62"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As of June 20, 2012, Vringo has 14,060,424 shares of common stock issued and outstanding,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4,623,863 options currently outstanding under Vringo’s 2006 Stock Option Plan.</w:t>
      </w:r>
    </w:p>
    <w:p>
      <w:pPr>
        <w:spacing w:after="0" w:line="5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Under the terms of the Merger Agreement, Vringo will issue Innovate/Protect stockholders 17,863,169 of its common stock shares and Series A Convertible Preferred stock, initially convertible into 20,136,445 of Vringo shares of common stock. In addition, the outstanding warrant to purchase 250,000 shares of Innovate/Protect’s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the number of outstanding shares of common stock (calculated on a fully diluted basis) held by Vringo’s security holders will significantly increase.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If Vringo is unable to adequately protect its intellectual property, Vringo may not be able to compete effectively.</w:t>
      </w:r>
    </w:p>
    <w:p>
      <w:pPr>
        <w:spacing w:after="0" w:line="12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w:t>
      </w: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6"/>
          <w:szCs w:val="16"/>
          <w:color w:val="auto"/>
        </w:rPr>
        <w:t>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71"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The possibility of extensive delays in the patent issuance process could effectively reduce the term during which a marketed product is protected by patents.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6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62"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74"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4" w:lineRule="auto"/>
        <w:rPr>
          <w:sz w:val="20"/>
          <w:szCs w:val="20"/>
          <w:color w:val="auto"/>
        </w:rPr>
      </w:pPr>
      <w:r>
        <w:rPr>
          <w:rFonts w:ascii="Arial" w:cs="Arial" w:eastAsia="Arial" w:hAnsi="Arial"/>
          <w:sz w:val="16"/>
          <w:szCs w:val="16"/>
          <w:color w:val="auto"/>
        </w:rPr>
        <w:t>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73"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53"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62"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may not be able to generate revenues from certain of its prepaid mobile customers.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is dependent on mobile carriers and other partners to make timely payments to Vringo.</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partners. Vringo’s failure to collect payments owed to it from its partners will have an adverse effect on Vringo’s business and its results of operations.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Vringo may not be able to continue to maintain its application on all of the operating systems that it currently supports.</w:t>
      </w:r>
    </w:p>
    <w:p>
      <w:pPr>
        <w:spacing w:after="0" w:line="13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w:t>
      </w:r>
    </w:p>
    <w:p>
      <w:pPr>
        <w:spacing w:after="0" w:line="1" w:lineRule="exact"/>
        <w:rPr>
          <w:sz w:val="20"/>
          <w:szCs w:val="20"/>
          <w:color w:val="auto"/>
        </w:rPr>
      </w:pPr>
    </w:p>
    <w:p>
      <w:pPr>
        <w:jc w:val="both"/>
        <w:ind w:left="40" w:right="1239"/>
        <w:spacing w:after="0"/>
        <w:rPr>
          <w:sz w:val="20"/>
          <w:szCs w:val="20"/>
          <w:color w:val="auto"/>
        </w:rPr>
      </w:pPr>
      <w:r>
        <w:rPr>
          <w:rFonts w:ascii="Arial" w:cs="Arial" w:eastAsia="Arial" w:hAnsi="Arial"/>
          <w:sz w:val="15"/>
          <w:szCs w:val="15"/>
          <w:color w:val="auto"/>
        </w:rPr>
        <w:t>subscribers to Vringo’s video ringtone platform. Vringo’s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platform, which represents less than 5% of Vringo’s revenue for the three months ended March 31, 2012, is heavily reliant upon Vringo’s Android devices users. Currently, over 96% of</w:t>
      </w:r>
    </w:p>
    <w:p>
      <w:pPr>
        <w:spacing w:after="0" w:line="15" w:lineRule="exact"/>
        <w:rPr>
          <w:sz w:val="20"/>
          <w:szCs w:val="20"/>
          <w:color w:val="auto"/>
        </w:rPr>
      </w:pPr>
    </w:p>
    <w:p>
      <w:pPr>
        <w:jc w:val="both"/>
        <w:ind w:left="40" w:right="1239"/>
        <w:spacing w:after="0" w:line="247" w:lineRule="auto"/>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operates in the digital content market where piracy of content is widespread.</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Major network failures could have an adverse effect on Vringo’s business.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7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62"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Vringo’s business depends upon its ability to keep pace with the latest technological changes and Vringo’s failure to do so could make Vringo less competitive in its industry.</w:t>
      </w:r>
    </w:p>
    <w:p>
      <w:pPr>
        <w:spacing w:after="0" w:line="62"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Vringo’s 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application depends upon Vringo’s continued access to Facebook® photos.</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creates automated video slideshow using friends’ photos from social media web sites,</w:t>
      </w:r>
    </w:p>
    <w:p>
      <w:pPr>
        <w:jc w:val="both"/>
        <w:ind w:left="40" w:right="1239"/>
        <w:spacing w:after="0" w:line="257" w:lineRule="auto"/>
        <w:rPr>
          <w:sz w:val="20"/>
          <w:szCs w:val="20"/>
          <w:color w:val="auto"/>
        </w:rPr>
      </w:pPr>
      <w:r>
        <w:rPr>
          <w:rFonts w:ascii="Arial" w:cs="Arial" w:eastAsia="Arial" w:hAnsi="Arial"/>
          <w:sz w:val="15"/>
          <w:szCs w:val="15"/>
          <w:color w:val="auto"/>
        </w:rPr>
        <w:t>primarily from Facebook®, the world’s leading social media site.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5"/>
          <w:szCs w:val="15"/>
          <w:color w:val="auto"/>
        </w:rPr>
        <w:t>entered into an agreement with Facebook®, which clarifies Vringo’s permitted use of the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mark and domain name.</w:t>
      </w:r>
    </w:p>
    <w:p>
      <w:pPr>
        <w:spacing w:after="0" w:line="88" w:lineRule="exact"/>
        <w:rPr>
          <w:sz w:val="20"/>
          <w:szCs w:val="20"/>
          <w:color w:val="auto"/>
        </w:rPr>
      </w:pPr>
    </w:p>
    <w:p>
      <w:pPr>
        <w:jc w:val="both"/>
        <w:ind w:left="40" w:right="1239" w:firstLine="251"/>
        <w:spacing w:after="0" w:line="212" w:lineRule="auto"/>
        <w:rPr>
          <w:sz w:val="20"/>
          <w:szCs w:val="20"/>
          <w:color w:val="auto"/>
        </w:rPr>
      </w:pPr>
      <w:r>
        <w:rPr>
          <w:rFonts w:ascii="Arial" w:cs="Arial" w:eastAsia="Arial" w:hAnsi="Arial"/>
          <w:sz w:val="17"/>
          <w:szCs w:val="17"/>
          <w:b w:val="1"/>
          <w:bCs w:val="1"/>
          <w:color w:val="auto"/>
        </w:rPr>
        <w:t>If Vringo’s 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trademark is challenged by another party, Vringo’s revenue from this application may be adversely affected.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February 2012, Vringo entered into an agreement with Facebook, Inc., an online social network, relating to the use of</w:t>
      </w:r>
    </w:p>
    <w:p>
      <w:pPr>
        <w:spacing w:after="0" w:line="43" w:lineRule="exact"/>
        <w:rPr>
          <w:sz w:val="20"/>
          <w:szCs w:val="20"/>
          <w:color w:val="auto"/>
        </w:rPr>
      </w:pPr>
    </w:p>
    <w:p>
      <w:pPr>
        <w:jc w:val="both"/>
        <w:ind w:left="40" w:right="1239"/>
        <w:spacing w:after="0" w:line="244" w:lineRule="auto"/>
        <w:rPr>
          <w:sz w:val="20"/>
          <w:szCs w:val="20"/>
          <w:color w:val="auto"/>
        </w:rPr>
      </w:pPr>
      <w:r>
        <w:rPr>
          <w:rFonts w:ascii="Arial" w:cs="Arial" w:eastAsia="Arial" w:hAnsi="Arial"/>
          <w:sz w:val="16"/>
          <w:szCs w:val="16"/>
          <w:color w:val="auto"/>
        </w:rPr>
        <w:t>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 (collectively, the “</w:t>
      </w:r>
      <w:r>
        <w:rPr>
          <w:rFonts w:ascii="Arial" w:cs="Arial" w:eastAsia="Arial" w:hAnsi="Arial"/>
          <w:sz w:val="16"/>
          <w:szCs w:val="16"/>
          <w:b w:val="1"/>
          <w:bCs w:val="1"/>
          <w:color w:val="auto"/>
        </w:rPr>
        <w:t>Facetones Mark</w:t>
      </w:r>
      <w:r>
        <w:rPr>
          <w:rFonts w:ascii="Arial" w:cs="Arial" w:eastAsia="Arial" w:hAnsi="Arial"/>
          <w:sz w:val="16"/>
          <w:szCs w:val="16"/>
          <w:color w:val="auto"/>
        </w:rPr>
        <w:t>”).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Regulation concerning consumer privacy may adversely affect Vringo’s business.</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200" w:lineRule="exact"/>
        <w:rPr>
          <w:sz w:val="20"/>
          <w:szCs w:val="20"/>
          <w:color w:val="auto"/>
        </w:rPr>
      </w:pPr>
    </w:p>
    <w:p>
      <w:pPr>
        <w:spacing w:after="0" w:line="28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Vringo’s ability to raise capital through equity or equity-linked transactions may be limited.</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In order for Vringo to raise capital through equity or equity-linked transactions, stockholder approval is required to enable Vringo to issue more than 19.99% of Vringo’s outstanding shares of common stock pursuant to the rules and regulations of the NYSE Amex. Should stockholders not approve such issuances, Vringo’s sole means to raise capital would be through debt, which could have a material adverse effect on Vringo’s balance sheet and overall financial condition.</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Vringo’s liquidity is largely dependent on its common stock being traded on a major exchange.</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Vringo’s common stock and warrants are listed on the NYSE Amex, a national securities exchange, which imposes continued listing requirements with respect to listed shares. On April 26, 2012, the NYSE MKT (formerly, NYSE Amex)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the NYSE MKT delists Vringo’s securities from trading, Vringo could face significant consequences, including:</w:t>
      </w:r>
    </w:p>
    <w:p>
      <w:pPr>
        <w:spacing w:after="0" w:line="105" w:lineRule="exact"/>
        <w:rPr>
          <w:sz w:val="20"/>
          <w:szCs w:val="20"/>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limited availability for market quotations for its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reduced liquidity with respect to its securities;</w:t>
      </w:r>
    </w:p>
    <w:p>
      <w:pPr>
        <w:spacing w:after="0" w:line="105"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76" w:lineRule="exact"/>
        <w:rPr>
          <w:rFonts w:ascii="Arial" w:cs="Arial" w:eastAsia="Arial" w:hAnsi="Arial"/>
          <w:sz w:val="17"/>
          <w:szCs w:val="17"/>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limited amount of news and analyst coverage;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addition, Vringo would no longer be subject to the NYSE MKT rules, including rules requiring Vringo to have a certain number of independent directors and to meet other corporate governance standards.</w:t>
      </w:r>
    </w:p>
    <w:p>
      <w:pPr>
        <w:spacing w:after="0" w:line="6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62"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77"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200" w:lineRule="exact"/>
        <w:rPr>
          <w:sz w:val="20"/>
          <w:szCs w:val="20"/>
          <w:color w:val="auto"/>
        </w:rPr>
      </w:pPr>
    </w:p>
    <w:p>
      <w:pPr>
        <w:spacing w:after="0" w:line="29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73"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57" w:lineRule="exact"/>
        <w:rPr>
          <w:sz w:val="20"/>
          <w:szCs w:val="20"/>
          <w:color w:val="auto"/>
        </w:rPr>
      </w:pPr>
    </w:p>
    <w:p>
      <w:pPr>
        <w:jc w:val="both"/>
        <w:ind w:left="40" w:right="1239" w:firstLine="251"/>
        <w:spacing w:after="0" w:line="340" w:lineRule="auto"/>
        <w:rPr>
          <w:sz w:val="20"/>
          <w:szCs w:val="20"/>
          <w:color w:val="auto"/>
        </w:rPr>
      </w:pPr>
      <w:r>
        <w:rPr>
          <w:rFonts w:ascii="Arial" w:cs="Arial" w:eastAsia="Arial" w:hAnsi="Arial"/>
          <w:sz w:val="15"/>
          <w:szCs w:val="15"/>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7"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Risks Related to Innovate/Protect’s Business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Innovate/Protect’s limited operating history makes it difficult to evaluate its current business and future prospects.</w:t>
      </w:r>
    </w:p>
    <w:p>
      <w:pPr>
        <w:spacing w:after="0" w:line="13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7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66" w:lineRule="exact"/>
        <w:rPr>
          <w:sz w:val="20"/>
          <w:szCs w:val="20"/>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implement or execute its current business plan, or demonstrate that its business plan is sound; and/or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raise sufficient funds in the capital markets to effectuate its business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Innovate/Protect cannot execute any one of the foregoing or similar matters relating to its operations, its business may fail.</w:t>
      </w:r>
    </w:p>
    <w:p>
      <w:pPr>
        <w:spacing w:after="0" w:line="12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revenue from such assets fail, Innovate/Protect will have incurred significant losses and may be unable to acquire additional assets.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If this occurs, Innovate/Protect’s business would likely fail.</w:t>
      </w:r>
    </w:p>
    <w:p>
      <w:pPr>
        <w:spacing w:after="0" w:line="8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7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70" w:lineRule="exact"/>
        <w:rPr>
          <w:sz w:val="20"/>
          <w:szCs w:val="20"/>
          <w:color w:val="auto"/>
        </w:rPr>
      </w:pPr>
    </w:p>
    <w:p>
      <w:pPr>
        <w:jc w:val="both"/>
        <w:ind w:left="40" w:right="1239" w:firstLine="251"/>
        <w:spacing w:after="0" w:line="268" w:lineRule="auto"/>
        <w:rPr>
          <w:sz w:val="20"/>
          <w:szCs w:val="20"/>
          <w:color w:val="auto"/>
        </w:rPr>
      </w:pPr>
      <w:r>
        <w:rPr>
          <w:rFonts w:ascii="Arial" w:cs="Arial" w:eastAsia="Arial" w:hAnsi="Arial"/>
          <w:sz w:val="16"/>
          <w:szCs w:val="16"/>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6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2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7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4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7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78" w:lineRule="exact"/>
        <w:rPr>
          <w:sz w:val="20"/>
          <w:szCs w:val="20"/>
          <w:color w:val="auto"/>
        </w:rPr>
      </w:pPr>
    </w:p>
    <w:p>
      <w:pPr>
        <w:ind w:left="560" w:right="1239" w:hanging="300"/>
        <w:spacing w:after="0" w:line="267" w:lineRule="auto"/>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patent applications Innovate/Protect may file may not result in issued patents or may take longer than Innovate/Protect expects to result in issued patents;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Innovate/Protect may be subject to interference proceedings;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Innovate/Protect may be subject to opposition proceedings in the U.S. or foreign countries;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patents that are issued to Innovate/Protect may not provide meaningful protection;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Innovate/Protect may not be able to develop additional proprietary technologies that are patentable;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other companies may challenge patents issued to Innovate/Protect;</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other companies may have independently developed and/or patented (or may in the future independently develop and patent) similar or alternative technologies, or duplicate Innovate/Protect’s technologies;</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other companies may design around technologies Innovate/Protect has developed;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enforcement of Innovate/Protect’s patents would be complex, uncertain and very expensive.</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5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72"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New legislation, regulations or court rulings related to enforcing patents could harm Innovate/Protect’s business and operating results.</w:t>
      </w:r>
    </w:p>
    <w:p>
      <w:pPr>
        <w:spacing w:after="0" w:line="62"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6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Innovate/Protect’s acquisitions of patent assets may be time consuming, complex and costly, which could adversely affect Innovate/Protect’s operating results.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7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76"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7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4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73"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8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 Innovate/Protect’s intellectual property:</w:t>
      </w:r>
    </w:p>
    <w:p>
      <w:pPr>
        <w:spacing w:after="0" w:line="66" w:lineRule="exact"/>
        <w:rPr>
          <w:sz w:val="20"/>
          <w:szCs w:val="20"/>
          <w:color w:val="auto"/>
        </w:rPr>
      </w:pPr>
    </w:p>
    <w:p>
      <w:pPr>
        <w:ind w:left="560" w:right="1239" w:hanging="300"/>
        <w:spacing w:after="0" w:line="267"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Innovate/Protect’s applications for patents, trademarks and copyrights may not be granted and, if granted, may be challenged or invalidated;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issued trademarks, copyrights, or patents may not provide Innovate/Protect with any competitive advantages versus potentially infringing parties;</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Innovate/Protect’s efforts to protect its intellectual property rights may not be effective in preventing misappropriation of Innovate/Protect’s technology; or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Innovate/Protect’s efforts may not prevent the development and design by others of products or technologies similar to or competitive with, or superior to those Innovate/Protect acquires and/or prosecutes.</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74" w:lineRule="exact"/>
        <w:rPr>
          <w:sz w:val="20"/>
          <w:szCs w:val="20"/>
          <w:color w:val="auto"/>
        </w:rPr>
      </w:pPr>
    </w:p>
    <w:p>
      <w:pPr>
        <w:jc w:val="both"/>
        <w:ind w:left="40" w:right="1239" w:firstLine="251"/>
        <w:spacing w:after="0" w:line="304" w:lineRule="auto"/>
        <w:rPr>
          <w:sz w:val="20"/>
          <w:szCs w:val="20"/>
          <w:color w:val="auto"/>
        </w:rPr>
      </w:pPr>
      <w:r>
        <w:rPr>
          <w:rFonts w:ascii="Arial" w:cs="Arial" w:eastAsia="Arial" w:hAnsi="Arial"/>
          <w:sz w:val="16"/>
          <w:szCs w:val="16"/>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3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THE MERGER</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Structure of the Merger</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accordance with the Merger Agreement and the DGCL, at the effective time, Innovate/Protect will merge with and into Merger Sub, a wholly-owned subsidiary of Vringo formed solely for the purpose of carrying out the Merger, with Merger Sub continuing as the surviving corporation and a wholly-owned subsidiary of Vringo. In connection with the Merger, each share of Innovate/Protect capital stock outstanding as of immediately prior to the effective time will be converted into the right to receive shares of Vringo common stock and Vringo preferred stock, as applicable, and warrants, all in accordance with the terms and conditions of the Merger Agreement. The Merger will become effective when a certificate of merger is filed with the Secretary of State of the State of Delaware or at such other time as agreed to by the parties and specified in the certificate of merger. If the Vringo stockholders approve the Vringo Merger Proposals, then Vringo expects the Merger to be completed as soon as practicable following the Vringo annual meeting.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What Innovate/Protect Stockholders Will Receive in the Merger</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each Innovate/Protect common stock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June 20, 2012, shall be initially convertible into an aggregate of 20,136,445 shares of Vringo common stock (or at a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immediately following the completion of the Merger (without taking into account any shares of Vringo common stock held by Innovate/Protect stockholders prior to the completion of the Merger), the former stockholders of Innovate/Protect are expected to own approximately 55.98% of the outstanding common stock of the combined company (or 67.69% of the outstanding common stock of the combined company calculated on a fully diluted basis) and the current stockholders of Vringo are expected to own approximately 44.02% of the outstanding common stock of the combined company (or 32.31% of the outstanding common stock of the combined company calculated on a fully diluted basis).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Fractional Shares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 For an additional discussion of what Innovate/Protect stockholders will receive in connection with the Merger, see the section entitled “The Merger Agreement — Merger Consideration” beginning on page </w:t>
      </w:r>
      <w:r>
        <w:rPr>
          <w:rFonts w:ascii="Arial" w:cs="Arial" w:eastAsia="Arial" w:hAnsi="Arial"/>
          <w:sz w:val="17"/>
          <w:szCs w:val="17"/>
          <w:u w:val="single" w:color="auto"/>
          <w:color w:val="0000EE"/>
        </w:rPr>
        <w:t>90</w:t>
      </w:r>
      <w:r>
        <w:rPr>
          <w:rFonts w:ascii="Arial" w:cs="Arial" w:eastAsia="Arial" w:hAnsi="Arial"/>
          <w:sz w:val="17"/>
          <w:szCs w:val="17"/>
          <w:color w:val="auto"/>
        </w:rPr>
        <w:t>.</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Ownership of the Combined Company after the Completion of the Merger</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Upon completion of the Merger and regardless of the exact Exchange Ratio (or any reverse stock split), the Innovate/Protect stockholders and warrantholder are expected to receive shares of Vringo common stock and preferred stock and warrants representing an aggregate of approximately 67.55% of the outstanding shares of common stock of the combined company calculated on a fully diluted basis. Vringo stockholders will continue to own their existing shares of Vringo common stock, which will not be affected by the Merger, and, unless they hold shares of Innovate/Protect capital stock, will not receive any additional shares of Vringo common stock in connection with the Merger. As a result, immediately upon completion of the Merger, such shares will represent an aggregate of approximately 32.45% of the outstanding shares of common stock of the combined company calculated on a fully diluted basis. For example, if you are a Vringo stockholder and hold 5% of the outstanding shares of Vringo common stock calculated on a fully diluted basis immediately prior to the completion of the Merger and do not also hold shares of Innovate/Protect capital stock, then upon completion of the Merger you will hold an aggregate of approximately 1.62% of the outstanding shares of common stock of the combined company calculated on a fully diluted basis as of immediately following the completion of the Merger. If you are an Innovate/Protect stockholder and hold 5% of the outstanding shares of Innovate/Protect capital stock calculated on a fully diluted basis immediately prior to the completion of the Merger and do not also hold shares of Vringo common stock, then upon completion of the Merger you will hold an aggregate of approximately 2.38% of the outstanding shares of common stock of the combined company, calculated on a fully diluted basis as of immediately following the completion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Treatment of Innovate/Protect Stock Options and Warrants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June 20, 2012, the outstanding and unexercised Innovate/Protect stock options to purchase 13,646 shares of Innovate/Protect common stock will be converted into and become options to purchase an aggregate of 41,178 shares of Vringo common stock at an exercise price of $0.994 per share.</w:t>
      </w:r>
    </w:p>
    <w:p>
      <w:pPr>
        <w:spacing w:after="0" w:line="6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 xml:space="preserve">As of June 20, 2012, the latest practicable date before the printing of this proxy statement/prospectus, there were outstanding options to purchase 13,646 shares of Innovate/Protect capital stock. For an additional discussion of the treatment of Innovate/Protect stock options, see the section entitled “The Merger Agreement — Merger Consideration” beginning on page </w:t>
      </w:r>
      <w:r>
        <w:rPr>
          <w:rFonts w:ascii="Arial" w:cs="Arial" w:eastAsia="Arial" w:hAnsi="Arial"/>
          <w:sz w:val="15"/>
          <w:szCs w:val="15"/>
          <w:u w:val="single" w:color="auto"/>
          <w:color w:val="0000EE"/>
        </w:rPr>
        <w:t>90</w:t>
      </w:r>
      <w:r>
        <w:rPr>
          <w:rFonts w:ascii="Arial" w:cs="Arial" w:eastAsia="Arial" w:hAnsi="Arial"/>
          <w:sz w:val="15"/>
          <w:szCs w:val="15"/>
          <w:color w:val="auto"/>
        </w:rPr>
        <w:t>.</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Warrants</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of June 20, 2012, the latest practicable date before the printing of this proxy statement/prospectus, there was an outstanding warrant to purchase 250,000 shares of Innovate/Protect capital stock. For an</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 xml:space="preserve">additional discussion of the treatment of Innovate/Protect warrants, see the section entitled “The Merger Agreement — Merger Consideration” beginning on page </w:t>
      </w:r>
      <w:r>
        <w:rPr>
          <w:rFonts w:ascii="Arial" w:cs="Arial" w:eastAsia="Arial" w:hAnsi="Arial"/>
          <w:sz w:val="17"/>
          <w:szCs w:val="17"/>
          <w:u w:val="single" w:color="auto"/>
          <w:color w:val="0000EE"/>
        </w:rPr>
        <w:t>90</w:t>
      </w:r>
      <w:r>
        <w:rPr>
          <w:rFonts w:ascii="Arial" w:cs="Arial" w:eastAsia="Arial" w:hAnsi="Arial"/>
          <w:sz w:val="17"/>
          <w:szCs w:val="17"/>
          <w:color w:val="auto"/>
        </w:rPr>
        <w: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of the Merger</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terms of the merger are the result of negotiations that took place between executives and board members of Vringo, executives and board members of Innovate/Protect, partners of Hudson Bay Capital Management LP (“</w:t>
      </w:r>
      <w:r>
        <w:rPr>
          <w:rFonts w:ascii="Arial" w:cs="Arial" w:eastAsia="Arial" w:hAnsi="Arial"/>
          <w:sz w:val="17"/>
          <w:szCs w:val="17"/>
          <w:b w:val="1"/>
          <w:bCs w:val="1"/>
          <w:color w:val="auto"/>
        </w:rPr>
        <w:t>Hudson Bay Capital</w:t>
      </w:r>
      <w:r>
        <w:rPr>
          <w:rFonts w:ascii="Arial" w:cs="Arial" w:eastAsia="Arial" w:hAnsi="Arial"/>
          <w:sz w:val="17"/>
          <w:szCs w:val="17"/>
          <w:color w:val="auto"/>
        </w:rPr>
        <w:t>”), the investment manager for Innovate/Protect’s controlling shareholder, Hudson Bay.</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Vringo’s Background</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Vringo was incorporated in January 2006 and is still a development stage company. Vringo’s principal executive offices are located in New York, New York and its subsidiary, Vringo (Israel) Ltd., is located in Beit Shemesh, Israel. On June 25, 2010, Vringo successfully completed its initial public offering on the NYSE Amex. During the period from February 2011 through the entry into the Merger Agreement, Vringo has explored a number of potential mergers to maximize shareholder value.</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Innovate/Protect’s Background</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was incorporated under the laws of the state of Delaware on June 8, 2011 as Labrador Search Corporation. On September 6, 2011, Labrador Search Corporation changed its name to Innovate/Protect, Inc. Innovate/Protect is a holding company, which owns 100% of the issued and outstanding common stock of I/P Engine, Inc. (“</w:t>
      </w:r>
      <w:r>
        <w:rPr>
          <w:rFonts w:ascii="Arial" w:cs="Arial" w:eastAsia="Arial" w:hAnsi="Arial"/>
          <w:sz w:val="16"/>
          <w:szCs w:val="16"/>
          <w:b w:val="1"/>
          <w:bCs w:val="1"/>
          <w:color w:val="auto"/>
        </w:rPr>
        <w:t>I/P Engine</w:t>
      </w:r>
      <w:r>
        <w:rPr>
          <w:rFonts w:ascii="Arial" w:cs="Arial" w:eastAsia="Arial" w:hAnsi="Arial"/>
          <w:sz w:val="16"/>
          <w:szCs w:val="16"/>
          <w:color w:val="auto"/>
        </w:rPr>
        <w:t>”) and I/P Labs, Inc. (“</w:t>
      </w:r>
      <w:r>
        <w:rPr>
          <w:rFonts w:ascii="Arial" w:cs="Arial" w:eastAsia="Arial" w:hAnsi="Arial"/>
          <w:sz w:val="16"/>
          <w:szCs w:val="16"/>
          <w:b w:val="1"/>
          <w:bCs w:val="1"/>
          <w:color w:val="auto"/>
        </w:rPr>
        <w:t>I/P Labs</w:t>
      </w:r>
      <w:r>
        <w:rPr>
          <w:rFonts w:ascii="Arial" w:cs="Arial" w:eastAsia="Arial" w:hAnsi="Arial"/>
          <w:sz w:val="16"/>
          <w:szCs w:val="16"/>
          <w:color w:val="auto"/>
        </w:rPr>
        <w:t>” and together with I/P Engine, the “</w:t>
      </w:r>
      <w:r>
        <w:rPr>
          <w:rFonts w:ascii="Arial" w:cs="Arial" w:eastAsia="Arial" w:hAnsi="Arial"/>
          <w:sz w:val="16"/>
          <w:szCs w:val="16"/>
          <w:b w:val="1"/>
          <w:bCs w:val="1"/>
          <w:color w:val="auto"/>
        </w:rPr>
        <w:t>I/P Subsidiaries</w:t>
      </w:r>
      <w:r>
        <w:rPr>
          <w:rFonts w:ascii="Arial" w:cs="Arial" w:eastAsia="Arial" w:hAnsi="Arial"/>
          <w:sz w:val="16"/>
          <w:szCs w:val="16"/>
          <w:color w:val="auto"/>
        </w:rPr>
        <w:t>”).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Innovate/Protect’s principal offices are located in New York City.</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Contemporaneously with the formation of Innovate/Protect, on June 22, 2011, Innovate/Protect consummated a private placement transaction with Hudson Bay whereby Hudson Bay purchased 6,968 shares of Innovate/Protect’s Series A Convertible Preferred Stock for $1,800,000 and a $3,200,000 Senior Secured Note.</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Innovate/Protect has raised an aggregate of $5,145,229 through the sale of its common stock to investors other than Hudson Bay pursuant to private placement transactions. On August 31, 2011, Innovate/Protect closed a private placement of 1,250,000 shares of its common stock to an aggregate of five accredited investors for an aggregate purchase price of $1,250,000. 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History of Events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December 22, 2011, Sander Gerber, Chief Executive Officer of Hudson Bay Capital and a Vringo stockholder, met with John Engelman, a director of Vringo, and at the suggestion of Alexander R. Berger, the Chief Operating Officer and a director of Innovate/Protect, briefly discussed a potential merger between Vringo and Innovate/Protect. Mr. Gerber originally became a Vringo stockholder through his pension plan prior to Vringo's initial public offering, at the suggestion of then Chief Executive Officer, Jonathan Medved, with whom Mr. Gerber was acquainted socially. Mr. Gerber, through his pension plan, initially acquired 28,748 shares of Vringo common stock, representing approximately 0.2% of the outstanding shares (as of June 20, 2012), and has not engaged in any personal transactions in Vringo common stock since then.</w:t>
      </w:r>
    </w:p>
    <w:p>
      <w:pPr>
        <w:spacing w:after="0" w:line="7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December 23, 2011, Mr. Engelman provided an introduction between Yoav Roth, a partner of Hudson Bay Capital, the Investment Manager of Hudson Bay, and then-Chairman of Innovate/Protect, and Andrew Perlman, then-President and a director of Vringo.</w:t>
      </w:r>
    </w:p>
    <w:p>
      <w:pPr>
        <w:spacing w:after="0" w:line="200" w:lineRule="exact"/>
        <w:rPr>
          <w:sz w:val="20"/>
          <w:szCs w:val="20"/>
          <w:color w:val="auto"/>
        </w:rPr>
      </w:pP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3, 2012, an introductory meeting took place between Messrs. Roth, Berger and Perlman at Hudson Bay Capital’s offices. The history of Innovate/Protect, mission statement of Innovate/Protect, patent portfolio and outstanding litigation were discussed. Mr. Perlman provided an overview of Vringo’s business, organization and current capital structure. As a result of the meeting, Messrs. Perlman, Roth and Berger decided that they would have internal discussions with other members of their respective boards and management regarding next steps and the potential for a future merger.</w:t>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January 4, 2012, Vringo’s board of directors held a call and discussed a number of potential merger scenarios. In addition to Innovate/Protect, Vringo considered five potential merger scenarios that had been proposed to Vringo. The Vringo board believed that two of the proposed merger scenarios were serious proposals worthy of consideration. Both of these potential merger proposals were in relation to operating companies, one company that primarily supplies infrastructure to mobile operators and another company that is a mobile content and mobile social network company. Under each of the scenario alternatives, the Vringo stockholders would have been the minority stockholders. The board of directors authorized Mr. Perlman to negotiate the terms of a potential deal with Innovate/Protect on a non-exclusive basis.</w:t>
      </w:r>
    </w:p>
    <w:p>
      <w:pPr>
        <w:spacing w:after="0" w:line="7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6, 2012, Messrs. Berger and Perlman met at Vringo’s offices to begin discussions on potential merger terms. They were joined by Clifford Weinstein, Vringo’s Executive Vice President, and Andrew K. Lang, the Chief Executive Officer and a director of Innovate/Protect. The framework of a potential stock-for-stock merger was discussed and Mr. Perlman was tasked with presenting Innovate/Protect with a term sheet. The parties did not discuss the merger consideration. Mr. Berger provided Mr. Perlman with Innovate/Protect’s most recent financial statements.</w:t>
      </w:r>
    </w:p>
    <w:p>
      <w:pPr>
        <w:spacing w:after="0" w:line="68"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On January 9, 2012, Mr. Perlman sent headline terms (or principal deal terms) for an opening offer on a draft term sheet to Messrs. Roth and Berger. Mr. Perlman proposed that Vringo and Innovate/Protect would effect a business combination in a stock-for-stock merger where, in exchange for all outstanding securities of Innovate/Protect, Vringo would issue 20 million shares of common stock, 10 million warrants exercisable at $2.00 per share, five million warrants exercisable at $2.50 per share, and five million warrants exercisable at $3.50 per share. Mr. Perlman advanced the concept that certain series of the warrants would only be issued if the combined company’s common stock traded above certain levels within a certain amount of time following the merger. Mr. Perlman’s proposal did not indicate the expiration date for the warrants. On January 9, 2012, Vringo common stock had a closing price of $0.96 per share. Therefore, the common stock portion of the proposed consideration had a value equal to approximately $19.2 million. The parties did not discuss how each party would value the warrants. Thereafter, Mr. Perlman had a call with Mr. Berger where Mr. Berger agreed that he would provide comments and additional points that would be negotiated, including the duration of the warrants and treatment of Innovate/Protect’s outstanding debt to Hudson Bay. Mr. Berger held informal discussions with each member of the Innovate/Protect board of directors and shared the headline terms provided by Mr. Perlman, which included the general background and history of Vringo, merger consideration offered by Vringo, and that Vringo would appoint four of the seven directors to the combined company’s board of directors.</w:t>
      </w:r>
    </w:p>
    <w:p>
      <w:pPr>
        <w:spacing w:after="0" w:line="60"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From January 10 through January 12, 2012, a number of additional telephone calls were held while Mr. Perlman was traveling in Asia to discuss additional outstanding deal points, including a timeline for the proposed merger that identified milestones such as executing a letter of intent, completing due diligence, executing a definitive agreement, filing a preliminary proxy statement, and scheduling a meeting of Vringo’s stockholders to approve the proposed transaction. With respect to the economic terms of the proposed transaction, Mr. Berger initially counter proposed during negotiations that Vringo would issue 60 million shares, but and ultimately indicated that Innovate/Protect would not be able to engage any offer that was not at a premium to Innovate/Protect’s valuation in its most recent round of financing, which was approximately $42 million. At that point, the 30-day volume weighted average price of Vringo common stock was $1.02, and therefore approximately 40 million shares of Vringo stock would be required. Mr. Berger did not negotiate for a specific premium or range that was above Innovate/Protect’s most recent valuation for the common stock portion of the merger consideration.</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January 13, 2012, when Mr. Perlman returned to New York, Messrs. Perlman, Roth and Berger discussed top line deal terms and decided to proceed with planning items relating to the potential merger of</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Innovate/Protect and Vringo. A number of meetings and calls occurred between Messrs. Perlman, Weinstein, Roth, Berger and Lang, and external counsel and accounting firms, Mintz Levin Cohn Ferris Glovsky &amp; Popeo, P.C. (“Mintz”), Somekh Chaikin, a member firm of KPMG International (“KPMG”), and Schulte Roth &amp; Zabel LLP. While top line deal terms, including that Vringo would issue approximately 40 million shares of common stock, plus warrants to purchase common stock, to Innovate/Protect as merger consideration, appeared agreeable to both sides, details regarding the valuation of warrants to purchase common stock that would be issued to Innovate/Protect stockholders, and the features of the preferred stock that would be issued to Hudson Bay as merger consideration remained outstanding. Specifically, the parties’ discussion focused on the expiration of the warrants and the protective features that would be included in the preferred stock. On January 13, 2012, Vringo’s common stock had a closing price of $0.96 per share. Therefore, the common stock portion of the proposed consideration had a value equal to approximately $39.2 million. On January 18, 2012, Seth M. Siegel, the Chairman of Vringo’s board of directors and Messrs. Engelman and Perlman met with Messrs. Lang and Berger to discuss Innovate/Protect’s business model.</w:t>
      </w:r>
    </w:p>
    <w:p>
      <w:pPr>
        <w:spacing w:after="0" w:line="60"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Later in the day on January 18, 2012, Mr. Berger sent Mr. Perlman a term sheet which stated that Vringo would issue preferred stock convertible into 21.7 million shares of common stock in exchange for the outstanding Innovate/Protect preferred stock and 18.3 million shares of common stock in exchange for the outstanding Innovate/Protect common stock. On January 18, 2012, Vringo’s common stock had a closing price of $0.94 per share. Therefore, the common stock portion of the proposed consideration had a value equal to approximately $37.6 million. In addition, Vringo would issue four million warrants exercisable at $0.94 per share for five years (the “Series A Warrants”), and 12 million warrants exercisable at $2.00 per share for five years (the “Series B Warrants”). Additionally, Vringo would assume Innovate/Protect’s outstanding indebtedness to Hudson Bay, but Hudson Bay’s option to redeem $2 million of the $3.2 million outstanding would be removed, and replaced with an option for Hudson Bay to redeem (a) up to 50% of the outstanding principal amount when the combined company had over $10 million of cash or cash equivalents, and (b) the entire outstanding principal amount when the combined company had over $15 million of cash or cash equivalents. In addition, Hudson Bay would be allowed to require the combined company to use up to 20% of cash raised by any debt or equity sale to prepay the debt. The term sheet also stated that the combined company’s board of directors would include Messrs. Siegel, Engelman and Perlman from the current Vringo board of directors, and Messrs. Berger and Lang, Donald E. Stout and H. Van Sinclair from the current Innovate/Protect board of directors.</w:t>
      </w:r>
    </w:p>
    <w:p>
      <w:pPr>
        <w:spacing w:after="0" w:line="60"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January 19, 2012, the Vringo board of directors held a call to review the terms of the Innovate/Protect merger as well as other strategic alternatives. Vringo continued to discuss the alternative transactions that had been discussed at the previous meeting. The board of directors concluded that Vringo should move forward with the merger between Innovate/Protect and Vringo, as well as leaving open other potential transactions that might maintain or enhance stockholder value. At that point, Vringo had received proposed term sheets from the two alternatives previously discussed and performed preliminary due diligence on one of them.</w:t>
      </w:r>
    </w:p>
    <w:p>
      <w:pPr>
        <w:spacing w:after="0" w:line="53"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January 22, 2012, Mr. Perlman responded to Mr. Berger’s term sheet with a revised term sheet that agreed with the amounts of preferred stock and common stock issuable, as well as the quantities of warrants issuable, but added a feature that the Series A Warrants would be exercisable for one year instead of five years, and redeemable if the combined company’s common stock traded above 150% of the exercise price for 20 consecutive days, and that the Series B Warrants would be redeemable if the combined company’s stock traded above 125% of the exercise price for 20 consecutive days. On January 20, 2012, the trading day immediately preceding January 22, 2012, Vringo’s common stock had a closing price of $0.90 per share. Therefore, the common stock portion of the proposed consideration had a value equal to approximately $36 million.</w:t>
      </w:r>
    </w:p>
    <w:p>
      <w:pPr>
        <w:spacing w:after="0" w:line="5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January 23, 2012, Messrs. Roth, Berger, Perlman and Weinstein met to discuss outstanding items on the term sheet, including the features of the preferred stock that would be issued to Hudson Bay as merger consideration. In particular, the parties discussed Mr. Roth’s comments that the preferred stock to be issued to Hudson Bay would contain the following provisions: (i) special rights upon changes of control, fundamental transactions, and liquidation events, (ii) covenants with respect to the combined company’s cash burn, (iii) covenants that treated the preferred holder as an equity holder in the event of a rights offering by the</w:t>
      </w:r>
    </w:p>
    <w:p>
      <w:pPr>
        <w:spacing w:after="0" w:line="200" w:lineRule="exact"/>
        <w:rPr>
          <w:sz w:val="20"/>
          <w:szCs w:val="20"/>
          <w:color w:val="auto"/>
        </w:rPr>
      </w:pPr>
    </w:p>
    <w:p>
      <w:pPr>
        <w:spacing w:after="0" w:line="26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combined company, (iv) a covenant that the company would not incur indebtedness or any other instrument senior to the preferred for 18 months, and (v) full-ratchet anti-dilution protection for the first two years and weighted-average anti-dilution thereafter. Mr. Perlman responded that (i) standard change of control provisions were acceptable, (ii) a cash burn covenant was not acceptable, (iii) covenants for purchase rights protections were acceptable, (iv) the parties could discuss restrictions on indebtedness at a later point, and (v) anti-dilution provisions on the preferred were not acceptable.</w:t>
      </w:r>
    </w:p>
    <w:p>
      <w:pPr>
        <w:spacing w:after="0" w:line="68"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On January 25, 2012, Messrs. Berger, Lang, Perlman and Weinstein met to discuss the capital market strategy should a deal be completed. As part of that strategy discussion, the parties met with an analyst from an investment bank for informal advice.</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From January 26 to 28, 2012, the parties engaged in further discussions regarding the features of the warrants that would be issued to Innovate/Protect stockholders as merger consideration, plans for the budget priorities of the combined company, and covenants for uses of cash between the execution of the merger agreement and closing. Specifically, the parties agreed to compromise with respect to anti-dilution protection in the warrants where some warrants would have anti-dilution protection and others would not. The parties had not discussed the number of shares of common stock that would be issued. On January 27, 2012, Vringo’s common stock closed at $1.01 per share. Therefore, the common stock portion of the proposed consideration had a value equal to approximately $40.4 million.</w:t>
      </w:r>
    </w:p>
    <w:p>
      <w:pPr>
        <w:spacing w:after="0" w:line="71"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 xml:space="preserve">On January 29, 2012, the Vringo board of directors held a conference call to discuss the Innovate/Protect merger, additional strategic alternatives, as well as the ongoing deal negotiations with another party. Of the alternatives previously discussed, the Vringo board only believed that there was one serious alternative proposal. That alternative was an operating company that supplies infrastructure and services to mobile operators. The Vringo stockholders would have been the minority stockholders post-deal. The alternative proposal would have also required an additional capital raise of at least $6 million prior to closing. The relative percentage of Vringo ownership of the combined entity post-deal on a fully diluted basis was materially similar to the Innovate/Protect merger, however, based on a number of comparable public companies, the board of directors concluded that the alternative proposal would not be in the best interests of stockholders as the combined entity would not command the same valuation,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number of shares outstanding post-merger multiplied by share price, in the public markets as the transaction with Innovate/Protect.</w:t>
      </w:r>
    </w:p>
    <w:p>
      <w:pPr>
        <w:spacing w:after="0" w:line="7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On January 30, 2012, the news media reported that Facebook, Inc. intended to file a Form S-1 registration statement with the U.S. Securities and Exchange Commission for its initial public offering, and the website </w:t>
      </w:r>
      <w:r>
        <w:rPr>
          <w:rFonts w:ascii="Arial" w:cs="Arial" w:eastAsia="Arial" w:hAnsi="Arial"/>
          <w:sz w:val="17"/>
          <w:szCs w:val="17"/>
          <w:i w:val="1"/>
          <w:iCs w:val="1"/>
          <w:color w:val="auto"/>
        </w:rPr>
        <w:t>Seeking Alpha</w:t>
      </w:r>
      <w:r>
        <w:rPr>
          <w:rFonts w:ascii="Arial" w:cs="Arial" w:eastAsia="Arial" w:hAnsi="Arial"/>
          <w:sz w:val="17"/>
          <w:szCs w:val="17"/>
          <w:color w:val="auto"/>
        </w:rPr>
        <w:t xml:space="preserve"> published an article entitled “Why Wait for IPO When You Can Buy Facebook’s Friends Today” featuring Vringo. Subsequent to these events, the price of Vringo shares closed at $1.16 per share, $0.165 above the average of the preceding 30 days’ closing prices, which was $0.995. Volume increased to 1,068,133 shares, over 9.5 times the average trading volume for the preceding 30 days, which was 107,230 shares per day.</w:t>
      </w:r>
    </w:p>
    <w:p>
      <w:pPr>
        <w:spacing w:after="0" w:line="81"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January 31, 2012, Mr. Berger and Ms. Cohl participated in a teleconference with KPMG, which performed the financial due diligence of Innovate/Protect for Vringo. KPMG requested that Innovate/Protect provide (i) its most recent financial statements, (ii) its trial balance for fiscal year 2011, (iii) minutes from the meetings of the board of directors, (iv) a breakdown of the accrued liabilities for fiscal year 2011, (v) the budget estimates, and (vi) copies of outstanding securities. During the teleconference, KPMG asked Mr. Berger to walk him through these documents, and Mr. Berger did so. Mr. Berger and Mr. Perlman did not discuss the economic terms of the merger at this time. On January 31, 2012, Vringo common stock had a closing price of $1.40 per share. Therefore, the common stock portion of the proposed consideration had a value equal to approximately $56 million.</w:t>
      </w:r>
    </w:p>
    <w:p>
      <w:pPr>
        <w:spacing w:after="0" w:line="5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On February 2, 2012, the Vringo board of directors held a conference call to discuss the current increase in the company’s market capitalization. The board chose to explore its ability to raise capital while continuing its merger talks.</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February 3, 2012, Messrs. Berger and Perlman traveled to Washington, DC for legal due diligence. They were accompanied by Vringo’s intellectual property counsel from Mintz. Mr. Berger and Mr. Perlman did not discuss the economic terms of the merger at this time. Vringo’s common stock had a closing price of</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$1.76 per share. Therefore, the common stock portion of the proposed consideration had a value equal to approximately $70.4 million. Later in the day, the Innovate/Protect board of directors held a conference call of their own to discuss the terms of the proposed transaction with Vringo.</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5, 2012, the Vringo board of directors held a conference call to discuss its options given the high trading volume of its stock and its increase in price. Upon the recommendation of management, the board of directors agreed that the best way to ensure value for its stockholders would be to terminate all merger discussions in order to negotiate with its warrantholders and improve the financial condition of the company.</w:t>
      </w:r>
    </w:p>
    <w:p>
      <w:pPr>
        <w:spacing w:after="0" w:line="78"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On February 6, 2012, Mr. Perlman contacted Messrs. Berger and Roth and stated that due to conditions in the capital markets, Vringo’s board of directors has chosen to cease negotiations with Innovate/Protect with respect to a potential merger. Subsequent to their telephone conversations Mr. Perlman notified Messrs. Berger and Roth in writing via e-mail that negotiations would cease.</w:t>
      </w:r>
    </w:p>
    <w:p>
      <w:pPr>
        <w:spacing w:after="0" w:line="4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On February 6, 2012, Vringo attained one million downloads of its flagship </w:t>
      </w:r>
      <w:r>
        <w:rPr>
          <w:rFonts w:ascii="Arial" w:cs="Arial" w:eastAsia="Arial" w:hAnsi="Arial"/>
          <w:sz w:val="16"/>
          <w:szCs w:val="16"/>
          <w:i w:val="1"/>
          <w:iCs w:val="1"/>
          <w:color w:val="auto"/>
        </w:rPr>
        <w:t>Facetones</w:t>
      </w:r>
      <w:r>
        <w:rPr>
          <w:rFonts w:ascii="Arial" w:cs="Arial" w:eastAsia="Arial" w:hAnsi="Arial"/>
          <w:sz w:val="16"/>
          <w:szCs w:val="16"/>
          <w:color w:val="auto"/>
        </w:rPr>
        <w:t xml:space="preserve"> application. Following the release of this news, Vringo’s common stock traded over 4.8 million shares. Messrs. Perlman and Weinstein proceeded to discuss with certain holders of its $0.936 warrants to exercise their warrants by offering them new five-year warrants exercisable for $1.76 per share. As a result of these warrant exercises, Vringo raised $3.6 million through the exercise of 3,828,993 warrants. New warrants to purchase 2,660,922 shares of common stock were issued between February 6 and February 9, 2012. As a result of an improved capitalization structure, cash balance and trading volume, Vringo was approached by a number of third parties with respect to a potential transaction. These third parties were operating companies in the mobile content, applications and services industries and were of varying size. In addition to a merger, Vringo considered raising additional capital and growing the business on a stand-alone basis.</w:t>
      </w:r>
    </w:p>
    <w:p>
      <w:pPr>
        <w:spacing w:after="0" w:line="6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10, 2012, Mr. Berger called Mr. Perlman to discuss reengaging in potential merger talks. On a conference call later in the day, Messrs. Perlman and Weinstein discussed with Messrs. Lang and Berger that as a result of Vringo’s increased cash position, higher share price and trading volume, a number of alternatives had become available to the company and it was unclear if they could proceed at that point.</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February 13, 2012, Messrs. Perlman and Berger spoke by telephone and decided that simultaneous meetings between (i) Messrs. Perlman, Weinstein and Berger and (ii) Josh Wolff, who was travelling in New York, and Mr. Lang, would better inform the parties’ decision on whether to re-engage in merger discussions. Messrs. Wolff and Lang discussed the potential strategic directions for the existing Vringo technology business. While this meeting occurred, Messrs. Perlman and Weinstein received an update on Innovate/Protect’s progress from Mr. Berger.</w:t>
      </w:r>
    </w:p>
    <w:p>
      <w:pPr>
        <w:spacing w:after="0" w:line="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February 15, 2012, Messrs. Roth, Lang and Berger invited Messrs. Perlman and Weinstein to Hudson Bay Capital’s offices to discuss new deal terms. Mr. Perlman indicated the number of shares it would issue to Innovate/Protect would be reduced from its previous offer. Mr. Berger indicated that in the period of time in which negotiations had been terminated, the value of Innovate/Protect had increased due to a number of factors, including: (i) Innovate/Protect had received a scheduling order in the Litigation, (ii) David Cohen had joined Innovate/Protect as special counsel, and (iii) Innovate/Protect had been approached by at least one other company interested in acquiring it. As a result of the meeting, the parties agreed to re-engage in merger discussions. Mr. Berger sent Mr. Perlman a new draft term sheet. This term sheet differed from the most recent term sheet prior to the termination of merger discussions in that, rather than have Vringo issue a fixed number of shares (previously, 40 million), Vringo would issue a number of shares of common stock and shares of convertible preferred stock to the existing holders of such securities equal to the quotient of (i) $45,000,000 divided by (ii) if a definitive agreement is executed after February 21, 2012, a to be determined discount factor multiplied by the average of each of the thirty (30) daily volume weighted average prices of Vringo common stock (as reported by Bloomberg on the HP screen) for the period immediately preceding the execution and delivery of the definitive agreement (the “Vringo VWAP Price”); provided that in no event would the number of shares issued be (i) less than 31 million or (ii) greater than 38.250 million. Further, rather than Vringo issue a fixed number of warrants (previously, four million warrants exercisable at $0.94 per share and 12 million warrants exercisable at $2.00 per share), Vringo would issue warrants to purchase common stock at an exercise price of $1.76 per share, where the number of warrants issued would</w:t>
      </w:r>
    </w:p>
    <w:p>
      <w:pPr>
        <w:spacing w:after="0" w:line="200" w:lineRule="exact"/>
        <w:rPr>
          <w:sz w:val="20"/>
          <w:szCs w:val="20"/>
          <w:color w:val="auto"/>
        </w:rPr>
      </w:pPr>
    </w:p>
    <w:p>
      <w:pPr>
        <w:spacing w:after="0" w:line="27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be equal to 42% of the sum of the shares of common stock underlying the convertible preferred stock and shares of common stock issued. The warrants would be in substantially the same form as the warrants recently issued by Vringo that are exercisable at $1.76 for five years. The warrants would be issued in two series, identical in all respects, except that one series, which shall account for 60% of the total, shall contain a “most favored nations” clause, which provided that the exercise price would be adjusted if Vringo issued warrants with a lower exercise price in the future.</w:t>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Further negotiations continued through February 18, 2012 when a confidential non-binding term sheet between the parties was agreed upon pending approval by the Vringo and Innovate/Protect board of directors. The term sheet agreed upon on February 18, 2012 differed from the term sheet sent by Mr. Berger to Mr. Perlman on February 15, 2012, in the following material respect: 52%, instead of 60%, of the total number of warrants issued would contain a “most favored nations” clause.</w:t>
      </w:r>
    </w:p>
    <w:p>
      <w:pPr>
        <w:spacing w:after="0" w:line="4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February 18, 2012, Messrs. Lang, Berger, Perlman and Weinstein met at Vringo’s offices to discuss plans for the merger, including mutual due diligence.</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February 21, 2012, Messrs. Berger and Perlman addressed additional concerns regarding the term sheet. Specifically, the term sheet contemplated a reverse triangular merger, which Vringo’s tax counsel advised could adversely affect the tax-free treatment of the consideration to be received by Innovate/Protect’s stockholders.</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February 22, 2012, Messrs. Berger and Weinstein met and discussed strategies for the joint business. Specifically, the parties discussed Vringo’s global platform for the creation and distribution of mobile applications, and its relationships with carrier partners, handset makers and content partners, and how Mr. Lang could most easily be integrated into Vringo’s development activities in Israel. The parties discussed the collective experiences of Messrs. Siegel, Engelman and Perlman in licensing intellectual property, with a focus on trademarks and copyrights, as well as the collective experiences of Messrs. Stout and Cohen in intellectual property litigation with a focus on patents. The parties generally resolved that the core competencies of the company’s executive team and board of directors included innovation, licensing, and protection of intellectual property.</w:t>
      </w:r>
    </w:p>
    <w:p>
      <w:pPr>
        <w:spacing w:after="0" w:line="5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On February 23, 2012, Vringo’s board of directors held a board meeting to approve the terms set forth in the proposed confidential non-binding term sheet. The board also received an update on the company’s capital market strategy and alternatives that the company could explore at that point. At that point, Vringo’s management believed that the alternative offers seemed less likely to close because one of the target companies required a significant amount of time to prepare its financial statements in accordance with U.S. GAAP and the other target company would require too much additional outside capital to give the transaction a reasonable chance of closing. In addition, based on management’s preliminary analysis, none of such alternatives provided more value to Vringo’s stockholders than the current offer from Innovate/Protect. The Vringo board concluded that the merger with Innovate/Protect was the best possible outcome for its stockholders and as a result gave Mr. Perlman the authorization to move forward under the terms of the deal.</w:t>
      </w:r>
    </w:p>
    <w:p>
      <w:pPr>
        <w:spacing w:after="0" w:line="6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On February 23, 2012, Innovate/Protect’s board of directors adopted a resolution by written consent to establish an independent committee to conduct due diligence and report to the full board of directors of Innovate/Protect. Innovate/Protect established the special committee to consist of the four directors that would survive the merger, Messrs. Lang, Berger, Stout and Sinclair, with Mr. Berger serving as chair. The board authorized Mr. Berger to select and retain independent advisors as necessary to assist in analyzing the potential transaction with Vringo. Mr. Roth did not serve on the special committee because he would not continue on the board of directors following the merger, and did not want to be aware of any non-public details of Vringo’s business following the public announcement of the merger.</w:t>
      </w:r>
    </w:p>
    <w:p>
      <w:pPr>
        <w:spacing w:after="0" w:line="71"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From February 24 – 28, 2012, the parties engaged in mutual due diligence, drafted and negotiated the definitive merger agreement and related documents. During this period, the material issues negotiated included the definition of a material adverse effect and the restrictions that the parties would place on one another between the execution of the definitive agreement and the closing of the merger. The parties conducted mutual due diligence and reviewed the representations and warranties that each would make to the other, including, representations and warranties regarding organization, subsidiaries, capital structure, required filings, financial</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0" w:lineRule="auto"/>
        <w:rPr>
          <w:sz w:val="20"/>
          <w:szCs w:val="20"/>
          <w:color w:val="auto"/>
        </w:rPr>
      </w:pPr>
      <w:r>
        <w:rPr>
          <w:rFonts w:ascii="Arial" w:cs="Arial" w:eastAsia="Arial" w:hAnsi="Arial"/>
          <w:sz w:val="16"/>
          <w:szCs w:val="16"/>
          <w:color w:val="auto"/>
        </w:rPr>
        <w:t>statements, board approval, absence of undisclosed liabilities, absence of certain changes or events, agreements, contracts, commitments, material permits, employees, taxes, intellectual property, disclosure, certain business practices, books and records, employee benefit plans, tangible assets, leases, and insurance. Additionally, the companies agreed that upon the execution of the definitive agreement, they would immediately cease and cause to be terminated any existing activities, discussions or negotiations with any persons conducted previously with respect to an alternative acquisition proposal.</w:t>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February 29, 2012, Messrs. Berger, Cohen, Perlman and Weinstein traveled to Washington, D.C. for meetings, which included meetings with Mr. Stout and Mr. Sinclair, and with counsel. The purpose of the trip to Washington, D.C. was for Messrs. Perlman and Weinstein to meet Messrs. Stout and Sinclair. No material negotiations regarding the price or terms of the transaction took place.</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March 5, 2012, Mr. Perlman held a call with Vringo’s director Philip Serlin and separately an in person meeting with Geoffrey Skolnik to update them on the progress of the transaction.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March 7, 2012, Mr. Perlman held a call with Messrs. Engelman and Siegel to update them on the progress of the transaction.</w:t>
      </w:r>
    </w:p>
    <w:p>
      <w:pPr>
        <w:spacing w:after="0" w:line="12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March 7, 2012, the Vringo board of directors held a conference call to discuss outstanding issues relating to the definitive agreement, including break-up fees. In addition, the Vringo board of directors provided the authorization to retain Etico Capital to render an opinion as to whether the Merger consideration was fair, from a financial point of view, to the stockholders of Vringo. Vringo’s board of directors retained Etico Capital on March 7, 2012.</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On March 8, 2012, Messrs. Berger, Roth, Gerber, Engelman and Perlman met at Hudson Bay Capital’s offices to discuss number of outstanding issues. The parties discussed that the term sheet had established February 21, 2012 as the outside date for the current formula, and that market fluctuations in Vringo’s stock had distorted the originally agreed-upon formula. The parties recognized that the number of shares issuable pursuant to the term sheet formula on February 21, 2012 was 36,976,981. Messrs. Perlman and Engelman informed Messrs. Berger, Roth and Gerber that Vringo had elected to issue 1.7 million options to purchase common stock at the then current market price of $1.65, in the aggregate, to members of its executive management team and board of directors as compensation for past performance and changes in roles and duties among senior management. The parties determined that rather than mirror the issuance to Innovate/Protect stockholders as warrants, Vringo would issue 38 million shares to Innovate/Protect which was within the range contemplated by the term sheet.</w:t>
      </w:r>
    </w:p>
    <w:p>
      <w:pPr>
        <w:spacing w:after="0" w:line="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noted above, the parties did not negotiate the merger consideration (e.g., price) from February 23, 2012 until March 8, 2012, when the final amounts were agreed upon.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Drafting of the definitive merger agreement and related documents continued through March 8 and 9, 2012.</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On Sunday, March 11, 2012, the Vringo board of directors held a telephonic board meeting where it reviewed a presentation and the draft fairness opinion provided by Etico Capital and considered the approval of the final terms and conditions of the merger agreement. The fairness opinion was based on the assumptions, qualifications and limitations set forth in their written fairness opinion, the merger consideration to be issued by Vringo in connection with the merger was fair, from a financial point of view, to the stockholders of Vringo (other than those who own, or whose affiliates own, securities of Innovate/Protect, regarding which Etico Capital expressed no view). The Vringo board of directors approved and adopted, by a unanimous vote, the merger agreement and the merger and declared the merger agreement and the merger to be advisable, fair to, and in the best interests of Vringo and its stockholders and recommended that the Vringo stockholders vote in favor of the merger agreement and the merger.</w:t>
      </w:r>
    </w:p>
    <w:p>
      <w:pPr>
        <w:spacing w:after="0" w:line="6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Monday, March 12, 2012, Etico Capital delivered its final fairness opinion which was circulated to the Vringo board of directors. Messrs. Berger, Perlman and Weinstein met at Mintz’s offices, each with counsel, to complete all outstanding items. Vringo’s counsel and Mr. Perlman consulted with Mr. Engelman on a number of issues throughout the day with Ms. Cohl participating in a number of calls. The day concluded with the parties signing the definitive merger agreement and the related documents, which the parties</w:t>
      </w:r>
    </w:p>
    <w:p>
      <w:pPr>
        <w:spacing w:after="0" w:line="200" w:lineRule="exact"/>
        <w:rPr>
          <w:sz w:val="20"/>
          <w:szCs w:val="20"/>
          <w:color w:val="auto"/>
        </w:rPr>
      </w:pPr>
    </w:p>
    <w:p>
      <w:pPr>
        <w:spacing w:after="0" w:line="29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announced via a joint press release, followed by a joint conference call to answer initial questions from investors and analysts on March 14, 2012.</w:t>
      </w:r>
    </w:p>
    <w:p>
      <w:pPr>
        <w:spacing w:after="0" w:line="66"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April 4, 2012, Vringo, Merger Sub and Innovate/Protect consented and agreed to modify the requirement that the registration statement containing the proxy statement be filed with the SEC from 15 business days from the date of the Merger Agreement to 19 business days from the date of the Merger Agreement. In addition, the parties agreed to clarify that the exchange ratios and shares issuable in connection with the Merger shall be equitably adjusted to reflect the reverse stock split, if any, and the aggregate number of shares of Vringo common stock and the aggregate number of warrants (and the aggregate number of shares of Vringo common stock that may be purchased upon exercise thereof) to be issued in exchange for the Innovate/Protect warrant shall each be ratably adjusted to give effect to any partial exercise of the Innovate/Protect warrant prior to the effective time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Recommendations of the Vringo Board of Directors and its Reasons for the Merger</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Vringo board of directors, after considering the factors described below, (i) has determined that the Merger Agreement and the transactions contemplated thereby, including the Merger, are advisable and fair to, and in the best interests of, Vringo and its stockholders, (ii) has approved the Merger Agreement and each of the amendments to Vringo’s Certificate, and (iii) recommends that the Vringo stockholders vote FOR the Vringo Merger Proposals. The board of directors made its recommendation to the Vringo stockholders after considering the factors described in this proxy statement/prospectus. The Vringo board of directors consulted with Vringo’s senior management in evaluating the Merger. In addition, the Vringo board of directors considered a number of factors that they believed supported their respective decisions to take the foregoing actions, including, but not limited to, the following:</w:t>
      </w:r>
    </w:p>
    <w:p>
      <w:pPr>
        <w:spacing w:after="0" w:line="82" w:lineRule="exact"/>
        <w:rPr>
          <w:sz w:val="20"/>
          <w:szCs w:val="20"/>
          <w:color w:val="auto"/>
        </w:rPr>
      </w:pPr>
    </w:p>
    <w:p>
      <w:pPr>
        <w:jc w:val="both"/>
        <w:ind w:left="560" w:right="1239" w:hanging="300"/>
        <w:spacing w:after="0" w:line="256" w:lineRule="auto"/>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belief that the combination of Vringo’s and Innovate/Protect’s businesses would create more value for the Vringo stockholders in the long-term than Vringo could create as a stand-alone business given the challenges in its business and those presented by a volatile economy;</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fact that Vringo has not managed to create a revenue stream of significance nor does management believe that Vringo will be able to create a revenue of significance in the short-term;</w:t>
      </w:r>
    </w:p>
    <w:p>
      <w:pPr>
        <w:spacing w:after="0" w:line="66"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ability to create long-term value for Vringo stockholders would require the need for Vringo to raise additional capital which the Vringo board believed would be dilutive to its stockholders and impair the value of Vringo common stock;</w:t>
      </w:r>
    </w:p>
    <w:p>
      <w:pPr>
        <w:spacing w:after="0" w:line="19" w:lineRule="exact"/>
        <w:rPr>
          <w:rFonts w:ascii="Arial" w:cs="Arial" w:eastAsia="Arial" w:hAnsi="Arial"/>
          <w:sz w:val="15"/>
          <w:szCs w:val="15"/>
          <w:color w:val="auto"/>
        </w:rPr>
      </w:pPr>
    </w:p>
    <w:p>
      <w:pPr>
        <w:jc w:val="both"/>
        <w:ind w:left="560" w:right="1239" w:hanging="300"/>
        <w:spacing w:after="0" w:line="253" w:lineRule="auto"/>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Vringo board of directors’ consideration of strategic alternatives to the Merger in the form of a potential equity fundraising, a sale of the business or other merger scenarios considered by the Vringo board in the mobile applications, mobile infrastructure, online video, mobile gaming and mobile social networking industries or continuing to operate Vringo on a stand-alone basis;</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opportunity for the Vringo stockholders to participate in the potential future value of the combined company;</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consideration of Vringo short- and long-term performance on a stand-alone basis;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belief that the Merger is more favorable to the Vringo stockholders than the alternatives to the Merger;</w:t>
      </w:r>
    </w:p>
    <w:p>
      <w:pPr>
        <w:spacing w:after="0" w:line="105"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terms and conditions of the Merger Agreement, including, but not limited to, the closing condition with respect to the Litigation which states that Innovate/Protect has not settled, discharged or released any of its claims relating to the Litigation or assigned or granted any security interest in any of those claims and that there has been no dismissal of the Litigation;</w:t>
      </w:r>
    </w:p>
    <w:p>
      <w:pPr>
        <w:spacing w:after="0" w:line="77" w:lineRule="exact"/>
        <w:rPr>
          <w:rFonts w:ascii="Arial" w:cs="Arial" w:eastAsia="Arial" w:hAnsi="Arial"/>
          <w:sz w:val="17"/>
          <w:szCs w:val="17"/>
          <w:color w:val="auto"/>
        </w:rPr>
      </w:pPr>
    </w:p>
    <w:p>
      <w:pPr>
        <w:ind w:left="560" w:hanging="300"/>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fairness opinion of Etico Capital;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likelihood that the Merger will be completed on a timely basis; and</w:t>
      </w:r>
    </w:p>
    <w:p>
      <w:pPr>
        <w:spacing w:after="0" w:line="200" w:lineRule="exact"/>
        <w:rPr>
          <w:sz w:val="20"/>
          <w:szCs w:val="20"/>
          <w:color w:val="auto"/>
        </w:rPr>
      </w:pPr>
    </w:p>
    <w:p>
      <w:pPr>
        <w:spacing w:after="0" w:line="33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6" w:lineRule="auto"/>
        <w:tabs>
          <w:tab w:leader="none" w:pos="5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fact that the Common Stock Exchange Ratio will not fluctuate based upon changes in the price of Vringo common stock or the value of Innovate/Protect capital stock prior to the completion of the Merger, which protects the Vringo stockholders from any materially negative trends in the price of Vringo common stock.</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Vringo board of directors also considered a number of potentially negative factors in its deliberations concerning the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Merger, including:</w:t>
      </w:r>
    </w:p>
    <w:p>
      <w:pPr>
        <w:spacing w:after="0" w:line="93" w:lineRule="exact"/>
        <w:rPr>
          <w:sz w:val="20"/>
          <w:szCs w:val="20"/>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general challenges associated with successfully integrating two companies;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failure to integrate successfully the businesses of Vringo and Innovate/Protect in the expected timeframe could adversely affect the combined company’s future results following the completion of the Merger;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risk that Innovate/Protect will be unable to achieve a positive verdict or settlement in the Litigation;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possible volatility, at least in the short term, of the trading price of Vringo common stock resulting from the public announcement of the Merger;</w:t>
      </w:r>
    </w:p>
    <w:p>
      <w:pPr>
        <w:spacing w:after="0" w:line="66" w:lineRule="exact"/>
        <w:rPr>
          <w:rFonts w:ascii="Arial" w:cs="Arial" w:eastAsia="Arial" w:hAnsi="Arial"/>
          <w:sz w:val="17"/>
          <w:szCs w:val="17"/>
          <w:color w:val="auto"/>
        </w:rPr>
      </w:pPr>
    </w:p>
    <w:p>
      <w:pPr>
        <w:ind w:left="560" w:right="1239" w:hanging="300"/>
        <w:spacing w:after="0" w:line="299" w:lineRule="auto"/>
        <w:tabs>
          <w:tab w:leader="none" w:pos="5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announcement and pendency of the Merger could have an adverse effect on Vringo’s stock price and/or the business, financial condition, results of operations, or business prospects for Vringo and/or Innovate/Protect;</w:t>
      </w:r>
    </w:p>
    <w:p>
      <w:pPr>
        <w:spacing w:after="0" w:line="42" w:lineRule="exact"/>
        <w:rPr>
          <w:rFonts w:ascii="Arial" w:cs="Arial" w:eastAsia="Arial" w:hAnsi="Arial"/>
          <w:sz w:val="16"/>
          <w:szCs w:val="16"/>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potential loss of key employees critical to the ongoing success of the combined company’s business;</w:t>
      </w:r>
    </w:p>
    <w:p>
      <w:pPr>
        <w:spacing w:after="0" w:line="105" w:lineRule="exact"/>
        <w:rPr>
          <w:rFonts w:ascii="Arial" w:cs="Arial" w:eastAsia="Arial" w:hAnsi="Arial"/>
          <w:sz w:val="17"/>
          <w:szCs w:val="17"/>
          <w:color w:val="auto"/>
        </w:rPr>
      </w:pPr>
    </w:p>
    <w:p>
      <w:pPr>
        <w:ind w:left="560" w:right="1239" w:hanging="300"/>
        <w:spacing w:after="0" w:line="335" w:lineRule="auto"/>
        <w:tabs>
          <w:tab w:leader="none" w:pos="5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the interests of Vringo directors and executive officers in the Merger, including the matters described under the section entitled “The Merger — Interests of Vringo Directors and Executive Officers in the Merger” beginning on page </w:t>
      </w:r>
      <w:r>
        <w:rPr>
          <w:rFonts w:ascii="Arial" w:cs="Arial" w:eastAsia="Arial" w:hAnsi="Arial"/>
          <w:sz w:val="15"/>
          <w:szCs w:val="15"/>
          <w:u w:val="single" w:color="auto"/>
          <w:color w:val="0000EE"/>
        </w:rPr>
        <w:t>82</w:t>
      </w:r>
      <w:r>
        <w:rPr>
          <w:rFonts w:ascii="Arial" w:cs="Arial" w:eastAsia="Arial" w:hAnsi="Arial"/>
          <w:sz w:val="15"/>
          <w:szCs w:val="15"/>
          <w:color w:val="auto"/>
        </w:rPr>
        <w:t>;</w:t>
      </w:r>
    </w:p>
    <w:p>
      <w:pPr>
        <w:spacing w:after="0" w:line="1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impact of certain deal protection measures contained in the Merger Agreement on Vringo, its business and operation, including the restrictions on Vringo’s ability to solicit better offers;</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risk that conditions to the completion of the Merger will not be satisfied and that the Merger may not be completed in a timely manner or at all;</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ability of Innovate/Protect’s current stockholders and board members to significantly influence the combined company’s business following the completion of the Merger;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ability of Innovate/Protect to terminate the Merger Agreement for any reason;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requirement that Vringo receive approval from NYSE MKT for the listing of Vringo’s common stock to be issued in connection with the Merger;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the other risks described above under the section entitled “Risk Factors” beginning on page </w:t>
      </w:r>
      <w:r>
        <w:rPr>
          <w:rFonts w:ascii="Arial" w:cs="Arial" w:eastAsia="Arial" w:hAnsi="Arial"/>
          <w:sz w:val="17"/>
          <w:szCs w:val="17"/>
          <w:u w:val="single" w:color="auto"/>
          <w:color w:val="0000EE"/>
        </w:rPr>
        <w:t>41</w:t>
      </w:r>
      <w:r>
        <w:rPr>
          <w:rFonts w:ascii="Arial" w:cs="Arial" w:eastAsia="Arial" w:hAnsi="Arial"/>
          <w:sz w:val="17"/>
          <w:szCs w:val="17"/>
          <w:color w:val="auto"/>
        </w:rPr>
        <w:t>.</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This discussion of the information and factors considered by the Vringo board of directors is not intended to be exhaustive but is intended to summarize all material factors considered by the Vringo board of directors in connection with its approval and recommendation of the Merger and the other related transactions described in this proxy statement/prospectus. In view of the wide variety of factors considered, Vringo board of directors has not found it practicable to quantify or otherwise assign relative weights to the specific factors considered. However, the Vringo board of directors concluded that the potential benefits of the Merger outweighed the potential negative factors and that, overall, the Merger had greater potential benefits for the Vringo stockholders than other strategic alternatives, including continuing to operate Vringo as a stand-alone publicly traded company on the NYSE MKT. Therefore, after taking into account all of the factors set forth above, the Vringo board of directors determined that the Merger Agreement and the transactions contemplated thereby, including the Merger, are advisable and fair to, and in the best interests of, Vringo and its stockholders and that Vringo should enter into the Merger Agreement and take all actions necessary to complete the Merger.</w:t>
      </w: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Opinion of Etico Capital to the Vringo Board of Directors</w:t>
      </w:r>
    </w:p>
    <w:p>
      <w:pPr>
        <w:spacing w:after="0" w:line="10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board of directors of Vringo engaged Etico Capital to provide a fairness opinion to the board of directors.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The full text of the written opinion, dated as of March 12, 2012, of Etico Capital is attached as </w:t>
      </w:r>
      <w:r>
        <w:rPr>
          <w:rFonts w:ascii="Arial" w:cs="Arial" w:eastAsia="Arial" w:hAnsi="Arial"/>
          <w:sz w:val="15"/>
          <w:szCs w:val="15"/>
          <w:b w:val="1"/>
          <w:bCs w:val="1"/>
          <w:u w:val="single" w:color="auto"/>
          <w:color w:val="auto"/>
        </w:rPr>
        <w:t>Annex H</w:t>
      </w:r>
      <w:r>
        <w:rPr>
          <w:rFonts w:ascii="Arial" w:cs="Arial" w:eastAsia="Arial" w:hAnsi="Arial"/>
          <w:sz w:val="15"/>
          <w:szCs w:val="15"/>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connection with rendering its opinion and performing its related financial analysis, Etico Capital, among other things:</w:t>
      </w:r>
    </w:p>
    <w:p>
      <w:pPr>
        <w:spacing w:after="0" w:line="117" w:lineRule="exact"/>
        <w:rPr>
          <w:sz w:val="20"/>
          <w:szCs w:val="20"/>
          <w:color w:val="auto"/>
        </w:rPr>
      </w:pPr>
    </w:p>
    <w:p>
      <w:pPr>
        <w:ind w:left="560" w:right="1239" w:hanging="300"/>
        <w:spacing w:after="0" w:line="299" w:lineRule="auto"/>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reviewed a draft, dated March 10, 2012, of the Merger Agreement and the exhibits thereto, which, for the purposes of its opinion, Etico Capital assumed to be, in all material respects, identical to the Merger Agreement as entered into;</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reviewed the audited financial statements of Vringo as of and for the year ended December 31, 2010 and unaudited financial statements of Vringo as of and for the three and nine months ended September 30, 2011;</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reviewed the audited financial statements of Innovate/Protect for the period from June 8, 2011 (inception) to and as of December 31, 2011;</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reviewed the historical market prices and trading volumes of Vringo common stock;</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held discussions with the senior management of Vringo with respect to the business and prospects of Vringo and Innovate/Protect and the reasons for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data for companies that Etico Capital deemed relevant in evaluating Vringo and Innovate/Protect;</w:t>
      </w:r>
    </w:p>
    <w:p>
      <w:pPr>
        <w:spacing w:after="0" w:line="66" w:lineRule="exact"/>
        <w:rPr>
          <w:rFonts w:ascii="Arial" w:cs="Arial" w:eastAsia="Arial" w:hAnsi="Arial"/>
          <w:sz w:val="17"/>
          <w:szCs w:val="17"/>
          <w:color w:val="auto"/>
        </w:rPr>
      </w:pPr>
    </w:p>
    <w:p>
      <w:pPr>
        <w:ind w:left="560" w:right="1239" w:hanging="300"/>
        <w:spacing w:after="0" w:line="299" w:lineRule="auto"/>
        <w:tabs>
          <w:tab w:leader="none" w:pos="5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information for certain similar transactions in evaluating the Merger consideration and the reported prices and historical trading activities of the securities of such companies; and</w:t>
      </w:r>
    </w:p>
    <w:p>
      <w:pPr>
        <w:spacing w:after="0" w:line="42"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Etico Capital deemed appropriate.</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 rendering its opinion, Etico Capital relied upon and assumed, without independent verification or investigation, the accuracy and completeness of all of the financial and other information provided to or</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discussed with it by Vringo, Innovate/Protect and their respective employees, legal counsel, representatives and affiliates or otherwise reviewed by Etico Capital. No forecast or projections of financial performance or results of operations or of the financial condition of Vringo, Innovate/Protect or of the combined company were supplied to Etico Capital. Vringo’s operating expenditure budget for 2012 of approximately $4.22 million (consisted of $0.14 million for cost of revenue, $1.51 million for research and development, $0.93 million for marketing, and $1.64 million for general and administrative expenses) was supplied to the management of Innovate/Protect for the purposes of budgeting the capital needs of the combined company. There were no revenue projections or other projections provided. Forecasts covering a period of five years for companies with stable operations may have provided Etico Capital with sufficient information to enable Etico Capital to perform a discounted cash flow analysis of Vringo and Innovate/Protect as an additional reference point for use in arriving at its opinion. Moreover, Etico Capital did not value or consider the anti-dilution or other terms or rights of securities to be issued as part of the Merger consideration which may be superior to the rights of the holders of Vringo common stock. Etico Capital did not make nor obtain any independent evaluations or appraisals of the assets or liabilities, contingent or otherwise, of Vringo or Innovate/Protect. Etico Capital also, at the direction and consent of Vringo, did not, and did not seek to: (a) independently value US patent numbers 6,314,420 and 6,775,664 (the “</w:t>
      </w:r>
      <w:r>
        <w:rPr>
          <w:rFonts w:ascii="Arial" w:cs="Arial" w:eastAsia="Arial" w:hAnsi="Arial"/>
          <w:sz w:val="15"/>
          <w:szCs w:val="15"/>
          <w:b w:val="1"/>
          <w:bCs w:val="1"/>
          <w:color w:val="auto"/>
        </w:rPr>
        <w:t>Patents</w:t>
      </w:r>
      <w:r>
        <w:rPr>
          <w:rFonts w:ascii="Arial" w:cs="Arial" w:eastAsia="Arial" w:hAnsi="Arial"/>
          <w:sz w:val="15"/>
          <w:szCs w:val="15"/>
          <w:color w:val="auto"/>
        </w:rPr>
        <w:t xml:space="preserve">”) acquired by Innovate/Protect in June 2011 or (b) determine the likelihood of success, the amount of damages, if any, that may be recovered, nor the timing and cost (and whether the combined company has or will have adequate resources, financial or otherwise, to prosecute) the Litigation initiated by Innovate/Protect, in which Innovate/Protect alleges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infringement of the Patents by the defendants named therein. In addition, Innovate/Protect had recently completed a round of equity financing which Vringo believed showed a clear indication of at what valuation the private markets would value Innovate/Protect. The value of Innovate/Protect’s Patents is largely dependent upon the outcome of the Litigation which may continue for several years, may require significant expenditures for legal fees and other expenses and is subject to the speculative nature of litigation in general. See “Risk Factors — Risks Related to Innovate/Protect’s Business.” As a result, neither Vringo nor Innovate/Protect valued, nor did they request Etico Capital to value, Innovate/Protect’s patents or the likely timing or ultimate success of the Litigation. The success of the Litigation and the value of the patents, if determinable, would likely have affected Etico Capital’s opinion. At the direction and with the consent of Vringo, Etico Capital also assumed that the Merger will qualify for federal income tax purposes as a “reorganization” within the meaning of Section 368(a) of the Code.</w:t>
      </w:r>
    </w:p>
    <w:p>
      <w:pPr>
        <w:spacing w:after="0" w:line="6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Etico Capital also assumed, with the consent of Vringo, that (a) all representations and warranties of each party contained in the Merger Agreement are true and correct, (b) each party will perform all of the covenants and agreements to be performed by it pursuant to the Merger Agreement and (c) the Merger will be consummated in accordance with the terms of the draft Merger Agreement reviewed by it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Innovate/Protect.</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Etico Capital’s opinion relates to the relative values of Vringo and Innovate/Protect. Etico Capital did not express any opinion as to the underlying valuation, future performance or long term viability of Vringo or the combined company, the actual value of Vringo common stock when issued in the Merger or the price at which Vringo common stock will trade at any time. Etico Capital expressed no view as to, and its opinion does not address, any terms or other aspects or implications of the Merger (other than the consideration to be paid by Vringo in the Merger to the extent expressly specified in its opinion)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Innovate/Protect, the existence or lack of conflicts of interest between officers, directors, employees and stockholders of Vringo and Innovate/Protect or the class of such persons, whether relative to the Merger or otherwise.</w:t>
      </w:r>
    </w:p>
    <w:p>
      <w:pPr>
        <w:spacing w:after="0" w:line="6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Etico Capital expressed no view as to, and its opinion does not address, the underlying business decision of Vringo to proceed with or effect the Merger nor does its opinion address the relative merits of the Merger as compared to any alternative business strategies that might exist for Vringo or the</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1" w:lineRule="auto"/>
        <w:rPr>
          <w:sz w:val="20"/>
          <w:szCs w:val="20"/>
          <w:color w:val="auto"/>
        </w:rPr>
      </w:pPr>
      <w:r>
        <w:rPr>
          <w:rFonts w:ascii="Arial" w:cs="Arial" w:eastAsia="Arial" w:hAnsi="Arial"/>
          <w:sz w:val="17"/>
          <w:szCs w:val="17"/>
          <w:color w:val="auto"/>
        </w:rPr>
        <w:t>effect of any other transaction in which Vringo might engage. Etico Capital relied, without independent verification, upon the views of management of Vringo concerning the business, operational and strategic benefits and implications of the Merger. In connection with its engagement, Etico Capital was not requested to, and it did not, solicit third party indications of interest in possible alternative transactions for Vringo. Etico Capital did not otherwise participate in the origination, negotiation or structuring of the Merger or in the transaction process.</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Etico Capital was not asked to pass upon, and expressed no opinion with respect to, any matters, including any agreements between Vringo and Innovate/Protect or any of their respective affiliates, other than the fairness from a financial point of view of the Merger consideration to holders of Vringo common stock (other than those who own, or whose affiliates own, securities of Innovate/Protect).</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Etico Capital has not conducted, nor has Etico Capital assumed any obligation to conduct, any physical inspection of the properties or facilities of Vringo or Innovate/Protect. Etico Capital assumed, with the consent of the Vringo board of directors, that there are no legal issues with regard to Vringo or Innovate/Protect that would affect its opinion, and Etico Capital relied on this assumption without undertaking any independent investigation or inquiry. Etico Capital’s opinion is necessarily based on the information available to it and general economic, financial and stock market conditions and circumstances as they existed and could be evaluated by it on March 12, 2012. It should be understood that, although subsequent developments may affect its opinion, Etico Capital does not have any obligation to update, revise or reaffirm the opinion.</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following is a summary explanation of the various sources of information and valuation methodologies employed by Etico Capital in rendering its opinion. These analyses were provided to the Vringo board of directors at its meeting on March 11, 2012. There were no material changes to these analyses prior to March 12, 2012. This summary describes the financial analyses used by Etico Capital and deemed to be material, but does not purport to be a complete description of the analyses performed by Etico Capital in arriving at its opinion. Etico Capital did not explicitly assign any relative weights to the various factors or analyses considered. The summary of financial analyses includes information presented in tabular format. In order to fully understand the financial analyses used by Etico Capital, the tables must be read together with the text of each summary. The tables alone do not constitute a complete description of the financial analyses.</w:t>
      </w:r>
    </w:p>
    <w:p>
      <w:pPr>
        <w:spacing w:after="0" w:line="7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Etico Capital did not find companies engaged in the same or similarly proposed combined businesses of Vringo and Innovate/Protect because the businesses of Vringo and Innovate/Protest are highly dissimilar. Therefore, for purposes of its analysis, Etico Capital evaluated each of Vringo and Innovate/Protect on a standalone basis.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Vringo Valuation</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Comparable Companies Analysis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Etico Capital compared Vringo to a group of comparable public companies that Etico Capital deemed comparable to Vringo’s limited universe. Vringo is a company that exists in an industry where there are a limited number of comparable public companies. Etico Capital selected public companies competing in the mobile solutions industry with enterprise values ranging from $3.3 million to $901.0 million, with revenues for the trailing twelve months that were publicly available at the time of the analysis of between $.6 million and $138.0 million and with EBITDA (defined below) for the trailing twelve months that were publicly available at the time of the analysis of between a negative $12.0 million and a positive $31.0 million.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comparable companies were:</w:t>
      </w:r>
    </w:p>
    <w:p>
      <w:pPr>
        <w:spacing w:after="0" w:line="105" w:lineRule="exact"/>
        <w:rPr>
          <w:sz w:val="20"/>
          <w:szCs w:val="20"/>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BroadSoft,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Dynavox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Glu Mobile,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LiveWire Mobile,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Macrosolve,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Motricity, Inc.</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Etico Capital considered:</w:t>
      </w:r>
    </w:p>
    <w:p>
      <w:pPr>
        <w:spacing w:after="0" w:line="101" w:lineRule="exact"/>
        <w:rPr>
          <w:sz w:val="20"/>
          <w:szCs w:val="20"/>
          <w:color w:val="auto"/>
        </w:rPr>
      </w:pPr>
    </w:p>
    <w:p>
      <w:pPr>
        <w:ind w:left="560" w:right="1239" w:hanging="300"/>
        <w:spacing w:after="0" w:line="272" w:lineRule="auto"/>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ratio of equity market capitalization, adjusted for cash and debt when appropriate, to reflect enterprise value (“</w:t>
      </w:r>
      <w:r>
        <w:rPr>
          <w:rFonts w:ascii="Arial" w:cs="Arial" w:eastAsia="Arial" w:hAnsi="Arial"/>
          <w:sz w:val="17"/>
          <w:szCs w:val="17"/>
          <w:b w:val="1"/>
          <w:bCs w:val="1"/>
          <w:color w:val="auto"/>
        </w:rPr>
        <w:t>EV</w:t>
      </w:r>
      <w:r>
        <w:rPr>
          <w:rFonts w:ascii="Arial" w:cs="Arial" w:eastAsia="Arial" w:hAnsi="Arial"/>
          <w:sz w:val="17"/>
          <w:szCs w:val="17"/>
          <w:color w:val="auto"/>
        </w:rPr>
        <w:t>”) to earnings before interest, taxes, depreciation and amortization (“</w:t>
      </w:r>
      <w:r>
        <w:rPr>
          <w:rFonts w:ascii="Arial" w:cs="Arial" w:eastAsia="Arial" w:hAnsi="Arial"/>
          <w:sz w:val="17"/>
          <w:szCs w:val="17"/>
          <w:b w:val="1"/>
          <w:bCs w:val="1"/>
          <w:color w:val="auto"/>
        </w:rPr>
        <w:t>EBITDA</w:t>
      </w:r>
      <w:r>
        <w:rPr>
          <w:rFonts w:ascii="Arial" w:cs="Arial" w:eastAsia="Arial" w:hAnsi="Arial"/>
          <w:sz w:val="17"/>
          <w:szCs w:val="17"/>
          <w:color w:val="auto"/>
        </w:rPr>
        <w:t>”);</w:t>
      </w:r>
    </w:p>
    <w:p>
      <w:pPr>
        <w:spacing w:after="0" w:line="58"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ratio of market price to earnings (“</w:t>
      </w:r>
      <w:r>
        <w:rPr>
          <w:rFonts w:ascii="Arial" w:cs="Arial" w:eastAsia="Arial" w:hAnsi="Arial"/>
          <w:sz w:val="17"/>
          <w:szCs w:val="17"/>
          <w:b w:val="1"/>
          <w:bCs w:val="1"/>
          <w:color w:val="auto"/>
        </w:rPr>
        <w:t>P/E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ratio of equity market capitalization to book value (“</w:t>
      </w:r>
      <w:r>
        <w:rPr>
          <w:rFonts w:ascii="Arial" w:cs="Arial" w:eastAsia="Arial" w:hAnsi="Arial"/>
          <w:sz w:val="17"/>
          <w:szCs w:val="17"/>
          <w:b w:val="1"/>
          <w:bCs w:val="1"/>
          <w:color w:val="auto"/>
        </w:rPr>
        <w:t>P/Book</w:t>
      </w:r>
      <w:r>
        <w:rPr>
          <w:rFonts w:ascii="Arial" w:cs="Arial" w:eastAsia="Arial" w:hAnsi="Arial"/>
          <w:sz w:val="17"/>
          <w:szCs w:val="17"/>
          <w:color w:val="auto"/>
        </w:rPr>
        <w:t>”);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ratio of EV to revenues for the trailing twelve months (“</w:t>
      </w:r>
      <w:r>
        <w:rPr>
          <w:rFonts w:ascii="Arial" w:cs="Arial" w:eastAsia="Arial" w:hAnsi="Arial"/>
          <w:sz w:val="17"/>
          <w:szCs w:val="17"/>
          <w:b w:val="1"/>
          <w:bCs w:val="1"/>
          <w:color w:val="auto"/>
        </w:rPr>
        <w:t>EV/Rev</w:t>
      </w:r>
      <w:r>
        <w:rPr>
          <w:rFonts w:ascii="Arial" w:cs="Arial" w:eastAsia="Arial" w:hAnsi="Arial"/>
          <w:sz w:val="17"/>
          <w:szCs w:val="17"/>
          <w:color w:val="auto"/>
        </w:rPr>
        <w:t>”).</w:t>
      </w:r>
    </w:p>
    <w:p>
      <w:pPr>
        <w:spacing w:after="0" w:line="109"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In order to perform this analysis, Etico Capital compared financial information of Vringo with publicly available information for the comparable companies. Etico Capital considered the entire range of multiples yielded by the comparable companies in establishing a more limited reference range of multiples which it used for its analysis. For this analysis, as well as other analyses, Etico Capital examined publicly available information. The multiple of revenues in the comparable set were relatively narrow irrespective of the comparable companies enterprise values. As stated elsewhere in this proxy statement/prospectus, because Vringo did not have positive EBITDA, earnings or book value, Etico Capital relied on EV/Rev to determine an implied valuation range. Etico Capital reviewed a variety of valuation methodologies to determine fairness. No individual method was given more weight.</w:t>
      </w:r>
    </w:p>
    <w:p>
      <w:pPr>
        <w:spacing w:after="0" w:line="5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following table presents, based on closing prices as of March 9, 2012 (the last trading day prior to the date of Etico Capital’s opinion), the reference range of multiples for the comparable companies of EV/EBITDA, P/E, P/Book,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99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320" w:type="dxa"/>
            <w:vAlign w:val="bottom"/>
          </w:tcPr>
          <w:p>
            <w:pPr>
              <w:jc w:val="right"/>
              <w:ind w:right="302"/>
              <w:spacing w:after="0" w:line="139" w:lineRule="exact"/>
              <w:rPr>
                <w:sz w:val="20"/>
                <w:szCs w:val="20"/>
                <w:color w:val="auto"/>
              </w:rPr>
            </w:pPr>
            <w:r>
              <w:rPr>
                <w:rFonts w:ascii="Arial" w:cs="Arial" w:eastAsia="Arial" w:hAnsi="Arial"/>
                <w:sz w:val="13"/>
                <w:szCs w:val="13"/>
                <w:b w:val="1"/>
                <w:bCs w:val="1"/>
                <w:color w:val="auto"/>
              </w:rPr>
              <w:t>Reference</w:t>
            </w:r>
          </w:p>
        </w:tc>
      </w:tr>
      <w:tr>
        <w:trPr>
          <w:trHeight w:val="158"/>
        </w:trPr>
        <w:tc>
          <w:tcPr>
            <w:tcW w:w="5620" w:type="dxa"/>
            <w:vAlign w:val="bottom"/>
          </w:tcPr>
          <w:p>
            <w:pPr>
              <w:spacing w:after="0"/>
              <w:rPr>
                <w:sz w:val="13"/>
                <w:szCs w:val="1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Range of Multiples</w:t>
            </w:r>
          </w:p>
        </w:tc>
      </w:tr>
      <w:tr>
        <w:trPr>
          <w:trHeight w:val="193"/>
        </w:trPr>
        <w:tc>
          <w:tcPr>
            <w:tcW w:w="56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132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5.12x – 29.11x</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P/E</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12.72x – 32.12x</w:t>
            </w:r>
          </w:p>
        </w:tc>
      </w:tr>
      <w:tr>
        <w:trPr>
          <w:trHeight w:val="200"/>
        </w:trPr>
        <w:tc>
          <w:tcPr>
            <w:tcW w:w="5620" w:type="dxa"/>
            <w:vAlign w:val="bottom"/>
            <w:shd w:val="clear" w:color="auto" w:fill="CCFFCC"/>
          </w:tcPr>
          <w:p>
            <w:pPr>
              <w:spacing w:after="0"/>
              <w:rPr>
                <w:sz w:val="20"/>
                <w:szCs w:val="20"/>
                <w:color w:val="auto"/>
              </w:rPr>
            </w:pPr>
            <w:r>
              <w:rPr>
                <w:rFonts w:ascii="Arial" w:cs="Arial" w:eastAsia="Arial" w:hAnsi="Arial"/>
                <w:sz w:val="17"/>
                <w:szCs w:val="17"/>
                <w:color w:val="auto"/>
              </w:rPr>
              <w:t>P/Book</w:t>
            </w:r>
          </w:p>
        </w:tc>
        <w:tc>
          <w:tcPr>
            <w:tcW w:w="1320" w:type="dxa"/>
            <w:vAlign w:val="bottom"/>
            <w:shd w:val="clear" w:color="auto" w:fill="CCFFCC"/>
          </w:tcPr>
          <w:p>
            <w:pPr>
              <w:jc w:val="right"/>
              <w:ind w:right="2"/>
              <w:spacing w:after="0"/>
              <w:rPr>
                <w:sz w:val="20"/>
                <w:szCs w:val="20"/>
                <w:color w:val="auto"/>
              </w:rPr>
            </w:pPr>
            <w:r>
              <w:rPr>
                <w:rFonts w:ascii="Arial" w:cs="Arial" w:eastAsia="Arial" w:hAnsi="Arial"/>
                <w:sz w:val="17"/>
                <w:szCs w:val="17"/>
                <w:color w:val="auto"/>
              </w:rPr>
              <w:t>1.05x – 7.51x</w:t>
            </w: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EV/REV</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.31x – 27.94x</w:t>
            </w:r>
          </w:p>
        </w:tc>
      </w:tr>
    </w:tbl>
    <w:p>
      <w:pPr>
        <w:spacing w:after="0" w:line="7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Because Vringo did not have positive EBITDA, earnings or book value, Etico Capital relied on EV/Rev to determine an implied valuation range for Vringo. Based on this comparable companies analysis and Vringo’s annualized 2011 revenue based on revenue for the nine months ended September 30, 2011, Etico Capital concluded that Vringo had an implied valuation range between $230,000 and $20.7 million. Based upon the percentage ownership of the Vringo stockholders in the combined entity (32.45% on a fully diluted basis) even the high end range of the implied Vringo Comparable Company Analysis ($20.7 million) supported the fairness of the Merger consideration, from a financial point of view, to the holders of the Vringo common stock in comparison to the implied valuation of Innovate/Protect ($55.5 million) as described under the caption “Innovate/Protect Comparable Companies analysis''. This analysis resulted in the high end implied valuation of Vringo being 27.3% of the combined implied comparable company valuations of Vringo and Innovate/Protect. As a result of the Merger, Vringo stockholders will receive a percentage (32.45%) of the outstanding common stock of the combined company calculated on a fully diluted basis that is higher than 27.3%.</w:t>
      </w:r>
    </w:p>
    <w:p>
      <w:pPr>
        <w:spacing w:after="0" w:line="57"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No company utilized in the public company comparables analysis as a comparison to Vringo is identical to Vringo. In evaluating the comparables, Etico Capital made numerous assumptions with respect to the mobile solutions industry’s performance and general economic conditions, many of which are beyond the control of Vringo. Mathematical analysis, such as determining the median, average or range, is not in itself a meaningful method of using comparable company data.</w:t>
      </w:r>
    </w:p>
    <w:p>
      <w:pPr>
        <w:spacing w:after="0" w:line="200" w:lineRule="exact"/>
        <w:rPr>
          <w:sz w:val="20"/>
          <w:szCs w:val="20"/>
          <w:color w:val="auto"/>
        </w:rPr>
      </w:pPr>
    </w:p>
    <w:p>
      <w:pPr>
        <w:spacing w:after="0" w:line="27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Common Stock Trading History</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Etico Capital considered the trading price and volume of Vringo common stock on the NYSE Amex, focusing primarily on the sixty trading days prior to the rendering of Etico Capital’s opinion. As of March 9, 2012, Vringo had an aggregate of 26,464,915 shares of common stock outstanding on a fully diluted basis. The following table sets forth the last sale price on March 9, 2012 (the last trading day prior to the date of Etico Capital’s opinion) and daily trading volume for such period as well a sixty day trading average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4081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4920" w:type="dxa"/>
            <w:vAlign w:val="bottom"/>
          </w:tcPr>
          <w:p>
            <w:pPr>
              <w:spacing w:after="0" w:line="148" w:lineRule="exact"/>
              <w:rPr>
                <w:sz w:val="20"/>
                <w:szCs w:val="20"/>
                <w:color w:val="auto"/>
              </w:rPr>
            </w:pPr>
            <w:r>
              <w:rPr>
                <w:rFonts w:ascii="Arial" w:cs="Arial" w:eastAsia="Arial" w:hAnsi="Arial"/>
                <w:sz w:val="13"/>
                <w:szCs w:val="13"/>
                <w:b w:val="1"/>
                <w:bCs w:val="1"/>
                <w:color w:val="auto"/>
              </w:rPr>
              <w:t>Date Range</w:t>
            </w:r>
          </w:p>
        </w:tc>
        <w:tc>
          <w:tcPr>
            <w:tcW w:w="1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Average</w:t>
            </w:r>
          </w:p>
        </w:tc>
      </w:tr>
      <w:tr>
        <w:trPr>
          <w:trHeight w:val="158"/>
        </w:trPr>
        <w:tc>
          <w:tcPr>
            <w:tcW w:w="4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Volume</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3"/>
                <w:szCs w:val="13"/>
                <w:b w:val="1"/>
                <w:bCs w:val="1"/>
                <w:color w:val="auto"/>
                <w:w w:val="96"/>
              </w:rPr>
              <w:t>Closing Price</w:t>
            </w:r>
          </w:p>
        </w:tc>
      </w:tr>
      <w:tr>
        <w:trPr>
          <w:trHeight w:val="181"/>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w w:val="93"/>
              </w:rPr>
              <w:t>(000s omitted)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7"/>
                <w:szCs w:val="17"/>
                <w:color w:val="auto"/>
              </w:rPr>
              <w:t>December 13, 2011 – March 9, 2012</w:t>
            </w:r>
          </w:p>
        </w:tc>
        <w:tc>
          <w:tcPr>
            <w:tcW w:w="960" w:type="dxa"/>
            <w:vAlign w:val="bottom"/>
            <w:gridSpan w:val="2"/>
          </w:tcPr>
          <w:p>
            <w:pPr>
              <w:jc w:val="right"/>
              <w:ind w:right="73"/>
              <w:spacing w:after="0"/>
              <w:rPr>
                <w:sz w:val="20"/>
                <w:szCs w:val="20"/>
                <w:color w:val="auto"/>
              </w:rPr>
            </w:pPr>
            <w:r>
              <w:rPr>
                <w:rFonts w:ascii="Arial" w:cs="Arial" w:eastAsia="Arial" w:hAnsi="Arial"/>
                <w:sz w:val="17"/>
                <w:szCs w:val="17"/>
                <w:color w:val="auto"/>
              </w:rPr>
              <w:t>687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42"/>
              <w:spacing w:after="0"/>
              <w:rPr>
                <w:sz w:val="20"/>
                <w:szCs w:val="20"/>
                <w:color w:val="auto"/>
              </w:rPr>
            </w:pPr>
            <w:r>
              <w:rPr>
                <w:rFonts w:ascii="Arial" w:cs="Arial" w:eastAsia="Arial" w:hAnsi="Arial"/>
                <w:sz w:val="17"/>
                <w:szCs w:val="17"/>
                <w:color w:val="auto"/>
              </w:rPr>
              <w:t>1.22</w:t>
            </w:r>
          </w:p>
        </w:tc>
      </w:tr>
      <w:tr>
        <w:trPr>
          <w:trHeight w:val="201"/>
        </w:trPr>
        <w:tc>
          <w:tcPr>
            <w:tcW w:w="4920" w:type="dxa"/>
            <w:vAlign w:val="bottom"/>
            <w:shd w:val="clear" w:color="auto" w:fill="CCFFCC"/>
          </w:tcPr>
          <w:p>
            <w:pPr>
              <w:spacing w:after="0"/>
              <w:rPr>
                <w:sz w:val="20"/>
                <w:szCs w:val="20"/>
                <w:color w:val="auto"/>
              </w:rPr>
            </w:pPr>
            <w:r>
              <w:rPr>
                <w:rFonts w:ascii="Arial" w:cs="Arial" w:eastAsia="Arial" w:hAnsi="Arial"/>
                <w:sz w:val="17"/>
                <w:szCs w:val="17"/>
                <w:color w:val="auto"/>
              </w:rPr>
              <w:t>March 9, 2012</w:t>
            </w:r>
          </w:p>
        </w:tc>
        <w:tc>
          <w:tcPr>
            <w:tcW w:w="96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color w:val="auto"/>
              </w:rPr>
              <w:t>386</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jc w:val="right"/>
              <w:ind w:right="42"/>
              <w:spacing w:after="0"/>
              <w:rPr>
                <w:sz w:val="20"/>
                <w:szCs w:val="20"/>
                <w:color w:val="auto"/>
              </w:rPr>
            </w:pPr>
            <w:r>
              <w:rPr>
                <w:rFonts w:ascii="Arial" w:cs="Arial" w:eastAsia="Arial" w:hAnsi="Arial"/>
                <w:sz w:val="17"/>
                <w:szCs w:val="17"/>
                <w:color w:val="auto"/>
              </w:rPr>
              <w:t>1.72</w:t>
            </w:r>
          </w:p>
        </w:tc>
      </w:tr>
    </w:tbl>
    <w:p>
      <w:pPr>
        <w:spacing w:after="0" w:line="8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Based on those market prices of Vringo common stock, Vringo had a fully diluted equity value of between $32.3 million to $45.5 million.</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Comparable Transactions Analysis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Etico Capital did not employ a comparable transactions analysis of Vringo as a result of the lack of reasonably comparable transactions.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the Discounted Cash Flow Methodology</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Etico Capital did not employ a discounted cash flow analysis of Vringo for the purposes of its opinion. Discounted cash flow analysis is most appropriate for companies that exhibit relatively steady or somewhat predictable streams of positive future cash flow. To date, Vringo has generated negative cash flows. Furthermore, Vringo did not provide Etico Capital with forecasts. Because of these factors, Etico Capital considered a discounted cash flow analysis inappropriate for valuing Vringo.</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Innovate/Protect Valuation</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Innovate/Protect Comparable Companies Analysis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Etico Capital compared Innovate/Protect to a group of companies engaged in seeking to monetize their intellectual property. The Innovate/Protect comparable companies are public companies that Etico Capital deemed comparable to Innovate/Protect. Etico Capital selected companies with market capitalizations ranging from $1.85 million to $1,857.0 million.</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Innovate/Protect comparable companies were:</w:t>
      </w:r>
    </w:p>
    <w:p>
      <w:pPr>
        <w:spacing w:after="0" w:line="105" w:lineRule="exact"/>
        <w:rPr>
          <w:sz w:val="20"/>
          <w:szCs w:val="20"/>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Acacia Research Corporation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Augme Technologies,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Competitive Technologies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Innovaro,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IP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Ipso Ventures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RPX Corporation</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Sagentia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Star Scientific, Inc.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VirnetX Holding Corp</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Etico Capital considered:</w:t>
      </w:r>
    </w:p>
    <w:p>
      <w:pPr>
        <w:spacing w:after="0" w:line="105" w:lineRule="exact"/>
        <w:rPr>
          <w:sz w:val="20"/>
          <w:szCs w:val="20"/>
          <w:color w:val="auto"/>
        </w:rPr>
      </w:pPr>
    </w:p>
    <w:p>
      <w:pPr>
        <w:ind w:left="560" w:hanging="300"/>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ratio of EV to EBITDA;</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P/E ratio;</w:t>
      </w:r>
    </w:p>
    <w:p>
      <w:pPr>
        <w:spacing w:after="0" w:line="200" w:lineRule="exact"/>
        <w:rPr>
          <w:sz w:val="20"/>
          <w:szCs w:val="20"/>
          <w:color w:val="auto"/>
        </w:rPr>
      </w:pPr>
    </w:p>
    <w:p>
      <w:pPr>
        <w:spacing w:after="0" w:line="319"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P/Book ratio;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EV/Rev ratio for the trailing twelve months.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In order to perform this analysis, Etico Capital compared financial information of Innovate/Protect with publicly available information for the Innovate/Protect comparable companies. Etico Capital considered the entire range of multiples yielded by the Innovate/Protect comparable companies in establishing a more limited reference range of multiples which it used for its analysis. For this analysis, as well as other analyses, Etico Capital examined publicly available information.</w:t>
      </w:r>
    </w:p>
    <w:p>
      <w:pPr>
        <w:spacing w:after="0" w:line="62"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presents, based on closing prices as of March 8, 2012, the range of multiples for the Innovate/Protect comparable companies of EV/EBITDA, P/E, P/Book and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99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620" w:type="dxa"/>
            <w:vAlign w:val="bottom"/>
          </w:tcPr>
          <w:p>
            <w:pPr>
              <w:spacing w:after="0"/>
              <w:rPr>
                <w:sz w:val="12"/>
                <w:szCs w:val="12"/>
                <w:color w:val="auto"/>
              </w:rPr>
            </w:pPr>
          </w:p>
        </w:tc>
        <w:tc>
          <w:tcPr>
            <w:tcW w:w="13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5620" w:type="dxa"/>
            <w:vAlign w:val="bottom"/>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Range of Multiples</w:t>
            </w:r>
          </w:p>
        </w:tc>
      </w:tr>
      <w:tr>
        <w:trPr>
          <w:trHeight w:val="193"/>
        </w:trPr>
        <w:tc>
          <w:tcPr>
            <w:tcW w:w="56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6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11.63x</w:t>
            </w:r>
          </w:p>
        </w:tc>
        <w:tc>
          <w:tcPr>
            <w:tcW w:w="680" w:type="dxa"/>
            <w:vAlign w:val="bottom"/>
            <w:shd w:val="clear" w:color="auto" w:fill="CCFFCC"/>
          </w:tcPr>
          <w:p>
            <w:pPr>
              <w:ind w:left="20"/>
              <w:spacing w:after="0" w:line="193" w:lineRule="exact"/>
              <w:rPr>
                <w:sz w:val="20"/>
                <w:szCs w:val="20"/>
                <w:color w:val="auto"/>
              </w:rPr>
            </w:pPr>
            <w:r>
              <w:rPr>
                <w:rFonts w:ascii="Arial" w:cs="Arial" w:eastAsia="Arial" w:hAnsi="Arial"/>
                <w:sz w:val="17"/>
                <w:szCs w:val="17"/>
                <w:color w:val="auto"/>
                <w:w w:val="98"/>
              </w:rPr>
              <w:t>– 73.39x</w:t>
            </w: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P/E</w:t>
            </w:r>
          </w:p>
        </w:tc>
        <w:tc>
          <w:tcPr>
            <w:tcW w:w="640" w:type="dxa"/>
            <w:vAlign w:val="bottom"/>
          </w:tcPr>
          <w:p>
            <w:pPr>
              <w:jc w:val="right"/>
              <w:spacing w:after="0"/>
              <w:rPr>
                <w:sz w:val="20"/>
                <w:szCs w:val="20"/>
                <w:color w:val="auto"/>
              </w:rPr>
            </w:pPr>
            <w:r>
              <w:rPr>
                <w:rFonts w:ascii="Arial" w:cs="Arial" w:eastAsia="Arial" w:hAnsi="Arial"/>
                <w:sz w:val="17"/>
                <w:szCs w:val="17"/>
                <w:color w:val="auto"/>
              </w:rPr>
              <w:t>.91x</w:t>
            </w:r>
          </w:p>
        </w:tc>
        <w:tc>
          <w:tcPr>
            <w:tcW w:w="680" w:type="dxa"/>
            <w:vAlign w:val="bottom"/>
          </w:tcPr>
          <w:p>
            <w:pPr>
              <w:ind w:left="20"/>
              <w:spacing w:after="0"/>
              <w:rPr>
                <w:sz w:val="20"/>
                <w:szCs w:val="20"/>
                <w:color w:val="auto"/>
              </w:rPr>
            </w:pPr>
            <w:r>
              <w:rPr>
                <w:rFonts w:ascii="Arial" w:cs="Arial" w:eastAsia="Arial" w:hAnsi="Arial"/>
                <w:sz w:val="17"/>
                <w:szCs w:val="17"/>
                <w:color w:val="auto"/>
                <w:w w:val="98"/>
              </w:rPr>
              <w:t>– 61.04x</w:t>
            </w:r>
          </w:p>
        </w:tc>
      </w:tr>
      <w:tr>
        <w:trPr>
          <w:trHeight w:val="200"/>
        </w:trPr>
        <w:tc>
          <w:tcPr>
            <w:tcW w:w="5620" w:type="dxa"/>
            <w:vAlign w:val="bottom"/>
            <w:shd w:val="clear" w:color="auto" w:fill="CCFFCC"/>
          </w:tcPr>
          <w:p>
            <w:pPr>
              <w:spacing w:after="0"/>
              <w:rPr>
                <w:sz w:val="20"/>
                <w:szCs w:val="20"/>
                <w:color w:val="auto"/>
              </w:rPr>
            </w:pPr>
            <w:r>
              <w:rPr>
                <w:rFonts w:ascii="Arial" w:cs="Arial" w:eastAsia="Arial" w:hAnsi="Arial"/>
                <w:sz w:val="17"/>
                <w:szCs w:val="17"/>
                <w:color w:val="auto"/>
              </w:rPr>
              <w:t>P/Book</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.44x</w:t>
            </w:r>
          </w:p>
        </w:tc>
        <w:tc>
          <w:tcPr>
            <w:tcW w:w="680" w:type="dxa"/>
            <w:vAlign w:val="bottom"/>
            <w:shd w:val="clear" w:color="auto" w:fill="CCFFCC"/>
          </w:tcPr>
          <w:p>
            <w:pPr>
              <w:ind w:left="20"/>
              <w:spacing w:after="0"/>
              <w:rPr>
                <w:sz w:val="20"/>
                <w:szCs w:val="20"/>
                <w:color w:val="auto"/>
              </w:rPr>
            </w:pPr>
            <w:r>
              <w:rPr>
                <w:rFonts w:ascii="Arial" w:cs="Arial" w:eastAsia="Arial" w:hAnsi="Arial"/>
                <w:sz w:val="17"/>
                <w:szCs w:val="17"/>
                <w:color w:val="auto"/>
                <w:w w:val="98"/>
              </w:rPr>
              <w:t>– 61.58x</w:t>
            </w:r>
          </w:p>
        </w:tc>
      </w:tr>
      <w:tr>
        <w:trPr>
          <w:trHeight w:val="213"/>
        </w:trPr>
        <w:tc>
          <w:tcPr>
            <w:tcW w:w="5620" w:type="dxa"/>
            <w:vAlign w:val="bottom"/>
          </w:tcPr>
          <w:p>
            <w:pPr>
              <w:spacing w:after="0"/>
              <w:rPr>
                <w:sz w:val="20"/>
                <w:szCs w:val="20"/>
                <w:color w:val="auto"/>
              </w:rPr>
            </w:pPr>
            <w:r>
              <w:rPr>
                <w:rFonts w:ascii="Arial" w:cs="Arial" w:eastAsia="Arial" w:hAnsi="Arial"/>
                <w:sz w:val="17"/>
                <w:szCs w:val="17"/>
                <w:color w:val="auto"/>
              </w:rPr>
              <w:t>EV/REV</w:t>
            </w:r>
          </w:p>
        </w:tc>
        <w:tc>
          <w:tcPr>
            <w:tcW w:w="640" w:type="dxa"/>
            <w:vAlign w:val="bottom"/>
          </w:tcPr>
          <w:p>
            <w:pPr>
              <w:jc w:val="right"/>
              <w:spacing w:after="0"/>
              <w:rPr>
                <w:sz w:val="20"/>
                <w:szCs w:val="20"/>
                <w:color w:val="auto"/>
              </w:rPr>
            </w:pPr>
            <w:r>
              <w:rPr>
                <w:rFonts w:ascii="Arial" w:cs="Arial" w:eastAsia="Arial" w:hAnsi="Arial"/>
                <w:sz w:val="17"/>
                <w:szCs w:val="17"/>
                <w:color w:val="auto"/>
              </w:rPr>
              <w:t>5.44x</w:t>
            </w:r>
          </w:p>
        </w:tc>
        <w:tc>
          <w:tcPr>
            <w:tcW w:w="680" w:type="dxa"/>
            <w:vAlign w:val="bottom"/>
          </w:tcPr>
          <w:p>
            <w:pPr>
              <w:ind w:left="20"/>
              <w:spacing w:after="0"/>
              <w:rPr>
                <w:sz w:val="20"/>
                <w:szCs w:val="20"/>
                <w:color w:val="auto"/>
              </w:rPr>
            </w:pPr>
            <w:r>
              <w:rPr>
                <w:rFonts w:ascii="Arial" w:cs="Arial" w:eastAsia="Arial" w:hAnsi="Arial"/>
                <w:sz w:val="17"/>
                <w:szCs w:val="17"/>
                <w:color w:val="auto"/>
                <w:w w:val="98"/>
              </w:rPr>
              <w:t>– 47.38x</w:t>
            </w:r>
          </w:p>
        </w:tc>
      </w:tr>
    </w:tbl>
    <w:p>
      <w:pPr>
        <w:spacing w:after="0" w:line="7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Because Innovate/Protect did not have positive EBITDA, earnings or revenue, Etico Capital relied on P/Book to determine an implied valuation range for Innovate/Protect. There are a limited number of comparable companies for Innovate/Protect, the multiples of Price/Book of which varied greatly. The P/Book range applied to the book value of Innovate/Protect generated an implied valuation range of Innovate/Protect of between $2.0 million and $287.0 million. Accordingly, Etico Capital used the average of the P/Book multiples of the ten comparable companies, which resulted in an 11.9x P/Book multiple. Based on this comparable companies analysis and the book value of Innovate/Protect as of December 31, 2011, Etico Capital concluded that, on this basis, Innovate/Protect had an implied valuation of approximately $55.5 million.</w:t>
      </w:r>
    </w:p>
    <w:p>
      <w:pPr>
        <w:spacing w:after="0" w:line="5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No company utilized in the public company comparables analysis as a comparison to Innovate/Protect is identical to Innovate/Protect. The ultimate value of Innovate/Protect is likely to be based upon the value of the Patents and, in particular, the ultimate success of the Litigation and other litigations that may be commenced against other putative infringers. Etico Capital did not value the Patents or determine the likelihood of success, the amount of damages, if any, that may be recovered, nor the timing and cost (and whether the combined company has or will have adequate resources, financial or otherwise, to prosecute) the Litigation. Accordingly, Etico Capital accepted the book value of Innovate/Protect as set forth in its audited financial statements as of December 31, 2011. Mathematical analysis, such as determining the median, average or range, is not in itself a meaningful method of using comparable company data.</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Recent Investments in Innovate/Protect</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Etico Capital examined the value of Innovate/Protect implied by recent investments by unaffiliated third parties in Innovate/Protect. As of December 31, 2011, Innovate/Protect had an aggregate of 12,856,307 shares of common stock outstanding on a fully diluted basis. In November and December 2011, Innovate/Protect sold common stock to unaffiliated third parties at $3.30 per share, or a fully diluted implied equity value of Innovate/Protect of $42.4 million.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Innovate/Protect Comparable Transactions Analysis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Etico Capital found two transactions, one in December 2002 and the other in March 2010, involving companies deemed by Etico Capital to be comparable to Innovate/Protect. For this analysis, Etico Capital examined publicly available information. The Innovate/Protect comparable transactions involved:</w:t>
      </w:r>
    </w:p>
    <w:p>
      <w:pPr>
        <w:spacing w:after="0" w:line="76" w:lineRule="exact"/>
        <w:rPr>
          <w:sz w:val="20"/>
          <w:szCs w:val="20"/>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Sagentia Group PLC</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Yet2.com, Inc.</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The following table presents, as of March 8, 2012, the reference range of multiples. Because the comparable transactions involved the acquisition of companies with negative earnings, P/E could not be utilized.</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5620" w:type="dxa"/>
            <w:vAlign w:val="bottom"/>
            <w:gridSpan w:val="2"/>
          </w:tcPr>
          <w:p>
            <w:pPr>
              <w:spacing w:after="0"/>
              <w:rPr>
                <w:sz w:val="20"/>
                <w:szCs w:val="20"/>
                <w:color w:val="auto"/>
              </w:rPr>
            </w:pPr>
            <w:r>
              <w:rPr>
                <w:rFonts w:ascii="Arial" w:cs="Arial" w:eastAsia="Arial" w:hAnsi="Arial"/>
                <w:sz w:val="13"/>
                <w:szCs w:val="13"/>
                <w:b w:val="1"/>
                <w:bCs w:val="1"/>
                <w:color w:val="0000EE"/>
              </w:rPr>
              <w:t>TABLE OF CONTENTS</w:t>
            </w:r>
          </w:p>
        </w:tc>
        <w:tc>
          <w:tcPr>
            <w:tcW w:w="1320" w:type="dxa"/>
            <w:vAlign w:val="bottom"/>
          </w:tcPr>
          <w:p>
            <w:pPr>
              <w:spacing w:after="0"/>
              <w:rPr>
                <w:sz w:val="13"/>
                <w:szCs w:val="13"/>
                <w:color w:val="auto"/>
              </w:rPr>
            </w:pPr>
          </w:p>
        </w:tc>
      </w:tr>
      <w:tr>
        <w:trPr>
          <w:trHeight w:val="235"/>
        </w:trPr>
        <w:tc>
          <w:tcPr>
            <w:tcW w:w="1420" w:type="dxa"/>
            <w:vAlign w:val="bottom"/>
            <w:tcBorders>
              <w:top w:val="single" w:sz="8" w:color="0000EE"/>
            </w:tcBorders>
          </w:tcPr>
          <w:p>
            <w:pPr>
              <w:spacing w:after="0"/>
              <w:rPr>
                <w:sz w:val="20"/>
                <w:szCs w:val="20"/>
                <w:color w:val="auto"/>
              </w:rPr>
            </w:pPr>
          </w:p>
        </w:tc>
        <w:tc>
          <w:tcPr>
            <w:tcW w:w="4200" w:type="dxa"/>
            <w:vAlign w:val="bottom"/>
          </w:tcPr>
          <w:p>
            <w:pPr>
              <w:spacing w:after="0"/>
              <w:rPr>
                <w:sz w:val="20"/>
                <w:szCs w:val="20"/>
                <w:color w:val="auto"/>
              </w:rPr>
            </w:pPr>
          </w:p>
        </w:tc>
        <w:tc>
          <w:tcPr>
            <w:tcW w:w="1320" w:type="dxa"/>
            <w:vAlign w:val="bottom"/>
          </w:tcPr>
          <w:p>
            <w:pPr>
              <w:jc w:val="right"/>
              <w:ind w:right="302"/>
              <w:spacing w:after="0"/>
              <w:rPr>
                <w:sz w:val="20"/>
                <w:szCs w:val="20"/>
                <w:color w:val="auto"/>
              </w:rPr>
            </w:pPr>
            <w:r>
              <w:rPr>
                <w:rFonts w:ascii="Arial" w:cs="Arial" w:eastAsia="Arial" w:hAnsi="Arial"/>
                <w:sz w:val="13"/>
                <w:szCs w:val="13"/>
                <w:b w:val="1"/>
                <w:bCs w:val="1"/>
                <w:color w:val="auto"/>
              </w:rPr>
              <w:t>Reference</w:t>
            </w:r>
          </w:p>
        </w:tc>
      </w:tr>
      <w:tr>
        <w:trPr>
          <w:trHeight w:val="158"/>
        </w:trPr>
        <w:tc>
          <w:tcPr>
            <w:tcW w:w="14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Range of Multiples</w:t>
            </w:r>
          </w:p>
        </w:tc>
      </w:tr>
      <w:tr>
        <w:trPr>
          <w:trHeight w:val="193"/>
        </w:trPr>
        <w:tc>
          <w:tcPr>
            <w:tcW w:w="56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EV/EBITDA</w:t>
            </w:r>
          </w:p>
        </w:tc>
        <w:tc>
          <w:tcPr>
            <w:tcW w:w="132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25.52x – 25.53x</w:t>
            </w:r>
          </w:p>
        </w:tc>
      </w:tr>
      <w:tr>
        <w:trPr>
          <w:trHeight w:val="200"/>
        </w:trPr>
        <w:tc>
          <w:tcPr>
            <w:tcW w:w="5620" w:type="dxa"/>
            <w:vAlign w:val="bottom"/>
            <w:gridSpan w:val="2"/>
          </w:tcPr>
          <w:p>
            <w:pPr>
              <w:spacing w:after="0"/>
              <w:rPr>
                <w:sz w:val="20"/>
                <w:szCs w:val="20"/>
                <w:color w:val="auto"/>
              </w:rPr>
            </w:pPr>
            <w:r>
              <w:rPr>
                <w:rFonts w:ascii="Arial" w:cs="Arial" w:eastAsia="Arial" w:hAnsi="Arial"/>
                <w:sz w:val="17"/>
                <w:szCs w:val="17"/>
                <w:color w:val="auto"/>
              </w:rPr>
              <w:t>P/E</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NA</w:t>
            </w:r>
          </w:p>
        </w:tc>
      </w:tr>
      <w:tr>
        <w:trPr>
          <w:trHeight w:val="200"/>
        </w:trPr>
        <w:tc>
          <w:tcPr>
            <w:tcW w:w="56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P/Book</w:t>
            </w:r>
          </w:p>
        </w:tc>
        <w:tc>
          <w:tcPr>
            <w:tcW w:w="1320" w:type="dxa"/>
            <w:vAlign w:val="bottom"/>
            <w:shd w:val="clear" w:color="auto" w:fill="CCFFCC"/>
          </w:tcPr>
          <w:p>
            <w:pPr>
              <w:jc w:val="right"/>
              <w:ind w:right="2"/>
              <w:spacing w:after="0"/>
              <w:rPr>
                <w:sz w:val="20"/>
                <w:szCs w:val="20"/>
                <w:color w:val="auto"/>
              </w:rPr>
            </w:pPr>
            <w:r>
              <w:rPr>
                <w:rFonts w:ascii="Arial" w:cs="Arial" w:eastAsia="Arial" w:hAnsi="Arial"/>
                <w:sz w:val="17"/>
                <w:szCs w:val="17"/>
                <w:color w:val="auto"/>
              </w:rPr>
              <w:t>.41x – .59x</w:t>
            </w:r>
          </w:p>
        </w:tc>
      </w:tr>
      <w:tr>
        <w:trPr>
          <w:trHeight w:val="213"/>
        </w:trPr>
        <w:tc>
          <w:tcPr>
            <w:tcW w:w="5620" w:type="dxa"/>
            <w:vAlign w:val="bottom"/>
            <w:gridSpan w:val="2"/>
          </w:tcPr>
          <w:p>
            <w:pPr>
              <w:spacing w:after="0"/>
              <w:rPr>
                <w:sz w:val="20"/>
                <w:szCs w:val="20"/>
                <w:color w:val="auto"/>
              </w:rPr>
            </w:pPr>
            <w:r>
              <w:rPr>
                <w:rFonts w:ascii="Arial" w:cs="Arial" w:eastAsia="Arial" w:hAnsi="Arial"/>
                <w:sz w:val="17"/>
                <w:szCs w:val="17"/>
                <w:color w:val="auto"/>
              </w:rPr>
              <w:t>EV/REV</w:t>
            </w: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.33x – .33x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-795020</wp:posOffset>
            </wp:positionV>
            <wp:extent cx="43999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99915" cy="8255"/>
                    </a:xfrm>
                    <a:prstGeom prst="rect">
                      <a:avLst/>
                    </a:prstGeom>
                    <a:noFill/>
                  </pic:spPr>
                </pic:pic>
              </a:graphicData>
            </a:graphic>
          </wp:anchor>
        </w:drawing>
      </w:r>
    </w:p>
    <w:p>
      <w:pPr>
        <w:spacing w:after="0" w:line="5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Because of the limited number of transactions and their infrequency, Etico Capital did not consider these comparable transactions to be meaningful.</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Consideration of the Discounted Cash Flow Methodology</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Etico Capital did not employ a discounted cash flow analysis of Innovate/Protect for the purposes of its opinion. Discounted cash flow analysis is most appropriate for companies that exhibit relatively steady or somewhat predictable streams of positive future cash flow. To date, Innovate/Protect has generated negative cash flows. Furthermore, Etico Capital was not provided with forecasts regarding Innovate/Protect and Etico Capital was directed by the Vringo board of directors not to value the Litigation and, therefore, did not consider any cash flow that may be provided by or used in the Litigation. Because of these factors, Etico Capital considered a discounted cash flow analysis inappropriate for valuing Innovate/Protect.</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Miscellaneous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The preparation of a fairness opinion is a complex process involving determinations as to the most appropriate and relevant methods of financial analysis and the application of these methods to the particular circumstances, limitations on the scope of the engagement and the quantitative and qualitative available comparable information and, therefore, is not necessarily susceptible to partial analysis or summary description. Selecting portions of the analysis or the summary set forth above, without considering the analysis as a whole, could create an incomplete view of the processes underlying the opinion of Etico Capital. In arriving at its fairness determination, Etico Capital considered the results of all these constituent analyses and did not attribute any particular weight to any particular factor or analysis considered by it. Rather, Etico Capital made its determination as to fairness on the basis of its experience and professional judgment after considering the results of all such analyses. The foregoing summary does not purport to be a complete description of the analyses performed by Etico Capital. Additionally, analyses relating to the value of businesses or securities are not appraisals. Accordingly, such analyses and estimates are inherently subject to substantial uncertainty.</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performing its analyses, Etico Capital made numerous assumptions with respect to industry performance and general business and economic conditions and other matters, many of which are beyond Vringo’s control. The analyses performed by Etico Capital are not necessarily indicative of actual values or actual future results, which may be significantly more or less favorable than suggested by such analyses. The Merger consideration and other terms of the Merger Agreement were determined through arm’s length negotiations between Vringo and Innovate/Protect, and were approved by the Vringo board of directors. Etico Capital’s opinion was one of many factors taken into consideration by the Vringo board of directors in making its decision to approve the Merger Agreement and the Merger. Consequently, the Etico Capital analyses as described above should not be viewed as determinative of the opinion of the Vringo board of directors with respect to the value of Vringo or Innovate/Protect or whether the Vringo board of director would have been willing to agree to different consideration.</w:t>
      </w:r>
    </w:p>
    <w:p>
      <w:pPr>
        <w:spacing w:after="0" w:line="6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Etico Capital was retained under an engagement letter, dated March 7, 2012, to give an opinion as to the fairness of the Merger consideration, from a financial point of view, to the holders of Vringo common stock (other than those who own, or whose affiliates own, securities of Innovate/Protect, regarding which Etico Capital expressed no view). Etico Capital did not serve as financial advisor to Vringo in connection with the Merger. Etico Capital received a fee of $115,000 (and the reimbursement of $10,000 of expenses) upon delivery of its opinion. No portion of Etico Capital’s fee is contingent upon the consummation of the Merger. In addition, Vringo has agreed to indemnify Etico Capital and its affiliates and their respective officers, directors, employees and agents, and any persons controlling Etico Capital or any of its affiliates against liabilities and expenses, relating to or arising out of Etico Capital’s engagement, except in the case of gross negligence or willful misconduct. Jeffrey Berman, a Senior Managing Director of Etico Capital is married to</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the sister of a managing member of Iroquois Capital Management LLC, the investment manager to Iroquois Master Fund Ltd., which beneficially owns approximately 8.5% of Vringo common stock and approximately 6.98% of Innovate/Protect’s common stock and approximately 5.2% of Innovate/Protect’s preferred stock.</w:t>
      </w:r>
    </w:p>
    <w:p>
      <w:pPr>
        <w:spacing w:after="0" w:line="97" w:lineRule="exact"/>
        <w:rPr>
          <w:sz w:val="20"/>
          <w:szCs w:val="20"/>
          <w:color w:val="auto"/>
        </w:rPr>
      </w:pPr>
    </w:p>
    <w:p>
      <w:pPr>
        <w:ind w:left="40" w:right="1319"/>
        <w:spacing w:after="0" w:line="394" w:lineRule="auto"/>
        <w:rPr>
          <w:sz w:val="20"/>
          <w:szCs w:val="20"/>
          <w:color w:val="auto"/>
        </w:rPr>
      </w:pPr>
      <w:r>
        <w:rPr>
          <w:rFonts w:ascii="Arial" w:cs="Arial" w:eastAsia="Arial" w:hAnsi="Arial"/>
          <w:sz w:val="17"/>
          <w:szCs w:val="17"/>
          <w:b w:val="1"/>
          <w:bCs w:val="1"/>
          <w:color w:val="auto"/>
        </w:rPr>
        <w:t xml:space="preserve">Board of Directors, Executive Officers and Key Employees of the Combined Company After the Completion of the Merger </w:t>
      </w:r>
      <w:r>
        <w:rPr>
          <w:rFonts w:ascii="Arial" w:cs="Arial" w:eastAsia="Arial" w:hAnsi="Arial"/>
          <w:sz w:val="17"/>
          <w:szCs w:val="17"/>
          <w:b w:val="1"/>
          <w:bCs w:val="1"/>
          <w:i w:val="1"/>
          <w:iCs w:val="1"/>
          <w:color w:val="auto"/>
        </w:rPr>
        <w:t>Board of Directors</w:t>
      </w:r>
    </w:p>
    <w:p>
      <w:pPr>
        <w:spacing w:after="0" w:line="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Innovate/Protect’s board of directors.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executive management team of the combined company is expected to be composed of the following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43840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48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2320" w:type="dxa"/>
            <w:vAlign w:val="bottom"/>
          </w:tcPr>
          <w:p>
            <w:pPr>
              <w:spacing w:after="0" w:line="180" w:lineRule="exact"/>
              <w:rPr>
                <w:sz w:val="20"/>
                <w:szCs w:val="20"/>
                <w:color w:val="auto"/>
              </w:rPr>
            </w:pPr>
            <w:r>
              <w:rPr>
                <w:rFonts w:ascii="Arial" w:cs="Arial" w:eastAsia="Arial" w:hAnsi="Arial"/>
                <w:sz w:val="17"/>
                <w:szCs w:val="17"/>
                <w:color w:val="auto"/>
              </w:rPr>
              <w:t>Andrew D. Perlman</w:t>
            </w:r>
          </w:p>
        </w:tc>
        <w:tc>
          <w:tcPr>
            <w:tcW w:w="14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7"/>
                <w:szCs w:val="17"/>
                <w:color w:val="auto"/>
              </w:rPr>
              <w:t>Chief Executive Officer</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Andrew Kennedy Lang</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Technology Officer and President</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Alexander R. Berger</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Operating Officer and Secretary</w:t>
            </w: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Ellen Cohl</w:t>
            </w:r>
          </w:p>
        </w:tc>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bl>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Key Employees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840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48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2320" w:type="dxa"/>
            <w:vAlign w:val="bottom"/>
          </w:tcPr>
          <w:p>
            <w:pPr>
              <w:spacing w:after="0" w:line="180" w:lineRule="exact"/>
              <w:rPr>
                <w:sz w:val="20"/>
                <w:szCs w:val="20"/>
                <w:color w:val="auto"/>
              </w:rPr>
            </w:pPr>
            <w:r>
              <w:rPr>
                <w:rFonts w:ascii="Arial" w:cs="Arial" w:eastAsia="Arial" w:hAnsi="Arial"/>
                <w:sz w:val="17"/>
                <w:szCs w:val="17"/>
                <w:color w:val="auto"/>
              </w:rPr>
              <w:t>David L. Cohen</w:t>
            </w:r>
          </w:p>
        </w:tc>
        <w:tc>
          <w:tcPr>
            <w:tcW w:w="14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Arial" w:cs="Arial" w:eastAsia="Arial" w:hAnsi="Arial"/>
                <w:sz w:val="17"/>
                <w:szCs w:val="17"/>
                <w:color w:val="auto"/>
              </w:rPr>
              <w:t>Special Counsel</w:t>
            </w:r>
          </w:p>
        </w:tc>
      </w:tr>
      <w:tr>
        <w:trPr>
          <w:trHeight w:val="200"/>
        </w:trPr>
        <w:tc>
          <w:tcPr>
            <w:tcW w:w="2320" w:type="dxa"/>
            <w:vAlign w:val="bottom"/>
          </w:tcPr>
          <w:p>
            <w:pPr>
              <w:spacing w:after="0"/>
              <w:rPr>
                <w:sz w:val="20"/>
                <w:szCs w:val="20"/>
                <w:color w:val="auto"/>
              </w:rPr>
            </w:pPr>
            <w:r>
              <w:rPr>
                <w:rFonts w:ascii="Arial" w:cs="Arial" w:eastAsia="Arial" w:hAnsi="Arial"/>
                <w:sz w:val="17"/>
                <w:szCs w:val="17"/>
                <w:color w:val="auto"/>
              </w:rPr>
              <w:t>Clifford Weinstein</w:t>
            </w:r>
          </w:p>
        </w:tc>
        <w:tc>
          <w:tcPr>
            <w:tcW w:w="14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Josh Wolff</w:t>
            </w:r>
          </w:p>
        </w:tc>
        <w:tc>
          <w:tcPr>
            <w:tcW w:w="1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Senior Vice President for Partner Solutions</w:t>
            </w: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Interests of Vringo Directors and Executive Officers in the Merger</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considering the recommendation of the Vringo board of directors to vote FOR the Vringo Merger Proposals, Vringo stockholders should be aware that the directors and executive officers of Vringo have interests in the Merger that may be in addition to, or different from, your interests as Vringo stockholders, which could create conflicts of interest in their determinations to recommend the Merger. You should consider these interests in voting on the merger. These interests in connection with the Merger relate to or arise from, among other things:</w:t>
      </w:r>
    </w:p>
    <w:p>
      <w:pPr>
        <w:spacing w:after="0" w:line="80" w:lineRule="exact"/>
        <w:rPr>
          <w:sz w:val="20"/>
          <w:szCs w:val="20"/>
          <w:color w:val="auto"/>
        </w:rPr>
      </w:pPr>
    </w:p>
    <w:p>
      <w:pPr>
        <w:ind w:left="560" w:right="1239" w:hanging="300"/>
        <w:spacing w:after="0" w:line="267"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fact that Seth M. Siegel, Andrew D. Perlman and John Engelman are currently directors of Vringo and will remain directors of the combined company following the completion of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fact that Andrew D. Perlman and Ellen Cohl are currently executive officers of Vringo and will remain executive officers of the combined company following the completion of the Merger;</w:t>
      </w:r>
    </w:p>
    <w:p>
      <w:pPr>
        <w:spacing w:after="0" w:line="66"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the change of control in connection with the consummation of the Merger, there will be a one year acceleration of option vesting for option holders for grants prior to consummation of the Merger, except for Andrew D. Perlman who will be entitled to 50% acceleration for all of his unvested options granted to him prior to him becoming Chief Executive Officer of Vringo;</w:t>
      </w:r>
    </w:p>
    <w:p>
      <w:pPr>
        <w:spacing w:after="0" w:line="77"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right to continued indemnification for directors and executive officers of Vringo following the completion of the Merger.</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board of directors was aware of these potential conflicts of interest during its deliberations on the merits of the Merger and when making its decision regarding the Merger Agreement and the transactions contemplated thereby, including the Merger.</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Ownership Interests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of June 20, 2012, the latest practicable date before the printing of this proxy statement/prospectus, directors and executive officers of Vringo, together with their respective affiliates, beneficially owned and were entitled to vote 243,053 shares of Vringo common stock, or approximately 1.73% of the shares of Vringo common stock outstanding on that date. Assuming the Merger had been completed as of such date, all directors and executive officers of Vringo, together with their respective affiliates, would beneficially own, in the aggregate, approximately 6.3% of the outstanding shares of common stock of the combined company.</w:t>
      </w:r>
    </w:p>
    <w:p>
      <w:pPr>
        <w:spacing w:after="0" w:line="53"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following table sets forth information as of June 20, 2012, regarding the beneficial ownership of the combined company for each executive officer and director of Vringo and Innovate/Protect following the completion of the Merger. Percentage of beneficial ownership is calculated in relation to 32,357,329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June 20, 2012. The table also sets forth the total number of additional options that each executive officer and director of Innovate/Protect will have the right to acquire following the Merger, but which are not exercisable within 60 days of June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680" w:type="dxa"/>
            <w:vAlign w:val="bottom"/>
          </w:tcPr>
          <w:p>
            <w:pPr>
              <w:spacing w:after="0" w:line="142"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Total Shares to be</w:t>
            </w:r>
          </w:p>
        </w:tc>
        <w:tc>
          <w:tcPr>
            <w:tcW w:w="16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Total Additional</w:t>
            </w:r>
          </w:p>
        </w:tc>
        <w:tc>
          <w:tcPr>
            <w:tcW w:w="16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Combined Company</w:t>
            </w:r>
          </w:p>
        </w:tc>
      </w:tr>
      <w:tr>
        <w:trPr>
          <w:trHeight w:val="138"/>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Beneficially Owned</w:t>
            </w:r>
          </w:p>
        </w:tc>
        <w:tc>
          <w:tcPr>
            <w:tcW w:w="1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to be Held</w:t>
            </w:r>
          </w:p>
        </w:tc>
        <w:tc>
          <w:tcPr>
            <w:tcW w:w="1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r>
      <w:tr>
        <w:trPr>
          <w:trHeight w:val="138"/>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Following the Merger</w:t>
            </w:r>
          </w:p>
        </w:tc>
        <w:tc>
          <w:tcPr>
            <w:tcW w:w="1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Ownership Percentage</w:t>
            </w:r>
          </w:p>
        </w:tc>
      </w:tr>
      <w:tr>
        <w:trPr>
          <w:trHeight w:val="158"/>
        </w:trPr>
        <w:tc>
          <w:tcPr>
            <w:tcW w:w="2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Following the Merger</w:t>
            </w:r>
          </w:p>
        </w:tc>
      </w:tr>
      <w:tr>
        <w:trPr>
          <w:trHeight w:val="193"/>
        </w:trPr>
        <w:tc>
          <w:tcPr>
            <w:tcW w:w="26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1620" w:type="dxa"/>
            <w:vAlign w:val="bottom"/>
            <w:gridSpan w:val="2"/>
            <w:shd w:val="clear" w:color="auto" w:fill="CCFFCC"/>
          </w:tcPr>
          <w:p>
            <w:pPr>
              <w:jc w:val="right"/>
              <w:ind w:right="33"/>
              <w:spacing w:after="0" w:line="193" w:lineRule="exact"/>
              <w:rPr>
                <w:sz w:val="20"/>
                <w:szCs w:val="20"/>
                <w:color w:val="auto"/>
              </w:rPr>
            </w:pPr>
            <w:r>
              <w:rPr>
                <w:rFonts w:ascii="Arial" w:cs="Arial" w:eastAsia="Arial" w:hAnsi="Arial"/>
                <w:sz w:val="17"/>
                <w:szCs w:val="17"/>
                <w:color w:val="auto"/>
              </w:rPr>
              <w:t>607,381</w:t>
            </w:r>
          </w:p>
        </w:tc>
        <w:tc>
          <w:tcPr>
            <w:tcW w:w="1600" w:type="dxa"/>
            <w:vAlign w:val="bottom"/>
            <w:gridSpan w:val="2"/>
            <w:shd w:val="clear" w:color="auto" w:fill="CCFFCC"/>
          </w:tcPr>
          <w:p>
            <w:pPr>
              <w:jc w:val="right"/>
              <w:ind w:right="44"/>
              <w:spacing w:after="0" w:line="193" w:lineRule="exact"/>
              <w:rPr>
                <w:sz w:val="20"/>
                <w:szCs w:val="20"/>
                <w:color w:val="auto"/>
              </w:rPr>
            </w:pPr>
            <w:r>
              <w:rPr>
                <w:rFonts w:ascii="Arial" w:cs="Arial" w:eastAsia="Arial" w:hAnsi="Arial"/>
                <w:sz w:val="17"/>
                <w:szCs w:val="17"/>
                <w:color w:val="auto"/>
              </w:rPr>
              <w:t>331,453</w:t>
            </w:r>
          </w:p>
        </w:tc>
        <w:tc>
          <w:tcPr>
            <w:tcW w:w="1720" w:type="dxa"/>
            <w:vAlign w:val="bottom"/>
            <w:gridSpan w:val="2"/>
            <w:shd w:val="clear" w:color="auto" w:fill="CCFFCC"/>
          </w:tcPr>
          <w:p>
            <w:pPr>
              <w:jc w:val="right"/>
              <w:ind w:right="373"/>
              <w:spacing w:after="0" w:line="193" w:lineRule="exact"/>
              <w:rPr>
                <w:sz w:val="20"/>
                <w:szCs w:val="20"/>
                <w:color w:val="auto"/>
              </w:rPr>
            </w:pPr>
            <w:r>
              <w:rPr>
                <w:rFonts w:ascii="Arial" w:cs="Arial" w:eastAsia="Arial" w:hAnsi="Arial"/>
                <w:sz w:val="17"/>
                <w:szCs w:val="17"/>
                <w:color w:val="auto"/>
              </w:rPr>
              <w:t>1.8%</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Seth M. Siegel</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619,289</w:t>
            </w:r>
          </w:p>
        </w:tc>
        <w:tc>
          <w:tcPr>
            <w:tcW w:w="1600" w:type="dxa"/>
            <w:vAlign w:val="bottom"/>
            <w:gridSpan w:val="2"/>
          </w:tcPr>
          <w:p>
            <w:pPr>
              <w:jc w:val="right"/>
              <w:ind w:right="44"/>
              <w:spacing w:after="0"/>
              <w:rPr>
                <w:sz w:val="20"/>
                <w:szCs w:val="20"/>
                <w:color w:val="auto"/>
              </w:rPr>
            </w:pPr>
            <w:r>
              <w:rPr>
                <w:rFonts w:ascii="Arial" w:cs="Arial" w:eastAsia="Arial" w:hAnsi="Arial"/>
                <w:sz w:val="17"/>
                <w:szCs w:val="17"/>
                <w:color w:val="auto"/>
              </w:rPr>
              <w:t>214,583</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1.9%</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8,034,360</w:t>
            </w:r>
          </w:p>
        </w:tc>
        <w:tc>
          <w:tcPr>
            <w:tcW w:w="160" w:type="dxa"/>
            <w:vAlign w:val="bottom"/>
            <w:shd w:val="clear" w:color="auto" w:fill="CCFFCC"/>
          </w:tcPr>
          <w:p>
            <w:pPr>
              <w:spacing w:after="0"/>
              <w:rPr>
                <w:sz w:val="17"/>
                <w:szCs w:val="17"/>
                <w:color w:val="auto"/>
              </w:rPr>
            </w:pPr>
          </w:p>
        </w:tc>
        <w:tc>
          <w:tcPr>
            <w:tcW w:w="1440" w:type="dxa"/>
            <w:vAlign w:val="bottom"/>
            <w:shd w:val="clear" w:color="auto" w:fill="CCFFCC"/>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23.1%</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Alexender R. Berger</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2,678,120</w:t>
            </w:r>
          </w:p>
        </w:tc>
        <w:tc>
          <w:tcPr>
            <w:tcW w:w="16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8.1%</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201,533</w:t>
            </w:r>
          </w:p>
        </w:tc>
        <w:tc>
          <w:tcPr>
            <w:tcW w:w="1600" w:type="dxa"/>
            <w:vAlign w:val="bottom"/>
            <w:gridSpan w:val="2"/>
            <w:shd w:val="clear" w:color="auto" w:fill="CCFFCC"/>
          </w:tcPr>
          <w:p>
            <w:pPr>
              <w:jc w:val="right"/>
              <w:ind w:right="44"/>
              <w:spacing w:after="0"/>
              <w:rPr>
                <w:sz w:val="20"/>
                <w:szCs w:val="20"/>
                <w:color w:val="auto"/>
              </w:rPr>
            </w:pPr>
            <w:r>
              <w:rPr>
                <w:rFonts w:ascii="Arial" w:cs="Arial" w:eastAsia="Arial" w:hAnsi="Arial"/>
                <w:sz w:val="17"/>
                <w:szCs w:val="17"/>
                <w:color w:val="auto"/>
              </w:rPr>
              <w:t>129,271</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0.6%</w:t>
            </w:r>
          </w:p>
        </w:tc>
      </w:tr>
      <w:tr>
        <w:trPr>
          <w:trHeight w:val="200"/>
        </w:trPr>
        <w:tc>
          <w:tcPr>
            <w:tcW w:w="2680" w:type="dxa"/>
            <w:vAlign w:val="bottom"/>
          </w:tcPr>
          <w:p>
            <w:pPr>
              <w:spacing w:after="0"/>
              <w:rPr>
                <w:sz w:val="20"/>
                <w:szCs w:val="20"/>
                <w:color w:val="auto"/>
              </w:rPr>
            </w:pPr>
            <w:r>
              <w:rPr>
                <w:rFonts w:ascii="Arial" w:cs="Arial" w:eastAsia="Arial" w:hAnsi="Arial"/>
                <w:sz w:val="17"/>
                <w:szCs w:val="17"/>
                <w:color w:val="auto"/>
              </w:rPr>
              <w:t>Donald E. Stout</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1,083,195</w:t>
            </w:r>
          </w:p>
        </w:tc>
        <w:tc>
          <w:tcPr>
            <w:tcW w:w="160" w:type="dxa"/>
            <w:vAlign w:val="bottom"/>
          </w:tcPr>
          <w:p>
            <w:pPr>
              <w:spacing w:after="0"/>
              <w:rPr>
                <w:sz w:val="17"/>
                <w:szCs w:val="17"/>
                <w:color w:val="auto"/>
              </w:rPr>
            </w:pPr>
          </w:p>
        </w:tc>
        <w:tc>
          <w:tcPr>
            <w:tcW w:w="144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3.3%</w:t>
            </w:r>
          </w:p>
        </w:tc>
      </w:tr>
      <w:tr>
        <w:trPr>
          <w:trHeight w:val="200"/>
        </w:trPr>
        <w:tc>
          <w:tcPr>
            <w:tcW w:w="2680" w:type="dxa"/>
            <w:vAlign w:val="bottom"/>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162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171,400</w:t>
            </w:r>
          </w:p>
        </w:tc>
        <w:tc>
          <w:tcPr>
            <w:tcW w:w="160" w:type="dxa"/>
            <w:vAlign w:val="bottom"/>
            <w:shd w:val="clear" w:color="auto" w:fill="CCFFCC"/>
          </w:tcPr>
          <w:p>
            <w:pPr>
              <w:spacing w:after="0"/>
              <w:rPr>
                <w:sz w:val="17"/>
                <w:szCs w:val="17"/>
                <w:color w:val="auto"/>
              </w:rPr>
            </w:pPr>
          </w:p>
        </w:tc>
        <w:tc>
          <w:tcPr>
            <w:tcW w:w="1440" w:type="dxa"/>
            <w:vAlign w:val="bottom"/>
            <w:shd w:val="clear" w:color="auto" w:fill="CCFFCC"/>
          </w:tcPr>
          <w:p>
            <w:pPr>
              <w:jc w:val="right"/>
              <w:ind w:right="44"/>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FFCC"/>
          </w:tcPr>
          <w:p>
            <w:pPr>
              <w:jc w:val="right"/>
              <w:ind w:right="373"/>
              <w:spacing w:after="0"/>
              <w:rPr>
                <w:sz w:val="20"/>
                <w:szCs w:val="20"/>
                <w:color w:val="auto"/>
              </w:rPr>
            </w:pPr>
            <w:r>
              <w:rPr>
                <w:rFonts w:ascii="Arial" w:cs="Arial" w:eastAsia="Arial" w:hAnsi="Arial"/>
                <w:sz w:val="17"/>
                <w:szCs w:val="17"/>
                <w:color w:val="auto"/>
              </w:rPr>
              <w:t>0.5%</w:t>
            </w:r>
          </w:p>
        </w:tc>
      </w:tr>
      <w:tr>
        <w:trPr>
          <w:trHeight w:val="213"/>
        </w:trPr>
        <w:tc>
          <w:tcPr>
            <w:tcW w:w="2680" w:type="dxa"/>
            <w:vAlign w:val="bottom"/>
          </w:tcPr>
          <w:p>
            <w:pPr>
              <w:spacing w:after="0"/>
              <w:rPr>
                <w:sz w:val="20"/>
                <w:szCs w:val="20"/>
                <w:color w:val="auto"/>
              </w:rPr>
            </w:pPr>
            <w:r>
              <w:rPr>
                <w:rFonts w:ascii="Arial" w:cs="Arial" w:eastAsia="Arial" w:hAnsi="Arial"/>
                <w:sz w:val="17"/>
                <w:szCs w:val="17"/>
                <w:color w:val="auto"/>
              </w:rPr>
              <w:t>Ellen Cohl</w:t>
            </w:r>
          </w:p>
        </w:tc>
        <w:tc>
          <w:tcPr>
            <w:tcW w:w="1620" w:type="dxa"/>
            <w:vAlign w:val="bottom"/>
            <w:gridSpan w:val="2"/>
          </w:tcPr>
          <w:p>
            <w:pPr>
              <w:jc w:val="right"/>
              <w:ind w:right="33"/>
              <w:spacing w:after="0"/>
              <w:rPr>
                <w:sz w:val="20"/>
                <w:szCs w:val="20"/>
                <w:color w:val="auto"/>
              </w:rPr>
            </w:pPr>
            <w:r>
              <w:rPr>
                <w:rFonts w:ascii="Arial" w:cs="Arial" w:eastAsia="Arial" w:hAnsi="Arial"/>
                <w:sz w:val="17"/>
                <w:szCs w:val="17"/>
                <w:color w:val="auto"/>
              </w:rPr>
              <w:t>231,750</w:t>
            </w:r>
          </w:p>
        </w:tc>
        <w:tc>
          <w:tcPr>
            <w:tcW w:w="1600" w:type="dxa"/>
            <w:vAlign w:val="bottom"/>
            <w:gridSpan w:val="2"/>
          </w:tcPr>
          <w:p>
            <w:pPr>
              <w:jc w:val="right"/>
              <w:ind w:right="44"/>
              <w:spacing w:after="0"/>
              <w:rPr>
                <w:sz w:val="20"/>
                <w:szCs w:val="20"/>
                <w:color w:val="auto"/>
              </w:rPr>
            </w:pPr>
            <w:r>
              <w:rPr>
                <w:rFonts w:ascii="Arial" w:cs="Arial" w:eastAsia="Arial" w:hAnsi="Arial"/>
                <w:sz w:val="17"/>
                <w:szCs w:val="17"/>
                <w:color w:val="auto"/>
              </w:rPr>
              <w:t>186,250</w:t>
            </w:r>
          </w:p>
        </w:tc>
        <w:tc>
          <w:tcPr>
            <w:tcW w:w="1720" w:type="dxa"/>
            <w:vAlign w:val="bottom"/>
            <w:gridSpan w:val="2"/>
          </w:tcPr>
          <w:p>
            <w:pPr>
              <w:jc w:val="right"/>
              <w:ind w:right="373"/>
              <w:spacing w:after="0"/>
              <w:rPr>
                <w:sz w:val="20"/>
                <w:szCs w:val="20"/>
                <w:color w:val="auto"/>
              </w:rPr>
            </w:pPr>
            <w:r>
              <w:rPr>
                <w:rFonts w:ascii="Arial" w:cs="Arial" w:eastAsia="Arial" w:hAnsi="Arial"/>
                <w:sz w:val="17"/>
                <w:szCs w:val="17"/>
                <w:color w:val="auto"/>
              </w:rPr>
              <w:t>0.6%</w:t>
            </w:r>
          </w:p>
        </w:tc>
      </w:tr>
    </w:tbl>
    <w:p>
      <w:pPr>
        <w:spacing w:after="0" w:line="7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For a more complete discussion of the ownership interests of the directors and executive officers of Vringo, see the sections entitled “Vringo Security Ownership of Certain Beneficial Owners and Management” and “Security Ownership of Certain Beneficial Owners and Management of the Combined Company Following the Merger” beginning on pages </w:t>
      </w:r>
      <w:r>
        <w:rPr>
          <w:rFonts w:ascii="Arial" w:cs="Arial" w:eastAsia="Arial" w:hAnsi="Arial"/>
          <w:sz w:val="17"/>
          <w:szCs w:val="17"/>
          <w:u w:val="single" w:color="auto"/>
          <w:color w:val="0000EE"/>
        </w:rPr>
        <w:t>178</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182</w:t>
      </w:r>
      <w:r>
        <w:rPr>
          <w:rFonts w:ascii="Arial" w:cs="Arial" w:eastAsia="Arial" w:hAnsi="Arial"/>
          <w:sz w:val="17"/>
          <w:szCs w:val="17"/>
          <w:color w:val="auto"/>
        </w:rPr>
        <w:t>, respectively.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Employment Agreements with Certain Executive Officers of Vringo</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11, 2012, in connection with the appointment of Andrew D. Perlman as Chief Executive Officer, Vringo’s board of directors approved an increase in Mr. Perlman’s salary to $250,000 per year and the payment of severance for one year in the event he is no longer the Chief Executive Officer in connection with the change of control. In addition, the board of directors approved the grant of options to purchase 450,000 shares at an exercise price of $1.65 per share. Vringo and Mr. Perlman expect to enter into an amendment to his employment agreement to memorialize the foregoing terms.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Accelerated Vesting of Stock Options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Upon the change of control in connection with the consummation of the Merger, there will be a one year acceleration of option vesting for all Vringo’s option holders for grants prior to the consummation of the</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4" w:lineRule="auto"/>
        <w:rPr>
          <w:sz w:val="20"/>
          <w:szCs w:val="20"/>
          <w:color w:val="auto"/>
        </w:rPr>
      </w:pPr>
      <w:r>
        <w:rPr>
          <w:rFonts w:ascii="Arial" w:cs="Arial" w:eastAsia="Arial" w:hAnsi="Arial"/>
          <w:sz w:val="16"/>
          <w:szCs w:val="16"/>
          <w:color w:val="auto"/>
        </w:rPr>
        <w:t>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Indemnification and Insurance</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law.</w:t>
      </w:r>
    </w:p>
    <w:p>
      <w:pPr>
        <w:spacing w:after="0" w:line="5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Merger Agreement provides the Vringo will continue to indemnify and hold harmless each present and former director or officer of Vringo or any of its subsidiaries, with respect to acts or omissions occurring or alleged to have occurred at or prior to the completion of the Merger, to the fullest extent permitted under applicable law and Vringo’s certificate of incorporation or Vringo’s bylaws (the “</w:t>
      </w:r>
      <w:r>
        <w:rPr>
          <w:rFonts w:ascii="Arial" w:cs="Arial" w:eastAsia="Arial" w:hAnsi="Arial"/>
          <w:sz w:val="16"/>
          <w:szCs w:val="16"/>
          <w:b w:val="1"/>
          <w:bCs w:val="1"/>
          <w:color w:val="auto"/>
        </w:rPr>
        <w:t>Vringo’s Bylaws</w:t>
      </w:r>
      <w:r>
        <w:rPr>
          <w:rFonts w:ascii="Arial" w:cs="Arial" w:eastAsia="Arial" w:hAnsi="Arial"/>
          <w:sz w:val="16"/>
          <w:szCs w:val="16"/>
          <w:color w:val="auto"/>
        </w:rPr>
        <w:t>”). The Merger Agreement also provides that the combined company will honor all indemnification agreements in place with each present and former director or officer of Vringo.</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Anticipated Accounting Treatment</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Merger will be treated by Vringo as a reverse merger under the acquisition method of accounting in accordance with GAAP. For accounting purposes, Innovate/Protect is considered to be acquiring Vringo in this transaction. Therefore, the aggregate consideration paid in connection with the Merger will be allocated to Vringo tangible and intangible assets and liabilities based on their fair market values. The assets and liabilities and results of operations of Vringo will be consolidated into the results of operations of Innovate/Protect as of the completion of the Merger. These allocations will be based upon a valuation that has not yet been finalized.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Tax Treatment of the Merger</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Vringo and Innovate/Protect intend the Merger to qualify as a “reorganization” within the meaning of Section 368(a) of the Code and have agreed to use reasonable best efforts to structure the Merger to qualify as a reorganization and not to take any action that would prevent the Merger from qualifying as a reorganization under Section 368(a) of the Code. Mintz, Levin, Cohn, Ferris, Glovsky and Popeo, P.C. has rerendered its written opinion that the Merger will qualify as a “reorganization” within the meaning of Section 368(a) of the Code. For a more complete discussion of the material U.S. federal income tax consequences of the Merger, see the section entitled “Material U.S. Federal Income Tax Consequences of the Merger” beginning on page </w:t>
      </w:r>
      <w:r>
        <w:rPr>
          <w:rFonts w:ascii="Arial" w:cs="Arial" w:eastAsia="Arial" w:hAnsi="Arial"/>
          <w:sz w:val="15"/>
          <w:szCs w:val="15"/>
          <w:u w:val="single" w:color="auto"/>
          <w:color w:val="0000EE"/>
        </w:rPr>
        <w:t>86</w:t>
      </w:r>
      <w:r>
        <w:rPr>
          <w:rFonts w:ascii="Arial" w:cs="Arial" w:eastAsia="Arial" w:hAnsi="Arial"/>
          <w:sz w:val="15"/>
          <w:szCs w:val="15"/>
          <w:color w:val="auto"/>
        </w:rPr>
        <w: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As of the date of this proxy statement/prospectus, neither Vringo nor Innovate/Protect is required to make filings or to obtain approvals or clearances from any antitrust regulatory authorities in the U.S. or other countries to complete the Merger. In the U.S., Vringo must comply with applicable federal and state securities laws and the rules and regulations of the NYSE MKT in connection with the issuance of shares of Vringo common stock and preferred stock and warrants in the Merger and the resulting change in control of Vringo and the filing of this proxy statement/prospectus with the SEC.</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Restrictions on Sales of Shares of Vringo Common Stock Received by Innovate/Protect Stockholders in the Merger</w:t>
      </w:r>
    </w:p>
    <w:p>
      <w:pPr>
        <w:spacing w:after="0" w:line="12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w:t>
      </w:r>
    </w:p>
    <w:p>
      <w:pPr>
        <w:spacing w:after="0" w:line="200" w:lineRule="exact"/>
        <w:rPr>
          <w:sz w:val="20"/>
          <w:szCs w:val="20"/>
          <w:color w:val="auto"/>
        </w:rPr>
      </w:pPr>
    </w:p>
    <w:p>
      <w:pPr>
        <w:spacing w:after="0" w:line="29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w:t>
      </w:r>
    </w:p>
    <w:p>
      <w:pPr>
        <w:spacing w:after="0" w:line="1" w:lineRule="exact"/>
        <w:rPr>
          <w:sz w:val="20"/>
          <w:szCs w:val="20"/>
          <w:color w:val="auto"/>
        </w:rPr>
      </w:pPr>
    </w:p>
    <w:p>
      <w:pPr>
        <w:jc w:val="both"/>
        <w:ind w:left="40" w:right="1239" w:firstLine="7"/>
        <w:spacing w:after="0" w:line="281" w:lineRule="auto"/>
        <w:tabs>
          <w:tab w:leader="none" w:pos="307" w:val="left"/>
        </w:tabs>
        <w:numPr>
          <w:ilvl w:val="0"/>
          <w:numId w:val="90"/>
        </w:numPr>
        <w:rPr>
          <w:rFonts w:ascii="Arial" w:cs="Arial" w:eastAsia="Arial" w:hAnsi="Arial"/>
          <w:sz w:val="15"/>
          <w:szCs w:val="15"/>
          <w:color w:val="auto"/>
        </w:rPr>
      </w:pPr>
      <w:r>
        <w:rPr>
          <w:rFonts w:ascii="Arial" w:cs="Arial" w:eastAsia="Arial" w:hAnsi="Arial"/>
          <w:sz w:val="15"/>
          <w:szCs w:val="15"/>
          <w:color w:val="auto"/>
        </w:rPr>
        <w:t>shares of Vringo common stock issued upon exercise of any Series 1 Warrants or Series 2 Warrants issued to Hudson Bay pursuant to the Merger Agreement, in the forms attached to this proxy statement/prospectus as Annex F and Annex G, respectively,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description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Appraisal Rights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Under the DGCL,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NYSE MKT Listing of Vringo Common Stock</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 common stock currently is listed on the NYSE MKT under the symbol “VRNG.” Vringo has agreed to use its reasonable best efforts to cause the shares of Vringo common stock to be approved, at or prior to the completion of the Merger, for listing (subject only to notice of issuance) on the NYSE MKT at and following the completion of the Merger, and the listing of the shares of Vringo common stock issuable pursuant to the Merger Agreement on the NYSE MKT is a condition to Innovate/Protect’s obligation to complete the Merger.</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the date of the mailing of this proxy statement/prospectus, Vringo has filed an initial listing application for listing on the NYSE MKT in connection with the Merger pursuant to NYSE MKT’s reverse merger rules. If such application is approved, Vringo anticipates that its common stock will be listed on the NYSE MKT following the completion of the Merger under the trading symbol “VRNG.”</w:t>
      </w:r>
    </w:p>
    <w:p>
      <w:pPr>
        <w:spacing w:after="0" w:line="200" w:lineRule="exact"/>
        <w:rPr>
          <w:sz w:val="20"/>
          <w:szCs w:val="20"/>
          <w:color w:val="auto"/>
        </w:rPr>
      </w:pPr>
    </w:p>
    <w:p>
      <w:pPr>
        <w:spacing w:after="0" w:line="291"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following discussion summarizes the material U.S. federal income tax consequences of the Merger. This summary is based upon current provisions of the Code, existing Treasury Regulations promulgated thereunder and current administrative rulings and court decisions, all of which are subject to change and to differing interpretations, possibly with retroactive effect. Any change could alter the tax consequences to Vringo, Innovate/Protect or Innovate/Protect stockholders, as described in this summary. This summary is not binding on the IRS, and there can be no assurance that the IRS (or a court, in the event of an IRS challenge) will agree with the conclusions stated herein.</w:t>
      </w:r>
    </w:p>
    <w:p>
      <w:pPr>
        <w:spacing w:after="0" w:line="66"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This discussion does not address all of the U.S. federal income tax consequences of the Merger that may be relevant to Innovate/Protect stockholders and Vringo stockholders in light of their particular circumstances and does not apply to stockholders that are subject to special treatment under U.S. federal income tax laws, including, without limitation:</w:t>
      </w:r>
    </w:p>
    <w:p>
      <w:pPr>
        <w:spacing w:after="0" w:line="58" w:lineRule="exact"/>
        <w:rPr>
          <w:sz w:val="20"/>
          <w:szCs w:val="20"/>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dealers, brokers and traders in securities;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individuals who are not citizens or residents of the U.S., including U.S. expatriates;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corporations (or other entities taxable as a corporation for U.S. federal income tax purposes) created or organized outside of the U.S.;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tax-exempt entities;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financial institutions, regulated investment companies, real estate investment trusts or insurance companies;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partnerships, limited liability companies that are not treated as corporations for U.S. federal income tax purposes, subchapter S corporations and other pass-through entities and investors in such entities;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 estate or trust;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are subject to the alternative minimum tax provisions of the Code;</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acquired their shares in connection with stock option or stock purchase plans or in other compensatory transactions;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hold their shares through a pension plan or other qualified retirement plan;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hold their shares as part of an integrated investment such as a hedge or as part of a hedging, straddle or other risk reduction strategy;</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do not hold their shares as capital assets within the meaning of Section 1221 of the Code (generally, property held for investment will be a capital asset); or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holders who have a functional currency other than the U.S. dollar.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the following discussion does not address:</w:t>
      </w:r>
    </w:p>
    <w:p>
      <w:pPr>
        <w:spacing w:after="0" w:line="105" w:lineRule="exact"/>
        <w:rPr>
          <w:sz w:val="20"/>
          <w:szCs w:val="20"/>
          <w:color w:val="auto"/>
        </w:rPr>
      </w:pPr>
    </w:p>
    <w:p>
      <w:pPr>
        <w:ind w:left="560" w:hanging="300"/>
        <w:spacing w:after="0"/>
        <w:tabs>
          <w:tab w:leader="none" w:pos="5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tax consequences of the Merger under any U.S. federal non-income tax laws or under state, local or foreign tax laws;</w:t>
      </w:r>
    </w:p>
    <w:p>
      <w:pPr>
        <w:spacing w:after="0" w:line="128"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tax consequences of transactions effectuated before, after or at the same time as the Merger, whether or not they are in connection with the Merger, including, without limitation, transactions in which shares of Innovate/Protect capital stock or Vringo capital stock are acquired;</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tax consequences to holders of options issued by Innovate/Protect that are assumed, replaced, exercised or converted, as the case may be, in connection with the Merger;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tax consequences of the receipt of equity securities of Vringo other than in exchange for shares of Innovate/Protect capital stock; or</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tax consequences of the ownership or disposition of equity securities of Vringo common stock acquired in the Merger.</w:t>
      </w:r>
    </w:p>
    <w:p>
      <w:pPr>
        <w:spacing w:after="0" w:line="200" w:lineRule="exact"/>
        <w:rPr>
          <w:sz w:val="20"/>
          <w:szCs w:val="20"/>
          <w:color w:val="auto"/>
        </w:rPr>
      </w:pPr>
    </w:p>
    <w:p>
      <w:pPr>
        <w:spacing w:after="0" w:line="34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Accordingly, Innovate/Protect stockholders are advised and expected to consult their own tax advisors regarding the U.S. federal income tax consequences of the Merger in light of their personal circumstances and the consequences of the Merger under U.S. federal non-income tax laws and state, local and foreign tax laws.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U.S. Federal Income Tax Consequences of the Merger</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Merger is intended to qualify as a “reorganization” within the meaning of Section 368(a) of the Code. Mintz, Levin, Cohn, Ferris, Glovsky and Popeo, P.C. (“Mintz Levin”) has rendered a tax opinion that the Merger will constitute a “reorganization” within the meaning of Section 368(a) of the Code. Vringo and Innovate/Protect have agreed to use reasonable best efforts to structure the Merger to qualify as a “reorganization” and not to take any action that would prevent the Merger from qualifying as a reorganization under Section 368(a) of the Code. Neither Vringo nor Innovate/Protect presently intends to waive these conditions.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as intended, the Merger is treated for U.S. federal income tax purposes as a “reorganization” within the meaning of Section 368(a) of the Code, then the Merger will have the following material U.S. federal income tax consequences:</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It is the opinion of Mintz Levin that, subject to the qualifications described above, the Merger will be treated for U.S. federal income tax purposes as a “reorganization” within the meaning of Section 368(a) of the Code and that the Merger will have the following material U.S. federal income tax consequences:</w:t>
      </w:r>
    </w:p>
    <w:p>
      <w:pPr>
        <w:spacing w:after="0" w:line="76" w:lineRule="exact"/>
        <w:rPr>
          <w:sz w:val="20"/>
          <w:szCs w:val="20"/>
          <w:color w:val="auto"/>
        </w:rPr>
      </w:pPr>
    </w:p>
    <w:p>
      <w:pPr>
        <w:ind w:left="560" w:right="1239" w:hanging="300"/>
        <w:spacing w:after="0" w:line="267"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Vringo, Merger Sub, Innovate/Protect and the Vringo stockholders generally will recognize no gain or loss solely as a result of the Merger;</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Innovate/Protect stockholders, other than Innovate/Protect stockholders who exercise appraisal rights (as discussed below), generally will recognize no gain or loss upon the receipt of equity securities of Vringo for their Innovate/Protect capital stock;</w:t>
      </w:r>
    </w:p>
    <w:p>
      <w:pPr>
        <w:spacing w:after="0" w:line="76" w:lineRule="exact"/>
        <w:rPr>
          <w:rFonts w:ascii="Arial" w:cs="Arial" w:eastAsia="Arial" w:hAnsi="Arial"/>
          <w:sz w:val="17"/>
          <w:szCs w:val="17"/>
          <w:color w:val="auto"/>
        </w:rPr>
      </w:pPr>
    </w:p>
    <w:p>
      <w:pPr>
        <w:jc w:val="both"/>
        <w:ind w:left="560" w:right="1239" w:hanging="300"/>
        <w:spacing w:after="0" w:line="335" w:lineRule="auto"/>
        <w:tabs>
          <w:tab w:leader="none" w:pos="5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aggregate tax basis of the equity securities of Vringo that are received by an Innovate/Protect stockholder in the Merger will be equal to the aggregate tax basis of the shares of Innovate/Protect capital stock surrendered in exchange therefor; and</w:t>
      </w:r>
    </w:p>
    <w:p>
      <w:pPr>
        <w:spacing w:after="0" w:line="19" w:lineRule="exact"/>
        <w:rPr>
          <w:rFonts w:ascii="Arial" w:cs="Arial" w:eastAsia="Arial" w:hAnsi="Arial"/>
          <w:sz w:val="15"/>
          <w:szCs w:val="15"/>
          <w:color w:val="auto"/>
        </w:rPr>
      </w:pPr>
    </w:p>
    <w:p>
      <w:pPr>
        <w:ind w:left="560" w:right="1239" w:hanging="300"/>
        <w:spacing w:after="0" w:line="335" w:lineRule="auto"/>
        <w:tabs>
          <w:tab w:leader="none" w:pos="5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holding period of the equity securities of Vringo received by an Innovate/Protect stockholder in connection with the Merger will include the holding period of the shares of Innovate/Protect capital stock surrendered in exchange therefor.</w:t>
      </w:r>
    </w:p>
    <w:p>
      <w:pPr>
        <w:spacing w:after="0" w:line="1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Neither Vringo nor Innovate/Protect has requested, or intends to request, a ruling from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w:t>
      </w:r>
    </w:p>
    <w:p>
      <w:pPr>
        <w:spacing w:after="0" w:line="7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There will be no material U.S. federal income tax consequences of the Merger for Vringo stockholders whether or not the Merger qualifies as a “reorganization” within the meaning of Section 368(a) of the Code.</w:t>
      </w:r>
    </w:p>
    <w:p>
      <w:pPr>
        <w:spacing w:after="0" w:line="200" w:lineRule="exact"/>
        <w:rPr>
          <w:sz w:val="20"/>
          <w:szCs w:val="20"/>
          <w:color w:val="auto"/>
        </w:rPr>
      </w:pPr>
    </w:p>
    <w:p>
      <w:pPr>
        <w:spacing w:after="0" w:line="29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Treatment of Innovate/Protect Stockholders Who Exercise Appraisal Rights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discussion above does not apply to Innovate/Protect stockholders who properly perfect appraisal rights with respect to such stockholder’s shares of Innovate/Protect capital stock. Generally, an Innovate/Protect stockholder who perfects appraisal rights and receives cash in exchange for such stockholder’s Innovate/Protect capital stock will recognize capital gain or loss measured by the difference between the amount of cash received and such stockholder’s adjusted tax basis in those shares. Such gain or loss will generally be long-term capital gain or loss, provided the shares of Innovate/Protect capital stock were held for more than one year before the disposition of the shares. The deductibility of capital losses is subject to limitations.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Generally, non-corporate Innovate/Protect stockholders may be subject to information reporting and backup withholding (currently at a rate of 28%) with respect to cash received for perfecting appraisal rights. However, backup withholding will not apply to an Innovate/Protect stockholder who furnishes a valid taxpayer identification number and complies with certain certification procedures or otherwise establishes an exemption from backup withholding. Amounts withheld, if any, are generally not an additional tax and may be refunded or credited against the Innovate/Protect stockholder’s U.S. federal income tax liability, provided that the Innovate/Protect stockholder timely furnishes the required information to the IRS.</w:t>
      </w:r>
    </w:p>
    <w:p>
      <w:pPr>
        <w:spacing w:after="0" w:line="6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FOREGOING SUMMARY OF MATERIAL U.S. FEDERAL INCOME TAX CONSEQUENCES IS NOT INTENDED TO BE A COMPLETE ANALYSIS OR DESCRIPTION OF ALL POTENTIAL U.S. FEDERAL INCOME TAX CONSEQUENCES OF THE MERGER. IN ADDITION, THE SUMMARY DOES NOT ADDRESS TAX CONSEQUENCES THAT MAY VARY WITH, OR ARE CONTINGENT ON, INDIVIDUAL CIRCUMSTANCES. MOREOVER, THE SUMMARY DOES NOT ADDRESS ANY U.S. FEDERAL NON-INCOME TAX OR ANY FOREIGN, STATE OR LOCAL TAX CONSEQUENCES OF THE MERGER, NOR ANY TAX CONSEQUENCES OF ANY TRANSACTION OTHER THAN THE MERGER. ACCORDINGLY, EACH INNOVATE/PROTECT STOCKHOLDER IS STRONGLY URGED TO CONSULT HIS, HER, OR ITS OWN TAX ADVISOR TO DETERMINE THE PARTICULAR FEDERAL, STATE, LOCAL, OR FOREIGN INCOME OR OTHER TAX CONSEQUENCES OF THE MERGER TO SUCH INNOVATE/PROTECT STOCKHOLDER.</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MERGER AGREEMENT</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i w:val="1"/>
          <w:iCs w:val="1"/>
          <w:color w:val="auto"/>
        </w:rPr>
        <w:t>The following is a summary of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and is incorporated by reference into this proxy statement/prospectus. This summary may not contain all of the information about the Merger Agreement that is important to you. You should refer to the full text of the Merger Agreement for details of the transaction and the terms and conditions of the Merger Agreement.</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i w:val="1"/>
          <w:iCs w:val="1"/>
          <w:color w:val="auto"/>
        </w:rPr>
        <w:t>The Merger Agreement has been included in this proxy statement/prospectus to provide you with information regarding its terms. The terms of, and other information in, the Merger Agreement should not be relied upon as disclosures about Vringo and Innovate/Protect without considering the entirety of the information about Vringo and Innovate/Protect set forth in the public reports filed with the SEC. Such information can be found elsewhere in proxy statement/prospectus and in the other public filings Vringo makes with the SEC, which are available without charge at www.sec.gov.</w:t>
      </w:r>
    </w:p>
    <w:p>
      <w:pPr>
        <w:spacing w:after="0" w:line="6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i w:val="1"/>
          <w:iCs w:val="1"/>
          <w:color w:val="auto"/>
        </w:rPr>
        <w:t>Additionally, the representations, warranties and covenants described in this section and contained in the Merger Agreement have been made only for the purpose of the Merger Agreement and, as such, are intended solely for the benefit of Vringo, Merger Sub and Innovate/Protect. In many cases, these representations, warranties and covenants are subject to limitations agreed upon by the parties and are qualified by certain disclosures exchanged by the parties in connection with the execution of the Merger Agreement. These disclosure schedules contain information that has been included in Vringo’s general prior public disclosures, as well as potential additional non-public information. Furthermore, many of the representations and warranties in the Merger Agreement are the result of a negotiated allocation of contractual risk among the parties and, taken in isolation, do not necessarily reflect facts about Vringo or Innovate/Protect, their respective subsidiaries and affiliates or any other party. Likewise, any references to materiality contained in the representations and warranties may not correspond to concepts of materiality applicable to investors or stockholders. Finally, information concerning the subject matter of the representations and warranties may have changed since the date of the Merger Agreement or may change in the future and these changes may not be fully reflected in the public disclosures made by Vringo and/or Innovate/Protect. As a result of the foregoing, you are strongly encouraged not to rely on the representations, warranties and covenants contained in the Merger Agreement, or any descriptions thereof, as accurate characterizations of the state of facts or condition of Vringo, Innovate/Protect, or any other party. You are likewise cautioned that you are not a third-party beneficiary under the Merger Agreement and do not have any direct rights or remedies pursuant to the Merger Agreement.</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Terms of the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provides that, subject to the terms and conditions of the Merger Agreement and in accordance with Delaware law, at the completion of the Merger, Innovate/Protect will merge with and into Merger Sub with Merger Sub being the surviving corporation (the “</w:t>
      </w:r>
      <w:r>
        <w:rPr>
          <w:rFonts w:ascii="Arial" w:cs="Arial" w:eastAsia="Arial" w:hAnsi="Arial"/>
          <w:sz w:val="17"/>
          <w:szCs w:val="17"/>
          <w:b w:val="1"/>
          <w:bCs w:val="1"/>
          <w:color w:val="auto"/>
        </w:rPr>
        <w:t>Surviving Corporation</w:t>
      </w:r>
      <w:r>
        <w:rPr>
          <w:rFonts w:ascii="Arial" w:cs="Arial" w:eastAsia="Arial" w:hAnsi="Arial"/>
          <w:sz w:val="17"/>
          <w:szCs w:val="17"/>
          <w:color w:val="auto"/>
        </w:rPr>
        <w:t>”) through an exchange of capital stock of Innovate/Protect for capital stock of Vringo.</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Completion of the Merger</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Vringo, Innovate/Protect and Merger Sub may mutually agree. For a more complete discussion of the conditions to the completion of the Merger, see the section entitled “The Merger Agreement — Conditions to the Completion of the Merger” beginning on page </w:t>
      </w:r>
      <w:r>
        <w:rPr>
          <w:rFonts w:ascii="Arial" w:cs="Arial" w:eastAsia="Arial" w:hAnsi="Arial"/>
          <w:sz w:val="16"/>
          <w:szCs w:val="16"/>
          <w:u w:val="single" w:color="auto"/>
          <w:color w:val="0000EE"/>
        </w:rPr>
        <w:t>96</w:t>
      </w:r>
      <w:r>
        <w:rPr>
          <w:rFonts w:ascii="Arial" w:cs="Arial" w:eastAsia="Arial" w:hAnsi="Arial"/>
          <w:sz w:val="16"/>
          <w:szCs w:val="16"/>
          <w:color w:val="auto"/>
        </w:rPr>
        <w:t>. The completion of the Merger will occur at the time that the parties file the certificate of merger with the Secretary of State of the State of Delaware on the closing date of the Merger or on such later date as Vringo, Merger Sub and Innovate/Protect mutually agree (and set forth in the certificate of merger). Because the completion of the Merger is subject to the satisfaction of other conditions, Vringo cannot predict the exact time at which the Merger will become effective.</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Certificate of Incorporation; Bylaws; Directors and Officers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Upon completion of the Merger, the certificate of incorporation and bylaws of Merger Sub will be the certificate of incorporation and bylaws of the Surviving Corporation. Notwithstanding the foregoing, the certificate of incorporation of Merger Sub will be amended to change the name of the Surviving Corporation to Innovate/Protect, Inc.</w:t>
      </w:r>
    </w:p>
    <w:p>
      <w:pPr>
        <w:spacing w:after="0" w:line="7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Following the closing, the following persons shall serve on the board of directors of Vringo and the Surviving Corporation: Seth M. Siegel (Chairman), Andrew D. Perlman, John Engelman, Andrew Kennedy Lang, Alexander R. Berger, Donald E. Stout and H. Van Sinclair, and the following persons shall be appointed to the following positions of Vringo and the Surviving Corporation: Andrew D. Perlman (Chief Executive Officer), Andrew Kennedy Lang (Chief Technology Officer and President), Alexander R. Berger (Chief Operating Officer and Secretary), Ellen Cohl (Chief Financial Officer and Treasurer) and Clifford Weinstein (Chief Strategy Officer).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Merger Consideration</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(i) each share of Innovate/Protect common stock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June 20,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1"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w:t>
      </w:r>
    </w:p>
    <w:p>
      <w:pPr>
        <w:spacing w:after="0" w:line="200" w:lineRule="exact"/>
        <w:rPr>
          <w:sz w:val="20"/>
          <w:szCs w:val="20"/>
          <w:color w:val="auto"/>
        </w:rPr>
      </w:pPr>
    </w:p>
    <w:p>
      <w:pPr>
        <w:spacing w:after="0" w:line="27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3" w:lineRule="auto"/>
        <w:rPr>
          <w:sz w:val="20"/>
          <w:szCs w:val="20"/>
          <w:color w:val="auto"/>
        </w:rPr>
      </w:pPr>
      <w:r>
        <w:rPr>
          <w:rFonts w:ascii="Arial" w:cs="Arial" w:eastAsia="Arial" w:hAnsi="Arial"/>
          <w:sz w:val="15"/>
          <w:szCs w:val="15"/>
          <w:color w:val="auto"/>
        </w:rPr>
        <w:t>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6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4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Exchange of Innovate/Protect Stock Certificates</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As promptly as practicable before or after the completion of the Merger, Vringo (or its designee) will send to each Innovate/Protect stockholder and warrantholder a letter of transmittal and instructions for use in surrendering all certificates of Innovate/Protect common stock and/or Innovate/Protect preferred stock and warrants for the applicable portion of the Merger Consideration. The Merger Agreement provides that upon surrender to the Parent (or its designee) of a properly completed letter of transmittal, a holder of shares of Innovate/Protect capital stock will be entitled to receive the applicable portion of the Merger Consideration.</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If any stockholder has lost a certificate representing shares of Innovate/Protect capital stock, or if any such certificate has been stolen or destroyed, such stockholder will, as a condition to receiving the applicable portion of Merger Consideration for the shares represented by such certificate, be required to make an affidavit of the loss, theft or destruction and, if reasonably required by Vringo, post a bond in a reasonable amount as indemnity against any claim that may be made against Vringo with respect to such certificate.</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From and after the completion of the Merger each Innovate/Protect stock certificate will represent only the right to receive an applicable portion of the merger consideration to which such Innovate/Protect stockholder is entitled to receive under the Merger Agreement.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Representations and Warranties</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Merger Agreement contains customary representations and warranties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Adverse Effect</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Several of the representations, warranties, covenants and closing conditions contained in the Merger Agreement refer to the concept of “</w:t>
      </w:r>
      <w:r>
        <w:rPr>
          <w:rFonts w:ascii="Arial" w:cs="Arial" w:eastAsia="Arial" w:hAnsi="Arial"/>
          <w:sz w:val="17"/>
          <w:szCs w:val="17"/>
          <w:b w:val="1"/>
          <w:bCs w:val="1"/>
          <w:color w:val="auto"/>
        </w:rPr>
        <w:t>Innovate/Protect Material Adverse Effect</w:t>
      </w:r>
      <w:r>
        <w:rPr>
          <w:rFonts w:ascii="Arial" w:cs="Arial" w:eastAsia="Arial" w:hAnsi="Arial"/>
          <w:sz w:val="17"/>
          <w:szCs w:val="17"/>
          <w:color w:val="auto"/>
        </w:rPr>
        <w:t>” or “</w:t>
      </w:r>
      <w:r>
        <w:rPr>
          <w:rFonts w:ascii="Arial" w:cs="Arial" w:eastAsia="Arial" w:hAnsi="Arial"/>
          <w:sz w:val="17"/>
          <w:szCs w:val="17"/>
          <w:b w:val="1"/>
          <w:bCs w:val="1"/>
          <w:color w:val="auto"/>
        </w:rPr>
        <w:t>Vringo Material Adverse Effect</w:t>
      </w:r>
      <w:r>
        <w:rPr>
          <w:rFonts w:ascii="Arial" w:cs="Arial" w:eastAsia="Arial" w:hAnsi="Arial"/>
          <w:sz w:val="17"/>
          <w:szCs w:val="17"/>
          <w:color w:val="auto"/>
        </w:rPr>
        <w: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Innovate/Protect Material Adverse Effect</w:t>
      </w:r>
    </w:p>
    <w:p>
      <w:pPr>
        <w:spacing w:after="0" w:line="101"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color w:val="auto"/>
        </w:rPr>
        <w:t xml:space="preserve">For purposes of the Merger Agreement, an </w:t>
      </w:r>
      <w:r>
        <w:rPr>
          <w:rFonts w:ascii="Arial" w:cs="Arial" w:eastAsia="Arial" w:hAnsi="Arial"/>
          <w:sz w:val="16"/>
          <w:szCs w:val="16"/>
          <w:b w:val="1"/>
          <w:bCs w:val="1"/>
          <w:color w:val="auto"/>
        </w:rPr>
        <w:t>“Innovate/Protect Material Adverse Effect”</w:t>
      </w:r>
      <w:r>
        <w:rPr>
          <w:rFonts w:ascii="Arial" w:cs="Arial" w:eastAsia="Arial" w:hAnsi="Arial"/>
          <w:sz w:val="16"/>
          <w:szCs w:val="16"/>
          <w:color w:val="auto"/>
        </w:rPr>
        <w:t xml:space="preserve"> means any change, event or occurrence that has a material adverse effect on the condition (financial or otherwise), business, operations, properties, assets or liabilities of Innovate/Protect or its subsidiaries, taken as a whole; provided, that none of the following, in and of itself or themselves, nor any effect arising out of or resulting from the following shall constitute or be taken in account in determining whether a Innovate/Protect Material Adverse Effect has occurred or may, would or could occur:</w:t>
      </w:r>
    </w:p>
    <w:p>
      <w:pPr>
        <w:spacing w:after="0" w:line="64" w:lineRule="exact"/>
        <w:rPr>
          <w:sz w:val="20"/>
          <w:szCs w:val="20"/>
          <w:color w:val="auto"/>
        </w:rPr>
      </w:pPr>
    </w:p>
    <w:p>
      <w:pPr>
        <w:jc w:val="both"/>
        <w:ind w:left="560" w:right="1239" w:hanging="300"/>
        <w:spacing w:after="0" w:line="256"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industries in which Innovate/Protect and its subsidiaries conduct operations;</w:t>
      </w:r>
    </w:p>
    <w:p>
      <w:pPr>
        <w:spacing w:after="0" w:line="66" w:lineRule="exact"/>
        <w:rPr>
          <w:rFonts w:ascii="Arial" w:cs="Arial" w:eastAsia="Arial" w:hAnsi="Arial"/>
          <w:sz w:val="17"/>
          <w:szCs w:val="17"/>
          <w:color w:val="auto"/>
        </w:rPr>
      </w:pPr>
    </w:p>
    <w:p>
      <w:pPr>
        <w:jc w:val="both"/>
        <w:ind w:left="560" w:right="1239" w:hanging="300"/>
        <w:spacing w:after="0" w:line="253"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77"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action taken by Innovate/Protect or its subsidiaries that is required by the Merger Agreement or taken at Vringo’s written request, or the failure to take any action by Innovate/Protect or its subsidiaries if that action is prohibited by the Merger Agreement; or</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change resulting or arising from the identity of, or any facts or circumstances relating to Vringo, Merger Sub or their respective affiliates.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Vringo Material Adverse Effect</w:t>
      </w:r>
    </w:p>
    <w:p>
      <w:pPr>
        <w:spacing w:after="0" w:line="101" w:lineRule="exact"/>
        <w:rPr>
          <w:sz w:val="20"/>
          <w:szCs w:val="20"/>
          <w:color w:val="auto"/>
        </w:rPr>
      </w:pPr>
    </w:p>
    <w:p>
      <w:pPr>
        <w:jc w:val="both"/>
        <w:ind w:left="40" w:right="1239" w:firstLine="251"/>
        <w:spacing w:after="0" w:line="252" w:lineRule="auto"/>
        <w:rPr>
          <w:sz w:val="20"/>
          <w:szCs w:val="20"/>
          <w:color w:val="auto"/>
        </w:rPr>
      </w:pPr>
      <w:r>
        <w:rPr>
          <w:rFonts w:ascii="Arial" w:cs="Arial" w:eastAsia="Arial" w:hAnsi="Arial"/>
          <w:sz w:val="17"/>
          <w:szCs w:val="17"/>
          <w:color w:val="auto"/>
        </w:rPr>
        <w:t xml:space="preserve">For purposes of the Merger Agreement, a </w:t>
      </w:r>
      <w:r>
        <w:rPr>
          <w:rFonts w:ascii="Arial" w:cs="Arial" w:eastAsia="Arial" w:hAnsi="Arial"/>
          <w:sz w:val="17"/>
          <w:szCs w:val="17"/>
          <w:b w:val="1"/>
          <w:bCs w:val="1"/>
          <w:color w:val="auto"/>
        </w:rPr>
        <w:t>“Vringo Material Adverse Effect”</w:t>
      </w:r>
      <w:r>
        <w:rPr>
          <w:rFonts w:ascii="Arial" w:cs="Arial" w:eastAsia="Arial" w:hAnsi="Arial"/>
          <w:sz w:val="17"/>
          <w:szCs w:val="17"/>
          <w:color w:val="auto"/>
        </w:rPr>
        <w:t xml:space="preserve"> means any change, event or occurrence that has a material adverse effect on the condition (financial or otherwise), business, operations, properties, assets or liabilities of Vringo or its subsidiaries, taken as a whole; provided, that none of the following, in and of itself or themselves, nor any effect arising out of or resulting from the following shall constitute or be taken in account in determining whether a Vringo Material Adverse Effect has occurred or may, would or could occur:</w:t>
      </w:r>
    </w:p>
    <w:p>
      <w:pPr>
        <w:spacing w:after="0" w:line="80" w:lineRule="exact"/>
        <w:rPr>
          <w:sz w:val="20"/>
          <w:szCs w:val="20"/>
          <w:color w:val="auto"/>
        </w:rPr>
      </w:pPr>
    </w:p>
    <w:p>
      <w:pPr>
        <w:jc w:val="both"/>
        <w:ind w:left="560" w:right="1239" w:hanging="300"/>
        <w:spacing w:after="0" w:line="256" w:lineRule="auto"/>
        <w:tabs>
          <w:tab w:leader="none" w:pos="5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changes, events, occurrences or effects generally affecting the industries in which Vringo and its subsidiaries conduct operations;</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changes or prospective changes in law, in applicable regulations of any governmental authority, in United States generally accepted accounting principles or other applicable accounting standards or</w:t>
      </w: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right="1239"/>
        <w:spacing w:after="0" w:line="267" w:lineRule="auto"/>
        <w:rPr>
          <w:sz w:val="20"/>
          <w:szCs w:val="20"/>
          <w:color w:val="auto"/>
        </w:rPr>
      </w:pPr>
      <w:r>
        <w:rPr>
          <w:rFonts w:ascii="Arial" w:cs="Arial" w:eastAsia="Arial" w:hAnsi="Arial"/>
          <w:sz w:val="17"/>
          <w:szCs w:val="17"/>
          <w:color w:val="auto"/>
        </w:rPr>
        <w:t>changes or prospective changes in the interpretation or enforcement of any of the foregoing, or any changes or prospective changes in general, legal, regulatory or political conditions;</w:t>
      </w:r>
    </w:p>
    <w:p>
      <w:pPr>
        <w:spacing w:after="0" w:line="66" w:lineRule="exact"/>
        <w:rPr>
          <w:sz w:val="20"/>
          <w:szCs w:val="20"/>
          <w:color w:val="auto"/>
        </w:rPr>
      </w:pPr>
    </w:p>
    <w:p>
      <w:pPr>
        <w:jc w:val="both"/>
        <w:ind w:left="560" w:right="1239" w:hanging="300"/>
        <w:spacing w:after="0" w:line="280" w:lineRule="auto"/>
        <w:tabs>
          <w:tab w:leader="none" w:pos="5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action taken by Vringo or its subsidiaries that is required by the Merger Agreement or taken at Innovate/Protect’s written request, or the failure to take any action by Vringo or its subsidiaries if that action is prohibited by the Merger Agreement; or</w:t>
      </w:r>
    </w:p>
    <w:p>
      <w:pPr>
        <w:spacing w:after="0" w:line="7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change resulting or arising from the identity of, or any facts or circumstances relating to Innovate/Protect or its subsidiaries or their respective affiliates.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Certain Covenants of the Parties</w:t>
      </w:r>
    </w:p>
    <w:p>
      <w:pPr>
        <w:spacing w:after="0" w:line="109"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The Merger Agreement provides that each of Vringo and its subsidiaries on the one hand and Innovate/Protect and its subsidiaries on the other hand shall: (x) conduct its business only in the ordinary course of business, consistent with past practice;</w:t>
      </w:r>
    </w:p>
    <w:p>
      <w:pPr>
        <w:spacing w:after="0" w:line="1" w:lineRule="exact"/>
        <w:rPr>
          <w:sz w:val="20"/>
          <w:szCs w:val="20"/>
          <w:color w:val="auto"/>
        </w:rPr>
      </w:pPr>
    </w:p>
    <w:p>
      <w:pPr>
        <w:jc w:val="both"/>
        <w:ind w:left="40" w:right="1239" w:firstLine="7"/>
        <w:spacing w:after="0" w:line="268" w:lineRule="auto"/>
        <w:tabs>
          <w:tab w:leader="none" w:pos="277"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not take any action, or fail to take any action, except in the ordinary course of business, consistent with past practice; and (z) use their reasonable best efforts to preserve intact their business organization, properties and assets, keep available the services of their officers, employees and consultants, maintain in effect all material contracts, as applicable, and preserve their relationships, customers, licensees, suppliers and other persons with which they have business relations.</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The Merger Agreement contains certain other agreements of the parties including, among other things, that (a) Vringo will prepare and file with the Securities and Exchange Commission (“</w:t>
      </w:r>
      <w:r>
        <w:rPr>
          <w:rFonts w:ascii="Arial" w:cs="Arial" w:eastAsia="Arial" w:hAnsi="Arial"/>
          <w:sz w:val="15"/>
          <w:szCs w:val="15"/>
          <w:b w:val="1"/>
          <w:bCs w:val="1"/>
          <w:color w:val="auto"/>
        </w:rPr>
        <w:t>SEC</w:t>
      </w:r>
      <w:r>
        <w:rPr>
          <w:rFonts w:ascii="Arial" w:cs="Arial" w:eastAsia="Arial" w:hAnsi="Arial"/>
          <w:sz w:val="15"/>
          <w:szCs w:val="15"/>
          <w:color w:val="auto"/>
        </w:rPr>
        <w:t>”) a registration statement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containing a proxy statement (the “</w:t>
      </w:r>
      <w:r>
        <w:rPr>
          <w:rFonts w:ascii="Arial" w:cs="Arial" w:eastAsia="Arial" w:hAnsi="Arial"/>
          <w:sz w:val="15"/>
          <w:szCs w:val="15"/>
          <w:b w:val="1"/>
          <w:bCs w:val="1"/>
          <w:color w:val="auto"/>
        </w:rPr>
        <w:t>Proxy Statement</w:t>
      </w:r>
      <w:r>
        <w:rPr>
          <w:rFonts w:ascii="Arial" w:cs="Arial" w:eastAsia="Arial" w:hAnsi="Arial"/>
          <w:sz w:val="15"/>
          <w:szCs w:val="15"/>
          <w:color w:val="auto"/>
        </w:rPr>
        <w:t>”) for the vote of the Vringo stockholders to approve the Merger; (b) each party will take all action necessary to have its stockholders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each of Innovate/Protect and Vringo will not and will use its reasonable best efforts not to permit any of its affiliates to take any action that could prevent the Merger from being treated as a reorganization within the meaning of Section 368 of the Internal Revenue Code; (g)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Vringo, Innovate/Protect or Merger Sub, as the case may be, to comply with or satisfy in any material respect any covenant, condition or agreement to be complied with or satisfied by it, (iii) any notice or communication from any person alleging that the consent of such person is required in connection with the Merger or the Merger Agreement, (iv) any notice or other communication from any governmental authority in connection with the Merger or other transactions contemplated by the Merger Agreement, (v) the occurrence of a default or event that, with notice or lapse of time or both, will become a default under a material contract of either party, and (vi) any change that would be considered reasonably likely to result in a Innovate/Protect Material Adverse Effect or Vringo Material Adverse Effect, as the case may be, or is likely to impair in any material respect the ability of either Vringo or Innovate/Protect to consummate the transactions contemplated by the Merger Agreement; (h) Vringo will use its reasonable best efforts to cause the shares of Vringo common stock to be issued pursuant to the Merger to be approved for listing on the NYSE Amex; (i)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unreasonably withheld, conditioned or delayed; (j) each party will continue to indemnify its own present and former directors and officers (as further described below); (k) the parties will take all action to appoint certain individuals to serve on the board of directors of Vringo and as officers of Vringo (as described above); and (l) Innovate/Protect will use its commercially reasonable efforts to receive all necessary consents required to disclose to Vringo the terms and conditions of certain agreements.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 Solicitation</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(other than executing a non-disclosure agreement having provisions no less favorable than that certain non-disclosure agreement between Vringo and Innovate/Protect);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Notwithstanding the foregoing, Innovate/Protect or Vringo, as the case may be, or each of their boards of directors, may enter to discussions with any person in response to an unsolicited bona fide written Innovate/Protect Acquisition Proposal or Vringo Acquisition Proposal, as applicable, if prior to engaging in any such discussions the Innovate/Protect board of directors or the Vringo board of directors, as the case may be, determines in good faith, after consultation with its outside legal counsel and other advisors, that such Innovate/Protect Acquisition Proposal or Vringo Acquisition Proposal, as applicable, either constitutes or could reasonably be expected to lead to a Innovate/Protect Superior Proposal (as defined below) or Vringo Superior Proposal (as defined below), as the case may be, and the Innovate/Protect board of directors or the Vringo board of directors, as the case may be, receives from such person a non-disclosure agreement.</w:t>
      </w:r>
    </w:p>
    <w:p>
      <w:pPr>
        <w:spacing w:after="0" w:line="6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b w:val="1"/>
          <w:bCs w:val="1"/>
          <w:color w:val="auto"/>
        </w:rPr>
        <w:t xml:space="preserve">“Innovate/Protect Acquisition Proposal” </w:t>
      </w:r>
      <w:r>
        <w:rPr>
          <w:rFonts w:ascii="Arial" w:cs="Arial" w:eastAsia="Arial" w:hAnsi="Arial"/>
          <w:sz w:val="15"/>
          <w:szCs w:val="15"/>
          <w:color w:val="auto"/>
        </w:rPr>
        <w:t>means any offer, proposal, discussions, negotiations, indication of interest or inquiry</w:t>
      </w:r>
      <w:r>
        <w:rPr>
          <w:rFonts w:ascii="Arial" w:cs="Arial" w:eastAsia="Arial" w:hAnsi="Arial"/>
          <w:sz w:val="15"/>
          <w:szCs w:val="15"/>
          <w:b w:val="1"/>
          <w:bCs w:val="1"/>
          <w:color w:val="auto"/>
        </w:rPr>
        <w:t xml:space="preserve"> </w:t>
      </w:r>
      <w:r>
        <w:rPr>
          <w:rFonts w:ascii="Arial" w:cs="Arial" w:eastAsia="Arial" w:hAnsi="Arial"/>
          <w:sz w:val="15"/>
          <w:szCs w:val="15"/>
          <w:color w:val="auto"/>
        </w:rPr>
        <w:t>(whether in writing or otherwise) by any person (other than Vringo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Innovate/Protect or any subsidiary (including, for the avoidance of doubt, any issuance of equity securities of Innovate/Protect), (ii) any direct or indirect sale, transfer, acquisition or disposition of more than 20% of the consolidated assets of Innovate/Protect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Innovate/Protect or any subsidiary.</w:t>
      </w:r>
    </w:p>
    <w:p>
      <w:pPr>
        <w:spacing w:after="0" w:line="200" w:lineRule="exact"/>
        <w:rPr>
          <w:sz w:val="20"/>
          <w:szCs w:val="20"/>
          <w:color w:val="auto"/>
        </w:rPr>
      </w:pPr>
    </w:p>
    <w:p>
      <w:pPr>
        <w:spacing w:after="0" w:line="28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Vringo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Innovate/Protect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Vringo or any subsidiary (including, for the avoidance of doubt, any issuance of equity securities of Vringo, (ii) any tender offer, exchange offer, stock purchase or other transaction in which, if consummated, any person or “group” (as such term is defined under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shall acquire beneficial ownership (as such term is defined in Rule 13d-3 under the Exchange Act), or the right to acquire beneficial ownership, of 20% or more of the voting power or economic interests of Vringo or any subsidiary, (iii) any direct or indirect sale, transfer, acquisition or disposition of more than 20% of the consolidated assets of Vringo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Vringo or any subsidiary.</w:t>
      </w:r>
    </w:p>
    <w:p>
      <w:pPr>
        <w:spacing w:after="0" w:line="6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Innovate/Protect Superior Proposal</w:t>
      </w:r>
      <w:r>
        <w:rPr>
          <w:rFonts w:ascii="Arial" w:cs="Arial" w:eastAsia="Arial" w:hAnsi="Arial"/>
          <w:sz w:val="16"/>
          <w:szCs w:val="16"/>
          <w:color w:val="auto"/>
        </w:rPr>
        <w:t>” means any bona fide offer or proposal that constitutes an Innovate/Protect Acquisition Proposal on terms that the Innovate/Protect Board of Directors (or any committee thereof) shall have determined in good faith (after consultation with its financial advisor and outside legal counsel), taking into account all relevant legal (including conditions), financial, regulatory, timing and other aspects of such Innovate/Protect Acquisition Proposal, is reasonably likely to be consummated and would be more favorable to Innovate/Protect’s stockholders (in their capacity as such) than the Merger, if consummated (including after taking into account any changes to the terms of this Agreement proposed by Vringo in response to such Innovate/Protect Acquisition Proposal); provided that, for purposes of the definition of “Innovate/Protect Superior Proposal, “the references to “20%” in the definition of “Innovate/Protect Acquisition Proposal” shall be deemed to be references to “more than 50%.”</w:t>
      </w:r>
    </w:p>
    <w:p>
      <w:pPr>
        <w:spacing w:after="0" w:line="6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Vringo Superior Proposal</w:t>
      </w:r>
      <w:r>
        <w:rPr>
          <w:rFonts w:ascii="Arial" w:cs="Arial" w:eastAsia="Arial" w:hAnsi="Arial"/>
          <w:sz w:val="16"/>
          <w:szCs w:val="16"/>
          <w:color w:val="auto"/>
        </w:rPr>
        <w:t>” means any bona fide offer or proposal that constitutes a Vringo Acquisition Proposal on terms that the Vringo Board of Directors (or any committee thereof) shall have determined in good faith (after consultation with its financial advisor and outside legal counsel), taking into account all relevant legal (including conditions), financial, regulatory, timing and other aspects of such Vringo Acquisition Proposal, is reasonably likely to be consummated and would be more favorable to Vringo’s stockholders (in their capacity as such) than the Merger, if consummated (including after taking into account any changes to the terms of this Agreement proposed by Innovate/Protect in response to such Vringo Acquisition Proposal); provided that, for purposes of the definition of “Vringo Superior Proposal,”, the references to “20%” in the definition of “Vringo Acquisition Proposal” shall be deemed to be references to “more than 50%.”</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Recommendations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Under the Merger Agreement, subject to the exceptions set forth below, (i) the Innovate/Protect board of directors has agreed to recommend that Innovate/Protect stockholders vote in favor of the Merger (</w:t>
      </w:r>
      <w:r>
        <w:rPr>
          <w:rFonts w:ascii="Arial" w:cs="Arial" w:eastAsia="Arial" w:hAnsi="Arial"/>
          <w:sz w:val="15"/>
          <w:szCs w:val="15"/>
          <w:b w:val="1"/>
          <w:bCs w:val="1"/>
          <w:color w:val="auto"/>
        </w:rPr>
        <w:t>“Innovate/Protect Board Recommendation”</w:t>
      </w:r>
      <w:r>
        <w:rPr>
          <w:rFonts w:ascii="Arial" w:cs="Arial" w:eastAsia="Arial" w:hAnsi="Arial"/>
          <w:sz w:val="15"/>
          <w:szCs w:val="15"/>
          <w:color w:val="auto"/>
        </w:rPr>
        <w:t xml:space="preserve">) and (ii) the Vringo board of directors has agreed to recommend that Vringo stockholders vote in favor of the Merger (the </w:t>
      </w:r>
      <w:r>
        <w:rPr>
          <w:rFonts w:ascii="Arial" w:cs="Arial" w:eastAsia="Arial" w:hAnsi="Arial"/>
          <w:sz w:val="15"/>
          <w:szCs w:val="15"/>
          <w:b w:val="1"/>
          <w:bCs w:val="1"/>
          <w:color w:val="auto"/>
        </w:rPr>
        <w:t>“Vringo Board</w:t>
      </w:r>
      <w:r>
        <w:rPr>
          <w:rFonts w:ascii="Arial" w:cs="Arial" w:eastAsia="Arial" w:hAnsi="Arial"/>
          <w:sz w:val="15"/>
          <w:szCs w:val="15"/>
          <w:color w:val="auto"/>
        </w:rPr>
        <w:t xml:space="preserve"> </w:t>
      </w:r>
      <w:r>
        <w:rPr>
          <w:rFonts w:ascii="Arial" w:cs="Arial" w:eastAsia="Arial" w:hAnsi="Arial"/>
          <w:sz w:val="15"/>
          <w:szCs w:val="15"/>
          <w:b w:val="1"/>
          <w:bCs w:val="1"/>
          <w:color w:val="auto"/>
        </w:rPr>
        <w:t>Recommendation”</w:t>
      </w:r>
      <w:r>
        <w:rPr>
          <w:rFonts w:ascii="Arial" w:cs="Arial" w:eastAsia="Arial" w:hAnsi="Arial"/>
          <w:sz w:val="15"/>
          <w:szCs w:val="15"/>
          <w:color w:val="auto"/>
        </w:rPr>
        <w:t>). Subject to the exceptions described below, the Merger Agreement provides that:</w:t>
      </w:r>
    </w:p>
    <w:p>
      <w:pPr>
        <w:spacing w:after="0" w:line="48" w:lineRule="exact"/>
        <w:rPr>
          <w:sz w:val="20"/>
          <w:szCs w:val="20"/>
          <w:color w:val="auto"/>
        </w:rPr>
      </w:pPr>
    </w:p>
    <w:p>
      <w:pPr>
        <w:jc w:val="both"/>
        <w:ind w:left="560" w:right="1239" w:hanging="300"/>
        <w:spacing w:after="0" w:line="266" w:lineRule="auto"/>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neither the Innovate/Protect board of directors nor the Vringo board of directors will (i) fail to make the Innovate/Protect Board Recommendation or the Vringo Board Recommendation, as applicable, (ii) withdraw, amend or modify in a manner adverse to the other company, the Innovate/Protect Board Recommendation or the Vringo Board Recommendation, as applicable, or (iii) recommend, adopt, endorse or approve an Innovate/Protect Acquisition Proposal or Vringo Acquisition Proposal, as the case may be; provided, that, with respect to Vringo, any action described in clauses (ii) and (iii) as well as any failure to timely respond to the commencement of (x) a tender or exchange offer relating to any shares of Vringo common stock by issuing a public statement reaffirming, filing a Schedule 14D-9 pursuant to Rule 14e-2 and Rule 14d-9 promulgated under the Exchange Act a statement reaffirming, and sending to Vringo’s stockholders a statement reaffirming, the Vringo</w:t>
      </w:r>
    </w:p>
    <w:p>
      <w:pPr>
        <w:spacing w:after="0" w:line="200" w:lineRule="exact"/>
        <w:rPr>
          <w:sz w:val="20"/>
          <w:szCs w:val="20"/>
          <w:color w:val="auto"/>
        </w:rPr>
      </w:pPr>
    </w:p>
    <w:p>
      <w:pPr>
        <w:spacing w:after="0" w:line="29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spacing w:after="0" w:line="280" w:lineRule="auto"/>
        <w:rPr>
          <w:sz w:val="20"/>
          <w:szCs w:val="20"/>
          <w:color w:val="auto"/>
        </w:rPr>
      </w:pPr>
      <w:r>
        <w:rPr>
          <w:rFonts w:ascii="Arial" w:cs="Arial" w:eastAsia="Arial" w:hAnsi="Arial"/>
          <w:sz w:val="16"/>
          <w:szCs w:val="16"/>
          <w:color w:val="auto"/>
        </w:rPr>
        <w:t>Board Recommendation and disclosing that Vringo’s board of directors recommends rejection of such tender offer or exchange offer or (y) a publicly announced Vringo Acquisition Proposal by issuing a press release that reaffirms the recommendation of Vringo’s board of directors that Vringo’s stockholders vote in favor of the Merger, and</w:t>
      </w:r>
    </w:p>
    <w:p>
      <w:pPr>
        <w:spacing w:after="0" w:line="58" w:lineRule="exact"/>
        <w:rPr>
          <w:sz w:val="20"/>
          <w:szCs w:val="20"/>
          <w:color w:val="auto"/>
        </w:rPr>
      </w:pPr>
    </w:p>
    <w:p>
      <w:pPr>
        <w:ind w:left="560" w:right="1239" w:hanging="300"/>
        <w:spacing w:after="0" w:line="267"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neither the Innovate/Protect board of directors nor the Vringo board of directors will resolve, agree or publicly propose to take any of the actions described above.</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Each of the foregoing actions is referred to as a </w:t>
      </w:r>
      <w:r>
        <w:rPr>
          <w:rFonts w:ascii="Arial" w:cs="Arial" w:eastAsia="Arial" w:hAnsi="Arial"/>
          <w:sz w:val="17"/>
          <w:szCs w:val="17"/>
          <w:b w:val="1"/>
          <w:bCs w:val="1"/>
          <w:color w:val="auto"/>
        </w:rPr>
        <w:t>“Recommendation Change”</w:t>
      </w:r>
      <w:r>
        <w:rPr>
          <w:rFonts w:ascii="Arial" w:cs="Arial" w:eastAsia="Arial" w:hAnsi="Arial"/>
          <w:sz w:val="17"/>
          <w:szCs w:val="17"/>
          <w:color w:val="auto"/>
        </w:rPr>
        <w:t>.</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restrictions set forth above will not prohibit the Vringo board of directors or the Innovate/Protect board of directors, as the case may be, from effecting a Recommendation Change if Innovate/Protect or Vringo, as applicable, has determined in good faith, after consulting with outside legal counsel, that (i) it has received an Innovate/Protect Superior Proposal or Vringo Superior Proposal, as the case may be or (ii) a failure to take action would be inconsistent with its fiduciary duties, and certain other conditions are met.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Approval of Stockholders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Each of Vringo and Innovate/Protect has agreed to take all action necessary for the purpose of obtaining the required stockholder approval of the Merger, as promptly as practicable.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will remain in effect.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applicable law.</w:t>
      </w:r>
    </w:p>
    <w:p>
      <w:pPr>
        <w:spacing w:after="0" w:line="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provides that Vringo will continue to indemnify and hold harmless each present and former director or officer of Vringo or any of its subsidiaries, with respect to acts or omissions occurring or alleged to have occurred before or at the completion of the Merger, to the fullest extent permitted under applicable law and in Vringo’s certificate of incorporation and bylaws.</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Merger Agreement provides that, prior to the completion of the Merger, Innovate/Protect will purchase and Vringo will maintain for a period of six years following the completion of the Merger, a directors’ and officers’ liability “tail” insurance policy covering the present and former directors and officers of Vringo and directors and officers of Innovate/Protect for events occurring at or prior to the completion of the Merger. Such policy must contain terms no less favorable than the policies maintained by Vringo or Innovate/Protect, as applicable, as of the date of the Merger Agreement.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Conditions to the Completion of the Merger</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 (f) the other party shall have performed or complied in all material respects with all agreements and covenants under the Merger Agreement; (g) the receipt of all necessary consents or approvals; (h) the absence of an Innovate/Protect Material Adverse Effect or a Vringo Material Adverse Effect, as the case may be; (i) Vringo shall have received written resignations from all of the directors and officers of Innovate/Protect and its subsidiaries; (j) a letter agreement between Vringo and Hudson Bay, providing for, among other things, restrictions on the number of shares of Vringo common stock that Hudson Bay may sell and a right of</w:t>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5" w:lineRule="auto"/>
        <w:rPr>
          <w:sz w:val="20"/>
          <w:szCs w:val="20"/>
          <w:color w:val="auto"/>
        </w:rPr>
      </w:pPr>
      <w:r>
        <w:rPr>
          <w:rFonts w:ascii="Arial" w:cs="Arial" w:eastAsia="Arial" w:hAnsi="Arial"/>
          <w:sz w:val="15"/>
          <w:szCs w:val="15"/>
          <w:color w:val="auto"/>
        </w:rPr>
        <w:t xml:space="preserve">Hudson Bay to participate in up to 25% of certain offerings conducted by Vringo, shall be effective at closing; (k) 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5"/>
          <w:szCs w:val="15"/>
          <w:i w:val="1"/>
          <w:iCs w:val="1"/>
          <w:color w:val="auto"/>
        </w:rPr>
        <w:t>I/P Engine, Inc. v. AOL, Inc.</w:t>
      </w:r>
      <w:r>
        <w:rPr>
          <w:rFonts w:ascii="Arial" w:cs="Arial" w:eastAsia="Arial" w:hAnsi="Arial"/>
          <w:sz w:val="15"/>
          <w:szCs w:val="15"/>
          <w:color w:val="auto"/>
        </w:rPr>
        <w:t>, Civ. Action No. 2:11-cv-512, filed in United States District Court for the Eastern District of Virginia, Norfolk Division on September 15, 2011 (the “</w:t>
      </w:r>
      <w:r>
        <w:rPr>
          <w:rFonts w:ascii="Arial" w:cs="Arial" w:eastAsia="Arial" w:hAnsi="Arial"/>
          <w:sz w:val="15"/>
          <w:szCs w:val="15"/>
          <w:b w:val="1"/>
          <w:bCs w:val="1"/>
          <w:color w:val="auto"/>
        </w:rPr>
        <w:t>Litigation</w:t>
      </w:r>
      <w:r>
        <w:rPr>
          <w:rFonts w:ascii="Arial" w:cs="Arial" w:eastAsia="Arial" w:hAnsi="Arial"/>
          <w:sz w:val="15"/>
          <w:szCs w:val="15"/>
          <w:color w:val="auto"/>
        </w:rPr>
        <w:t>”) nor (B) assigned, promised, transferred, conveyed, encumbered, or granted a security interest in any of those claims and (ii) there has been no dismissal (including, without limitation, by motion to dismiss or summary judgment) of the Litigation; (l) holders of no more than 10% of the issued and outstanding Innovate/Protect capital stock shall have demanded and perfected their right to an appraisal of Innovate/Protect capital stock under the Delaware General Corporation Law; and (m)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of the Merger Agreement</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 board of directors has effected a Recommendation Change,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has effected a Recommendation Change,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an Innovate/Protect Superior Proposal or a Vringo Superior Proposal, as the case may be; or (i) by Innovate/Protect, at any time, upon payment to Vringo of the Innovate/Protect Termination Fee (as defined below).</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Termination Fees and Expenses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Merger Agreement provides that, subject to certain exceptions discussed below, all fees and expenses incurred in connection with the Merger Agreement and the transactions contemplated by the Merger Agreement will be paid by the party incurring such expenses.</w:t>
      </w:r>
    </w:p>
    <w:p>
      <w:pPr>
        <w:spacing w:after="0" w:line="7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the event that either (a) Innovate/Protect terminates the Merger Agreement because (i) it determines to enter into a definitive agreement relating to a Innovate/Protect Acquisition Proposal that the board of directors of Innovate/Protect has determined constitutes a Innovate/Protect Superior Proposal or (ii) Innovate/Protect, at any time, elects to terminate for any reason or no reason at all or (b) Vringo or Innovate/Protect validly terminates the Merger Agreement if the Innovate/Protect stockholders shall have taken a final vote on a proposal to adopt the Merger Agreement and the transactions contemplated thereby, including the Merger, and the Innovate/Protect stockholders shall not have approved the Merger or by Vringo if the Innovate/Protect board of directors have effected a Recommendation Change, then Innovate/Protect shall pay to Vringo a fee (the “</w:t>
      </w:r>
      <w:r>
        <w:rPr>
          <w:rFonts w:ascii="Arial" w:cs="Arial" w:eastAsia="Arial" w:hAnsi="Arial"/>
          <w:sz w:val="16"/>
          <w:szCs w:val="16"/>
          <w:b w:val="1"/>
          <w:bCs w:val="1"/>
          <w:color w:val="auto"/>
        </w:rPr>
        <w:t>Innovate/Protect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Fee</w:t>
      </w:r>
      <w:r>
        <w:rPr>
          <w:rFonts w:ascii="Arial" w:cs="Arial" w:eastAsia="Arial" w:hAnsi="Arial"/>
          <w:sz w:val="16"/>
          <w:szCs w:val="16"/>
          <w:color w:val="auto"/>
        </w:rPr>
        <w:t>”) equal to $5,000,000.</w:t>
      </w:r>
    </w:p>
    <w:p>
      <w:pPr>
        <w:spacing w:after="0" w:line="200" w:lineRule="exact"/>
        <w:rPr>
          <w:sz w:val="20"/>
          <w:szCs w:val="20"/>
          <w:color w:val="auto"/>
        </w:rPr>
      </w:pPr>
    </w:p>
    <w:p>
      <w:pPr>
        <w:spacing w:after="0" w:line="286"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the event that (i) Innovate/Protect terminates the Merger Agreement because the Vringo board of directors have effected a Recommendation Change or (ii) Vringo determines to enter into a definitive agreement relating to a Vringo Acquisition Proposal that the board of directors has determined constitutes a Vringo Superior Proposal, then Vringo shall pay to Innovate/Protect a fee (the “</w:t>
      </w:r>
      <w:r>
        <w:rPr>
          <w:rFonts w:ascii="Arial" w:cs="Arial" w:eastAsia="Arial" w:hAnsi="Arial"/>
          <w:sz w:val="16"/>
          <w:szCs w:val="16"/>
          <w:b w:val="1"/>
          <w:bCs w:val="1"/>
          <w:color w:val="auto"/>
        </w:rPr>
        <w:t>Vringo Termination Fee</w:t>
      </w:r>
      <w:r>
        <w:rPr>
          <w:rFonts w:ascii="Arial" w:cs="Arial" w:eastAsia="Arial" w:hAnsi="Arial"/>
          <w:sz w:val="16"/>
          <w:szCs w:val="16"/>
          <w:color w:val="auto"/>
        </w:rPr>
        <w:t>”) equal to 5% of the consideration paid to all security holders of Vringo in connection with a Vringo Superior Proposal, in the same form as such consideration is paid.</w:t>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the event that (i) the Merger Agreement is terminated by Vringo because (a) the Merger is not consummated on or before September 30, 2012, (b) if the Vringo stockholders shall have taken a final vote on a proposal to adopt the Merger Agreement and approve the transactions contemplated thereby, including the Merger, and the Vringo stockholders shall not have approved the Merger, or (c) if neither Vringo nor Merger Sub is in material breach of its obligations or representations under the Merger Agreement and if Innovate/Protect is in breach of its represtations, warranties and covenants under the Merger Agreement such that the conditions of the obligations of Vringo to effect the Merger could not be satisfied, and (ii) a Vringo Acquisition Proposal has either previously been publicly announced (or has become publicly known) or has been proposed or communicated to Vringo and a definitive agreement with respect to such Vringo Acquisition Proposal has been signed or consummated within six (6) months following the termination of the Merger Agreement, then Vringo shall pay to Innovate/Protect the Vringo Termination Fee. Notwithstanding the foregoing, with respect to this termination only each reference to 20% in the definition of Vringo Acquisition Proposal shall be deemed to be a reference to 35%.</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the event that (i) the Merger Agreement is terminated by Innovate/Protect because (a) the Merger is not consummated on or before September 30, 2012, or (b) if Innovate/Protect is not in material breach of its obligations or representations under the Merger Agreement and if neither Vringo nor Merger Sub is in breach of its representations, warranties and covenants under the Merger Agreement such that the conditions of the obligations of Innovate/Protect to effect the Merger would not be satisfied, and (ii) an Innovate/Protect Acquisition Proposal has either previously been publicly announced (or has become publicly known) or has been proposed or communicated to Innovate/Protect and a definitive agreement with respect to such Innovate/Protect Acquisition Proposal has been signed or consummated within six (6) months following the termination of the Agreement, then Innovate/Protect shall pay to Vringo the Innovate/Protect Termination Fee. Notwithstanding the foregoing, with respect to this termination only each reference to 20% in the definition of Vringo Acquisition Proposal shall be deemed to be a reference to 35%.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Amendments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Merger Agreement may be amended only by the written agreement of Vringo, Merger Sub and Innovate/Protect at any time prior to the completion of the Merger.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Governing Law</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Merger Agreement is governed by the laws of the State of New York, except to the extent required under Delaware law.</w:t>
      </w:r>
    </w:p>
    <w:p>
      <w:pPr>
        <w:spacing w:after="0" w:line="200" w:lineRule="exact"/>
        <w:rPr>
          <w:sz w:val="20"/>
          <w:szCs w:val="20"/>
          <w:color w:val="auto"/>
        </w:rPr>
      </w:pPr>
    </w:p>
    <w:p>
      <w:pPr>
        <w:spacing w:after="0" w:line="342"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INFORMATION ABOUT THE COMPANIES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Inc.</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Vringo’s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encompasses a suite of mobile and PC-based tools, enables users to create, download and share video and other social content with ease as part of the normal communication process, and provides Vringo’s business partners with a consumer-friendly and easy-to-integrate monetization platform.</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date, Vringo has developed four different mobile video, personalization and mobile social application platforms:</w:t>
      </w:r>
    </w:p>
    <w:p>
      <w:pPr>
        <w:spacing w:after="0" w:line="113" w:lineRule="exact"/>
        <w:rPr>
          <w:sz w:val="20"/>
          <w:szCs w:val="20"/>
          <w:color w:val="auto"/>
        </w:rPr>
      </w:pPr>
    </w:p>
    <w:p>
      <w:pPr>
        <w:ind w:left="560" w:right="1239" w:hanging="300"/>
        <w:spacing w:after="0" w:line="272" w:lineRule="auto"/>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Vringo Video Ringtones </w:t>
      </w:r>
      <w:r>
        <w:rPr>
          <w:rFonts w:ascii="Arial" w:cs="Arial" w:eastAsia="Arial" w:hAnsi="Arial"/>
          <w:sz w:val="17"/>
          <w:szCs w:val="17"/>
          <w:color w:val="auto"/>
        </w:rPr>
        <w:t>— Vringo’s original product platform that allows users to create, download and share mobile</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content in the form of video ringtones for mobile phones;</w:t>
      </w:r>
    </w:p>
    <w:p>
      <w:pPr>
        <w:spacing w:after="0" w:line="60" w:lineRule="exact"/>
        <w:rPr>
          <w:rFonts w:ascii="Arial" w:cs="Arial" w:eastAsia="Arial" w:hAnsi="Arial"/>
          <w:sz w:val="17"/>
          <w:szCs w:val="17"/>
          <w:color w:val="auto"/>
        </w:rPr>
      </w:pPr>
    </w:p>
    <w:p>
      <w:pPr>
        <w:ind w:left="560" w:hanging="300"/>
        <w:spacing w:after="0"/>
        <w:tabs>
          <w:tab w:leader="none" w:pos="560" w:val="left"/>
        </w:tabs>
        <w:numPr>
          <w:ilvl w:val="0"/>
          <w:numId w:val="100"/>
        </w:numPr>
        <w:rPr>
          <w:rFonts w:ascii="Arial" w:cs="Arial" w:eastAsia="Arial" w:hAnsi="Arial"/>
          <w:sz w:val="33"/>
          <w:szCs w:val="33"/>
          <w:color w:val="auto"/>
          <w:vertAlign w:val="superscript"/>
        </w:rPr>
      </w:pPr>
      <w:r>
        <w:rPr>
          <w:rFonts w:ascii="Arial" w:cs="Arial" w:eastAsia="Arial" w:hAnsi="Arial"/>
          <w:sz w:val="17"/>
          <w:szCs w:val="17"/>
          <w:b w:val="1"/>
          <w:bCs w:val="1"/>
          <w:color w:val="auto"/>
        </w:rPr>
        <w:t>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 a visual ringtone experience based on social network pictures from a user’s friends;</w:t>
      </w:r>
    </w:p>
    <w:p>
      <w:pPr>
        <w:ind w:left="560" w:right="1239" w:hanging="300"/>
        <w:spacing w:after="0" w:line="250" w:lineRule="auto"/>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Video ReMix </w:t>
      </w:r>
      <w:r>
        <w:rPr>
          <w:rFonts w:ascii="Arial" w:cs="Arial" w:eastAsia="Arial" w:hAnsi="Arial"/>
          <w:sz w:val="17"/>
          <w:szCs w:val="17"/>
          <w:color w:val="auto"/>
        </w:rPr>
        <w:t>— an application that allows a user to create his or her own music video by tapping on a smartphone or</w:t>
      </w:r>
      <w:r>
        <w:rPr>
          <w:rFonts w:ascii="Arial" w:cs="Arial" w:eastAsia="Arial" w:hAnsi="Arial"/>
          <w:sz w:val="17"/>
          <w:szCs w:val="17"/>
          <w:b w:val="1"/>
          <w:bCs w:val="1"/>
          <w:color w:val="auto"/>
        </w:rPr>
        <w:t xml:space="preserve"> </w:t>
      </w:r>
      <w:r>
        <w:rPr>
          <w:rFonts w:ascii="Arial" w:cs="Arial" w:eastAsia="Arial" w:hAnsi="Arial"/>
          <w:sz w:val="17"/>
          <w:szCs w:val="17"/>
          <w:color w:val="auto"/>
        </w:rPr>
        <w:t>tablet, in partnership with music artists and brands; and</w:t>
      </w:r>
    </w:p>
    <w:p>
      <w:pPr>
        <w:spacing w:after="0" w:line="75" w:lineRule="exact"/>
        <w:rPr>
          <w:rFonts w:ascii="Arial" w:cs="Arial" w:eastAsia="Arial" w:hAnsi="Arial"/>
          <w:sz w:val="17"/>
          <w:szCs w:val="17"/>
          <w:color w:val="auto"/>
        </w:rPr>
      </w:pPr>
    </w:p>
    <w:p>
      <w:pPr>
        <w:ind w:left="560" w:right="1239" w:hanging="300"/>
        <w:spacing w:after="0" w:line="272" w:lineRule="auto"/>
        <w:tabs>
          <w:tab w:leader="none" w:pos="5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Fan Loyalty </w:t>
      </w:r>
      <w:r>
        <w:rPr>
          <w:rFonts w:ascii="Arial" w:cs="Arial" w:eastAsia="Arial" w:hAnsi="Arial"/>
          <w:sz w:val="17"/>
          <w:szCs w:val="17"/>
          <w:color w:val="auto"/>
        </w:rPr>
        <w:t>— a platform that allows users to obtain video and video ringtones, view information on reality television</w:t>
      </w:r>
      <w:r>
        <w:rPr>
          <w:rFonts w:ascii="Arial" w:cs="Arial" w:eastAsia="Arial" w:hAnsi="Arial"/>
          <w:sz w:val="17"/>
          <w:szCs w:val="17"/>
          <w:b w:val="1"/>
          <w:bCs w:val="1"/>
          <w:color w:val="auto"/>
        </w:rPr>
        <w:t xml:space="preserve"> </w:t>
      </w:r>
      <w:r>
        <w:rPr>
          <w:rFonts w:ascii="Arial" w:cs="Arial" w:eastAsia="Arial" w:hAnsi="Arial"/>
          <w:sz w:val="17"/>
          <w:szCs w:val="17"/>
          <w:color w:val="auto"/>
        </w:rPr>
        <w:t>series and stars and vote for contestants.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To develop these platforms, Vringo has leveraged its existing technology, intellectual property and extensive experience with mobile video, personalization and social applications. Vringo believes that these platforms will represent a significant component of its business going forward.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Furthermore, Vringo’s solution provides Vringo’s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5"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carriers and other partners to include their own content and deliver it exclusively to their customers. Vringo’s VringFoward</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video ringtone technology allows users to enjoy a rich social experience by sharing video ringtones from Vringo’s library or which they created.</w:t>
      </w:r>
    </w:p>
    <w:p>
      <w:pPr>
        <w:spacing w:after="0" w:line="200" w:lineRule="exact"/>
        <w:rPr>
          <w:sz w:val="20"/>
          <w:szCs w:val="20"/>
          <w:color w:val="auto"/>
        </w:rPr>
      </w:pPr>
    </w:p>
    <w:p>
      <w:pPr>
        <w:spacing w:after="0" w:line="315"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Vringo is headquartered in New York, New York and was incorporated in Delaware in 2006. Vringo’s principal offices are</w:t>
      </w:r>
    </w:p>
    <w:p>
      <w:pPr>
        <w:spacing w:after="0" w:line="43"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5"/>
          <w:szCs w:val="15"/>
          <w:color w:val="auto"/>
        </w:rPr>
        <w:t>located at 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 New York, New York 10001 and its telephone number is (646) 525-4319. Vringo’s principal website is </w:t>
      </w:r>
      <w:r>
        <w:rPr>
          <w:rFonts w:ascii="Arial" w:cs="Arial" w:eastAsia="Arial" w:hAnsi="Arial"/>
          <w:sz w:val="15"/>
          <w:szCs w:val="15"/>
          <w:i w:val="1"/>
          <w:iCs w:val="1"/>
          <w:color w:val="auto"/>
        </w:rPr>
        <w:t>www.vringo.com</w:t>
      </w:r>
      <w:r>
        <w:rPr>
          <w:rFonts w:ascii="Arial" w:cs="Arial" w:eastAsia="Arial" w:hAnsi="Arial"/>
          <w:sz w:val="15"/>
          <w:szCs w:val="15"/>
          <w:color w:val="auto"/>
        </w:rPr>
        <w:t xml:space="preserve">. The information on or that can be accessed through Vringo’s website is not part of this proxy statement/prospectus. Vringo common stock is listed on the NYSE MKT and trades under the symbol VRNG. For a more complete discussion of Vringo’s business and operating results, see the sections entitled “Vringo’s Business” and “Vringo’s Management’s Discussion and Analysis of Financial Condition and Results of Operations” beginning on pages </w:t>
      </w:r>
      <w:r>
        <w:rPr>
          <w:rFonts w:ascii="Arial" w:cs="Arial" w:eastAsia="Arial" w:hAnsi="Arial"/>
          <w:sz w:val="15"/>
          <w:szCs w:val="15"/>
          <w:u w:val="single" w:color="auto"/>
          <w:color w:val="0000EE"/>
        </w:rPr>
        <w:t>123</w:t>
      </w:r>
      <w:r>
        <w:rPr>
          <w:rFonts w:ascii="Arial" w:cs="Arial" w:eastAsia="Arial" w:hAnsi="Arial"/>
          <w:sz w:val="15"/>
          <w:szCs w:val="15"/>
          <w:color w:val="auto"/>
        </w:rPr>
        <w:t xml:space="preserve"> and </w:t>
      </w:r>
      <w:r>
        <w:rPr>
          <w:rFonts w:ascii="Arial" w:cs="Arial" w:eastAsia="Arial" w:hAnsi="Arial"/>
          <w:sz w:val="15"/>
          <w:szCs w:val="15"/>
          <w:u w:val="single" w:color="auto"/>
          <w:color w:val="0000EE"/>
        </w:rPr>
        <w:t>129</w:t>
      </w:r>
      <w:r>
        <w:rPr>
          <w:rFonts w:ascii="Arial" w:cs="Arial" w:eastAsia="Arial" w:hAnsi="Arial"/>
          <w:sz w:val="15"/>
          <w:szCs w:val="15"/>
          <w:color w:val="auto"/>
        </w:rPr>
        <w:t>, respectively.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is the owner of patent assets acquired from Lycos, one of the largest search engine websites of its kind in the mid-late 1990s, with technologies that remain critical to current search platforms. Innovate/Protect’s Chief Executive Officer, Chief Technology Officer and President,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6"/>
          <w:szCs w:val="16"/>
          <w:color w:val="auto"/>
        </w:rPr>
        <w:t>principal offices are located at 380 Madison Avenue,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New York, New York 10017 and its telephone number is (212) 309-7549. Innovate/Protect’s principal website is </w:t>
      </w:r>
      <w:r>
        <w:rPr>
          <w:rFonts w:ascii="Arial" w:cs="Arial" w:eastAsia="Arial" w:hAnsi="Arial"/>
          <w:sz w:val="16"/>
          <w:szCs w:val="16"/>
          <w:i w:val="1"/>
          <w:iCs w:val="1"/>
          <w:color w:val="auto"/>
        </w:rPr>
        <w:t>www.InnovateProtect.com</w:t>
      </w:r>
      <w:r>
        <w:rPr>
          <w:rFonts w:ascii="Arial" w:cs="Arial" w:eastAsia="Arial" w:hAnsi="Arial"/>
          <w:sz w:val="16"/>
          <w:szCs w:val="16"/>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6"/>
          <w:szCs w:val="16"/>
          <w:u w:val="single" w:color="auto"/>
          <w:color w:val="0000EE"/>
        </w:rPr>
        <w:t>148</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156</w:t>
      </w:r>
      <w:r>
        <w:rPr>
          <w:rFonts w:ascii="Arial" w:cs="Arial" w:eastAsia="Arial" w:hAnsi="Arial"/>
          <w:sz w:val="16"/>
          <w:szCs w:val="16"/>
          <w:color w:val="000000"/>
        </w:rPr>
        <w:t>, and F-</w:t>
      </w:r>
      <w:r>
        <w:rPr>
          <w:rFonts w:ascii="Arial" w:cs="Arial" w:eastAsia="Arial" w:hAnsi="Arial"/>
          <w:sz w:val="16"/>
          <w:szCs w:val="16"/>
          <w:u w:val="single" w:color="auto"/>
          <w:color w:val="0000EE"/>
        </w:rPr>
        <w:t>52</w:t>
      </w:r>
      <w:r>
        <w:rPr>
          <w:rFonts w:ascii="Arial" w:cs="Arial" w:eastAsia="Arial" w:hAnsi="Arial"/>
          <w:sz w:val="16"/>
          <w:szCs w:val="16"/>
          <w:color w:val="000000"/>
        </w:rPr>
        <w:t>, respectively.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VIP Merger Sub, Inc.</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THE ANNUAL MEETING OF VRINGO STOCKHOLDERS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Date, Time and Place</w:t>
      </w:r>
    </w:p>
    <w:p>
      <w:pPr>
        <w:spacing w:after="0" w:line="109"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The Vringo annual meeting will be held on July 19, 2012, at 10:00 a.m., local time, at the offices of Mintz, Levin, Cohn, Ferris, Glovsky and Popeo, P.C., the Chrysler Center, 666 Third Avenue, 32nd floor, New York, New York 10017.</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Purpose of the Vringo Annual Meeting</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Vringo annual meeting will be held for the following purposes:</w:t>
      </w:r>
    </w:p>
    <w:p>
      <w:pPr>
        <w:spacing w:after="0" w:line="105" w:lineRule="exact"/>
        <w:rPr>
          <w:sz w:val="20"/>
          <w:szCs w:val="20"/>
          <w:color w:val="auto"/>
        </w:rPr>
      </w:pPr>
    </w:p>
    <w:p>
      <w:pPr>
        <w:ind w:left="520" w:hanging="260"/>
        <w:spacing w:after="0"/>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approve the Securities Issuance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approve the Reverse Stock Split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approve the Authorized Shares Increase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elect seven (7) director nominees as set forth in the Election of Directors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approve the 2012 Equity Incentive Plan Proposal;</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To approve the Ratification of the Appointment of Vringo’s Independent Registered Public Accounting Firm Proposal;</w:t>
      </w:r>
    </w:p>
    <w:p>
      <w:pPr>
        <w:spacing w:after="0" w:line="116" w:lineRule="exact"/>
        <w:rPr>
          <w:rFonts w:ascii="Arial" w:cs="Arial" w:eastAsia="Arial" w:hAnsi="Arial"/>
          <w:sz w:val="16"/>
          <w:szCs w:val="16"/>
          <w:color w:val="auto"/>
        </w:rPr>
      </w:pPr>
    </w:p>
    <w:p>
      <w:pPr>
        <w:ind w:left="520" w:right="1239" w:hanging="260"/>
        <w:spacing w:after="0" w:line="267" w:lineRule="auto"/>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approve the adjournment of the Vringo annual meeting, if necessary, to solicit additional proxies if there are not sufficient votes in favor of the Vringo Merger Proposals;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the Vringo annual meeting or any adjournment or postponement thereof.</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Record Date; Shares Entitled to Vote</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outstanding and entitled to vote 14,064,466 shares of common stock.</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common stock is the only class of securities entitled to vote at the Vringo annual meeting. Each share of Vringo’s common stock outstanding on the record date entitles the holder thereof to one vote on each matter properly brought before the Vringo annual meeting, exercisable in person or by proxy.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Quorum</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order to conduct the business described above at the Vringo annual meeting, Vringo must have a quorum present. Stockholders who hold a majority of the Vringo common stock outstanding as of the close of business on the record date for the Vringo annual meeting must be present either in person or by proxy in order to constitute a quorum to conduct business at the Vringo annual meeting. As of the record date, there were 14,064,466 shares of Vringo common stock outstanding and entitled to vote at the Vringo annual meeting. Accordingly, the presence, in person or by proxy, of the holders of 7,032,234 shares of Vringo common stock will be required in order to establish a quorum.</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Required Vote</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proposals being submitted for approval by the Vringo stockholders at the Vringo annual meeting will be approved or rejected on the basis of certain specific voting thresholds. In particular:</w:t>
      </w:r>
    </w:p>
    <w:p>
      <w:pPr>
        <w:spacing w:after="0" w:line="66" w:lineRule="exact"/>
        <w:rPr>
          <w:sz w:val="20"/>
          <w:szCs w:val="20"/>
          <w:color w:val="auto"/>
        </w:rPr>
      </w:pPr>
    </w:p>
    <w:p>
      <w:pPr>
        <w:ind w:left="560" w:right="1239" w:hanging="300"/>
        <w:spacing w:after="0" w:line="335" w:lineRule="auto"/>
        <w:tabs>
          <w:tab w:leader="none" w:pos="5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approval of the Securities Issuance Proposal requires the affirmative vote of the holders of a majority of the shares of Vringo common stock present and entitled to vote on the matter either in person or by proxy at the Vringo annual meeting;</w:t>
      </w:r>
    </w:p>
    <w:p>
      <w:pPr>
        <w:spacing w:after="0" w:line="19" w:lineRule="exact"/>
        <w:rPr>
          <w:rFonts w:ascii="Arial" w:cs="Arial" w:eastAsia="Arial" w:hAnsi="Arial"/>
          <w:sz w:val="15"/>
          <w:szCs w:val="15"/>
          <w:color w:val="auto"/>
        </w:rPr>
      </w:pPr>
    </w:p>
    <w:p>
      <w:pPr>
        <w:jc w:val="both"/>
        <w:ind w:left="560" w:right="1239" w:hanging="300"/>
        <w:spacing w:after="0" w:line="256" w:lineRule="auto"/>
        <w:tabs>
          <w:tab w:leader="none" w:pos="5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approval of the Reverse Stock Split Proposal requires the affirmative vote of the holders of a majority of the shares of Vringo common stock outstanding and entitled to vote on the matter either in person or by proxy at the Vringo annual meeting;</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6" w:lineRule="auto"/>
        <w:tabs>
          <w:tab w:leader="none" w:pos="5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approval of the Authorized Shares Increase Proposal requires the affirmative vote of the holders of a majority of the shares of Vringo common stock outstanding and entitled to vote on the matter either in person or by proxy at the Vringo annual meeting;</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election of the director nominees as set forth in the Election of Directors Proposal requires the affirmative vote of a plurality of the voting power of the shares present or represented by proxy at the Vringo annual meeting and entitled to vote on the election of directors;</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approval of the 2012 Equity Incentive Plan Proposal requires the affirmative vote of the holders of a majority of the shares of Vringo common stock present and entitled to vote on the matter either in person or by proxy at the Vringo annual meeting;</w:t>
      </w:r>
    </w:p>
    <w:p>
      <w:pPr>
        <w:spacing w:after="0" w:line="7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approval of the Ratification of the Appointment of Vringo’s Independent Registered Public Accounting Firm Proposal requires the affirmative vote of the holders of a majority of the shares of Vringo common stock present and entitled to vote on the matter either in person or by proxy at the Vringo annual meeting; and</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approval of the adjournment of the Vringo annual meeting, if necessary, to solicit proxies if there are not sufficient votes in favor of the Vringo Merger Proposals, requires the affirmative vote of the holders of a majority of the Vringo common stock present and entitled to vote on the matter either in person or by proxy at the Vringo annual meeting.</w:t>
      </w:r>
    </w:p>
    <w:p>
      <w:pPr>
        <w:spacing w:after="0" w:line="5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Approval of the Securities Issuance Proposal, the Reverse Stock Split Proposal, and the Authorized Shares Increase Proposal are required conditions to the completion of the Merger. If any of these proposals are not approved by the Vringo stockholders, the Merger may not be completed.</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Counting of Votes; Treatment of Abstentions and Incomplete Proxies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a Vringo stockholder fails to submit a proxy as instructed on the enclosed proxy card and fails to vote at the Vringo annual meeting, such stockholder’s shares will not be counted as present for the purpose of determining the presence of a quorum, which is required to transact business at the Vringo annual meeting, and will have no effect on the outcome of Vringo Proposals No. 1 (Securities Issuance Proposal), No. 4 (Election of Directors Proposal), No. 5 (2012 Equity Incentive Plan Proposal), No. 6 (Ratification of the Appointment of Vringo’s Independent Registered Public Accounting Firm Proposal) and No. 7 (adjournment to solicit additional proxies, if necessary). However, the failure to submit a proxy or vote at the Vringo annual meeting will have the same effect as voting AGAINST Vringo Proposals No. 2 (Reverse Stock Split Proposal) and No. 3 (Authorized Shares Increase Proposal).</w:t>
      </w:r>
    </w:p>
    <w:p>
      <w:pPr>
        <w:spacing w:after="0" w:line="82"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a Vringo stockholder submits a proxy and affirmatively elects to abstain from voting, that proxy will be counted as present for the purpose of determining the presence of a quorum for the Vringo annual meeting, but will not be voted at the Vringo annual meeting. As a result, such abstention will have the same effect as voting AGAINST Vringo Proposal Nos. 1, 2, 3, 5 and 7 and will have no effect on Vringo Proposal Nos. 4 and 6. Abstentions are not counted for purposes of electing directors.</w:t>
      </w:r>
    </w:p>
    <w:p>
      <w:pPr>
        <w:spacing w:after="0" w:line="4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If a Vringo stockholder submits a proxy card without indicating how such stockholder wishes to vote, the shares of Vringo common stock represented by such proxy card will be counted as present for the purpose of determining the presence of a quorum for the Vringo annual meeting and all of such shares will be voted FOR Vringo Proposal Nos. 1, 2, 3, 4, 5, 6 and 7.</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by Vringo Directors and Executive Officers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As of June 20, 2012, the latest practicable date before the printing of this proxy statement/prospectus, directors and executive officers of Vringo beneficially owned and were entitled to vote 243,053 shares of Vringo common stock, or approximately 1.73% of the total outstanding voting power of Vringo. It is expected that Vringo’s directors and executive officers will vote their shares FOR the approval of the Merger, although none of them has entered into any agreement requiring them to do so.</w:t>
      </w:r>
    </w:p>
    <w:p>
      <w:pPr>
        <w:spacing w:after="0" w:line="200" w:lineRule="exact"/>
        <w:rPr>
          <w:sz w:val="20"/>
          <w:szCs w:val="20"/>
          <w:color w:val="auto"/>
        </w:rPr>
      </w:pPr>
    </w:p>
    <w:p>
      <w:pPr>
        <w:spacing w:after="0" w:line="26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Voting of Proxies by Registered Holders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Giving a proxy means that a Vringo stockholder authorizes the persons named in the enclosed proxy card to vote the stockholder’s shares at the Vringo annual meeting in the manner such stockholder directs. If you are a registered Vringo stockholder (that is, you hold your stock in your own name), you may vote in person at the Vringo annual meeting or vote by submitting your proxy (i) through the Internet, (ii) by telephone or (iii) by marking, signing and dating the enclosed proxy card and returning it in the postage-paid envelope provided. Whether or not you plan to attend the Vringo annual meeting, Vringo urges you to vote by proxy to ensure that your vote is counted. You may still attend the Vringo annual meeting and vote in person even if you have already voted by proxy.</w:t>
      </w:r>
    </w:p>
    <w:p>
      <w:pPr>
        <w:spacing w:after="0" w:line="84" w:lineRule="exact"/>
        <w:rPr>
          <w:sz w:val="20"/>
          <w:szCs w:val="20"/>
          <w:color w:val="auto"/>
        </w:rPr>
      </w:pPr>
    </w:p>
    <w:p>
      <w:pPr>
        <w:ind w:left="560" w:hanging="300"/>
        <w:spacing w:after="0"/>
        <w:tabs>
          <w:tab w:leader="none" w:pos="5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vote in person, come to the Vringo annual meeting and Vringo will give you a ballot when you arrive.</w:t>
      </w:r>
    </w:p>
    <w:p>
      <w:pPr>
        <w:spacing w:after="0" w:line="105"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vote using a proxy, simply follow the instructions included in the enclosed proxy card to vote by Internet or telephone or complete, sign and date the enclosed proxy card and return it promptly in the postage-paid envelope provided. If your proxy is received before the Vringo annual meeting, your proxy will be voted as you direct.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Shares Held in Street Name</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If your shares of Vringo common stock are held in street name in a stock brokerage account or by another nominee, you must provide the record holder of your shares with instructions on how to vote the shares. Please follow the voting instructions provided by your broker or other nominee. You may not vote shares of Vringo common stock held in street name by returning a proxy card directly to Vringo or by voting in person at the Vringo annual meeting unless you provide a legal proxy, which you must obtain from your broker or other nominee.</w:t>
      </w:r>
    </w:p>
    <w:p>
      <w:pPr>
        <w:spacing w:after="0" w:line="80"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Brokers or other nominees who hold shares of Vringo common stock in street name for a beneficial owner typically have the authority to vote in their discretion on routine proposals, even when they have not received instructions from beneficial owners. However, brokers or other nominees are not allowed to exercise their voting discretion on matters that are determined to be non-routine without specific instructions from the beneficial owner. Broker non-votes are shares held by a broker or other nominee that are represented at the Vringo annual meeting, but with respect to which the broker or other nominee is not instructed by the beneficial owner of such shares to vote on the particular proposal and the broker or other nominee does not have discretionary voting power on such proposal. Therefore, if you are a Vringo stockholder and hold your shares in street name, you should instruct your broker or other nominee on how to vote your shares to ensure that your shares are voted with respect to each of the Vringo Merger Proposals. Broker non-votes will be counted for purposes of determining whether a quorum exists at the Vringo annual meeting.</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Revocability of Proxies and Changes to a Vringo Stockholder’s Vote</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you are a Vringo stockholder and wish to change your vote with respect to any proposal, you may do so by revoking your proxy at any time prior to the commencement of voting with respect to such proposal at the Vringo annual meeting by:</w:t>
      </w:r>
    </w:p>
    <w:p>
      <w:pPr>
        <w:spacing w:after="0" w:line="43" w:lineRule="exact"/>
        <w:rPr>
          <w:sz w:val="20"/>
          <w:szCs w:val="20"/>
          <w:color w:val="auto"/>
        </w:rPr>
      </w:pPr>
    </w:p>
    <w:p>
      <w:pPr>
        <w:ind w:left="560" w:right="1239" w:hanging="300"/>
        <w:spacing w:after="0" w:line="274" w:lineRule="auto"/>
        <w:tabs>
          <w:tab w:leader="none" w:pos="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sending a written notice stating that you would like to revoke your proxy to Vringo’s Corporate Secretary at Vringo, Inc., at 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 New York, New York 10001;</w:t>
      </w:r>
    </w:p>
    <w:p>
      <w:pPr>
        <w:ind w:left="560" w:hanging="300"/>
        <w:spacing w:after="0"/>
        <w:tabs>
          <w:tab w:leader="none" w:pos="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voting on a later date by the Internet or telephone;</w:t>
      </w:r>
    </w:p>
    <w:p>
      <w:pPr>
        <w:spacing w:after="0" w:line="91" w:lineRule="exact"/>
        <w:rPr>
          <w:rFonts w:ascii="Arial" w:cs="Arial" w:eastAsia="Arial" w:hAnsi="Arial"/>
          <w:sz w:val="17"/>
          <w:szCs w:val="17"/>
          <w:color w:val="auto"/>
        </w:rPr>
      </w:pPr>
    </w:p>
    <w:p>
      <w:pPr>
        <w:ind w:left="560" w:hanging="300"/>
        <w:spacing w:after="0"/>
        <w:tabs>
          <w:tab w:leader="none" w:pos="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submitting new proxy instructions on a new proxy card with a later date; or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attending the Vringo annual meeting and voting in person (but note that your attendance alone will not revoke your proxy).</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If you are a Vringo stockholder of record, revocation of your proxy or voting instructions by written notice must be received by Vringo’s Corporate Secretary by no later than the close of business on July 18, 2012, although you may also revoke your proxy by attending the Vringo annual meeting and voting in person. </w:t>
      </w:r>
      <w:r>
        <w:rPr>
          <w:rFonts w:ascii="Arial" w:cs="Arial" w:eastAsia="Arial" w:hAnsi="Arial"/>
          <w:sz w:val="16"/>
          <w:szCs w:val="16"/>
          <w:b w:val="1"/>
          <w:bCs w:val="1"/>
          <w:color w:val="auto"/>
        </w:rPr>
        <w:t>However, if your shares are held in street name by a broker or other</w:t>
      </w:r>
      <w:r>
        <w:rPr>
          <w:rFonts w:ascii="Arial" w:cs="Arial" w:eastAsia="Arial" w:hAnsi="Arial"/>
          <w:sz w:val="16"/>
          <w:szCs w:val="16"/>
          <w:color w:val="auto"/>
        </w:rPr>
        <w:t xml:space="preserve"> </w:t>
      </w:r>
      <w:r>
        <w:rPr>
          <w:rFonts w:ascii="Arial" w:cs="Arial" w:eastAsia="Arial" w:hAnsi="Arial"/>
          <w:sz w:val="16"/>
          <w:szCs w:val="16"/>
          <w:b w:val="1"/>
          <w:bCs w:val="1"/>
          <w:color w:val="auto"/>
        </w:rPr>
        <w:t>nominee and you have instructed such broker or other nominee to vote your shares, you must follow directions received from your broker or other nominee in order to change those voting instructions.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Solicitation of Proxies</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 in connection with the filing of this proxy statement/prospectus and the related Registration Statement on Form S-</w:t>
      </w:r>
    </w:p>
    <w:p>
      <w:pPr>
        <w:spacing w:after="0" w:line="1" w:lineRule="exact"/>
        <w:rPr>
          <w:sz w:val="20"/>
          <w:szCs w:val="20"/>
          <w:color w:val="auto"/>
        </w:rPr>
      </w:pPr>
    </w:p>
    <w:p>
      <w:pPr>
        <w:jc w:val="both"/>
        <w:ind w:left="40" w:right="1239" w:firstLine="7"/>
        <w:spacing w:after="0" w:line="264" w:lineRule="auto"/>
        <w:tabs>
          <w:tab w:leader="none" w:pos="22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Vringo may also reimburse brokerage houses and other custodians, nominees, and fiduciaries for their costs of soliciting and obtaining proxies from beneficial owners of Vringo common stock, including the costs of reimbursing brokerage houses and other custodians, nominees, and fiduciaries for their costs of forwarding this proxy statement/prospectus and other solicitation materials to such beneficial owners. In addition, proxies may be solicited without extra compensation by directors, officers, and employees of each of Vringo and Innovate/Protect by mail, telephone, fax, or other methods of communication. Vringo has retained Morrow &amp; Co., LLC (Morrow) 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Delivery of Proxy Materials to Households Where Two or More Vringo Stockholders Reside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SEC has adopted rules that permit companies and intermediaries (e.g., brokers) to satisfy the delivery requirements for proxy statements with respect to two or more stockholders sharing the same address by delivering a single proxy statement/prospectus addressed to those stockholders. This process, which is commonly referred to as householding, potentially means extra convenience for stockholders and cost savings for companies.</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connection with the Vringo annual meeting, a number of brokers with account holders who are Vringo stockholders will be householding Vringo proxy materials. As a result, a single proxy statement/prospectus will be delivered to multiple stockholders sharing an address unless contrary instructions have been received from the applicable stockholders. Once a Vringo stockholder receives notice from its broker that they will be householding communications to such stockholder’s address, householding will continue until such stockholder is notified otherwise or until such stockholder revokes its consent. If, at any time, a Vringo stockholder no longer wishes to participate in householding and would prefer to receive a separate proxy statement/prospectus,</w:t>
      </w:r>
    </w:p>
    <w:p>
      <w:pPr>
        <w:spacing w:after="0" w:line="1" w:lineRule="exact"/>
        <w:rPr>
          <w:sz w:val="20"/>
          <w:szCs w:val="20"/>
          <w:color w:val="auto"/>
        </w:rPr>
      </w:pPr>
    </w:p>
    <w:p>
      <w:pPr>
        <w:jc w:val="both"/>
        <w:ind w:left="40" w:right="1239"/>
        <w:spacing w:after="0" w:line="255" w:lineRule="auto"/>
        <w:rPr>
          <w:sz w:val="20"/>
          <w:szCs w:val="20"/>
          <w:color w:val="auto"/>
        </w:rPr>
      </w:pPr>
      <w:r>
        <w:rPr>
          <w:rFonts w:ascii="Arial" w:cs="Arial" w:eastAsia="Arial" w:hAnsi="Arial"/>
          <w:sz w:val="15"/>
          <w:szCs w:val="15"/>
          <w:color w:val="auto"/>
        </w:rPr>
        <w:t>such stockholder should notify its broker or contact Vringo’s Corporate Secretary at Vringo, Inc., 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 New York, New York 10001. Vringo stockholders who currently receive multiple copies of this proxy statement/prospectus at their address and would like to request householding of their communications should contact their broker.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Attending the Vringo Annual Meeting</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All Vringo stockholders as of the record date, or their duly appointed proxies, may attend the Vringo annual meeting. If you are a registered Vringo stockholder (that is, if you hold your stock in your own name) and you wish to attend the Vringo annual meeting, please bring your proxy and evidence of your stock ownership, such as your most recent account statement, to the Vringo annual meeting. You should also bring valid picture identification.</w:t>
      </w:r>
    </w:p>
    <w:p>
      <w:pPr>
        <w:spacing w:after="0" w:line="7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If your shares are held in street name in a stock brokerage account or by another nominee and you wish to attend the Vringo annual meeting, you need to bring a copy of a brokerage or bank statement to the Vringo annual meeting reflecting your stock ownership as of the record date. You should also bring valid picture identification.</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PROPOSALS</w:t>
      </w:r>
    </w:p>
    <w:p>
      <w:pPr>
        <w:spacing w:after="0" w:line="13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1: Approval of the Issuance of Vringo Common Stock and Preferred Stock and Warrants in Connection with the Merger</w:t>
      </w:r>
    </w:p>
    <w:p>
      <w:pPr>
        <w:spacing w:after="0" w:line="62"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June 20, 2012, shall be initially convertible into an aggregate of 20,136,445 shares of Vringo common stock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7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 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57"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Under NYSE MKT rules and regulations, a company listed on the NYSE Amex is required to obtain stockholder approval prior to the issuance of common stock or of securities convertible into or exercisable for common stock, in connection with the acquisition of another company, if the number of shares of common stock to be issued is, or will be upon issuance, equal to or in excess of 20% of the number of shares of the issuing company’s common stock outstanding before such issuance in connection with such proposed acquisition.</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aggregate number of shares of Vringo common stock to be issued in connection with the Merger will exceed 20% of the shares of Vringo common stock outstanding before such issuance. For this reason, Vringo must obtain the approval of the Vringo stockholders, in accordance with the NYSE MKT rules and regulations, for the issuance of shares of Vringo common stock to Innovate/Protect stockholders in connection with the Merger. Accordingly, Vringo is asking its stockholders to approve the issuance of Vringo common stock in connection with the Merger.</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Approval of this Securities Issuance Proposal requires the affirmative vote of the holders of a majority of the shares of Vringo common stock present and entitled to vote on the matter either in person or by proxy at the Vringo annual meeting. A failure to submit a proxy or vote at the Vringo annual meeting will result in your shares not being counted as present for the purpose of determining the presence of a quorum, which is required to transact business at the Vringo annual meeting, and will have no effect on the outcome of this Securities Issuance Proposal. However, for purposes of the vote on this Securities Issuance Proposal, an abstention will be counted as present for the purpose of determining a quorum, but will have the same effect as voting “AGAINST” this Securities Issuance Proposal, and a “broker non-vote” will have no effect on the outcome of this Securities Issuance Proposal.</w:t>
      </w:r>
    </w:p>
    <w:p>
      <w:pPr>
        <w:spacing w:after="0" w:line="15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SHARE ISSUANCE PROPOSAL.</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2: Approval of an Amendment to Vringo’s Amended and Restated Certificate of Incorporation to Effect a Reverse Stock Split of Vringo Common 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Overview</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The Vringo board of directors has unanimously approved a proposal to amend the Vringo Certificate to effect a reverse stock split of the issued and outstanding shares of Vringo common stock at a reverse stock split ratio ranging from one-for-two to one-for-four, with the exact ratio to be determined by Innovate/Protect prior to the completion of the Merger. The Vringo board of directors has recommended that this proposal be presented to the Vringo stockholders for approval in the event that it is needed to comply with NYSE MKT’s continued listing requirements. The text of the form of proposed amendment to the Vringo Certificate to effect a reverse stock split of the issued and outstanding shares of Vringo common stock is attached to this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w:t>
      </w:r>
    </w:p>
    <w:p>
      <w:pPr>
        <w:spacing w:after="0" w:line="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proposed amendment to the Vringo Certificate will effect a reverse stock split of the issued and outstanding shares of Vringo common stock within the range of one-for-two to one-for-four, with the exact number within such range to be determined by Innovate/Protect prior to the completion of the Merger. The Vringo board of directors believes that stockholder approval of an amendment granting this discretion, rather than approval of a specified ratio, provides the appropriate flexibility to react to then-current market conditions and NYSE MKT’s requirements for continued listing, therefore, is in the best interests of Vringo and its stockholders.</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By approving this amendment, Vringo stockholders will (i) approve a series of amendments to the Vringo Certificate pursuant to which any whole number of outstanding shares of Vringo common stock between and including two and four will be combined into one share of Vringo common stock and (ii) authorize the Vringo board of directors to (a) file only one such amendment, as determined immediately prior to the completion of the Merger in the manner described herein and (b) abandon each amendment not selected. In addition, Vringo may elect not to undertake a reverse stock split.</w:t>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following approval by the Vringo stockholders, it is determined that an amendment to the Vringo Certificate to effect a reverse stock split is in the best interests of Vringo and its stockholders, the reverse stock split will become effective upon filing one such amendment with the Secretary of State of the State of Delaware. Such amendment will contain the number of shares within the range set forth in this Reverse Stock Split Proposal to be combined into one share of Vringo common stock.</w:t>
      </w:r>
    </w:p>
    <w:p>
      <w:pPr>
        <w:spacing w:after="0" w:line="4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If, following approval by the Vringo stockholders, a reverse stock split is undertaken, the number of issued and outstanding shares of Vringo common stock will be reduced in accordance with a reverse stock split ratio determined immediately prior to the completion of the Merger within the range set forth in this Reverse Stock Split Proposal. Except for adjustments that may result from the treatment of fractional shares, as described below, each stockholder will hold the same percentage of Vringo common stock outstanding immediately following the reverse stock split as such stockholder held immediately prior to the reverse stock split and immediately prior to the completion of the Merger. The par value of Vringo common stock will remain unchanged at $0.01 per share.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Reasons for the Reverse Stock Split</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Vringo board of directors approved the proposal authorizing the reverse stock split because it believes that a reverse stock split may allow the combined company to become listed on the NYSE MKT, which listing is a condition to the completion of the Merger (as discussed below under the section entitled “NYSE MKT Requirements for Listing”), and the Vringo board of directors also believes that the increased market price of Vringo common stock expected to result from the implementation of a reverse stock split will improve the marketability and liquidity of Vringo common stock. From April 9, 2012 until May 18, 2012 the Vringo common stock had a closing price of $3.00 or above for each trading day. On June 20, 2012, the closing price of Vringo common stock was $4.19. If the Vringo common stock continues to trade at or above $3.00 at the time of the Merger, Vringo does not anticipate that it will need to undertake a reverse stock split, even if Vringo obtains stockholder approval to do so.</w:t>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NYSE MKT Requirements for Listing</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common stock is currently listed on the NYSE MKT. Innovate/Protect shares of its capital stock are not publicly traded. According to applicable NYSE MKT rules, in a transaction constituting a “reverse merger” in which an issuer combines with a non-listed entity, resulting in a change of control of the issuer and potentially allowing the non-listed entity to obtain a NYSE MKT, the issuer must apply for initial inclusion on the a NYSE MKT.</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Merger Agreement requires that Vringo use its reasonable best efforts to cause the shares of Vringo common stock to be approved, at or prior to the completion of the Merger, for listing (subject only to notice of issuance) on the NYSE MKT at and following the completion of the Merger, and the listing of the shares of Vringo common stock issuable pursuant to the Merger Agreement is a condition to Innovate/Protect’s obligation to complete the Merger.</w:t>
      </w:r>
    </w:p>
    <w:p>
      <w:pPr>
        <w:spacing w:after="0" w:line="7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listing standards of the NYSE MKT require, among other things, a $3.00 per share minimum bid upon completion of the Merger. As of the date of the mailing of this proxy statement/prospectus, Vringo has filed an initial listing application for the NYSE MKT in connection with the Merger.</w:t>
      </w:r>
    </w:p>
    <w:p>
      <w:pPr>
        <w:spacing w:after="0" w:line="7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board of directors expects that a reverse stock split of Vringo common stock, if effected, will increase the market price of Vringo common stock so that the combined company is able to achieve the initial listing requirements for the NYSE MKT upon completion of the Merger and thereafter maintain compliance with the NYSE MKT bid price listing standard of $1.00 per share. In determining the exact ratio for the reverse stock split, Vringo intends to use a ratio from within the range of one-for-two to one-for-four that would result in a per share price of greater than $3.00 per share following the reverse stock split. Notwithstanding the foregoing, there can be no assurance that the market price per share following the Merger and the reverse stock split will remain in excess of the minimum bid price for a sustained period of time. In addition, there can be no assurance that the Vringo common stock, or the common stock of the combined company following the completion of the Merger, will not be delisted due to a failure to meet other continued listing requirements even if the market price per share of Vringo common stock on a post-reverse-stock-split basis remains in excess of the minimum bid requirement.</w:t>
      </w:r>
    </w:p>
    <w:p>
      <w:pPr>
        <w:spacing w:after="0" w:line="5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Additionally, the Vringo board of directors believes that a listing on the NYSE MKT for the shares of common stock of the combined company may provide a broader market for the common stock of the combined company and facilitate the use of the common stock of the combined company in financing and other transactions.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Potential Increased Investor Interest</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On June 20, 2012, the latest practicable date before the printing of this proxy statement/prospectus, Vringo common stock closed at $4.19 per share. An investment in Vringo common stock may not appeal to brokerage firms that are reluctant to recommend lower-priced stocks to their clients. Investors may also be dissuaded from purchasing lower-priced stocks because the brokerage commissions, as a percentage of the total transaction, tend to be higher for such stocks. Moreover, analysts at many brokerage firms do not monitor the trading activity or otherwise provide coverage of lower-priced stocks. Also, the Vringo board of directors believes that most investment funds are reluctant to invest in lower-priced stocks.</w:t>
      </w:r>
    </w:p>
    <w:p>
      <w:pPr>
        <w:spacing w:after="0" w:line="66"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There are risks associated with the reverse stock split, including that the reverse stock split may not result in an increase in the per share price of Vringo common stock. There is no assurance that (i) the market price per share of Vringo common stock following the reverse stock split will rise in proportion to the reduction in the number of shares of Vringo common stock outstanding before the reverse stock split, (ii) the reverse stock split will result in a market price per share of Vringo common stock that will attract brokers and investors who do not trade in lower-priced stocks, (iii) the reverse stock split will result in a market price per share of Vringo common stock that will increase the ability of Vringo to attract and retain employees, (iv) the market price per share following the Merger and the reverse stock split will remain in excess of the minimum bid price for a sustained period of time required by NYSE MKT, or (v) Vringo will otherwise meet the listing requirements for the NYSE MKT.</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market price per share of Vringo common stock will also be based on the performance of Vringo and other factors, some of which are unrelated to the number of shares of Vringo common stock outstanding.</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74" w:lineRule="auto"/>
        <w:rPr>
          <w:sz w:val="20"/>
          <w:szCs w:val="20"/>
          <w:color w:val="auto"/>
        </w:rPr>
      </w:pPr>
      <w:r>
        <w:rPr>
          <w:rFonts w:ascii="Arial" w:cs="Arial" w:eastAsia="Arial" w:hAnsi="Arial"/>
          <w:sz w:val="16"/>
          <w:szCs w:val="16"/>
          <w:color w:val="auto"/>
        </w:rPr>
        <w:t>If the reverse stock split is effected and the market price per share of Vringo common stock declines, the percentage decline as an absolute number and as a percentage of the overall market capitalization of Vringo may be greater than would occur in the absence of a reverse stock split. Furthermore, the liquidity of Vringo common stock could be adversely affected by the reduced number of shares of Vringo common stock that will be outstanding following the reverse stock split.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Effects of the Reverse Stock Split</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Following the effective date of the reverse stock split, each Vringo stockholder will own a reduced number of shares of Vringo common stock. However, the reverse stock split will affect all of the Vringo stockholders uniformly and will not, in and of itself, affect any Vringo stockholder’s percentage ownership interests in Vringo, except to the extent that the reverse stock split results in any of the Vringo stockholders owning a fractional share, as described below. Proportionate voting rights and other rights and preferences of the Vringo stockholders will not be affected by the reverse stock split, in and of itself, except to the extent that the reverse stock split results in any of the Vringo stockholders owning a fractional share, as described below. For example, a holder of 2% of the voting power of the outstanding shares of Vringo common stock immediately prior to the reverse stock split will continue to hold 2% of the voting power of the outstanding shares of Vringo common stock immediately following the reverse stock split and immediately prior to the completion of the Merger. The number of Vringo stockholders of record will not be affected by the reverse stock split, except to the extent that any Vringo stockholder holds only a fractional share following the reverse stock split and receives cash for such fractional share following the reverse stock split, as described below.</w:t>
      </w:r>
    </w:p>
    <w:p>
      <w:pPr>
        <w:spacing w:after="0" w:line="6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amendment to the Vringo Certificate to effect the reverse stock split, in and of itself, will not change the number of authorized shares of Vringo common stock. As a result, one of the effects of the reverse stock split will be to effectively increase the proportion of authorized shares of Vringo common stock which are unissued relative to those which are issued. This effective increase may occur even if the proposal to amend the Vringo Certificate to increase the authorized shares of Vringo common stock up to 150,000,000 shares, as described in Vringo Proposal No. 3 below, is not approved. This could result in Vringo or the combined company having the ability to issue more shares, unless required by the NYSE MKT, without further stockholder approval. The increased proportion of unissued authorized shares to issued shares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and warrants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 (as more fully described elsewhere in this proxy statement/prospectus).</w:t>
      </w:r>
    </w:p>
    <w:p>
      <w:pPr>
        <w:spacing w:after="0" w:line="26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reverse stock split will reduce the number of shares of Vringo common stock available for issuance under Vringo’s equity incentive plans in proportion to the reverse stock split ratio selected within the range set forth in this proposal. Vringo also has certain outstanding options to purchase Vringo common stock. Under the terms of the outstanding Vringo stock options, the reverse stock split will effect a reduction in the number of shares of Vringo common stock issuable upon exercise of such outstanding stock options in proportion to the reverse stock split ratio and will effect a proportionate increase in the exercise price of such outstanding stock options. In connection with the reverse stock split, the number of shares of Vringo common stock issuable upon exercise of outstanding Vringo stock options will be rounded to the nearest whole share and no cash payment will be made in lieu of any fractional shares of Vringo common stock that would otherwise be issuable pursuant to such options. The reverse stock split will not in and of itself change the value of a Vringo stock option.</w:t>
      </w: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Vringo common stock is currently registered under Section 12(b) of the Exchange Act, and Vringo is subject to the periodic reporting and other requirements of the Exchange Act. The reverse stock split will not affect the registration of Vringo common stock under the Exchange Act. If the reverse stock split is implemented, and the combined company’s initial listing application with the NYSE MKT is approved, Vringo common stock will continue to be reported on the NYSE MKT under the symbol “VRNG” (although NYSE MKT will likely add the letter “D” to the end of the trading symbol for a period of 20 trading days to indicate that the reverse stock split has occurred).</w:t>
      </w:r>
    </w:p>
    <w:p>
      <w:pPr>
        <w:spacing w:after="0" w:line="8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following table provides estimates of the number of shares of Vringo common stock authorized, issued and outstanding, reserved for issuance, and authorized but neither issued nor reserved for issuance at the following times:</w:t>
      </w:r>
    </w:p>
    <w:p>
      <w:pPr>
        <w:spacing w:after="0" w:line="43" w:lineRule="exact"/>
        <w:rPr>
          <w:sz w:val="20"/>
          <w:szCs w:val="20"/>
          <w:color w:val="auto"/>
        </w:rPr>
      </w:pPr>
    </w:p>
    <w:p>
      <w:pPr>
        <w:ind w:left="560" w:hanging="300"/>
        <w:spacing w:after="0"/>
        <w:tabs>
          <w:tab w:leader="none" w:pos="5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prior to the reverse stock split and the completion of the Merger;</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giving effect to a one-for-two reverse stock split but prior to the completion of the Merger;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giving effect to a one-for-four reverse stock split but prior to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42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r>
      <w:tr>
        <w:trPr>
          <w:trHeight w:val="138"/>
        </w:trPr>
        <w:tc>
          <w:tcPr>
            <w:tcW w:w="9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Authorized</w:t>
            </w:r>
          </w:p>
        </w:tc>
        <w:tc>
          <w:tcPr>
            <w:tcW w:w="16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8"/>
              </w:rPr>
              <w:t>Issued and</w:t>
            </w: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Reserved for</w:t>
            </w:r>
          </w:p>
        </w:tc>
        <w:tc>
          <w:tcPr>
            <w:tcW w:w="140" w:type="dxa"/>
            <w:vAlign w:val="bottom"/>
          </w:tcPr>
          <w:p>
            <w:pPr>
              <w:spacing w:after="0"/>
              <w:rPr>
                <w:sz w:val="11"/>
                <w:szCs w:val="11"/>
                <w:color w:val="auto"/>
              </w:rPr>
            </w:pPr>
          </w:p>
        </w:tc>
        <w:tc>
          <w:tcPr>
            <w:tcW w:w="11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5"/>
              </w:rPr>
              <w:t>Authorized but</w:t>
            </w:r>
          </w:p>
        </w:tc>
      </w:tr>
      <w:tr>
        <w:trPr>
          <w:trHeight w:val="171"/>
        </w:trPr>
        <w:tc>
          <w:tcPr>
            <w:tcW w:w="9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line="171" w:lineRule="exact"/>
              <w:rPr>
                <w:sz w:val="20"/>
                <w:szCs w:val="20"/>
                <w:color w:val="auto"/>
              </w:rPr>
            </w:pPr>
            <w:r>
              <w:rPr>
                <w:rFonts w:ascii="Arial" w:cs="Arial" w:eastAsia="Arial" w:hAnsi="Arial"/>
                <w:sz w:val="12"/>
                <w:szCs w:val="12"/>
                <w:b w:val="1"/>
                <w:bCs w:val="1"/>
                <w:color w:val="auto"/>
                <w:w w:val="97"/>
              </w:rPr>
              <w:t>Outstanding</w:t>
            </w:r>
            <w:r>
              <w:rPr>
                <w:rFonts w:ascii="Arial" w:cs="Arial" w:eastAsia="Arial" w:hAnsi="Arial"/>
                <w:sz w:val="19"/>
                <w:szCs w:val="19"/>
                <w:b w:val="1"/>
                <w:bCs w:val="1"/>
                <w:color w:val="auto"/>
                <w:w w:val="97"/>
                <w:vertAlign w:val="superscript"/>
              </w:rPr>
              <w:t>(1)</w:t>
            </w:r>
          </w:p>
        </w:tc>
        <w:tc>
          <w:tcPr>
            <w:tcW w:w="140" w:type="dxa"/>
            <w:vAlign w:val="bottom"/>
          </w:tcPr>
          <w:p>
            <w:pPr>
              <w:spacing w:after="0"/>
              <w:rPr>
                <w:sz w:val="14"/>
                <w:szCs w:val="14"/>
                <w:color w:val="auto"/>
              </w:rPr>
            </w:pPr>
          </w:p>
        </w:tc>
        <w:tc>
          <w:tcPr>
            <w:tcW w:w="860" w:type="dxa"/>
            <w:vAlign w:val="bottom"/>
          </w:tcPr>
          <w:p>
            <w:pPr>
              <w:jc w:val="center"/>
              <w:spacing w:after="0" w:line="171" w:lineRule="exact"/>
              <w:rPr>
                <w:sz w:val="20"/>
                <w:szCs w:val="20"/>
                <w:color w:val="auto"/>
              </w:rPr>
            </w:pPr>
            <w:r>
              <w:rPr>
                <w:rFonts w:ascii="Arial" w:cs="Arial" w:eastAsia="Arial" w:hAnsi="Arial"/>
                <w:sz w:val="12"/>
                <w:szCs w:val="12"/>
                <w:b w:val="1"/>
                <w:bCs w:val="1"/>
                <w:color w:val="auto"/>
                <w:w w:val="92"/>
              </w:rPr>
              <w:t>Issuance</w:t>
            </w:r>
            <w:r>
              <w:rPr>
                <w:rFonts w:ascii="Arial" w:cs="Arial" w:eastAsia="Arial" w:hAnsi="Arial"/>
                <w:sz w:val="19"/>
                <w:szCs w:val="19"/>
                <w:b w:val="1"/>
                <w:bCs w:val="1"/>
                <w:color w:val="auto"/>
                <w:w w:val="92"/>
                <w:vertAlign w:val="superscript"/>
              </w:rPr>
              <w:t>(1)</w:t>
            </w:r>
          </w:p>
        </w:tc>
        <w:tc>
          <w:tcPr>
            <w:tcW w:w="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Neither Issued nor</w:t>
            </w:r>
          </w:p>
        </w:tc>
      </w:tr>
      <w:tr>
        <w:trPr>
          <w:trHeight w:val="114"/>
        </w:trPr>
        <w:tc>
          <w:tcPr>
            <w:tcW w:w="9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0"/>
              </w:rPr>
              <w:t>Reserved for</w:t>
            </w:r>
          </w:p>
        </w:tc>
      </w:tr>
      <w:tr>
        <w:trPr>
          <w:trHeight w:val="186"/>
        </w:trPr>
        <w:tc>
          <w:tcPr>
            <w:tcW w:w="9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13"/>
                <w:szCs w:val="13"/>
                <w:b w:val="1"/>
                <w:bCs w:val="1"/>
                <w:color w:val="auto"/>
                <w:w w:val="85"/>
              </w:rPr>
              <w:t>Issuance</w:t>
            </w:r>
            <w:r>
              <w:rPr>
                <w:rFonts w:ascii="Arial" w:cs="Arial" w:eastAsia="Arial" w:hAnsi="Arial"/>
                <w:sz w:val="21"/>
                <w:szCs w:val="21"/>
                <w:b w:val="1"/>
                <w:bCs w:val="1"/>
                <w:color w:val="auto"/>
                <w:w w:val="85"/>
                <w:vertAlign w:val="superscript"/>
              </w:rPr>
              <w:t>(1)</w:t>
            </w:r>
          </w:p>
        </w:tc>
      </w:tr>
      <w:tr>
        <w:trPr>
          <w:trHeight w:val="193"/>
        </w:trPr>
        <w:tc>
          <w:tcPr>
            <w:tcW w:w="34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Prior to the reverse stock split</w:t>
            </w:r>
          </w:p>
        </w:tc>
        <w:tc>
          <w:tcPr>
            <w:tcW w:w="860" w:type="dxa"/>
            <w:vAlign w:val="bottom"/>
            <w:shd w:val="clear" w:color="auto" w:fill="CCFFCC"/>
          </w:tcPr>
          <w:p>
            <w:pPr>
              <w:jc w:val="center"/>
              <w:spacing w:after="0" w:line="193"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13,861,423</w:t>
            </w:r>
          </w:p>
        </w:tc>
        <w:tc>
          <w:tcPr>
            <w:tcW w:w="1000" w:type="dxa"/>
            <w:vAlign w:val="bottom"/>
            <w:gridSpan w:val="2"/>
            <w:shd w:val="clear" w:color="auto" w:fill="CCFFCC"/>
          </w:tcPr>
          <w:p>
            <w:pPr>
              <w:jc w:val="right"/>
              <w:ind w:right="236"/>
              <w:spacing w:after="0" w:line="193" w:lineRule="exact"/>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FFCC"/>
          </w:tcPr>
          <w:p>
            <w:pPr>
              <w:jc w:val="right"/>
              <w:ind w:right="14"/>
              <w:spacing w:after="0" w:line="193" w:lineRule="exact"/>
              <w:rPr>
                <w:sz w:val="20"/>
                <w:szCs w:val="20"/>
                <w:color w:val="auto"/>
              </w:rPr>
            </w:pPr>
            <w:r>
              <w:rPr>
                <w:rFonts w:ascii="Arial" w:cs="Arial" w:eastAsia="Arial" w:hAnsi="Arial"/>
                <w:sz w:val="17"/>
                <w:szCs w:val="17"/>
                <w:color w:val="auto"/>
              </w:rPr>
              <w:t>14,138,577</w:t>
            </w:r>
          </w:p>
        </w:tc>
      </w:tr>
      <w:tr>
        <w:trPr>
          <w:trHeight w:val="184"/>
        </w:trPr>
        <w:tc>
          <w:tcPr>
            <w:tcW w:w="346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Giving effect to a one-for-two</w:t>
            </w:r>
          </w:p>
        </w:tc>
        <w:tc>
          <w:tcPr>
            <w:tcW w:w="860" w:type="dxa"/>
            <w:vAlign w:val="bottom"/>
          </w:tcPr>
          <w:p>
            <w:pPr>
              <w:jc w:val="center"/>
              <w:spacing w:after="0" w:line="184"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tcPr>
          <w:p>
            <w:pPr>
              <w:jc w:val="right"/>
              <w:spacing w:after="0" w:line="184" w:lineRule="exact"/>
              <w:rPr>
                <w:sz w:val="20"/>
                <w:szCs w:val="20"/>
                <w:color w:val="auto"/>
              </w:rPr>
            </w:pPr>
            <w:r>
              <w:rPr>
                <w:rFonts w:ascii="Arial" w:cs="Arial" w:eastAsia="Arial" w:hAnsi="Arial"/>
                <w:sz w:val="17"/>
                <w:szCs w:val="17"/>
                <w:color w:val="auto"/>
              </w:rPr>
              <w:t>6,930,712</w:t>
            </w:r>
          </w:p>
        </w:tc>
        <w:tc>
          <w:tcPr>
            <w:tcW w:w="1000" w:type="dxa"/>
            <w:vAlign w:val="bottom"/>
            <w:gridSpan w:val="2"/>
          </w:tcPr>
          <w:p>
            <w:pPr>
              <w:jc w:val="right"/>
              <w:ind w:right="236"/>
              <w:spacing w:after="0" w:line="184" w:lineRule="exact"/>
              <w:rPr>
                <w:sz w:val="20"/>
                <w:szCs w:val="20"/>
                <w:color w:val="auto"/>
              </w:rPr>
            </w:pPr>
            <w:r>
              <w:rPr>
                <w:rFonts w:ascii="Arial" w:cs="Arial" w:eastAsia="Arial" w:hAnsi="Arial"/>
                <w:sz w:val="17"/>
                <w:szCs w:val="17"/>
                <w:color w:val="auto"/>
              </w:rPr>
              <w:t>0</w:t>
            </w:r>
          </w:p>
        </w:tc>
        <w:tc>
          <w:tcPr>
            <w:tcW w:w="1260" w:type="dxa"/>
            <w:vAlign w:val="bottom"/>
            <w:gridSpan w:val="2"/>
          </w:tcPr>
          <w:p>
            <w:pPr>
              <w:jc w:val="right"/>
              <w:ind w:right="14"/>
              <w:spacing w:after="0" w:line="184" w:lineRule="exact"/>
              <w:rPr>
                <w:sz w:val="20"/>
                <w:szCs w:val="20"/>
                <w:color w:val="auto"/>
              </w:rPr>
            </w:pPr>
            <w:r>
              <w:rPr>
                <w:rFonts w:ascii="Arial" w:cs="Arial" w:eastAsia="Arial" w:hAnsi="Arial"/>
                <w:sz w:val="17"/>
                <w:szCs w:val="17"/>
                <w:color w:val="auto"/>
              </w:rPr>
              <w:t>21,069,288</w:t>
            </w:r>
          </w:p>
        </w:tc>
      </w:tr>
      <w:tr>
        <w:trPr>
          <w:trHeight w:val="217"/>
        </w:trPr>
        <w:tc>
          <w:tcPr>
            <w:tcW w:w="3460" w:type="dxa"/>
            <w:vAlign w:val="bottom"/>
            <w:gridSpan w:val="2"/>
          </w:tcPr>
          <w:p>
            <w:pPr>
              <w:ind w:left="160"/>
              <w:spacing w:after="0"/>
              <w:rPr>
                <w:sz w:val="20"/>
                <w:szCs w:val="20"/>
                <w:color w:val="auto"/>
              </w:rPr>
            </w:pPr>
            <w:r>
              <w:rPr>
                <w:rFonts w:ascii="Arial" w:cs="Arial" w:eastAsia="Arial" w:hAnsi="Arial"/>
                <w:sz w:val="17"/>
                <w:szCs w:val="17"/>
                <w:b w:val="1"/>
                <w:bCs w:val="1"/>
                <w:color w:val="auto"/>
              </w:rPr>
              <w:t>reverse stock split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84"/>
        </w:trPr>
        <w:tc>
          <w:tcPr>
            <w:tcW w:w="3460" w:type="dxa"/>
            <w:vAlign w:val="bottom"/>
            <w:gridSpan w:val="2"/>
            <w:shd w:val="clear" w:color="auto" w:fill="CCFFCC"/>
          </w:tcPr>
          <w:p>
            <w:pPr>
              <w:spacing w:after="0" w:line="185" w:lineRule="exact"/>
              <w:rPr>
                <w:sz w:val="20"/>
                <w:szCs w:val="20"/>
                <w:color w:val="auto"/>
              </w:rPr>
            </w:pPr>
            <w:r>
              <w:rPr>
                <w:rFonts w:ascii="Arial" w:cs="Arial" w:eastAsia="Arial" w:hAnsi="Arial"/>
                <w:sz w:val="17"/>
                <w:szCs w:val="17"/>
                <w:b w:val="1"/>
                <w:bCs w:val="1"/>
                <w:color w:val="auto"/>
              </w:rPr>
              <w:t>Giving effect to a one-for-four</w:t>
            </w:r>
          </w:p>
        </w:tc>
        <w:tc>
          <w:tcPr>
            <w:tcW w:w="860" w:type="dxa"/>
            <w:vAlign w:val="bottom"/>
            <w:shd w:val="clear" w:color="auto" w:fill="CCFFCC"/>
          </w:tcPr>
          <w:p>
            <w:pPr>
              <w:jc w:val="center"/>
              <w:spacing w:after="0" w:line="185" w:lineRule="exact"/>
              <w:rPr>
                <w:sz w:val="20"/>
                <w:szCs w:val="20"/>
                <w:color w:val="auto"/>
              </w:rPr>
            </w:pPr>
            <w:r>
              <w:rPr>
                <w:rFonts w:ascii="Arial" w:cs="Arial" w:eastAsia="Arial" w:hAnsi="Arial"/>
                <w:sz w:val="17"/>
                <w:szCs w:val="17"/>
                <w:color w:val="auto"/>
                <w:w w:val="86"/>
              </w:rPr>
              <w:t>28,000,000</w:t>
            </w:r>
          </w:p>
        </w:tc>
        <w:tc>
          <w:tcPr>
            <w:tcW w:w="1040" w:type="dxa"/>
            <w:vAlign w:val="bottom"/>
            <w:gridSpan w:val="2"/>
            <w:shd w:val="clear" w:color="auto" w:fill="CCFFCC"/>
          </w:tcPr>
          <w:p>
            <w:pPr>
              <w:jc w:val="right"/>
              <w:spacing w:after="0" w:line="185" w:lineRule="exact"/>
              <w:rPr>
                <w:sz w:val="20"/>
                <w:szCs w:val="20"/>
                <w:color w:val="auto"/>
              </w:rPr>
            </w:pPr>
            <w:r>
              <w:rPr>
                <w:rFonts w:ascii="Arial" w:cs="Arial" w:eastAsia="Arial" w:hAnsi="Arial"/>
                <w:sz w:val="17"/>
                <w:szCs w:val="17"/>
                <w:color w:val="auto"/>
              </w:rPr>
              <w:t>3,465,356</w:t>
            </w:r>
          </w:p>
        </w:tc>
        <w:tc>
          <w:tcPr>
            <w:tcW w:w="1000" w:type="dxa"/>
            <w:vAlign w:val="bottom"/>
            <w:gridSpan w:val="2"/>
            <w:shd w:val="clear" w:color="auto" w:fill="CCFFCC"/>
          </w:tcPr>
          <w:p>
            <w:pPr>
              <w:jc w:val="right"/>
              <w:ind w:right="236"/>
              <w:spacing w:after="0" w:line="185" w:lineRule="exact"/>
              <w:rPr>
                <w:sz w:val="20"/>
                <w:szCs w:val="20"/>
                <w:color w:val="auto"/>
              </w:rPr>
            </w:pPr>
            <w:r>
              <w:rPr>
                <w:rFonts w:ascii="Arial" w:cs="Arial" w:eastAsia="Arial" w:hAnsi="Arial"/>
                <w:sz w:val="17"/>
                <w:szCs w:val="17"/>
                <w:color w:val="auto"/>
              </w:rPr>
              <w:t>0</w:t>
            </w:r>
          </w:p>
        </w:tc>
        <w:tc>
          <w:tcPr>
            <w:tcW w:w="1260" w:type="dxa"/>
            <w:vAlign w:val="bottom"/>
            <w:gridSpan w:val="2"/>
            <w:shd w:val="clear" w:color="auto" w:fill="CCFFCC"/>
          </w:tcPr>
          <w:p>
            <w:pPr>
              <w:jc w:val="right"/>
              <w:ind w:right="14"/>
              <w:spacing w:after="0" w:line="185" w:lineRule="exact"/>
              <w:rPr>
                <w:sz w:val="20"/>
                <w:szCs w:val="20"/>
                <w:color w:val="auto"/>
              </w:rPr>
            </w:pPr>
            <w:r>
              <w:rPr>
                <w:rFonts w:ascii="Arial" w:cs="Arial" w:eastAsia="Arial" w:hAnsi="Arial"/>
                <w:sz w:val="17"/>
                <w:szCs w:val="17"/>
                <w:color w:val="auto"/>
              </w:rPr>
              <w:t>24,534,644</w:t>
            </w:r>
          </w:p>
        </w:tc>
      </w:tr>
      <w:tr>
        <w:trPr>
          <w:trHeight w:val="217"/>
        </w:trPr>
        <w:tc>
          <w:tcPr>
            <w:tcW w:w="3460" w:type="dxa"/>
            <w:vAlign w:val="bottom"/>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reverse stock split</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51"/>
        </w:trPr>
        <w:tc>
          <w:tcPr>
            <w:tcW w:w="9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38" w:lineRule="exact"/>
        <w:rPr>
          <w:sz w:val="20"/>
          <w:szCs w:val="20"/>
          <w:color w:val="auto"/>
        </w:rPr>
      </w:pPr>
    </w:p>
    <w:p>
      <w:pPr>
        <w:jc w:val="both"/>
        <w:ind w:left="260" w:right="1239" w:hanging="250"/>
        <w:spacing w:after="0" w:line="253" w:lineRule="auto"/>
        <w:tabs>
          <w:tab w:leader="none" w:pos="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These estimates assume 13,861,423 shares of Vringo common stock issued and outstanding as of immediately prior to the completion of the Merger, which was the number of shares of Vringo common stock issued and outstanding as of March 12, 2012, the date of the Merger Agreement, and such estimates do not include the shares of Vringo common stock issuable to Innovate/Protect stockholders in connection with the Merger.</w:t>
      </w:r>
    </w:p>
    <w:p>
      <w:pPr>
        <w:spacing w:after="0" w:line="78"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Upon completion of the Merger, each share of Innovate/Protect capital stock will be converted into the right to receive a number of shares of Vringo common stock equal to the Exchange Ratio. As of June 20, 2012 the last practicable date before the printing of this proxy statement/prospectus, 26,305,411 shares of Vringo common stock were outstanding calculated on a fully diluted basis and 12,856,307 shares of Innovate/Protect capital stock were outstanding calculated on a fully diluted basis. Because the Exchange Ratio gives effect to the reverse stock split, if the Merger had been completed as of June 20, 2012, assuming a reverse stock split ratio of one-for-two, each share of Innovate/Protect capital stock would have converted into and been exchanged for the right to receive 9,056,585 shares of Vringo common stock, which would have resulted in an aggregate issuance of 27,550,315 shares of Vringo common stock calculated on a fully diluted basis. If the Merger had been completed as of June 20, 2012, assuming a reverse stock split ratio of one-for-four, each share of Innovate/Protect capital stock would have converted into and been exchanged for the right to receive 4,528,292 shares of Vringo common stock, which would have resulted in an aggregate issuance of 13,775,157 shares of Vringo common stock calculated on a fully diluted basis.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Effective Date</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reverse stock split will become effective on the date of filing of the certificate of amendment to the Vringo Certificate with the office of the Secretary of State of the State of Delaware. Except as explained below with respect to fractional shares, on the effective date of the reverse stock split, shares of Vringo common stock issued and outstanding immediately prior to such effective date will be combined and converted, automatically and without any action on the part of the Vringo stockholders, into new shares of Vringo common stock in accordance with the reverse stock split ratio determined immediately prior to the completion of the Merger within the range set forth in this Reverse Stock Split Proposal.</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Fractional Shares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will not issue fractional shares in connection with the Reverse Stock Split. Instead, any fractional share resulting from the Reverse Stock Split will be rounded up to the nearest whole share.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Exchange of Stock Certificates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 xml:space="preserve">As soon as practicable following the effective date of the reverse stock split, Vringo stockholders will be notified that the reverse stock split has been effected. Vringo’s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the exchange agent. No new certificates will be issued to a Vringo stockholder until such stockholder has surrendered such stockholder’s outstanding certificate(s), together with the properly completed and executed letter of transmittal to the exchange agent. </w:t>
      </w:r>
      <w:r>
        <w:rPr>
          <w:rFonts w:ascii="Arial" w:cs="Arial" w:eastAsia="Arial" w:hAnsi="Arial"/>
          <w:sz w:val="15"/>
          <w:szCs w:val="15"/>
          <w:b w:val="1"/>
          <w:bCs w:val="1"/>
          <w:color w:val="auto"/>
        </w:rPr>
        <w:t>Vringo stockholders should not destroy any Vringo stock</w:t>
      </w:r>
      <w:r>
        <w:rPr>
          <w:rFonts w:ascii="Arial" w:cs="Arial" w:eastAsia="Arial" w:hAnsi="Arial"/>
          <w:sz w:val="15"/>
          <w:szCs w:val="15"/>
          <w:color w:val="auto"/>
        </w:rPr>
        <w:t xml:space="preserve"> </w:t>
      </w:r>
      <w:r>
        <w:rPr>
          <w:rFonts w:ascii="Arial" w:cs="Arial" w:eastAsia="Arial" w:hAnsi="Arial"/>
          <w:sz w:val="15"/>
          <w:szCs w:val="15"/>
          <w:b w:val="1"/>
          <w:bCs w:val="1"/>
          <w:color w:val="auto"/>
        </w:rPr>
        <w:t>certificates and should not submit any such certificates until requested to do so.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Accounting Consequences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par value per share of Vringo common stock will remain unchanged at $0.01 per share following the reverse stock split. As a result, on the effective date of the reverse stock split, the stated capital on Vringo’s balance sheet attributable to Vringo common stock will be reduced proportionally, based on the reverse stock split ratio, from its present amount, and the additional paid-in capital account shall be credited with the amount by which the stated capital is reduced. The per share common stock net income or loss and net book value will be increased because there will be fewer shares of Vringo common stock outstanding. Vringo does not anticipate that any other accounting consequences will arise as a result of the reverse stock split.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Material U.S. Federal Income Tax Consequences of the Reverse Stock Split</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following discussion summarizes the anticipated material U.S. federal income tax consequences of the reverse stock split. This summary is based upon current provisions of the Code, existing Treasury Regulations, and current administrative rulings and court decisions, all of which are subject to change and to differing interpretations, possibly with retroactive effect. Any such change could alter the tax consequences to Vringo or the Vringo stockholders, as described in this summary. This summary is not binding on the IRS, and there can be no assurance that the IRS (or a court, in the event of an IRS challenge) will agree with the conclusions stated herein. No ruling has been or will be requested from the IRS in connection with the reverse stock split.</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This discussion is not intended to be a complete analysis or description of all potential U.S. federal income tax consequences of the reverse stock split. Moreover, this discussion does not address U.S. federal income tax consequences of the reverse stock split that may vary with individual circumstances. In addition, the discussion set forth below does not address any U.S. federal non-income tax or any state, local or foreign tax consequences of the reverse stock split and does not address the tax consequences of any transaction other than the reverse stock split.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reverse stock split is expected to qualify as a “recapitalization” within the meaning of Section 368(a) of the Code.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Assuming the reverse stock split so qualifies, the following consequences will result:</w:t>
      </w:r>
    </w:p>
    <w:p>
      <w:pPr>
        <w:spacing w:after="0" w:line="93" w:lineRule="exact"/>
        <w:rPr>
          <w:sz w:val="20"/>
          <w:szCs w:val="20"/>
          <w:color w:val="auto"/>
        </w:rPr>
      </w:pPr>
    </w:p>
    <w:p>
      <w:pPr>
        <w:ind w:left="560" w:hanging="300"/>
        <w:spacing w:after="0"/>
        <w:tabs>
          <w:tab w:leader="none" w:pos="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 gain or loss will be recognized by Vringo as a result of the reverse stock split;</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Vringo stockholder generally will recognize no gain or loss upon the receipt of Vringo common stock in the reverse stock split;</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Vringo stockholder’s aggregate tax basis in the post-reverse stock split shares of Vringo common stock received in the reverse stock split will be equal to the aggregate tax basis of the pre-reverse stock split shares of Vringo common stock exchanged therefor; and</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right="1239" w:hanging="300"/>
        <w:spacing w:after="0" w:line="335" w:lineRule="auto"/>
        <w:tabs>
          <w:tab w:leader="none" w:pos="5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Vringo stockholder’s holding period of the post-reverse stock split shares of Vringo common stock received in the reverse stock split will include such stockholder’s holding period of the pre-reverse stock split shares exchanged therefor.</w:t>
      </w:r>
    </w:p>
    <w:p>
      <w:pPr>
        <w:spacing w:after="0" w:line="1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b w:val="1"/>
          <w:bCs w:val="1"/>
          <w:color w:val="auto"/>
        </w:rPr>
        <w:t>Vringo stockholders are advised and expected to consult their own tax advisors regarding the U.S. federal income tax consequences of the reverse stock split in light of their personal circumstances and the consequences of the reverse stock split under U.S. federal non-income tax laws and state, local, and foreign tax laws.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 Appraisal Rights</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Under the DGCL, Vringo stockholders are not entitled to appraisal rights with respect to the proposed amendment to the Vringo Certificate to effect the reverse stock split and Vringo will not independently provide the Vringo stockholders with any such rights.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approval of this Reverse Stock Split Proposal will be necessary to enable the combined company to become listed on the NYSE MKT upon completion of the Merger, if Vringo’s stock price remains below $3.00 per share prior to the Merger. From April 9, 2012 until May 18, 2012 the Vringo common stock had a closing price of $3.00 or above for each trading day. On June 20, 2012, the closing price of Vringo common stock was $4.19. If the Vringo common stock continues to trade at or above $3.00 at the time of the Merger, Vringo does not anticipate that it will need to undertake a reverse stock split, even if Vringo obtains stockholder approval to do so.</w:t>
      </w:r>
    </w:p>
    <w:p>
      <w:pPr>
        <w:spacing w:after="0" w:line="8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Approval of this Reverse Stock Split Proposal requires the affirmative vote of the holders of a majority of the shares of Vringo common stock outstanding and entitled to vote on the matter either in person or by proxy at the Vringo annual meeting. For purposes of the vote on this Reverse Stock Split Proposal, an abstention, a “broker non-vote,” or a failure to submit a proxy or vote at the Vringo annual meeting will have the same effect as voting “AGAINST” this Reverse Stock Split Proposal.</w:t>
      </w:r>
    </w:p>
    <w:p>
      <w:pPr>
        <w:spacing w:after="0" w:line="14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 THE</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REVERSE STOCK SPLIT PROPOSAL.</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59" w:lineRule="auto"/>
        <w:rPr>
          <w:sz w:val="20"/>
          <w:szCs w:val="20"/>
          <w:color w:val="auto"/>
        </w:rPr>
      </w:pPr>
      <w:r>
        <w:rPr>
          <w:rFonts w:ascii="Arial" w:cs="Arial" w:eastAsia="Arial" w:hAnsi="Arial"/>
          <w:sz w:val="17"/>
          <w:szCs w:val="17"/>
          <w:b w:val="1"/>
          <w:bCs w:val="1"/>
          <w:color w:val="auto"/>
        </w:rPr>
        <w:t>Vringo Proposal No. 3: Approval of an Amendment to Vringo’s Amended and Restated Certificate of Incorporation to Increase the Number of Shares of Common Stock Authorized for Issuance from 28,000,000 to up to a maximum of 150,000,000</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Overview</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The Vringo board of directors has unanimously approved a proposal to amend the Vringo Certificate to increase the authorized number of shares of Vringo common stock from 28,000,000 shares to up to a maximum of 150,000,000 shares, with the exact number to be determined by Innovate/Protect prior to the completion of the Merger. The Vringo board of directors believes that stockholder approval of an amendment granting the board this discretion, rather than approval of a specific number of shares, provides the appropriate flexibility to determine the appropriate number of authorized shares of Vringo common stock based on the needs of the company and, therefore, is in the best interests of Vringo and its stockholders. The Vringo board of directors has recommended that this proposal be presented to the Vringo stockholders for approval. The text of the form of proposed amendment to the Vringo Certificate to increase the authorized shares of Vringo common stock to up to a maximum of 150,000,000 shares is attached to this proxy statement/prospectus as </w:t>
      </w:r>
      <w:r>
        <w:rPr>
          <w:rFonts w:ascii="Arial" w:cs="Arial" w:eastAsia="Arial" w:hAnsi="Arial"/>
          <w:sz w:val="16"/>
          <w:szCs w:val="16"/>
          <w:u w:val="single" w:color="auto"/>
          <w:color w:val="auto"/>
        </w:rPr>
        <w:t>Annex C</w:t>
      </w:r>
      <w:r>
        <w:rPr>
          <w:rFonts w:ascii="Arial" w:cs="Arial" w:eastAsia="Arial" w:hAnsi="Arial"/>
          <w:sz w:val="16"/>
          <w:szCs w:val="16"/>
          <w:color w:val="auto"/>
        </w:rPr>
        <w: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Reasons for the Increase in Authorized Shares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Although at present, apart from the shares to be issued pursuant to the Merger, the Vringo board of directors has no other plans to issue the additional shares of Vringo common stock, it desires to have such shares available to provide additional flexibility to use Vringo capital stock for business and financial purposes in the future. The additional shares may be used for various purposes without further stockholder approval. These purposes may include, among others:</w:t>
      </w:r>
    </w:p>
    <w:p>
      <w:pPr>
        <w:spacing w:after="0" w:line="62" w:lineRule="exact"/>
        <w:rPr>
          <w:sz w:val="20"/>
          <w:szCs w:val="20"/>
          <w:color w:val="auto"/>
        </w:rPr>
      </w:pPr>
    </w:p>
    <w:p>
      <w:pPr>
        <w:ind w:left="560" w:hanging="300"/>
        <w:spacing w:after="0"/>
        <w:tabs>
          <w:tab w:leader="none" w:pos="5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raising capital;</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providing equity incentives to employees, officers, and directors;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establishing strategic relationships with other companies.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 determining the exact increase in the number of authorized shares of Vringo common stock and in addition to consideration of the foregoing purposes for which such shares may be used, Innovate/Protect will also consider current market conditions, the number of shares authorized by similar development stage companies, and the number of shares available as a result of the reverse stock split discussed above under Proposal No. 2 above. The terms of the additional shares of Vringo common stock will be identical to those of the currently outstanding shares of Vringo common stock. The approval to increase the authorized shares of Vringo common stock could result in Vringo or the combined company having the ability to issue more shares, unless required by the NYSE MKT, without further stockholder approval. The increase in the authorized shares of Vringo common stock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w:t>
      </w:r>
    </w:p>
    <w:p>
      <w:pPr>
        <w:spacing w:after="0" w:line="6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By approving this amendment, the Vringo stockholders will (i) approve a series of amendments to the Vringo Certificate pursuant to which any whole number of shares of Vringo common stock between 28,000,000 and up to 150,000,000 would be authorized for issuance and (ii) authorize the Vringo board of directors to (a) file only one such amendment and (b) abandon each amendment not selected. In addition, Vringo may elect not to undertake an increase in authorized shares of Vringo common stock.</w:t>
      </w:r>
    </w:p>
    <w:p>
      <w:pPr>
        <w:spacing w:after="0" w:line="200" w:lineRule="exact"/>
        <w:rPr>
          <w:sz w:val="20"/>
          <w:szCs w:val="20"/>
          <w:color w:val="auto"/>
        </w:rPr>
      </w:pPr>
    </w:p>
    <w:p>
      <w:pPr>
        <w:spacing w:after="0" w:line="26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approval of this Authorized Shares Increase Proposal is necessary to enable Vringo to issue the required number of shares of Vringo common stock issuable to Innovate/Protect stockholders in connection with the Merger.</w:t>
      </w:r>
    </w:p>
    <w:p>
      <w:pPr>
        <w:spacing w:after="0" w:line="6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Approval of this Authorized Shares Increase Proposal requires the affirmative vote of the holders of a majority of the shares of Vringo common stock outstanding and entitled to vote on the matter either in person or by proxy at the Vringo annual meeting. For purposes of the vote on this Authorized Shares Increase Proposal, an abstention, a “broker non-vote,” or a failure to submit a proxy or vote at the Vringo annual meeting will have the same effect as voting “AGAINST” this Authorized Shares Increase Proposal.</w:t>
      </w:r>
    </w:p>
    <w:p>
      <w:pPr>
        <w:spacing w:after="0" w:line="14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VRINGO BOARD OF DIRECTORS RECOMMENDS A VOTE “FOR” THE</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AUTHORIZED SHARES INCREASE PROPOSAL.</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Proposal No. 4: Election of Directors</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These seven (7)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director nominees are:</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Andrew D. Perlman</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Seth M. Siegel</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John Engelman</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Andrew Kennedy Lang</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Alexander R. Berger</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Donald E. Stout</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H. Van Sinclair</w:t>
      </w:r>
    </w:p>
    <w:p>
      <w:pPr>
        <w:spacing w:after="0" w:line="93"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For information about each of the director nominees and other relevant information with respect to the Election of Director Proposal, please refer to the section entitled “Management of the Combined Company Following the Merger.”</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163" w:lineRule="exact"/>
        <w:rPr>
          <w:sz w:val="20"/>
          <w:szCs w:val="20"/>
          <w:color w:val="auto"/>
        </w:rPr>
      </w:pPr>
    </w:p>
    <w:p>
      <w:pPr>
        <w:jc w:val="center"/>
        <w:ind w:right="1239"/>
        <w:spacing w:after="0" w:line="282" w:lineRule="auto"/>
        <w:rPr>
          <w:sz w:val="20"/>
          <w:szCs w:val="20"/>
          <w:color w:val="auto"/>
        </w:rPr>
      </w:pPr>
      <w:r>
        <w:rPr>
          <w:rFonts w:ascii="Arial" w:cs="Arial" w:eastAsia="Arial" w:hAnsi="Arial"/>
          <w:sz w:val="16"/>
          <w:szCs w:val="16"/>
          <w:b w:val="1"/>
          <w:bCs w:val="1"/>
          <w:color w:val="auto"/>
        </w:rPr>
        <w:t>THE VRINGO BOARD OF DIRECTORS RECOMMENDS A VOTE “FOR” THE ELECTION OF ANDREW D. PERLMAN, SETH M. SIEGEL, JOHN ENGELMAN, ANDREW KENNEDY LANG, ALEXANDER R. BERGER, DONALD E. STOUT AND H. VAN SINCLAIR AS DIRECTORS OF THE VRINGO BOARD OF DIRECTORS.</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Vringo Proposal No. 5: Approval of the Vringo, Inc. 2012 Employee, Director and Consultant Equity Incentive Plan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2012 Equity Incentive Plan, or the 2012 Plan, was approved by the Vringo board of directors on June 13, 2012.</w:t>
      </w:r>
    </w:p>
    <w:p>
      <w:pPr>
        <w:spacing w:after="0" w:line="117"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2012 Plan is being submitted to you for approval at the annual meeting in order to ensure favorable federal income tax treatment for grants of incentive stock options under Section 422 of the Code and eligibilty under Rule 162(m) of the Code to receive a U.S. federal income tax reduction with respect to compensation earned upon exercise of options under the 2012 Plan. Approval by Vringo’s stockholders of the 2012 Plan is also required by the listing rules of the NYSE MKT.</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2012 Plan replaces Vringo’s 2006 Stock Option Plan which will be terminated with the remaining 9.1 million authorized shares thereunder cancelled if the stockholders approve the 2012 Plan. The 2012 Plan is being replaced in order to ensure full compliance with legal and tax requirements under U.S. law.</w:t>
      </w:r>
    </w:p>
    <w:p>
      <w:pPr>
        <w:spacing w:after="0" w:line="76"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The proposed number of shares subject to the 2012 Plan is the sum of: (i) 15.6 million shares of common stock, which constitutes 6.5 million new shares and 9.1 million previously authorized but unissued shares under the 2006 Stock Option Plan and</w:t>
      </w:r>
    </w:p>
    <w:p>
      <w:pPr>
        <w:spacing w:after="0" w:line="1" w:lineRule="exact"/>
        <w:rPr>
          <w:sz w:val="20"/>
          <w:szCs w:val="20"/>
          <w:color w:val="auto"/>
        </w:rPr>
      </w:pPr>
    </w:p>
    <w:p>
      <w:pPr>
        <w:jc w:val="both"/>
        <w:ind w:left="40" w:right="1239" w:firstLine="7"/>
        <w:spacing w:after="0" w:line="247" w:lineRule="auto"/>
        <w:tabs>
          <w:tab w:leader="none" w:pos="2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any shares of common stock that are represented by awards granted under Vringo’s 2006 Stock Option Plan that are forfeited, expire or are cancelled without delivery of shares of common stock or which result in the forfeiture of shares of common stock back to Vringo on or after the date of the 2012 Plan approval by the stockholders of Vringo,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84"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As of June 20, 2012, options to purchase an aggregate of 4,675,887 shares of common stock, having a weighted-average exercise price of $2.07 with expiration terms of six years, were outstanding under Vringo’s 2006 Stock Option Plan.</w:t>
      </w:r>
    </w:p>
    <w:p>
      <w:pPr>
        <w:spacing w:after="0" w:line="4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Generally shares of common stock reserved for awards under the 2012 Plan that lapse or are canceled will be added back to the share reserve available for future awards. However, shares of common stock tendered in payment for an award or shares of common stock withheld for taxes will not be available again for grant. The 2012 Plan provides that no participant may receive awards for more than 4.0 million shares of common stock in any fiscal year.</w:t>
      </w:r>
    </w:p>
    <w:p>
      <w:pPr>
        <w:spacing w:after="0" w:line="7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Vringo board of directors, the Compensation Committee and management all believe that the effective use of stock-based long-term incentive compensation is vital to Vringo’s ability to achieve strong performance in the future. The 2012 Plan will maintain and enhance the key policies and practices adopted by Vringo’s management and its board of directors to align employee and stockholder interests. In addition, Vringo’s future success depends, in large part, upon Vringo’s ability to maintain a competitive position in attracting, retaining and motivating key personnel. Accordingly, the Vringo board of directors believes that approval of the 2012 Plan is in Vringo’s best interests and those of its stockholders and recommends a vote “FOR” the approval of the 2012 Plan.</w:t>
      </w:r>
    </w:p>
    <w:p>
      <w:pPr>
        <w:spacing w:after="0" w:line="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The following is a brief summary of the 2012 Plan. This summary is qualified in its entirety by reference to the text of the 2012 Plan, a copy of which is attached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to this proxy statement/prospectus.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Material Features of the 2012 Plan</w:t>
      </w:r>
    </w:p>
    <w:p>
      <w:pPr>
        <w:spacing w:after="0" w:line="105"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 xml:space="preserve">Eligibility. </w:t>
      </w:r>
      <w:r>
        <w:rPr>
          <w:rFonts w:ascii="Arial" w:cs="Arial" w:eastAsia="Arial" w:hAnsi="Arial"/>
          <w:sz w:val="15"/>
          <w:szCs w:val="15"/>
          <w:color w:val="auto"/>
        </w:rPr>
        <w:t>The 2012 Plan allows Vringo, under the direction of its Compensation Committee, to make grants of stock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and unrestricted stock awards and other stock-based awards to employees, consultants and directors who, in the opinion of the Compensation Committee, are in a position to make a significant contribution to Vringo’s long-term success. The purpose of these awards is to attract and retain key individuals, further align employee and stockholder interests, and to closely link compensation with Vringo’s performance. The 2012 Plan provides an essential component of the total compensation package, reflecting the importance that Vringo places on aligning the interests of key individuals with those of Vringo stockholders.</w:t>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All employees, directors and consultants of Vringo and its affiliates are eligible to participate in the 2012 Plan. As of June 20, 2012, there were approximately 40 individuals eligible to participate.</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Stock options granted under the 2012 Plan may either be incentive stock options, which are intended to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requirements of Section 422 of the Code, or non-qualified stock options, which are not intended to meet those requirements. Incentive stock options may be granted to employees of Vringo and its affiliates. Non-qualified options may be granted to employees, directors and consultants of Vringo and its affiliates. The exercise price of a stock option may not be less than 100% of the fair market value of Vringo common stock on the date of grant. If an incentive stock option is granted to an individual who owns more than 10% of the combined voting power of all classes of the Vringo capital stock, the exercise price may not be less than 110% of the fair market value of Vringo common stock on the date of grant and the term of the option may not be longer than five years.</w:t>
      </w:r>
    </w:p>
    <w:p>
      <w:pPr>
        <w:spacing w:after="0" w:line="71"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44" w:lineRule="exact"/>
        <w:rPr>
          <w:sz w:val="20"/>
          <w:szCs w:val="20"/>
          <w:color w:val="auto"/>
        </w:rPr>
      </w:pPr>
    </w:p>
    <w:p>
      <w:pPr>
        <w:jc w:val="both"/>
        <w:ind w:left="40" w:right="1239" w:firstLine="251"/>
        <w:spacing w:after="0" w:line="309" w:lineRule="auto"/>
        <w:rPr>
          <w:sz w:val="20"/>
          <w:szCs w:val="20"/>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Restricted stock is common stock that is subject to restrictions, including a prohibition against transfer and a</w:t>
      </w:r>
      <w:r>
        <w:rPr>
          <w:rFonts w:ascii="Arial" w:cs="Arial" w:eastAsia="Arial" w:hAnsi="Arial"/>
          <w:sz w:val="15"/>
          <w:szCs w:val="15"/>
          <w:b w:val="1"/>
          <w:bCs w:val="1"/>
          <w:color w:val="auto"/>
        </w:rPr>
        <w:t xml:space="preserve"> </w:t>
      </w:r>
      <w:r>
        <w:rPr>
          <w:rFonts w:ascii="Arial" w:cs="Arial" w:eastAsia="Arial" w:hAnsi="Arial"/>
          <w:sz w:val="15"/>
          <w:szCs w:val="15"/>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3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4"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 xml:space="preserve">Other Stock-Based Awards. </w:t>
      </w:r>
      <w:r>
        <w:rPr>
          <w:rFonts w:ascii="Arial" w:cs="Arial" w:eastAsia="Arial" w:hAnsi="Arial"/>
          <w:sz w:val="17"/>
          <w:szCs w:val="17"/>
          <w:color w:val="auto"/>
        </w:rPr>
        <w:t>The 2012 Plan also authorizes the grant of other types of stock-based compensation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limited to stock appreciation rights, phantom stock awards, and stock unit awards.</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In accordance with the terms of the 2012 Plan, the Vringo board of directors has authorized its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to administer the 2012 Plan. The Compensation Committee may delegate part of its authority and powers under the 2012 Plan to one or more of Vringo’s directors and/or officers, but only the Compensation Committee can make awards to participants who are directors or executive officers of Vringo. In accordance with the provisions of the 2012 Plan, the Compensation Committee determines the terms of awards, including:</w:t>
      </w:r>
    </w:p>
    <w:p>
      <w:pPr>
        <w:spacing w:after="0" w:line="64" w:lineRule="exact"/>
        <w:rPr>
          <w:sz w:val="20"/>
          <w:szCs w:val="20"/>
          <w:color w:val="auto"/>
        </w:rPr>
      </w:pPr>
    </w:p>
    <w:p>
      <w:pPr>
        <w:ind w:left="560" w:hanging="300"/>
        <w:spacing w:after="0"/>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which employees, directors and consultants will be granted awards;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number of shares subject to each award;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vesting provisions of each award;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termination or cancellation provisions applicable to awards;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all other terms and conditions upon which each award may be granted in accordance with the 2012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addition, the Compensation Committee may, in its discretion, amend any term or condition of an outstanding award provided</w:t>
      </w:r>
    </w:p>
    <w:p>
      <w:pPr>
        <w:spacing w:after="0" w:line="40" w:lineRule="exact"/>
        <w:rPr>
          <w:sz w:val="20"/>
          <w:szCs w:val="20"/>
          <w:color w:val="auto"/>
        </w:rPr>
      </w:pPr>
    </w:p>
    <w:p>
      <w:pPr>
        <w:jc w:val="both"/>
        <w:ind w:left="40" w:right="1239" w:firstLine="7"/>
        <w:spacing w:after="0" w:line="268" w:lineRule="auto"/>
        <w:tabs>
          <w:tab w:leader="none" w:pos="25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such term or condition as amended is permitted by the 2012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64"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Stock Dividends and Stock Splits. </w:t>
      </w:r>
      <w:r>
        <w:rPr>
          <w:rFonts w:ascii="Arial" w:cs="Arial" w:eastAsia="Arial" w:hAnsi="Arial"/>
          <w:sz w:val="17"/>
          <w:szCs w:val="17"/>
          <w:color w:val="auto"/>
        </w:rPr>
        <w:t>If Vringo common stock shall be subdivided or combined into a greater or smaller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or if we issue any shares of common stock as a stock dividend, the number of shares of Vringo common stock deliverable upon exercise of an option issued or upon issuance of</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an award shall be appropriately increased or decreased proportionately, and appropriate adjustments shall be made in the purchase price per share to reflect such subdivision, combination or stock dividend.</w:t>
      </w:r>
    </w:p>
    <w:p>
      <w:pPr>
        <w:spacing w:after="0" w:line="62" w:lineRule="exact"/>
        <w:rPr>
          <w:sz w:val="20"/>
          <w:szCs w:val="20"/>
          <w:color w:val="auto"/>
        </w:rPr>
      </w:pPr>
    </w:p>
    <w:p>
      <w:pPr>
        <w:ind w:left="40" w:right="1239" w:firstLine="251"/>
        <w:spacing w:after="0" w:line="304"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Upon a merger or other reorganization event, the Vringo board of directors, may,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take any one or more of the following actions pursuant to the 2012 Plan, as to some or all outstanding awards:</w:t>
      </w:r>
    </w:p>
    <w:p>
      <w:pPr>
        <w:spacing w:after="0" w:line="39" w:lineRule="exact"/>
        <w:rPr>
          <w:sz w:val="20"/>
          <w:szCs w:val="20"/>
          <w:color w:val="auto"/>
        </w:rPr>
      </w:pPr>
    </w:p>
    <w:p>
      <w:pPr>
        <w:ind w:left="560" w:hanging="300"/>
        <w:spacing w:after="0"/>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provide that all outstanding options shall be assumed or substituted by the successor corporation;</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written notice to a participant provide that the participant’s unexercised options will terminate immediately prior to the consummation of such transaction unless exercised by the participant;</w:t>
      </w:r>
    </w:p>
    <w:p>
      <w:pPr>
        <w:spacing w:after="0" w:line="66" w:lineRule="exact"/>
        <w:rPr>
          <w:rFonts w:ascii="Arial" w:cs="Arial" w:eastAsia="Arial" w:hAnsi="Arial"/>
          <w:sz w:val="17"/>
          <w:szCs w:val="17"/>
          <w:color w:val="auto"/>
        </w:rPr>
      </w:pPr>
    </w:p>
    <w:p>
      <w:pPr>
        <w:jc w:val="both"/>
        <w:ind w:left="560" w:right="1239" w:hanging="300"/>
        <w:spacing w:after="0" w:line="274" w:lineRule="auto"/>
        <w:tabs>
          <w:tab w:leader="none" w:pos="5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of a merger pursuant to which holders of Vringo common stock will receive a cash payment for each share surrendered in the merger, make or provide for a cash payment to the participants equal to the difference between the merger price times the number of shares of Vringo common stock subject to such outstanding options, and the aggregate exercise price of all such outstanding options, in exchange for the termination of such options;</w:t>
      </w:r>
    </w:p>
    <w:p>
      <w:pPr>
        <w:spacing w:after="0" w:line="61" w:lineRule="exact"/>
        <w:rPr>
          <w:rFonts w:ascii="Arial" w:cs="Arial" w:eastAsia="Arial" w:hAnsi="Arial"/>
          <w:sz w:val="16"/>
          <w:szCs w:val="16"/>
          <w:color w:val="auto"/>
        </w:rPr>
      </w:pPr>
    </w:p>
    <w:p>
      <w:pPr>
        <w:jc w:val="both"/>
        <w:ind w:left="560" w:right="1239" w:hanging="300"/>
        <w:spacing w:after="0" w:line="256" w:lineRule="auto"/>
        <w:tabs>
          <w:tab w:leader="none" w:pos="5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provide that outstanding awards shall be assumed or substituted by the successor corporation, become realizable or deliverable, or restrictions applicable to an award will lapse, in whole or in part, prior to or upon the merger or reorganization event.</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2"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Amendment and Termination. </w:t>
      </w:r>
      <w:r>
        <w:rPr>
          <w:rFonts w:ascii="Arial" w:cs="Arial" w:eastAsia="Arial" w:hAnsi="Arial"/>
          <w:sz w:val="15"/>
          <w:szCs w:val="15"/>
          <w:color w:val="auto"/>
        </w:rPr>
        <w:t>the 2012 Plan may be amended by Vringo stockholders. It may also be amended by the Vringo</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provided that any amendment approved by the Vringo board of directors which is of a scope that requires stockholder approval as required by the rules of the NYSE Amex, in order to ensure favorable federal income tax treatment for any incentive stock options under Code Section 422, or for any other reason is subject to obtaining such stockholder approval. In addition, if the NYSE Amex amends its corporate governance rules so that such rules no longer require stockholder approval of “material amendments” of equity compensation plans, then, from and after the effective date of such an amendment to the NYSE Amex rules, no amendment of the 2012 Plan which (i) materially increases the number of shares to be issued under the 2012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2012 Plan; (iii) materially expands the class of participants eligible to participate in the 2012 Plan; or (iv) expands the types of awards provided under the 2012 Plan shall become effective unless stockholder approval is obtained. The 2012 Plan expires on the date which is ten years from the earlier of the date of its adoption by the Board of Directors and the date of its approval by the shareholders of the Company.</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 Federal Income Tax Considerations</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material federal income tax consequences of the issuance and exercise of stock options and other awards under the 2012 Plan, based on the current provisions of the Code and regulations, are as follows. Changes to these laws could alter the tax consequences described below. This summary assumes that all awards granted under the 2012 Plan are exempt from or comply with, the rules under Section 409A of the Code related to nonqualified deferred compensation.</w:t>
      </w:r>
    </w:p>
    <w:p>
      <w:pPr>
        <w:spacing w:after="0" w:line="200" w:lineRule="exact"/>
        <w:rPr>
          <w:sz w:val="20"/>
          <w:szCs w:val="20"/>
          <w:color w:val="auto"/>
        </w:rPr>
      </w:pPr>
    </w:p>
    <w:p>
      <w:pPr>
        <w:spacing w:after="0" w:line="28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742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60" w:lineRule="exact"/>
        <w:rPr>
          <w:sz w:val="20"/>
          <w:szCs w:val="20"/>
          <w:color w:val="auto"/>
        </w:rPr>
      </w:pPr>
    </w:p>
    <w:p>
      <w:pPr>
        <w:ind w:left="2360" w:hanging="2355"/>
        <w:spacing w:after="0" w:line="263" w:lineRule="auto"/>
        <w:tabs>
          <w:tab w:leader="none" w:pos="2340" w:val="left"/>
        </w:tabs>
        <w:rPr>
          <w:sz w:val="20"/>
          <w:szCs w:val="20"/>
          <w:color w:val="auto"/>
        </w:rPr>
      </w:pPr>
      <w:r>
        <w:rPr>
          <w:rFonts w:ascii="Arial" w:cs="Arial" w:eastAsia="Arial" w:hAnsi="Arial"/>
          <w:sz w:val="17"/>
          <w:szCs w:val="17"/>
          <w:b w:val="1"/>
          <w:bCs w:val="1"/>
          <w:color w:val="auto"/>
        </w:rPr>
        <w:t>Incentive Stock Options:</w:t>
      </w:r>
      <w:r>
        <w:rPr>
          <w:sz w:val="20"/>
          <w:szCs w:val="20"/>
          <w:color w:val="auto"/>
        </w:rPr>
        <w:tab/>
      </w:r>
      <w:r>
        <w:rPr>
          <w:rFonts w:ascii="Arial" w:cs="Arial" w:eastAsia="Arial" w:hAnsi="Arial"/>
          <w:sz w:val="16"/>
          <w:szCs w:val="16"/>
          <w:color w:val="auto"/>
        </w:rPr>
        <w:t>Incentive stock options are intended to qualify for treatment under Section 422 of the Code. An incentive stock option does not result in taxable income to the optionee or deduction to Vringo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w:t>
      </w:r>
      <w:r>
        <w:rPr>
          <w:rFonts w:ascii="Arial" w:cs="Arial" w:eastAsia="Arial" w:hAnsi="Arial"/>
          <w:sz w:val="16"/>
          <w:szCs w:val="16"/>
          <w:b w:val="1"/>
          <w:bCs w:val="1"/>
          <w:color w:val="auto"/>
        </w:rPr>
        <w:t>ISO holding period</w:t>
      </w:r>
      <w:r>
        <w:rPr>
          <w:rFonts w:ascii="Arial" w:cs="Arial" w:eastAsia="Arial" w:hAnsi="Arial"/>
          <w:sz w:val="16"/>
          <w:szCs w:val="16"/>
          <w:color w:val="auto"/>
        </w:rPr>
        <w:t>”).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Vringo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2" w:lineRule="exact"/>
        <w:rPr>
          <w:sz w:val="20"/>
          <w:szCs w:val="20"/>
          <w:color w:val="auto"/>
        </w:rPr>
      </w:pPr>
    </w:p>
    <w:p>
      <w:pPr>
        <w:ind w:left="2360" w:right="200" w:hanging="2355"/>
        <w:spacing w:after="0" w:line="246" w:lineRule="auto"/>
        <w:tabs>
          <w:tab w:leader="none" w:pos="2340" w:val="left"/>
        </w:tabs>
        <w:rPr>
          <w:sz w:val="20"/>
          <w:szCs w:val="20"/>
          <w:color w:val="auto"/>
        </w:rPr>
      </w:pPr>
      <w:r>
        <w:rPr>
          <w:rFonts w:ascii="Arial" w:cs="Arial" w:eastAsia="Arial" w:hAnsi="Arial"/>
          <w:sz w:val="17"/>
          <w:szCs w:val="17"/>
          <w:b w:val="1"/>
          <w:bCs w:val="1"/>
          <w:color w:val="auto"/>
        </w:rPr>
        <w:t>Non-Qualified Options:</w:t>
      </w:r>
      <w:r>
        <w:rPr>
          <w:sz w:val="20"/>
          <w:szCs w:val="20"/>
          <w:color w:val="auto"/>
        </w:rPr>
        <w:tab/>
      </w:r>
      <w:r>
        <w:rPr>
          <w:rFonts w:ascii="Arial" w:cs="Arial" w:eastAsia="Arial" w:hAnsi="Arial"/>
          <w:sz w:val="17"/>
          <w:szCs w:val="17"/>
          <w:color w:val="auto"/>
        </w:rPr>
        <w:t>Options otherwise qualifying as incentive stock options, to the extent the aggregate fair market value of shares with respect to which such options are first exercisable by an individual in any calendar year exceeds $100,000, and options designated as non-qualified options will be treated as options that are not incentive stock options.</w:t>
      </w:r>
    </w:p>
    <w:p>
      <w:pPr>
        <w:ind w:left="2360" w:right="40"/>
        <w:spacing w:after="0" w:line="278" w:lineRule="auto"/>
        <w:rPr>
          <w:sz w:val="20"/>
          <w:szCs w:val="20"/>
          <w:color w:val="auto"/>
        </w:rPr>
      </w:pPr>
      <w:r>
        <w:rPr>
          <w:rFonts w:ascii="Arial" w:cs="Arial" w:eastAsia="Arial" w:hAnsi="Arial"/>
          <w:sz w:val="15"/>
          <w:szCs w:val="15"/>
          <w:color w:val="auto"/>
        </w:rPr>
        <w:t>A non-qualified option ordinarily will not result in income to the optionee or deduction to Vringo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Vringo in an amount equal to the optionee’s compensation income.</w:t>
      </w:r>
    </w:p>
    <w:p>
      <w:pPr>
        <w:spacing w:after="0" w:line="3" w:lineRule="exact"/>
        <w:rPr>
          <w:sz w:val="20"/>
          <w:szCs w:val="20"/>
          <w:color w:val="auto"/>
        </w:rPr>
      </w:pPr>
    </w:p>
    <w:p>
      <w:pPr>
        <w:ind w:left="2360" w:right="40"/>
        <w:spacing w:after="0" w:line="246" w:lineRule="auto"/>
        <w:rPr>
          <w:sz w:val="20"/>
          <w:szCs w:val="20"/>
          <w:color w:val="auto"/>
        </w:rPr>
      </w:pPr>
      <w:r>
        <w:rPr>
          <w:rFonts w:ascii="Arial" w:cs="Arial" w:eastAsia="Arial" w:hAnsi="Arial"/>
          <w:sz w:val="17"/>
          <w:szCs w:val="17"/>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ind w:left="2360" w:right="40" w:hanging="2355"/>
        <w:spacing w:after="0" w:line="247" w:lineRule="auto"/>
        <w:tabs>
          <w:tab w:leader="none" w:pos="2340" w:val="left"/>
        </w:tabs>
        <w:rPr>
          <w:sz w:val="20"/>
          <w:szCs w:val="20"/>
          <w:color w:val="auto"/>
        </w:rPr>
      </w:pPr>
      <w:r>
        <w:rPr>
          <w:rFonts w:ascii="Arial" w:cs="Arial" w:eastAsia="Arial" w:hAnsi="Arial"/>
          <w:sz w:val="17"/>
          <w:szCs w:val="17"/>
          <w:b w:val="1"/>
          <w:bCs w:val="1"/>
          <w:color w:val="auto"/>
        </w:rPr>
        <w:t>Stock Grants:</w:t>
      </w:r>
      <w:r>
        <w:rPr>
          <w:sz w:val="20"/>
          <w:szCs w:val="20"/>
          <w:color w:val="auto"/>
        </w:rPr>
        <w:tab/>
      </w:r>
      <w:r>
        <w:rPr>
          <w:rFonts w:ascii="Arial" w:cs="Arial" w:eastAsia="Arial" w:hAnsi="Arial"/>
          <w:sz w:val="17"/>
          <w:szCs w:val="17"/>
          <w:color w:val="auto"/>
        </w:rPr>
        <w:t>With respect to stock grants under the 2012 Plan that result in the issuance of shares that are either not restricted as to transferability or not subject 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78105</wp:posOffset>
            </wp:positionV>
            <wp:extent cx="5674360" cy="571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1400"/>
          </w:cols>
          <w:pgMar w:left="360" w:top="746" w:right="139" w:bottom="1440" w:gutter="0" w:footer="0" w:header="0"/>
        </w:sectPr>
      </w:pPr>
    </w:p>
    <w:bookmarkStart w:id="129" w:name="page130"/>
    <w:bookmarkEnd w:id="129"/>
    <w:p>
      <w:pPr>
        <w:ind w:left="2460"/>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0" w:lineRule="exact"/>
        <w:rPr>
          <w:sz w:val="20"/>
          <w:szCs w:val="20"/>
          <w:color w:val="auto"/>
        </w:rPr>
      </w:pPr>
    </w:p>
    <w:p>
      <w:pPr>
        <w:spacing w:after="0" w:line="297" w:lineRule="exact"/>
        <w:rPr>
          <w:sz w:val="20"/>
          <w:szCs w:val="20"/>
          <w:color w:val="auto"/>
        </w:rPr>
      </w:pPr>
    </w:p>
    <w:p>
      <w:pPr>
        <w:ind w:left="2360" w:right="40"/>
        <w:spacing w:after="0" w:line="263" w:lineRule="auto"/>
        <w:rPr>
          <w:sz w:val="20"/>
          <w:szCs w:val="20"/>
          <w:color w:val="auto"/>
        </w:rPr>
      </w:pPr>
      <w:r>
        <w:rPr>
          <w:rFonts w:ascii="Arial" w:cs="Arial" w:eastAsia="Arial" w:hAnsi="Arial"/>
          <w:sz w:val="16"/>
          <w:szCs w:val="16"/>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Vringo generally will be entitled to a deduction in an amount equal to the ordinary income recognized by the grantee.</w:t>
      </w:r>
    </w:p>
    <w:p>
      <w:pPr>
        <w:spacing w:after="0" w:line="3" w:lineRule="exact"/>
        <w:rPr>
          <w:sz w:val="20"/>
          <w:szCs w:val="20"/>
          <w:color w:val="auto"/>
        </w:rPr>
      </w:pPr>
    </w:p>
    <w:p>
      <w:pPr>
        <w:ind w:left="2360" w:hanging="2355"/>
        <w:spacing w:after="0" w:line="249" w:lineRule="auto"/>
        <w:tabs>
          <w:tab w:leader="none" w:pos="2340" w:val="left"/>
        </w:tabs>
        <w:rPr>
          <w:sz w:val="20"/>
          <w:szCs w:val="20"/>
          <w:color w:val="auto"/>
        </w:rPr>
      </w:pPr>
      <w:r>
        <w:rPr>
          <w:rFonts w:ascii="Arial" w:cs="Arial" w:eastAsia="Arial" w:hAnsi="Arial"/>
          <w:sz w:val="17"/>
          <w:szCs w:val="17"/>
          <w:b w:val="1"/>
          <w:bCs w:val="1"/>
          <w:color w:val="auto"/>
        </w:rPr>
        <w:t>Stock Units:</w:t>
      </w:r>
      <w:r>
        <w:rPr>
          <w:sz w:val="20"/>
          <w:szCs w:val="20"/>
          <w:color w:val="auto"/>
        </w:rPr>
        <w:tab/>
      </w:r>
      <w:r>
        <w:rPr>
          <w:rFonts w:ascii="Arial" w:cs="Arial" w:eastAsia="Arial" w:hAnsi="Arial"/>
          <w:sz w:val="17"/>
          <w:szCs w:val="17"/>
          <w:color w:val="auto"/>
        </w:rPr>
        <w:t>The grantee recognizes no income until the issuance of the shares. At that time, the grantee must generally recognize ordinary income equal to the fair market value of the shares received. Vringo generally will be entitled to a deduction in an amount equal to the ordinary income recognized by the grantee.</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Rules Particular to Specific Countries</w:t>
      </w:r>
    </w:p>
    <w:p>
      <w:pPr>
        <w:spacing w:after="0" w:line="109" w:lineRule="exact"/>
        <w:rPr>
          <w:sz w:val="20"/>
          <w:szCs w:val="20"/>
          <w:color w:val="auto"/>
        </w:rPr>
      </w:pPr>
    </w:p>
    <w:p>
      <w:pPr>
        <w:jc w:val="both"/>
        <w:ind w:left="40" w:right="2540" w:firstLine="251"/>
        <w:spacing w:after="0" w:line="288" w:lineRule="auto"/>
        <w:rPr>
          <w:sz w:val="20"/>
          <w:szCs w:val="20"/>
          <w:color w:val="auto"/>
        </w:rPr>
      </w:pPr>
      <w:r>
        <w:rPr>
          <w:rFonts w:ascii="Arial" w:cs="Arial" w:eastAsia="Arial" w:hAnsi="Arial"/>
          <w:sz w:val="15"/>
          <w:szCs w:val="15"/>
          <w:color w:val="auto"/>
        </w:rPr>
        <w:t>The terms and conditions of the Plan may be amended with respect to particular types of Participant as determined by the board of directors (for example — Israeli employees) by an appendix to the Plan (the “</w:t>
      </w:r>
      <w:r>
        <w:rPr>
          <w:rFonts w:ascii="Arial" w:cs="Arial" w:eastAsia="Arial" w:hAnsi="Arial"/>
          <w:sz w:val="15"/>
          <w:szCs w:val="15"/>
          <w:b w:val="1"/>
          <w:bCs w:val="1"/>
          <w:color w:val="auto"/>
        </w:rPr>
        <w:t>Appendix</w:t>
      </w:r>
      <w:r>
        <w:rPr>
          <w:rFonts w:ascii="Arial" w:cs="Arial" w:eastAsia="Arial" w:hAnsi="Arial"/>
          <w:sz w:val="15"/>
          <w:szCs w:val="15"/>
          <w:color w:val="auto"/>
        </w:rPr>
        <w:t>”). Vringo may adopt one or more Appendices. Each Appendix shall be approved by the board of directors and as required or advisable under applicable law. The terms of an Appendix shall govern only with respect to the types of Participant specified in such Appendix. In the case that the terms and conditions set forth in an Appendix conflict with any provisions of the Plan, the provisions of the Appendix shall govern with respect to Participant that are subject to such Appendix, provided, however, that such Appendix shall not be construed to grant the Participant rights not consistent with the terms of the Plan, unless specifically provided in such Appendix.</w:t>
      </w:r>
    </w:p>
    <w:p>
      <w:pPr>
        <w:spacing w:after="0" w:line="55" w:lineRule="exact"/>
        <w:rPr>
          <w:sz w:val="20"/>
          <w:szCs w:val="20"/>
          <w:color w:val="auto"/>
        </w:rPr>
      </w:pPr>
    </w:p>
    <w:p>
      <w:pPr>
        <w:jc w:val="both"/>
        <w:ind w:left="40" w:right="2540" w:firstLine="251"/>
        <w:spacing w:after="0" w:line="280" w:lineRule="auto"/>
        <w:rPr>
          <w:sz w:val="20"/>
          <w:szCs w:val="20"/>
          <w:color w:val="auto"/>
        </w:rPr>
      </w:pPr>
      <w:r>
        <w:rPr>
          <w:rFonts w:ascii="Arial" w:cs="Arial" w:eastAsia="Arial" w:hAnsi="Arial"/>
          <w:sz w:val="16"/>
          <w:szCs w:val="16"/>
          <w:color w:val="auto"/>
        </w:rPr>
        <w:t>The amounts of future grants under the 2012 Plan are not determinable as awards under the 2012 Plan and will be granted at the sole discretion of the Compensation Committee, or other delegated persons and Vringo cannot determine at this time either the persons who will receive awards under the 2012 Plan or the amount or types of any such awards.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June 20, 2012, the closing market price per share of our common stock was $4.19, as reported by the NYSE MKT.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2540" w:firstLine="251"/>
        <w:spacing w:after="0" w:line="256" w:lineRule="auto"/>
        <w:rPr>
          <w:sz w:val="20"/>
          <w:szCs w:val="20"/>
          <w:color w:val="auto"/>
        </w:rPr>
      </w:pPr>
      <w:r>
        <w:rPr>
          <w:rFonts w:ascii="Arial" w:cs="Arial" w:eastAsia="Arial" w:hAnsi="Arial"/>
          <w:sz w:val="17"/>
          <w:szCs w:val="17"/>
          <w:color w:val="auto"/>
        </w:rPr>
        <w:t>The affirmative vote of the holders of a majority of the shares of Vringo common stock present and entitled to vote on the matter either in person or by proxy at the Vringo annual meeting is required to approve the 2012 Equity Incentive Plan. Abstentions will be counted AGAINST this proposal.</w:t>
      </w:r>
    </w:p>
    <w:p>
      <w:pPr>
        <w:spacing w:after="0" w:line="172" w:lineRule="exact"/>
        <w:rPr>
          <w:sz w:val="20"/>
          <w:szCs w:val="20"/>
          <w:color w:val="auto"/>
        </w:rPr>
      </w:pPr>
    </w:p>
    <w:p>
      <w:pPr>
        <w:jc w:val="center"/>
        <w:ind w:right="2540"/>
        <w:spacing w:after="0"/>
        <w:rPr>
          <w:sz w:val="20"/>
          <w:szCs w:val="20"/>
          <w:color w:val="auto"/>
        </w:rPr>
      </w:pPr>
      <w:r>
        <w:rPr>
          <w:rFonts w:ascii="Arial" w:cs="Arial" w:eastAsia="Arial" w:hAnsi="Arial"/>
          <w:sz w:val="17"/>
          <w:szCs w:val="17"/>
          <w:b w:val="1"/>
          <w:bCs w:val="1"/>
          <w:color w:val="auto"/>
        </w:rPr>
        <w:t>THE VRINGO BOARD OF DIRECTORS RECOMMENDS A VOTE “FOR” THE APPROVAL OF THE 2012 EQUITY</w:t>
      </w:r>
    </w:p>
    <w:p>
      <w:pPr>
        <w:spacing w:after="0" w:line="21" w:lineRule="exact"/>
        <w:rPr>
          <w:sz w:val="20"/>
          <w:szCs w:val="20"/>
          <w:color w:val="auto"/>
        </w:rPr>
      </w:pPr>
    </w:p>
    <w:p>
      <w:pPr>
        <w:jc w:val="center"/>
        <w:ind w:right="2540"/>
        <w:spacing w:after="0"/>
        <w:rPr>
          <w:sz w:val="20"/>
          <w:szCs w:val="20"/>
          <w:color w:val="auto"/>
        </w:rPr>
      </w:pPr>
      <w:r>
        <w:rPr>
          <w:rFonts w:ascii="Arial" w:cs="Arial" w:eastAsia="Arial" w:hAnsi="Arial"/>
          <w:sz w:val="17"/>
          <w:szCs w:val="17"/>
          <w:b w:val="1"/>
          <w:bCs w:val="1"/>
          <w:color w:val="auto"/>
        </w:rPr>
        <w:t>INCENTIVE PLAN PROPOSAL.</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1400"/>
          </w:cols>
          <w:pgMar w:left="360" w:top="721" w:right="13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Proposal No. 6: Ratification of the Appointment of Vringo’s Independent Registered Public Accounting Firm</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audit committee of Vringo has appointed Somekh Chaikin, a member firm of KPMG International, as Vringo’s independent registered public accounting firm for the fiscal year ending December 31, 2012. Although this appointment does not require ratification, the Vringo board of directors has directed that the appointment of Somekh Chaikin, a member firm of KPMG International, be submitted to Vringo’s stockholders for ratification due to the significance of their appointment to Vringo. If Vringo stockholders do not ratify the appointment of Somekh Chaikin, a member firm of KPMG International the audit committee of Vringo will consider the appointment of another independent registered public accounting firm for the fiscal year ending December 31, 2012. A representative of Somekh Chaikin, a member firm of KPMG International, is expected to participate via teleconference at the annual meeting of stockholders.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Fees Billed to Vringo’s Independent Registered Public Accounting Firm During Fiscal Years 2011 and 2010</w:t>
      </w:r>
    </w:p>
    <w:p>
      <w:pPr>
        <w:spacing w:after="0" w:line="11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Somekh Chaikin, a member firm of KPMG International, served as Vringo’s independent registered public accounting firm for the fiscal year ended December 31, 2011.</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the aggregate fees billed to Vringo for the fiscal years ended December 31, 2011 and 2010 by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Somekh Chaikin, a member firm of KPMG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4081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4"/>
                <w:szCs w:val="14"/>
                <w:color w:val="auto"/>
              </w:rPr>
            </w:pPr>
          </w:p>
        </w:tc>
      </w:tr>
      <w:tr>
        <w:trPr>
          <w:trHeight w:val="231"/>
        </w:trPr>
        <w:tc>
          <w:tcPr>
            <w:tcW w:w="5080" w:type="dxa"/>
            <w:vAlign w:val="bottom"/>
            <w:gridSpan w:val="2"/>
            <w:shd w:val="clear" w:color="auto" w:fill="CCFFCC"/>
          </w:tcPr>
          <w:p>
            <w:pPr>
              <w:spacing w:after="0" w:line="231"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w w:val="94"/>
              </w:rPr>
              <w:t>172,000</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422,000</w:t>
            </w:r>
          </w:p>
        </w:tc>
      </w:tr>
      <w:tr>
        <w:trPr>
          <w:trHeight w:val="238"/>
        </w:trPr>
        <w:tc>
          <w:tcPr>
            <w:tcW w:w="5080" w:type="dxa"/>
            <w:vAlign w:val="bottom"/>
            <w:gridSpan w:val="2"/>
          </w:tcPr>
          <w:p>
            <w:pPr>
              <w:spacing w:after="0" w:line="239" w:lineRule="exact"/>
              <w:rPr>
                <w:sz w:val="20"/>
                <w:szCs w:val="20"/>
                <w:color w:val="auto"/>
              </w:rPr>
            </w:pPr>
            <w:r>
              <w:rPr>
                <w:rFonts w:ascii="Arial" w:cs="Arial" w:eastAsia="Arial" w:hAnsi="Arial"/>
                <w:sz w:val="17"/>
                <w:szCs w:val="17"/>
                <w:color w:val="auto"/>
              </w:rPr>
              <w:t>Audit Related Fees</w:t>
            </w:r>
            <w:r>
              <w:rPr>
                <w:rFonts w:ascii="Arial" w:cs="Arial" w:eastAsia="Arial" w:hAnsi="Arial"/>
                <w:sz w:val="27"/>
                <w:szCs w:val="27"/>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44,000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8"/>
        </w:trPr>
        <w:tc>
          <w:tcPr>
            <w:tcW w:w="508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Tax Fees</w:t>
            </w:r>
            <w:r>
              <w:rPr>
                <w:rFonts w:ascii="Arial" w:cs="Arial" w:eastAsia="Arial" w:hAnsi="Arial"/>
                <w:sz w:val="27"/>
                <w:szCs w:val="27"/>
                <w:color w:val="auto"/>
                <w:vertAlign w:val="superscript"/>
              </w:rPr>
              <w:t>(3)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8,000</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2,500</w:t>
            </w:r>
          </w:p>
        </w:tc>
      </w:tr>
      <w:tr>
        <w:trPr>
          <w:trHeight w:val="20"/>
        </w:trPr>
        <w:tc>
          <w:tcPr>
            <w:tcW w:w="900" w:type="dxa"/>
            <w:vAlign w:val="bottom"/>
            <w:shd w:val="clear" w:color="auto" w:fill="CCFFCC"/>
          </w:tcPr>
          <w:p>
            <w:pPr>
              <w:spacing w:after="0" w:line="20" w:lineRule="exact"/>
              <w:rPr>
                <w:sz w:val="1"/>
                <w:szCs w:val="1"/>
                <w:color w:val="auto"/>
              </w:rPr>
            </w:pPr>
          </w:p>
        </w:tc>
        <w:tc>
          <w:tcPr>
            <w:tcW w:w="41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080" w:type="dxa"/>
            <w:vAlign w:val="bottom"/>
            <w:gridSpan w:val="2"/>
          </w:tcPr>
          <w:p>
            <w:pPr>
              <w:spacing w:after="0" w:line="193" w:lineRule="exact"/>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3" w:lineRule="exact"/>
              <w:rPr>
                <w:sz w:val="20"/>
                <w:szCs w:val="20"/>
                <w:color w:val="auto"/>
              </w:rPr>
            </w:pPr>
            <w:r>
              <w:rPr>
                <w:rFonts w:ascii="Arial" w:cs="Arial" w:eastAsia="Arial" w:hAnsi="Arial"/>
                <w:sz w:val="17"/>
                <w:szCs w:val="17"/>
                <w:color w:val="auto"/>
                <w:w w:val="94"/>
              </w:rPr>
              <w:t>224,000</w:t>
            </w:r>
          </w:p>
        </w:tc>
        <w:tc>
          <w:tcPr>
            <w:tcW w:w="34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424,500</w:t>
            </w:r>
          </w:p>
        </w:tc>
      </w:tr>
      <w:tr>
        <w:trPr>
          <w:trHeight w:val="20"/>
        </w:trPr>
        <w:tc>
          <w:tcPr>
            <w:tcW w:w="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6"/>
        </w:trPr>
        <w:tc>
          <w:tcPr>
            <w:tcW w:w="900" w:type="dxa"/>
            <w:vAlign w:val="bottom"/>
            <w:tcBorders>
              <w:bottom w:val="single" w:sz="8" w:color="auto"/>
            </w:tcBorders>
          </w:tcPr>
          <w:p>
            <w:pPr>
              <w:spacing w:after="0"/>
              <w:rPr>
                <w:sz w:val="21"/>
                <w:szCs w:val="21"/>
                <w:color w:val="auto"/>
              </w:rPr>
            </w:pPr>
          </w:p>
        </w:tc>
        <w:tc>
          <w:tcPr>
            <w:tcW w:w="4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4408170" cy="167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218" w:lineRule="exact"/>
        <w:rPr>
          <w:sz w:val="20"/>
          <w:szCs w:val="20"/>
          <w:color w:val="auto"/>
        </w:rPr>
      </w:pPr>
    </w:p>
    <w:p>
      <w:pPr>
        <w:jc w:val="both"/>
        <w:ind w:left="260" w:right="1239" w:hanging="250"/>
        <w:spacing w:after="0" w:line="251" w:lineRule="auto"/>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This category includes fees associated with the annual audits of Vringo’s financial statements, quarterly reviews of Vringo’s financial statements, and services that are normally provided by the independent registered public accounting firm in connection with statutory and regulatory filings or engagements. In addition, fees paid in 2010, include amounts of $210,000 paid in connection with Vringo’s initial public offering and $71,000 paid as issuance cost in connection with Vringo’s initial public offering.</w:t>
      </w:r>
    </w:p>
    <w:p>
      <w:pPr>
        <w:spacing w:after="0" w:line="80"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This category includes audit related fees. In particular, 2011 fees include $44,000 paid in connection with merger and acquisition activities.</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Tax fees represent the aggregate fees billed for tax compliance, tax advice, and tax planning.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Audit committee Pre-Approval Policies and Procedures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Pursuant to Vringo’s charter, and consistent with SEC policies and guidelines regarding audit independence, the audit committee is responsible for the pre-approval of all audit and permissible non-audit services provided by Vringo’s principal independent accountants on a case-by-case basis. Vringo’s audit committee has established a policy regarding approval of all audit and permissible non-audit services provided by Vringo’s principal independent accountants. Vringo’s audit committee pre-approves these services by category and service. Vringo’s audit committee has preapproved all of the services provided by Vringo’s principal independent registered public accounting firms in 2011.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affirmative vote of the holders of a majority of the shares of Vringo common stock present and entitled to vote on the matter either in person or by proxy at the Vringo annual meeting is required to ratify the appointment of Somekh Chaikin, a member firm of KPMG International, as Vringo’s independent registered public accounting firm for the fiscal year ending December 31, 2012. Abstentions will be counted AGAINST this proposal.</w:t>
      </w:r>
    </w:p>
    <w:p>
      <w:pPr>
        <w:spacing w:after="0" w:line="17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BOARD OF DIRECTORS RECOMMENDS A VOTE “FOR” THE RATIFICATION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APPOINTMENT OF SOMEKH CHAIKIN, A MEMBER FIRM OF KPMG INTERNATIONAL, AS VRINGO’S</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INDEPENDENT</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REGISTERED PUBLIC ACCOUNTING FIRM FOR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FISCAL YEAR ENDING DECEMBER 31, 2012.</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7"/>
          <w:szCs w:val="17"/>
          <w:b w:val="1"/>
          <w:bCs w:val="1"/>
          <w:color w:val="auto"/>
        </w:rPr>
        <w:t>Vringo Proposal No. 7: Approval of the Adjournment of the Vringo Annual Meeting, if Necessary, to Solicit Additional Proxies if There Are Not Sufficient Votes in Favor of the Vringo Merger Proposals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is asking its stockholders to vote on a proposal to approve the adjournment of the Vringo annual meeting, if necessary, to solicit additional proxies if there are not sufficient votes in favor of the Vringo Merger Proposals.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Required Vote; Recommendation of the Vringo Board of Directors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either in person or by proxy at the Vringo annual meeting. A “broker non-vote” or a failure to submit a proxy or vote at the Vringo annual meeting will have no effect on the outcome of the vote for this Vringo Proposal No. 7. For purposes of the vote on this Vringo Proposal No. 6, an abstention will have the same effect as a vote “AGAINST” such proposal.</w:t>
      </w:r>
    </w:p>
    <w:p>
      <w:pPr>
        <w:spacing w:after="0" w:line="178" w:lineRule="exact"/>
        <w:rPr>
          <w:sz w:val="20"/>
          <w:szCs w:val="20"/>
          <w:color w:val="auto"/>
        </w:rPr>
      </w:pPr>
    </w:p>
    <w:p>
      <w:pPr>
        <w:jc w:val="center"/>
        <w:ind w:right="1239"/>
        <w:spacing w:after="0" w:line="259" w:lineRule="auto"/>
        <w:rPr>
          <w:sz w:val="20"/>
          <w:szCs w:val="20"/>
          <w:color w:val="auto"/>
        </w:rPr>
      </w:pPr>
      <w:r>
        <w:rPr>
          <w:rFonts w:ascii="Arial" w:cs="Arial" w:eastAsia="Arial" w:hAnsi="Arial"/>
          <w:sz w:val="17"/>
          <w:szCs w:val="17"/>
          <w:b w:val="1"/>
          <w:bCs w:val="1"/>
          <w:color w:val="auto"/>
        </w:rPr>
        <w:t>THE VRINGO BOARD OF DIRECTORS RECOMMENDS A VOTE “FOR” THE ADJOURNMENT OF THE VRINGO ANNUAL MEETING, IF NECESSARY, TO SOLICIT ADDITIONAL PROXIES IF THERE ARE NOT SUFFICIENT VOTES IN FAVOR OF THE VRINGO MERGER PROPOSALS.</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VRINGO’S BUSINESS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also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represents what it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date, Vringo has developed four different mobile video, personalization and mobile social application platforms:</w:t>
      </w:r>
    </w:p>
    <w:p>
      <w:pPr>
        <w:spacing w:after="0" w:line="113" w:lineRule="exact"/>
        <w:rPr>
          <w:sz w:val="20"/>
          <w:szCs w:val="20"/>
          <w:color w:val="auto"/>
        </w:rPr>
      </w:pPr>
    </w:p>
    <w:p>
      <w:pPr>
        <w:ind w:left="560" w:right="1239" w:hanging="300"/>
        <w:spacing w:after="0" w:line="272" w:lineRule="auto"/>
        <w:tabs>
          <w:tab w:leader="none" w:pos="5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Video Ringtones — </w:t>
      </w:r>
      <w:r>
        <w:rPr>
          <w:rFonts w:ascii="Arial" w:cs="Arial" w:eastAsia="Arial" w:hAnsi="Arial"/>
          <w:sz w:val="17"/>
          <w:szCs w:val="17"/>
          <w:color w:val="auto"/>
        </w:rPr>
        <w:t>Vringo’s original product platform that allows users to create, download and share mobile</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content in the form of video ringtones for mobile phones;</w:t>
      </w:r>
    </w:p>
    <w:p>
      <w:pPr>
        <w:spacing w:after="0" w:line="60" w:lineRule="exact"/>
        <w:rPr>
          <w:rFonts w:ascii="Arial" w:cs="Arial" w:eastAsia="Arial" w:hAnsi="Arial"/>
          <w:sz w:val="17"/>
          <w:szCs w:val="17"/>
          <w:color w:val="auto"/>
        </w:rPr>
      </w:pPr>
    </w:p>
    <w:p>
      <w:pPr>
        <w:ind w:left="560" w:hanging="300"/>
        <w:spacing w:after="0"/>
        <w:tabs>
          <w:tab w:leader="none" w:pos="560" w:val="left"/>
        </w:tabs>
        <w:numPr>
          <w:ilvl w:val="0"/>
          <w:numId w:val="118"/>
        </w:numPr>
        <w:rPr>
          <w:rFonts w:ascii="Arial" w:cs="Arial" w:eastAsia="Arial" w:hAnsi="Arial"/>
          <w:sz w:val="33"/>
          <w:szCs w:val="33"/>
          <w:color w:val="auto"/>
          <w:vertAlign w:val="superscript"/>
        </w:rPr>
      </w:pPr>
      <w:r>
        <w:rPr>
          <w:rFonts w:ascii="Arial" w:cs="Arial" w:eastAsia="Arial" w:hAnsi="Arial"/>
          <w:sz w:val="17"/>
          <w:szCs w:val="17"/>
          <w:b w:val="1"/>
          <w:bCs w:val="1"/>
          <w:color w:val="auto"/>
        </w:rPr>
        <w:t>Facetones</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 </w:t>
      </w:r>
      <w:r>
        <w:rPr>
          <w:rFonts w:ascii="Arial" w:cs="Arial" w:eastAsia="Arial" w:hAnsi="Arial"/>
          <w:sz w:val="17"/>
          <w:szCs w:val="17"/>
          <w:color w:val="auto"/>
        </w:rPr>
        <w:t>a visual ringtone experience based on social network pictures from a user’s friends;</w:t>
      </w:r>
    </w:p>
    <w:p>
      <w:pPr>
        <w:ind w:left="560" w:right="1239" w:hanging="300"/>
        <w:spacing w:after="0" w:line="250" w:lineRule="auto"/>
        <w:tabs>
          <w:tab w:leader="none" w:pos="5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Video ReMix — </w:t>
      </w:r>
      <w:r>
        <w:rPr>
          <w:rFonts w:ascii="Arial" w:cs="Arial" w:eastAsia="Arial" w:hAnsi="Arial"/>
          <w:sz w:val="17"/>
          <w:szCs w:val="17"/>
          <w:color w:val="auto"/>
        </w:rPr>
        <w:t>an application that allows a user to create his or her own music video by tapping on a smartphone or</w:t>
      </w:r>
      <w:r>
        <w:rPr>
          <w:rFonts w:ascii="Arial" w:cs="Arial" w:eastAsia="Arial" w:hAnsi="Arial"/>
          <w:sz w:val="17"/>
          <w:szCs w:val="17"/>
          <w:b w:val="1"/>
          <w:bCs w:val="1"/>
          <w:color w:val="auto"/>
        </w:rPr>
        <w:t xml:space="preserve"> </w:t>
      </w:r>
      <w:r>
        <w:rPr>
          <w:rFonts w:ascii="Arial" w:cs="Arial" w:eastAsia="Arial" w:hAnsi="Arial"/>
          <w:sz w:val="17"/>
          <w:szCs w:val="17"/>
          <w:color w:val="auto"/>
        </w:rPr>
        <w:t>tablet, in partnership with music artists and brands; and</w:t>
      </w:r>
    </w:p>
    <w:p>
      <w:pPr>
        <w:spacing w:after="0" w:line="75" w:lineRule="exact"/>
        <w:rPr>
          <w:rFonts w:ascii="Arial" w:cs="Arial" w:eastAsia="Arial" w:hAnsi="Arial"/>
          <w:sz w:val="17"/>
          <w:szCs w:val="17"/>
          <w:color w:val="auto"/>
        </w:rPr>
      </w:pPr>
    </w:p>
    <w:p>
      <w:pPr>
        <w:ind w:left="560" w:right="1239" w:hanging="300"/>
        <w:spacing w:after="0" w:line="272" w:lineRule="auto"/>
        <w:tabs>
          <w:tab w:leader="none" w:pos="560"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 xml:space="preserve">Fan Loyalty — </w:t>
      </w:r>
      <w:r>
        <w:rPr>
          <w:rFonts w:ascii="Arial" w:cs="Arial" w:eastAsia="Arial" w:hAnsi="Arial"/>
          <w:sz w:val="17"/>
          <w:szCs w:val="17"/>
          <w:color w:val="auto"/>
        </w:rPr>
        <w:t>a platform that allows users to obtain video and video ringtones, view information on certain reality</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series and stars and vote for contestants.</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To develop these platforms, Vringo has leveraged its existing technology, intellectual property and its extensive experience with mobile video, personalization and social applications. Vringo believes that these platforms will represent a significant component of its business going forward.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112" w:lineRule="exact"/>
        <w:rPr>
          <w:sz w:val="20"/>
          <w:szCs w:val="20"/>
          <w:color w:val="auto"/>
        </w:rPr>
      </w:pPr>
    </w:p>
    <w:p>
      <w:pPr>
        <w:jc w:val="center"/>
        <w:ind w:right="8459"/>
        <w:spacing w:after="0"/>
        <w:rPr>
          <w:sz w:val="20"/>
          <w:szCs w:val="20"/>
          <w:color w:val="auto"/>
        </w:rPr>
      </w:pPr>
      <w:r>
        <w:rPr>
          <w:rFonts w:ascii="Arial" w:cs="Arial" w:eastAsia="Arial" w:hAnsi="Arial"/>
          <w:sz w:val="15"/>
          <w:szCs w:val="15"/>
          <w:b w:val="1"/>
          <w:bCs w:val="1"/>
          <w:color w:val="auto"/>
        </w:rPr>
        <w:t>Recent Developments</w:t>
      </w:r>
    </w:p>
    <w:p>
      <w:pPr>
        <w:spacing w:after="0" w:line="170" w:lineRule="exact"/>
        <w:rPr>
          <w:sz w:val="20"/>
          <w:szCs w:val="20"/>
          <w:color w:val="auto"/>
        </w:rPr>
      </w:pPr>
    </w:p>
    <w:p>
      <w:pPr>
        <w:jc w:val="center"/>
        <w:ind w:right="8459"/>
        <w:spacing w:after="0"/>
        <w:rPr>
          <w:sz w:val="20"/>
          <w:szCs w:val="20"/>
          <w:color w:val="auto"/>
        </w:rPr>
      </w:pPr>
      <w:r>
        <w:rPr>
          <w:rFonts w:ascii="Arial" w:cs="Arial" w:eastAsia="Arial" w:hAnsi="Arial"/>
          <w:sz w:val="17"/>
          <w:szCs w:val="17"/>
          <w:b w:val="1"/>
          <w:bCs w:val="1"/>
          <w:i w:val="1"/>
          <w:iCs w:val="1"/>
          <w:color w:val="auto"/>
        </w:rPr>
        <w:t>Facebook, Inc.</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February 9, 2012, Vringo entered into an agreement with Facebook, Inc. relating to the use of Vringo’s Facetones mark and domain name (the “</w:t>
      </w:r>
      <w:r>
        <w:rPr>
          <w:rFonts w:ascii="Arial" w:cs="Arial" w:eastAsia="Arial" w:hAnsi="Arial"/>
          <w:sz w:val="15"/>
          <w:szCs w:val="15"/>
          <w:b w:val="1"/>
          <w:bCs w:val="1"/>
          <w:color w:val="auto"/>
        </w:rPr>
        <w:t>Facetones Mark</w:t>
      </w:r>
      <w:r>
        <w:rPr>
          <w:rFonts w:ascii="Arial" w:cs="Arial" w:eastAsia="Arial" w:hAnsi="Arial"/>
          <w:sz w:val="15"/>
          <w:szCs w:val="15"/>
          <w:color w:val="auto"/>
        </w:rPr>
        <w:t>”). Prior to the agreement, the parties had a potential dispute regarding the Facetones Mark. By entering into the agreement, the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Business</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Vringo’s video ringtone platform was its primary product of focus from inception through the launch of Vringo’s Facetones product in the third quarter of 2011. Vringo continues to develop business for this product.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Vringo’s solution, furthermore, provides its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3"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carriers and other partners to include their own content and deliver it exclusively to their customers. Vringo’s VringForward</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video ringtone technology allows users to enjoy a rich social experience by sharing video ringtones from its library or which they created.</w:t>
      </w:r>
    </w:p>
    <w:p>
      <w:pPr>
        <w:spacing w:after="0" w:line="8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Until the end of 2009, Vringo’s video ringtone service was offered to consumers for free. At that point, Vringo moved to a paid service model together with mobile carriers and other partners around the world. The revenue model for its video ringtone service offered through the carriers is generally a subscription-based model where users pay a monthly fee for access to Vringo’s service and additional fees for premium content. Vringo’s free version is still available in markets where Vringo has not entered into commercial arrangements with carriers or other partners. Vringo has built its video ringtone platform with a flexible back-end and front-end that is easy to integrate with the back-end systems of mobile carriers and easy to co-brand with mobile carriers. To date, Vringo has filed 24 patent applications for its platform, three of which have been issued in the United States and Vringo has received one notice of allowance in Europe to date, and Vringo continues to create new intellectual property.</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June 20, 2012, Vringo has commercial video ringtone services with the following eight carriers and partners:</w:t>
      </w:r>
    </w:p>
    <w:p>
      <w:pPr>
        <w:spacing w:after="0" w:line="105" w:lineRule="exact"/>
        <w:rPr>
          <w:sz w:val="20"/>
          <w:szCs w:val="20"/>
          <w:color w:val="auto"/>
        </w:rPr>
      </w:pPr>
    </w:p>
    <w:p>
      <w:pPr>
        <w:jc w:val="both"/>
        <w:ind w:left="560" w:right="1239" w:hanging="300"/>
        <w:spacing w:after="0" w:line="251" w:lineRule="auto"/>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Celcom AxiataBerhad, or Celcom, a mobile carrier in Malaysia, with 11.0 million subscribers. Celcom is one of the largest mobile telecommunications operators in Malaysia with the widest national 2G and 3G coverage in the country, with 26,000 subscribers to Vringo’s paid service. Celcom is a Vodafone partner and is part of the Axiata Group of Companies, one of the world’s largest telecommunications companies with more than 160 million customers across 10 Asian markets (launched in October 2011);</w:t>
      </w:r>
    </w:p>
    <w:p>
      <w:pPr>
        <w:spacing w:after="0" w:line="80"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Maxis Mobile Services SDN BHD, or Maxis, a mobile carrier in Malaysia with 11.4 million subscribers, of which there are 143,000 subscribers to Vringo’s paid service and an additional 2,000 subscribers on a free trial basis (launched in September 2009);</w:t>
      </w:r>
    </w:p>
    <w:p>
      <w:pPr>
        <w:spacing w:after="0" w:line="76" w:lineRule="exact"/>
        <w:rPr>
          <w:rFonts w:ascii="Arial" w:cs="Arial" w:eastAsia="Arial" w:hAnsi="Arial"/>
          <w:sz w:val="17"/>
          <w:szCs w:val="17"/>
          <w:color w:val="auto"/>
        </w:rPr>
      </w:pPr>
    </w:p>
    <w:p>
      <w:pPr>
        <w:jc w:val="both"/>
        <w:ind w:left="560" w:right="1239" w:hanging="300"/>
        <w:spacing w:after="0" w:line="280" w:lineRule="auto"/>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Emirates Telecommunications Corporation, or Etisalat, a mobile carrier with 7.3 million subscribers in the United Arab Emirates and which has more than 94.0 million subscribers worldwide, where Vringo has launched its products and services and has 23,000 subscribers to Vringo’s paid service, (launched in January 2010);</w:t>
      </w:r>
    </w:p>
    <w:p>
      <w:pPr>
        <w:spacing w:after="0" w:line="57" w:lineRule="exact"/>
        <w:rPr>
          <w:rFonts w:ascii="Arial" w:cs="Arial" w:eastAsia="Arial" w:hAnsi="Arial"/>
          <w:sz w:val="16"/>
          <w:szCs w:val="16"/>
          <w:color w:val="auto"/>
        </w:rPr>
      </w:pPr>
    </w:p>
    <w:p>
      <w:pPr>
        <w:jc w:val="both"/>
        <w:ind w:left="560" w:right="1239" w:hanging="300"/>
        <w:spacing w:after="0" w:line="307" w:lineRule="auto"/>
        <w:tabs>
          <w:tab w:leader="none" w:pos="56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Everything Everywhere Limited (EEL), a mobile carrier with almost 30.0 million subscribers in the United Kingdom. Vringo’s video ringtone platform launched was with Orange UK, a large mobile communications company and subsidiary of EEL, with 16.0 million subscribers and Vringo has 35,000 subscribers to its paid service (launched in February 2011);</w:t>
      </w:r>
    </w:p>
    <w:p>
      <w:pPr>
        <w:spacing w:after="0" w:line="39" w:lineRule="exact"/>
        <w:rPr>
          <w:rFonts w:ascii="Arial" w:cs="Arial" w:eastAsia="Arial" w:hAnsi="Arial"/>
          <w:sz w:val="15"/>
          <w:szCs w:val="15"/>
          <w:color w:val="auto"/>
        </w:rPr>
      </w:pPr>
    </w:p>
    <w:p>
      <w:pPr>
        <w:ind w:left="560" w:right="1239" w:hanging="300"/>
        <w:spacing w:after="0" w:line="267" w:lineRule="auto"/>
        <w:tabs>
          <w:tab w:leader="none" w:pos="5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Starhub, a mobile carrier with 2.0 million subscribers in Singapore (initially launched in February 2011 and re-launched in the first quarter 2012);</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80" w:lineRule="auto"/>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RTL in Belgium, part of the Bertelsman RTL Television network, has offered together with Vringo, a subscription service on all three Belgian mobile operators (with a combined subscriber base of 1 million) that includes RTL content (launched in June 2010 with limited subscribers due to regulatory limitations introduced on mobile services);</w:t>
      </w:r>
    </w:p>
    <w:p>
      <w:pPr>
        <w:spacing w:after="0" w:line="57" w:lineRule="exact"/>
        <w:rPr>
          <w:rFonts w:ascii="Arial" w:cs="Arial" w:eastAsia="Arial" w:hAnsi="Arial"/>
          <w:sz w:val="16"/>
          <w:szCs w:val="16"/>
          <w:color w:val="auto"/>
        </w:rPr>
      </w:pPr>
    </w:p>
    <w:p>
      <w:pPr>
        <w:jc w:val="both"/>
        <w:ind w:left="560" w:right="1239" w:hanging="300"/>
        <w:spacing w:after="0" w:line="307" w:lineRule="auto"/>
        <w:tabs>
          <w:tab w:leader="none" w:pos="5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Hungama, a content and mobile services aggregator in India. The service with Hungama is being offered to customers of 15 different mobile carriers in India. Vringo’s paid service was on temporary hold as a result of regional legalities in India, however, Vringo on March 22, 2012 re-launched the service in partnership with Hungama and Tata DOCOMO; and</w:t>
      </w:r>
    </w:p>
    <w:p>
      <w:pPr>
        <w:spacing w:after="0" w:line="39" w:lineRule="exact"/>
        <w:rPr>
          <w:rFonts w:ascii="Arial" w:cs="Arial" w:eastAsia="Arial" w:hAnsi="Arial"/>
          <w:sz w:val="15"/>
          <w:szCs w:val="15"/>
          <w:color w:val="auto"/>
        </w:rPr>
      </w:pPr>
    </w:p>
    <w:p>
      <w:pPr>
        <w:ind w:left="560" w:right="1239" w:hanging="300"/>
        <w:spacing w:after="0" w:line="299" w:lineRule="auto"/>
        <w:tabs>
          <w:tab w:leader="none" w:pos="5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Emirates Integrated Telecommunications Company (du Networks), a mobile carrier with 5.0 million subscribers in the United Arab Emirates, where Vringo has launched its products and services in February 2012.</w:t>
      </w:r>
    </w:p>
    <w:p>
      <w:pPr>
        <w:spacing w:after="0" w:line="4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is currently in discussions with several other mobile carriers and it will be pursuing additional agreements with mobile carriers over the next 12 to 24 months. As of June 20, 2012, Vringo’s partners have an aggregate of approximately 700 million subscribers, of which 233,000 are paid subscribers to Vringo’s service, and another 4,000 subscribers have enrolled on a free-trial basis.</w:t>
      </w:r>
    </w:p>
    <w:p>
      <w:pPr>
        <w:spacing w:after="0" w:line="105" w:lineRule="exact"/>
        <w:rPr>
          <w:sz w:val="20"/>
          <w:szCs w:val="20"/>
          <w:color w:val="auto"/>
        </w:rPr>
      </w:pPr>
    </w:p>
    <w:p>
      <w:pPr>
        <w:jc w:val="both"/>
        <w:ind w:left="40" w:right="1239" w:firstLine="251"/>
        <w:spacing w:after="0" w:line="255" w:lineRule="auto"/>
        <w:rPr>
          <w:sz w:val="20"/>
          <w:szCs w:val="20"/>
          <w:color w:val="auto"/>
        </w:rPr>
      </w:pPr>
      <w:r>
        <w:rPr>
          <w:rFonts w:ascii="Arial" w:cs="Arial" w:eastAsia="Arial" w:hAnsi="Arial"/>
          <w:sz w:val="15"/>
          <w:szCs w:val="15"/>
          <w:color w:val="auto"/>
        </w:rPr>
        <w:t>Vringo’s new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w:t>
      </w:r>
    </w:p>
    <w:p>
      <w:pPr>
        <w:spacing w:after="0" w:line="4" w:lineRule="exact"/>
        <w:rPr>
          <w:sz w:val="20"/>
          <w:szCs w:val="20"/>
          <w:color w:val="auto"/>
        </w:rPr>
      </w:pPr>
    </w:p>
    <w:p>
      <w:pPr>
        <w:jc w:val="both"/>
        <w:ind w:left="40" w:right="1239"/>
        <w:spacing w:after="0" w:line="223" w:lineRule="auto"/>
        <w:rPr>
          <w:sz w:val="20"/>
          <w:szCs w:val="20"/>
          <w:color w:val="auto"/>
        </w:rPr>
      </w:pPr>
      <w:r>
        <w:rPr>
          <w:rFonts w:ascii="Arial" w:cs="Arial" w:eastAsia="Arial" w:hAnsi="Arial"/>
          <w:sz w:val="16"/>
          <w:szCs w:val="16"/>
          <w:color w:val="auto"/>
        </w:rPr>
        <w:t>visually displayed.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is available for devices running Android, iOS, and Nokia’s Symbian S3. Vringo is currently working together with mobile handset makers to develop this application for other operating systems.</w:t>
      </w:r>
    </w:p>
    <w:p>
      <w:pPr>
        <w:spacing w:after="0" w:line="115" w:lineRule="exact"/>
        <w:rPr>
          <w:sz w:val="20"/>
          <w:szCs w:val="20"/>
          <w:color w:val="auto"/>
        </w:rPr>
      </w:pPr>
    </w:p>
    <w:p>
      <w:pPr>
        <w:jc w:val="both"/>
        <w:ind w:left="40" w:right="1239" w:firstLine="251"/>
        <w:spacing w:after="0"/>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is experiencing growth both in consumer downloads and in the number of commercial deals with major partners already announced. The product is being made available to consumers in several different configurations and with a variety of</w:t>
      </w:r>
    </w:p>
    <w:p>
      <w:pPr>
        <w:spacing w:after="0" w:line="15" w:lineRule="exact"/>
        <w:rPr>
          <w:sz w:val="20"/>
          <w:szCs w:val="20"/>
          <w:color w:val="auto"/>
        </w:rPr>
      </w:pPr>
    </w:p>
    <w:p>
      <w:pPr>
        <w:jc w:val="both"/>
        <w:ind w:left="40" w:right="1239"/>
        <w:spacing w:after="0" w:line="213" w:lineRule="auto"/>
        <w:rPr>
          <w:sz w:val="20"/>
          <w:szCs w:val="20"/>
          <w:color w:val="auto"/>
        </w:rPr>
      </w:pPr>
      <w:r>
        <w:rPr>
          <w:rFonts w:ascii="Arial" w:cs="Arial" w:eastAsia="Arial" w:hAnsi="Arial"/>
          <w:sz w:val="17"/>
          <w:szCs w:val="17"/>
          <w:color w:val="auto"/>
        </w:rPr>
        <w:t>distribution and monetization methods. As of May 5, 2012, the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free ad-supported version had more than a million downloads and is generating more than 3.8 million requests in mobile ad inventory on a weekly basis.</w:t>
      </w:r>
    </w:p>
    <w:p>
      <w:pPr>
        <w:spacing w:after="0" w:line="115" w:lineRule="exact"/>
        <w:rPr>
          <w:sz w:val="20"/>
          <w:szCs w:val="20"/>
          <w:color w:val="auto"/>
        </w:rPr>
      </w:pPr>
    </w:p>
    <w:p>
      <w:pPr>
        <w:jc w:val="both"/>
        <w:ind w:left="40" w:right="1239" w:firstLine="251"/>
        <w:spacing w:after="0" w:line="261" w:lineRule="auto"/>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Vringo has announced placement deals for the app with GetJar, the world’s largest independent app store, Mobango and AppBrain. In August 2011, Vringo launched</w:t>
      </w:r>
    </w:p>
    <w:p>
      <w:pPr>
        <w:spacing w:after="0" w:line="2" w:lineRule="exact"/>
        <w:rPr>
          <w:sz w:val="20"/>
          <w:szCs w:val="20"/>
          <w:color w:val="auto"/>
        </w:rPr>
      </w:pPr>
    </w:p>
    <w:p>
      <w:pPr>
        <w:jc w:val="both"/>
        <w:ind w:left="40" w:right="1239"/>
        <w:spacing w:after="0"/>
        <w:rPr>
          <w:sz w:val="20"/>
          <w:szCs w:val="20"/>
          <w:color w:val="auto"/>
        </w:rPr>
      </w:pPr>
      <w:r>
        <w:rPr>
          <w:rFonts w:ascii="Arial" w:cs="Arial" w:eastAsia="Arial" w:hAnsi="Arial"/>
          <w:sz w:val="15"/>
          <w:szCs w:val="15"/>
          <w:color w:val="auto"/>
        </w:rPr>
        <w:t>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in Japan for Android users through the DOCOMO market, a mobile internet portal operated by NTT DOCOMO, INC., the largest mobile phone operator in Japan, with more than 50 million users. In October 2011, Verizon, the largest mobile</w:t>
      </w:r>
    </w:p>
    <w:p>
      <w:pPr>
        <w:spacing w:after="0" w:line="15" w:lineRule="exact"/>
        <w:rPr>
          <w:sz w:val="20"/>
          <w:szCs w:val="20"/>
          <w:color w:val="auto"/>
        </w:rPr>
      </w:pPr>
    </w:p>
    <w:p>
      <w:pPr>
        <w:jc w:val="both"/>
        <w:ind w:left="40" w:right="1239"/>
        <w:spacing w:after="0" w:line="234" w:lineRule="auto"/>
        <w:rPr>
          <w:sz w:val="20"/>
          <w:szCs w:val="20"/>
          <w:color w:val="auto"/>
        </w:rPr>
      </w:pPr>
      <w:r>
        <w:rPr>
          <w:rFonts w:ascii="Arial" w:cs="Arial" w:eastAsia="Arial" w:hAnsi="Arial"/>
          <w:sz w:val="15"/>
          <w:szCs w:val="15"/>
          <w:color w:val="auto"/>
        </w:rPr>
        <w:t>operator in the United States, announced the launch of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as a subscription service for Verizon subscribers for $0.99 a month. Vringo continues to pursue business for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together with handset manufacturers. In December 2011, Vringo</w:t>
      </w:r>
    </w:p>
    <w:p>
      <w:pPr>
        <w:jc w:val="both"/>
        <w:ind w:left="40" w:right="1239"/>
        <w:spacing w:after="0" w:line="218" w:lineRule="auto"/>
        <w:rPr>
          <w:sz w:val="20"/>
          <w:szCs w:val="20"/>
          <w:color w:val="auto"/>
        </w:rPr>
      </w:pPr>
      <w:r>
        <w:rPr>
          <w:rFonts w:ascii="Arial" w:cs="Arial" w:eastAsia="Arial" w:hAnsi="Arial"/>
          <w:sz w:val="17"/>
          <w:szCs w:val="17"/>
          <w:color w:val="auto"/>
        </w:rPr>
        <w:t>launched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for Symbian in cooperation with Nokia. In January 2012, Vringo launched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for iPhone which generates, as of the end of February 2012, close to a thousand daily downloads without any promotion. In March 2012, Vringo shifted from providing an ad-based free-of-charge for iPhone to a one-time fee ads-free app.</w:t>
      </w:r>
    </w:p>
    <w:p>
      <w:pPr>
        <w:spacing w:after="0" w:line="115" w:lineRule="exact"/>
        <w:rPr>
          <w:sz w:val="20"/>
          <w:szCs w:val="20"/>
          <w:color w:val="auto"/>
        </w:rPr>
      </w:pPr>
    </w:p>
    <w:p>
      <w:pPr>
        <w:jc w:val="both"/>
        <w:ind w:left="40" w:right="1239" w:firstLine="251"/>
        <w:spacing w:after="0" w:line="255" w:lineRule="auto"/>
        <w:rPr>
          <w:sz w:val="20"/>
          <w:szCs w:val="20"/>
          <w:color w:val="auto"/>
        </w:rPr>
      </w:pPr>
      <w:r>
        <w:rPr>
          <w:rFonts w:ascii="Arial" w:cs="Arial" w:eastAsia="Arial" w:hAnsi="Arial"/>
          <w:sz w:val="15"/>
          <w:szCs w:val="15"/>
          <w:color w:val="auto"/>
        </w:rPr>
        <w:t>In addition to Vringo’s direct to consumer and carrier marketed versions of the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application, Vringo believes that licensing its software to handset makers will provide a growing and significant revenue stream during 2012 and beyond. In November 2011, Vringo announced an agreement with ZTE Corporation, the largest handset maker in China and fourth-largest</w:t>
      </w:r>
    </w:p>
    <w:p>
      <w:pPr>
        <w:spacing w:after="0" w:line="4" w:lineRule="exact"/>
        <w:rPr>
          <w:sz w:val="20"/>
          <w:szCs w:val="20"/>
          <w:color w:val="auto"/>
        </w:rPr>
      </w:pPr>
    </w:p>
    <w:p>
      <w:pPr>
        <w:jc w:val="both"/>
        <w:ind w:left="40" w:right="1239"/>
        <w:spacing w:after="0" w:line="230" w:lineRule="auto"/>
        <w:rPr>
          <w:sz w:val="20"/>
          <w:szCs w:val="20"/>
          <w:color w:val="auto"/>
        </w:rPr>
      </w:pPr>
      <w:r>
        <w:rPr>
          <w:rFonts w:ascii="Arial" w:cs="Arial" w:eastAsia="Arial" w:hAnsi="Arial"/>
          <w:sz w:val="17"/>
          <w:szCs w:val="17"/>
          <w:color w:val="auto"/>
        </w:rPr>
        <w:t>globally, to preload the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on Android handsets manufactured by ZTE. ZTE will pay Vringo a royalty for each device that Vringo’s software is pre-loaded on. These ZTE handsets will be sold via mobile phone operators and through various OEM contracts to brand name handset manufacturers. In addition, Vringo has entered into a development contract with Nokia, the world’s largest handset maker, to supply Facetones for Nokia’s S3 devices, subsequent to delivering this version of Vringo’s application it was recently launched on the Nokia Ovi Store.</w:t>
      </w:r>
    </w:p>
    <w:p>
      <w:pPr>
        <w:spacing w:after="0" w:line="200" w:lineRule="exact"/>
        <w:rPr>
          <w:sz w:val="20"/>
          <w:szCs w:val="20"/>
          <w:color w:val="auto"/>
        </w:rPr>
      </w:pPr>
    </w:p>
    <w:p>
      <w:pPr>
        <w:spacing w:after="0" w:line="30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Early in 2011, Vringo launched its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84"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initial Video ReMix application “Booty Symphony” was developed with Nappy Boy Enterprises, the music production company of the artist T-Pain. Booty Symphony was released in an ad-supported free Android version as well as paid versions for iOS and Android. Vringo’s newest application on Vringo’s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later created an additional version of this application for Heineken in the third quarter of 2011. Vringo continues to seek new business for this platform with other recording artists and sponsored by additional major brands.</w:t>
      </w:r>
    </w:p>
    <w:p>
      <w:pPr>
        <w:spacing w:after="0" w:line="71"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Vringo’s Fan Loyalty platform was launched in mid-2011 by co-branding its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Vringo entered into an agreement with Endemol, a producer of entertainment and realty TV programming, to work together an additional sponsored versions of this application.</w:t>
      </w:r>
    </w:p>
    <w:p>
      <w:pPr>
        <w:spacing w:after="0" w:line="6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Strategy</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Vringo’s goal is to become a leading global provider and licensor of mobile video and mobile social applications, services and software, including mobile personalization, and interactive services via Vringo’s different software platforms and maximize the benefits of Vringo’s intellectual property. To achieve this goal, Vringo plans to:</w:t>
      </w:r>
    </w:p>
    <w:p>
      <w:pPr>
        <w:spacing w:after="0" w:line="76"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i w:val="1"/>
          <w:iCs w:val="1"/>
          <w:color w:val="auto"/>
        </w:rPr>
        <w:t>Grow Vringo’s business</w:t>
      </w:r>
      <w:r>
        <w:rPr>
          <w:rFonts w:ascii="Arial" w:cs="Arial" w:eastAsia="Arial" w:hAnsi="Arial"/>
          <w:sz w:val="15"/>
          <w:szCs w:val="15"/>
          <w:color w:val="auto"/>
        </w:rPr>
        <w:t>. The objectives of the Merger are to maximize the economic benefits of Vringo’s intellectual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add significant talent in technological innovation, and be positioned to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Vringo believes that the Merger, if consummated, will potentially enhance Vringo’s technology leadership, Vringo’s portfolio of intellectual property, and as a result open new business opportunities for Vringo.</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Maintain and grow Vringo’s product technology and monetization of intellectual property</w:t>
      </w:r>
      <w:r>
        <w:rPr>
          <w:rFonts w:ascii="Arial" w:cs="Arial" w:eastAsia="Arial" w:hAnsi="Arial"/>
          <w:sz w:val="16"/>
          <w:szCs w:val="16"/>
          <w:color w:val="auto"/>
        </w:rPr>
        <w:t>. Vringo’s technical team is made up</w:t>
      </w:r>
      <w:r>
        <w:rPr>
          <w:rFonts w:ascii="Arial" w:cs="Arial" w:eastAsia="Arial" w:hAnsi="Arial"/>
          <w:sz w:val="16"/>
          <w:szCs w:val="16"/>
          <w:i w:val="1"/>
          <w:iCs w:val="1"/>
          <w:color w:val="auto"/>
        </w:rPr>
        <w:t xml:space="preserve"> </w:t>
      </w:r>
      <w:r>
        <w:rPr>
          <w:rFonts w:ascii="Arial" w:cs="Arial" w:eastAsia="Arial" w:hAnsi="Arial"/>
          <w:sz w:val="16"/>
          <w:szCs w:val="16"/>
          <w:color w:val="auto"/>
        </w:rPr>
        <w:t>of highly regarded industry professionals that continually ensure that Vringo’s product is on the cutting-edge in terms of ease of use, functionality and look and feel. Vringo’s applications and services have millions of downloads and registered users, however there is no guarantee that we can maintain this position. Separately, the mobile video and mobile social networking industries are in their infancy and in order to create a user base with scale and ultimately substantial revenue, Vringo will need to spend additional capital resources. In addition to product leadership, Vringo continues to grow its portfolio of intellectual property through internal development. Vringo plans to continue to allocate technical resources to remain ahead of Vringo’s competition and provide users with a product that is easy-to-use and cutting-edge. Vringo has filed 24 patent applications for its platform (three of which have been issued to date) and Vringo</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continues to create new intellectual property. Vringo believes that, if consummated, the Merger will add significant talent in technological innovation, and position the combined company for potential enhanced opportunities and revenue generation through the monetization of the combined company’s assets.</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i w:val="1"/>
          <w:iCs w:val="1"/>
          <w:color w:val="auto"/>
        </w:rPr>
        <w:t xml:space="preserve">Continue to maintain a base of strategically important intellectual property. </w:t>
      </w:r>
      <w:r>
        <w:rPr>
          <w:rFonts w:ascii="Arial" w:cs="Arial" w:eastAsia="Arial" w:hAnsi="Arial"/>
          <w:sz w:val="17"/>
          <w:szCs w:val="17"/>
          <w:color w:val="auto"/>
        </w:rPr>
        <w:t>If consummated, the Merger will substantially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Vringo’s intellectual property portfolio. Vringo believes that there are additional intellectual property assets that Vringo will be able to partner with, license or acquire. Vringo’s success depends on not just the monetization of the existing portfolio of patents, but expanding it further.</w:t>
      </w:r>
    </w:p>
    <w:p>
      <w:pPr>
        <w:spacing w:after="0" w:line="7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i w:val="1"/>
          <w:iCs w:val="1"/>
          <w:color w:val="auto"/>
        </w:rPr>
        <w:t xml:space="preserve">Create additional applications and services. </w:t>
      </w:r>
      <w:r>
        <w:rPr>
          <w:rFonts w:ascii="Arial" w:cs="Arial" w:eastAsia="Arial" w:hAnsi="Arial"/>
          <w:sz w:val="15"/>
          <w:szCs w:val="15"/>
          <w:color w:val="auto"/>
        </w:rPr>
        <w:t>Vringo intends to develop, license or acquire additional applications and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to distribute through Vringo’s carrier, handset and application store partners. While Vringo has gained significant user adoption for its products and services, Vringo believes that to achieve substantial revenue, it will need to create new products in particular for Apple’s iOS devices. Apple is currently the dominant operating system for the monetization of mobile applications followed by Android. Vringo has already deployed 4 applications for Apple’s iOS and generated over 1 million downloads on Android alone for Vringo’s Facetones product. To be competitive, Vringo will continue to focus on the two most dominant smartphone platforms.</w:t>
      </w:r>
    </w:p>
    <w:p>
      <w:pPr>
        <w:spacing w:after="0" w:line="5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i w:val="1"/>
          <w:iCs w:val="1"/>
          <w:color w:val="auto"/>
        </w:rPr>
        <w:t>Grow Vringo’s subscription services through mobile carrier partnerships</w:t>
      </w:r>
      <w:r>
        <w:rPr>
          <w:rFonts w:ascii="Arial" w:cs="Arial" w:eastAsia="Arial" w:hAnsi="Arial"/>
          <w:sz w:val="15"/>
          <w:szCs w:val="15"/>
          <w:color w:val="auto"/>
        </w:rPr>
        <w:t>. Vringo has built Vringo’s products so as to be easily</w:t>
      </w:r>
      <w:r>
        <w:rPr>
          <w:rFonts w:ascii="Arial" w:cs="Arial" w:eastAsia="Arial" w:hAnsi="Arial"/>
          <w:sz w:val="15"/>
          <w:szCs w:val="15"/>
          <w:i w:val="1"/>
          <w:iCs w:val="1"/>
          <w:color w:val="auto"/>
        </w:rPr>
        <w:t xml:space="preserve"> </w:t>
      </w:r>
      <w:r>
        <w:rPr>
          <w:rFonts w:ascii="Arial" w:cs="Arial" w:eastAsia="Arial" w:hAnsi="Arial"/>
          <w:sz w:val="15"/>
          <w:szCs w:val="15"/>
          <w:color w:val="auto"/>
        </w:rPr>
        <w:t>integrated with mobile carriers and content aggregators. We believe the mobile carrier channel is one of the most cost effective channels to grow Vringo’s user base and to monetize its products. Vringo’s subscription services are currently live in Belgium, India, Malaysia, Singapore, the United Kingdom and the United Arab Emirates and in limited release in the United States.</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i w:val="1"/>
          <w:iCs w:val="1"/>
          <w:color w:val="auto"/>
        </w:rPr>
        <w:t xml:space="preserve">Generate revenue via software licensing partnerships. </w:t>
      </w:r>
      <w:r>
        <w:rPr>
          <w:rFonts w:ascii="Arial" w:cs="Arial" w:eastAsia="Arial" w:hAnsi="Arial"/>
          <w:sz w:val="17"/>
          <w:szCs w:val="17"/>
          <w:color w:val="auto"/>
        </w:rPr>
        <w:t>Vringo has licensed Vringo’s software to two of the four largest handset</w:t>
      </w:r>
      <w:r>
        <w:rPr>
          <w:rFonts w:ascii="Arial" w:cs="Arial" w:eastAsia="Arial" w:hAnsi="Arial"/>
          <w:sz w:val="17"/>
          <w:szCs w:val="17"/>
          <w:i w:val="1"/>
          <w:iCs w:val="1"/>
          <w:color w:val="auto"/>
        </w:rPr>
        <w:t xml:space="preserve"> </w:t>
      </w:r>
      <w:r>
        <w:rPr>
          <w:rFonts w:ascii="Arial" w:cs="Arial" w:eastAsia="Arial" w:hAnsi="Arial"/>
          <w:sz w:val="17"/>
          <w:szCs w:val="17"/>
          <w:color w:val="auto"/>
        </w:rPr>
        <w:t>makers in the world, ZTE and Nokia. Vringo believes that the market for pre-loaded software for mobile devices is a fast growing market that provides broad reach and sustainable recurring revenue.</w:t>
      </w:r>
    </w:p>
    <w:p>
      <w:pPr>
        <w:spacing w:after="0" w:line="76" w:lineRule="exact"/>
        <w:rPr>
          <w:sz w:val="20"/>
          <w:szCs w:val="20"/>
          <w:color w:val="auto"/>
        </w:rPr>
      </w:pPr>
    </w:p>
    <w:p>
      <w:pPr>
        <w:jc w:val="both"/>
        <w:ind w:left="40" w:right="1239" w:firstLine="251"/>
        <w:spacing w:after="0" w:line="273" w:lineRule="auto"/>
        <w:rPr>
          <w:sz w:val="20"/>
          <w:szCs w:val="20"/>
          <w:color w:val="auto"/>
        </w:rPr>
      </w:pPr>
      <w:r>
        <w:rPr>
          <w:rFonts w:ascii="Arial" w:cs="Arial" w:eastAsia="Arial" w:hAnsi="Arial"/>
          <w:sz w:val="16"/>
          <w:szCs w:val="16"/>
          <w:i w:val="1"/>
          <w:iCs w:val="1"/>
          <w:color w:val="auto"/>
        </w:rPr>
        <w:t xml:space="preserve">Enhance Vringo’s viral and social tools. </w:t>
      </w:r>
      <w:r>
        <w:rPr>
          <w:rFonts w:ascii="Arial" w:cs="Arial" w:eastAsia="Arial" w:hAnsi="Arial"/>
          <w:sz w:val="16"/>
          <w:szCs w:val="16"/>
          <w:color w:val="auto"/>
        </w:rPr>
        <w:t>Vringo believes that there is substantial opportunity to increase the social and viral</w:t>
      </w:r>
      <w:r>
        <w:rPr>
          <w:rFonts w:ascii="Arial" w:cs="Arial" w:eastAsia="Arial" w:hAnsi="Arial"/>
          <w:sz w:val="16"/>
          <w:szCs w:val="16"/>
          <w:i w:val="1"/>
          <w:iCs w:val="1"/>
          <w:color w:val="auto"/>
        </w:rPr>
        <w:t xml:space="preserve"> </w:t>
      </w:r>
      <w:r>
        <w:rPr>
          <w:rFonts w:ascii="Arial" w:cs="Arial" w:eastAsia="Arial" w:hAnsi="Arial"/>
          <w:sz w:val="16"/>
          <w:szCs w:val="16"/>
          <w:color w:val="auto"/>
        </w:rPr>
        <w:t>nature of Vringo’s products, which will be critical for Vringo’s growth. Vringo will continue to add features to the product platforms to enhance their viral and social aspects and which enable users to connect with their existing social networks on</w:t>
      </w:r>
    </w:p>
    <w:p>
      <w:pPr>
        <w:ind w:left="40"/>
        <w:spacing w:after="0"/>
        <w:rPr>
          <w:sz w:val="20"/>
          <w:szCs w:val="20"/>
          <w:color w:val="auto"/>
        </w:rPr>
      </w:pPr>
      <w:r>
        <w:rPr>
          <w:rFonts w:ascii="Arial" w:cs="Arial" w:eastAsia="Arial" w:hAnsi="Arial"/>
          <w:sz w:val="17"/>
          <w:szCs w:val="17"/>
          <w:color w:val="auto"/>
        </w:rPr>
        <w:t>platforms such as Facebook</w:t>
      </w:r>
      <w:r>
        <w:rPr>
          <w:rFonts w:ascii="Arial" w:cs="Arial" w:eastAsia="Arial" w:hAnsi="Arial"/>
          <w:sz w:val="27"/>
          <w:szCs w:val="27"/>
          <w:color w:val="auto"/>
          <w:vertAlign w:val="superscript"/>
        </w:rPr>
        <w:t>TM</w:t>
      </w:r>
      <w:r>
        <w:rPr>
          <w:rFonts w:ascii="Arial" w:cs="Arial" w:eastAsia="Arial" w:hAnsi="Arial"/>
          <w:sz w:val="17"/>
          <w:szCs w:val="17"/>
          <w:color w:val="auto"/>
        </w:rPr>
        <w:t>, Twitter</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and LinkedIn</w:t>
      </w:r>
      <w:r>
        <w:rPr>
          <w:rFonts w:ascii="Arial" w:cs="Arial" w:eastAsia="Arial" w:hAnsi="Arial"/>
          <w:sz w:val="27"/>
          <w:szCs w:val="27"/>
          <w:color w:val="auto"/>
          <w:vertAlign w:val="superscript"/>
        </w:rPr>
        <w:t>TM</w:t>
      </w:r>
      <w:r>
        <w:rPr>
          <w:rFonts w:ascii="Arial" w:cs="Arial" w:eastAsia="Arial" w:hAnsi="Arial"/>
          <w:sz w:val="17"/>
          <w:szCs w:val="17"/>
          <w:color w:val="auto"/>
        </w:rPr>
        <w:t>.</w:t>
      </w:r>
    </w:p>
    <w:p>
      <w:pPr>
        <w:spacing w:after="0" w:line="40"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i w:val="1"/>
          <w:iCs w:val="1"/>
          <w:color w:val="auto"/>
        </w:rPr>
        <w:t xml:space="preserve">Build a strong revenue base of recurring revenue. </w:t>
      </w:r>
      <w:r>
        <w:rPr>
          <w:rFonts w:ascii="Arial" w:cs="Arial" w:eastAsia="Arial" w:hAnsi="Arial"/>
          <w:sz w:val="15"/>
          <w:szCs w:val="15"/>
          <w:color w:val="auto"/>
        </w:rPr>
        <w:t>Vringo will focus on recurring revenue stream generated by operator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and advertising. Vringo believes that Vringo’s products and services are well suited for monetization through these avenues. While the mobile advertising market is promising, it is still in its infancy and Vringo’s success is dependent on the growth of the market as a whole. Vringo’s aim is to penetrate this market through Vringo’s established partnerships; however Vringo recognizes that the realization of this model on a significant scale will continue to require investment over a sustained period of time.</w:t>
      </w:r>
    </w:p>
    <w:p>
      <w:pPr>
        <w:spacing w:after="0" w:line="5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i w:val="1"/>
          <w:iCs w:val="1"/>
          <w:color w:val="auto"/>
        </w:rPr>
        <w:t xml:space="preserve">Find new forms of distribution. </w:t>
      </w:r>
      <w:r>
        <w:rPr>
          <w:rFonts w:ascii="Arial" w:cs="Arial" w:eastAsia="Arial" w:hAnsi="Arial"/>
          <w:sz w:val="17"/>
          <w:szCs w:val="17"/>
          <w:color w:val="auto"/>
        </w:rPr>
        <w:t>While Vringo is currently focused on the mobile carrier distribution channel, Vringo believes</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other avenues that could be successful distribution channels for Vringo. Specifically, Vringo believes broadcasters and content owners could greatly benefit by promoting Vringo’s service to their customers by monetizing either their content or leveraging their relationship with advertisers via ads.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Legal Proceedings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Vringo is not currently engaged in any material legal proceedings.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Employees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As of June 20, 2012, Vringo had 24 full-time employees and three part-time employees. None of Vringo’s employees are covered by collective bargaining arrangements and management considers relations with Vringo’s employees to be good.</w:t>
      </w:r>
    </w:p>
    <w:p>
      <w:pPr>
        <w:spacing w:after="0" w:line="200" w:lineRule="exact"/>
        <w:rPr>
          <w:sz w:val="20"/>
          <w:szCs w:val="20"/>
          <w:color w:val="auto"/>
        </w:rPr>
      </w:pPr>
    </w:p>
    <w:p>
      <w:pPr>
        <w:spacing w:after="0" w:line="25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Property and Facilities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corporate office is located at 44 West 28th Street, Suite 1414, New York, New York 10001. In addition, the research and development facility of Vringo’s subsidiary, Vringo (Israel), Ltd., and Vringo’s finance department is located on the 2nd floor of the BIG Center Building, in 1 Yigal Allon St., Beit Shemesh, Israel. Vringo believes that its existing facilities are adequate to accommodate its business needs.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Corporate Information</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was incorporated in January 2006 and is still a development stage company. Vringo’s principal executive offices are located in New York, NY, and in addition, Vringo has a wholly-owned subsidiary, Vringo (Israel) Ltd., located in Bet-Shemesh, Israel.</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Vringo maintains a website at </w:t>
      </w:r>
      <w:r>
        <w:rPr>
          <w:rFonts w:ascii="Arial" w:cs="Arial" w:eastAsia="Arial" w:hAnsi="Arial"/>
          <w:sz w:val="17"/>
          <w:szCs w:val="17"/>
          <w:i w:val="1"/>
          <w:iCs w:val="1"/>
          <w:color w:val="auto"/>
        </w:rPr>
        <w:t>www.vringo.com</w:t>
      </w:r>
      <w:r>
        <w:rPr>
          <w:rFonts w:ascii="Arial" w:cs="Arial" w:eastAsia="Arial" w:hAnsi="Arial"/>
          <w:sz w:val="17"/>
          <w:szCs w:val="17"/>
          <w:color w:val="auto"/>
        </w:rPr>
        <w:t xml:space="preserve">. Vringo makes available, free of charge, on its website its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Vringo’s reports filed with, or furnished to, the SEC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VRINGO’S MANAGEMENT’S DISCUSSION AND ANALYSIS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93"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i w:val="1"/>
          <w:iCs w:val="1"/>
          <w:color w:val="auto"/>
        </w:rPr>
        <w:t>This discussion of Vringo’s financial condition and results of operations should be read together with the financial statements and notes contained elsewhere in this proxy statement/prospectus. Certain statements in this section and other sections are forward-looking. While Vringo believes these statements are accurate, its business is dependent on many factors, some of which are discussed the section entitled “Risk Factors” and Vringo’s Business. Many of these factors are beyond Vringo’s control and any of these and other factors could cause actual results to differ materially from the forward-looking statements made in this proxy statement/prospectus. See the section entitled “Risk Factors” for further information regarding these factors. Vringo undertakes no obligation to release publicly the results of any revisions to the statements contained in this section to reflect events or circumstances that occur subsequent to the date of this proxy statement/prospectus.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Vringo provides a range of software products for mobile video entertainment, personalization and mobile social applications. Vringo believes that the Merger will help it further develop and evolve Vringo’s mobile applications and services business through the addition of proven management, namely through the addition of Andrew K. Lang as Chief Technology Officer.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 what Vringo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 In addition, Vringo plans to more aggressively attempt to monetize the intellectual property that it owns as well as additional intellectual property that it may choose to acquire in the future. In furtherance of such strategy, Vringo and Innovate/Protect have begun to jointly investigate certain opportunities to make acquisitions of patent portfolios or other intellectual property assets and they expect to continue to pursue acquisitions of intellectual property assets following the consummation of the Merger.</w:t>
      </w:r>
    </w:p>
    <w:p>
      <w:pPr>
        <w:spacing w:after="0" w:line="67"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Vringo is a development stage company. From inception through March 31, 2012, Vringo has raised approximately $34.8 million. These amounts have been used to finance Vringo’s operations, as until now, Vringo has not yet generated any significant revenues. From inception through March 31, 2012, Vringo recorded losses of $43.2 million and net cash outflow from operations of $30.5 million. Vringo’s average monthly cash burn rate from operations for the year ended December 31, 2011 was approximately $0.45 million. For the three month period ended March 31, 2012, the operational cash burn rate from operations was approximately $0.4 million, which included expenses incurred in connection with merger and acquisition activities.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July 2011, Vringo raised an aggregate amount of $2.5 million through the issuance of convertible notes in a private placement. On December 1, 2011, Vringo raised additional $0.85 million through the issuance of additional 817,303 shares of common stock (“</w:t>
      </w:r>
      <w:r>
        <w:rPr>
          <w:rFonts w:ascii="Arial" w:cs="Arial" w:eastAsia="Arial" w:hAnsi="Arial"/>
          <w:sz w:val="17"/>
          <w:szCs w:val="17"/>
          <w:b w:val="1"/>
          <w:bCs w:val="1"/>
          <w:color w:val="auto"/>
        </w:rPr>
        <w:t>December 2011 financing</w:t>
      </w:r>
      <w:r>
        <w:rPr>
          <w:rFonts w:ascii="Arial" w:cs="Arial" w:eastAsia="Arial" w:hAnsi="Arial"/>
          <w:sz w:val="17"/>
          <w:szCs w:val="17"/>
          <w:color w:val="auto"/>
        </w:rPr>
        <w:t>”). Pursuant to the December 2011 financing, all convertible notes (and accrued interest) were converted into 2,671,026 shares of common stock. In February 2012, Vringo entered into agreements with holders (the “</w:t>
      </w:r>
      <w:r>
        <w:rPr>
          <w:rFonts w:ascii="Arial" w:cs="Arial" w:eastAsia="Arial" w:hAnsi="Arial"/>
          <w:sz w:val="17"/>
          <w:szCs w:val="17"/>
          <w:b w:val="1"/>
          <w:bCs w:val="1"/>
          <w:color w:val="auto"/>
        </w:rPr>
        <w:t>Holders</w:t>
      </w:r>
      <w:r>
        <w:rPr>
          <w:rFonts w:ascii="Arial" w:cs="Arial" w:eastAsia="Arial" w:hAnsi="Arial"/>
          <w:sz w:val="17"/>
          <w:szCs w:val="17"/>
          <w:color w:val="auto"/>
        </w:rPr>
        <w:t>”) of certain of</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its outstanding special bridge and conversion warrants, pursuant to which the Holders exercised warrants to purchase 3,828,993 shares of Vringo common stock for aggregate proceeds of $3.6 million. For further information, please refer to Note 17 to the consolidated financial statements of Vringo.</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Subsequent to year end, on March 12, 2012, Vringo entered into an Agreement and Plan of Merger with VIP Merger Sub, Inc., a Delaware corporation and its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capital stock of Vringo.</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Under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June 20,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to be filed by Vringo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7"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addition, 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53"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Immediately following the completion of the Merger, the former stockholders of Innovate/Protect are expected to own approximately 55.98% of the outstanding common stock of the combined company, and Vringo current stockholders are expected to own approximately 44.02% of the outstanding common stock of the combined company. On a fully diluted basis, the former stockholders of Innovate/Protect are expected to own approximately 67.69% of the outstanding common stock of the combined company, and Vringo current stockholders are expected to own approximately 32.31% of the outstanding common stock of the combined company.</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Vringo has expended significant effort and management attention on the proposed transaction. There is no assurance that the transaction contemplated by the Merger Agreement will be consummated. If the transaction is not consummated for any reason, Vringo business and operations, as well as the market price of its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Vringo’s assets and liabilities will be recognized and measured in accordance with the guidance for business combinations in ASC 805. The Merger requires approval by the stockholders of both companies. Vringo currently estimates that the Merger will be consummated in the third quarter of 2012.</w:t>
      </w:r>
    </w:p>
    <w:p>
      <w:pPr>
        <w:spacing w:after="0" w:line="7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As of March 31, 2012, Vringo had approximately $3.6 million in cash and cash equivalents. Vringo believes that current cash levels, after taking into effect the Merger with Innovate/Protect, will be sufficient to support Vringo’s activity into the fourth quarter of 2012. The continuation of Vringo’s business, as a going concern is dependent upon the successful consummation of the Merger with Innovate/Protect, or similar merger or acquisition, financing, and upon the further development of Vringo’s products. 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 There can be no assurance, however, that any such opportunities will materialize. All of Vringo’s audited consolidated financial statements since inception have contained a “going concern” reference by Vringo’s auditors, expressing substantial doubt about Vringo’s ability to continue as a going concern.</w:t>
      </w:r>
    </w:p>
    <w:p>
      <w:pPr>
        <w:spacing w:after="0" w:line="6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Vringo’s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Vringo is not able to continue as a going concern.</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April 26, 2012, the NYSE MKT (formerly, NYSE Amex)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Securities and Exchange Commission. Vringo’s continued listing eligibility will be assessed on an ongoing basis.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w:t>
      </w:r>
    </w:p>
    <w:p>
      <w:pPr>
        <w:spacing w:after="0" w:line="105"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Vringo recognizes revenue from monthly subscription from carriers, development projects and content sales when all the conditions for revenue recognition are met: (i) persuasive evidence of an arrangement exists, (ii) collection of the fee is probable,</w:t>
      </w:r>
    </w:p>
    <w:p>
      <w:pPr>
        <w:spacing w:after="0" w:line="1" w:lineRule="exact"/>
        <w:rPr>
          <w:sz w:val="20"/>
          <w:szCs w:val="20"/>
          <w:color w:val="auto"/>
        </w:rPr>
      </w:pPr>
    </w:p>
    <w:p>
      <w:pPr>
        <w:jc w:val="both"/>
        <w:ind w:left="40" w:right="1239" w:firstLine="7"/>
        <w:spacing w:after="0" w:line="284" w:lineRule="auto"/>
        <w:tabs>
          <w:tab w:leader="none" w:pos="341"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sales price is fixed and determinable and (iv) delivery has occurred or services have been rendered. Vringo’s subscription service arrangements are evidenced by a written document signed by both parties. Vringo’s revenues from monthly subscription fees, content purchases and advertisement revenues are recognized when Vringo has received confirmation that the amount is due to it, which provides proof that the services have been rendered, and making collection probable. Vringo recognizes revenue from non-refundable up-front fees relating to set-up and billing integration across the period of the contract for the subscription service as these fees are part of hosting solution that Vringo provides to the carrier. The hosting is provided on Vringo’s servers for the entire period of the arrangement with this carrier, and the revenues relating to the monthly subscription, set-up fees and billing integration have been recognized over the period in the agreement.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Cost of revenue consists primarily of third party expenses directly related to providing Vringo’s service in launched markets. In addition, these costs include royalty fees for content sales and amortization of prepaid</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content licenses. Cost of revenue does not include expenses related to product development, integration, and support. These costs are included in research and development and marketing expenses.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Research and development expenses consist primarily of salary expenses of Vringo’s development and quality assurance engineers in Vringo’s research and development facility in Israel, outsourcing of certain development activities, preparation of patent filings, labor cost incurred in connection with customer integration, server and support functions for Vringo’s development environment.</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 expenses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Vringo increases its sales, certain commissions to agents will affect marketing expenses.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0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General and administrative expenses primarily include the salary of Vringo’s finance and administrative personnel, rental costs, legal and accounting fees, insurance, telephone and other office expenses including depreciation and amortization.</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Vringo’s stock price at the period end (revaluation date). In addition, in the year December 31, 2011, non-operating income (expenses) includes a gain on restructuring of venture loan in light of the settlement agreement signed on June 8, 2011. Finally, in the first quarter of 2012, non-operating income included non-recurring expense related to the issuance of the Reload Warrants (see also Notes 3 and 5 to the financial statements for the three months ended March 31, 2012).</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Income taxes</w:t>
      </w:r>
    </w:p>
    <w:p>
      <w:pPr>
        <w:spacing w:after="0" w:line="10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Vringo’s effective tax rate differs from the statutory federal rate primarily due to differences between income and expense recognition prescribed by income tax regulations and generally accepted accounting principles. Vringo’s utilizes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Vringo’s income tax expense has been adjusted for the effect of foreign income from its wholly-owned Israeli subsidiary. At March 31, 2012 and December 31, 2011, Vringo’s deferred tax assets generated from its U.S. activities were entirely offset by a valuation allowance because realization depends on generating future taxable income, which, in Vringo’s estimation, is not more likely than not to be generated. The deferred tax assets and liabilities generated from Vringo’s subsidiary’s operations are not offset by an allowance, as in Vringo’s estimation, they are more likely than not to be realized.</w:t>
      </w:r>
    </w:p>
    <w:p>
      <w:pPr>
        <w:spacing w:after="0" w:line="74"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Vringo’s subsidiary generates net taxable income from services it provides to Vringo. The subsidiary charges Vringo for research, development, certain management and other services provided to Vringo,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 2008. In January 2011, new legislation amending the Investment Law was enacted. According to the amendment, the uniform tax rate applicable to a “Beneficiary Enterprise” in the zone where the production facilities of the subsidiary are located would be</w:t>
      </w:r>
    </w:p>
    <w:p>
      <w:pPr>
        <w:spacing w:after="0" w:line="200" w:lineRule="exact"/>
        <w:rPr>
          <w:sz w:val="20"/>
          <w:szCs w:val="20"/>
          <w:color w:val="auto"/>
        </w:rPr>
      </w:pPr>
    </w:p>
    <w:p>
      <w:pPr>
        <w:spacing w:after="0" w:line="28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35" w:lineRule="auto"/>
        <w:rPr>
          <w:sz w:val="20"/>
          <w:szCs w:val="20"/>
          <w:color w:val="auto"/>
        </w:rPr>
      </w:pPr>
      <w:r>
        <w:rPr>
          <w:rFonts w:ascii="Arial" w:cs="Arial" w:eastAsia="Arial" w:hAnsi="Arial"/>
          <w:sz w:val="15"/>
          <w:szCs w:val="15"/>
          <w:color w:val="auto"/>
        </w:rPr>
        <w:t>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47"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b w:val="1"/>
          <w:bCs w:val="1"/>
          <w:i w:val="1"/>
          <w:iCs w:val="1"/>
          <w:color w:val="auto"/>
        </w:rPr>
        <w:t>Three months ended March 31, 2012, compared to the three months ended March 31, 2011 and the development stage period (cumulative from inception through March 31, 2012)</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following analysis compares the results of Vringo’s operations for the three month period ended March 31, 2012, to the results of operations for the three month period ended March 31, 2011 and the results of Vringo’s operations from inception through March 31, 2012.</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gridSpan w:val="2"/>
          </w:tcPr>
          <w:p>
            <w:pPr>
              <w:jc w:val="center"/>
              <w:ind w:left="265"/>
              <w:spacing w:after="0"/>
              <w:rPr>
                <w:sz w:val="20"/>
                <w:szCs w:val="20"/>
                <w:color w:val="auto"/>
              </w:rPr>
            </w:pPr>
            <w:r>
              <w:rPr>
                <w:rFonts w:ascii="Arial" w:cs="Arial" w:eastAsia="Arial" w:hAnsi="Arial"/>
                <w:sz w:val="13"/>
                <w:szCs w:val="13"/>
                <w:b w:val="1"/>
                <w:bCs w:val="1"/>
                <w:color w:val="auto"/>
                <w:w w:val="89"/>
              </w:rPr>
              <w:t>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Revenue</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106</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(41)</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During the three month period ended March 31, 2012, Vringo recorded total revenues of $106,000, which represents decrease of $41,000 (or 28%) compared to revenues recorded in the three month period ended March 31, 2011. The decrease, compared to the first quarter of 2011, was mainly due to a decrease in revenue recorded in connection with one time set up fees in Singapore and Armenia. Additional decrease in revenues was due to Video ReMix platform revenue recorded in the first quarter of 2011, in the total amount of $23,000, which did not occur in 2012. In addition, in the first quarter of 2012, the number of subscribers in Maxis was reduced due to system updates of recycled numbers from the regulated carrier database, as a result revenue decreased by $40,000 (or 50%), compared to the first quarter of 2011. The decrease was offset by revenue from new subscription agreement in Malaysia ($16,000 recorded in the first quarter of 2012) and an increase in revenue in the UK (an increase of $17,000, compared to the first quarter of 2011). Overall, Vringo does not expect the abovementioned decrease in subscribers in Maxis to have a material effect on its future revenue.</w:t>
      </w:r>
    </w:p>
    <w:p>
      <w:pPr>
        <w:spacing w:after="0" w:line="7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During the three month period ended March 31, 2011, Vringo recorded revenues of $147,000, which represents an increase of $117,000 (or 390%) from revenues recorded for the three month period ended March 31, 2010. The recognized revenue in the first quarter of 2011 was mainly from Vringo’s revenue-sharing agreements in Malaysia ($77,000 recorded, an increase of $67,000 compared to the first quarter of 2010). In addition, Vringo recognized revenue for one time set up fees in Singapore ($9,000 in the first quarter of 2011 and Armenia ($9,000 in the first quarter of 2011). Revenue for Vringo’s Video ReMix platform commenced this quarter, with the recognition of $23,000 in March 2011. The revenue in the first quarter of 2010 was mainly comprised of Vringo’s then new revenue-sharing agreements in Malaysia, the United Arab Emirates and Armenia, whereby Vringo recognized approximately $10,000 for each one of these customers.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From inception through March 31, 2012, Vringo recorded revenues of $1,055,000, which includes $726,000 from revenue share</w:t>
      </w:r>
    </w:p>
    <w:p>
      <w:pPr>
        <w:spacing w:after="0" w:line="55" w:lineRule="exact"/>
        <w:rPr>
          <w:sz w:val="20"/>
          <w:szCs w:val="20"/>
          <w:color w:val="auto"/>
        </w:rPr>
      </w:pPr>
    </w:p>
    <w:p>
      <w:pPr>
        <w:jc w:val="both"/>
        <w:ind w:left="40" w:right="1239"/>
        <w:spacing w:after="0" w:line="213" w:lineRule="auto"/>
        <w:rPr>
          <w:sz w:val="20"/>
          <w:szCs w:val="20"/>
          <w:color w:val="auto"/>
        </w:rPr>
      </w:pPr>
      <w:r>
        <w:rPr>
          <w:rFonts w:ascii="Arial" w:cs="Arial" w:eastAsia="Arial" w:hAnsi="Arial"/>
          <w:sz w:val="17"/>
          <w:szCs w:val="17"/>
          <w:color w:val="auto"/>
        </w:rPr>
        <w:t>subscription services, $118,000 from one-time setup fees, $91,000 from Facetones</w:t>
      </w:r>
      <w:r>
        <w:rPr>
          <w:rFonts w:ascii="Arial" w:cs="Arial" w:eastAsia="Arial" w:hAnsi="Arial"/>
          <w:sz w:val="27"/>
          <w:szCs w:val="27"/>
          <w:color w:val="auto"/>
          <w:vertAlign w:val="superscript"/>
        </w:rPr>
        <w:t>TM</w:t>
      </w:r>
      <w:r>
        <w:rPr>
          <w:rFonts w:ascii="Arial" w:cs="Arial" w:eastAsia="Arial" w:hAnsi="Arial"/>
          <w:sz w:val="17"/>
          <w:szCs w:val="17"/>
          <w:color w:val="auto"/>
        </w:rPr>
        <w:t>, $80,000 from Fan Loyalty application formats, $30,000 from Video ReMix platform and $10,000 from applications sold.</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Vringo expects to continue to generate a substantial portion of its future revenues from: (i) Facetones</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preloads through the</w:t>
      </w:r>
    </w:p>
    <w:p>
      <w:pPr>
        <w:jc w:val="both"/>
        <w:ind w:left="40" w:right="1239"/>
        <w:spacing w:after="0" w:line="228" w:lineRule="auto"/>
        <w:rPr>
          <w:sz w:val="20"/>
          <w:szCs w:val="20"/>
          <w:color w:val="auto"/>
        </w:rPr>
      </w:pPr>
      <w:r>
        <w:rPr>
          <w:rFonts w:ascii="Arial" w:cs="Arial" w:eastAsia="Arial" w:hAnsi="Arial"/>
          <w:sz w:val="17"/>
          <w:szCs w:val="17"/>
          <w:color w:val="auto"/>
        </w:rPr>
        <w:t>agreement with ZTE as well as the development of additional business from handset makers, (ii)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(vi) monetization of Vringo’s intellectual property.</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7"/>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gridSpan w:val="2"/>
          </w:tcPr>
          <w:p>
            <w:pPr>
              <w:jc w:val="center"/>
              <w:ind w:left="325"/>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3"/>
                <w:szCs w:val="13"/>
                <w:color w:val="auto"/>
                <w:w w:val="88"/>
              </w:rPr>
              <w:t>($ –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31</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25</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6</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During the three month period ended March 31, 2012, Vringo’s cost of revenue was $31,000, which represents an increase of $6,000 (or 24%) compared to its cost of revenue for the three month period ended March 31, 2011. During the three month period ended March 31, 2011 and 2010, Vringo’s cost of revenue was $25,000 and $34,000, respectively, which represents a decrease of $9,000 (or 26%) compared to cost of revenue for the three month period ended March 31, 2010. Vringo’s cost of revenue is mainly comprised of cost of services related to the provision of content to end-users and cost of hosted servers needed to support Vringo’s service in markets where Vringo has launched its product. The change in cost of revenue between the presented periods was mainly related to changes in content amortization expenses.</w:t>
      </w:r>
    </w:p>
    <w:p>
      <w:pPr>
        <w:spacing w:after="0" w:line="7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Vringo expects that cost of revenue will increase over time, as Vringo diversifies the portfolio of its products. As some of these costs are fixed irrespective of its revenues, Vringo expects its gross margin to increase, as its revenues increase.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gridSpan w:val="2"/>
          </w:tcPr>
          <w:p>
            <w:pPr>
              <w:jc w:val="center"/>
              <w:ind w:left="225"/>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512</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519</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(7)</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13,883</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Research and development expenses decreased from $519,000 to $512,000 (or 1%) during the three month period ended March 31, 2012, compared to the three month period ended March 31, 2011. In the first quarter of 2012, Vringo’s research and development expenses mainly consisted of workforce and consulting related costs ($371,000, compared to $374,000 in the first quarter of 2011), as well as share based compensation costs ($35,000, compared to $82,000 in the first quarter of 2011). The decrease was mainly due to a decrease in shares based compensation expense, offset by higher patent expenses (an increase of $36,000 in the first quarter of 2012), following Vringo’s decision to enhance and diversify its intellectual property portfolio.</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Research and development expenses decreased from $587,000 to $519,000 (12%) during the three month period ended March 31, 2011, compared to the three month period ended March 31, 2010. The decrease is mainly due to a separation agreement that Vringo entered into with its former Chief Technology Officer. This was offset by an increase in share based compensation expense in connection with 2011 and 2010 grants.</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From inception through March 31, 2012, research and development expenses amounted to approximately $13.9 million. Of this amount, approximately $9.0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62"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Vringo anticipates that its research and development costs will remain constant until after the consummation of the proposed Merger with Innovate/Protect. Following the completion of the proposed Merger, those costs may increase should Vringo seek to develop additional technology and intellectual property to diversify and enhance its business.</w:t>
      </w:r>
    </w:p>
    <w:p>
      <w:pPr>
        <w:spacing w:after="0" w:line="200" w:lineRule="exact"/>
        <w:rPr>
          <w:sz w:val="20"/>
          <w:szCs w:val="20"/>
          <w:color w:val="auto"/>
        </w:rPr>
      </w:pPr>
    </w:p>
    <w:p>
      <w:pPr>
        <w:spacing w:after="0" w:line="27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gridSpan w:val="2"/>
          </w:tcPr>
          <w:p>
            <w:pPr>
              <w:jc w:val="center"/>
              <w:ind w:left="225"/>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Marketing</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759</w:t>
            </w:r>
          </w:p>
        </w:tc>
        <w:tc>
          <w:tcPr>
            <w:tcW w:w="7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621</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138</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11,970</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During the three month period ended March 31, 2012, marketing expenses increased by $138,000 (or 22%), to $759,000, from $621,000 in the three month period ended March 31, 2011. The increase in Vringo’s marketing expenses in the first quarter of 2012 was mainly due to an increase of $254,000 in non-cash share-based compensation expenses related to new grants in 2012 and the effect of the separation agreement signed between Vringo and its former CEO (an increase of $0.16 million). This increase was offset by a decrease of $81,000 in payroll expenses related to reclassification of 50% of the cost of Vringo’s President and newly appointed CEO in the United States, as of March 2012, to general and administrative expenses.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increase in Vringo’s marketing expenses for the three month period ended March 31, 2011 was in part due to the hiring, in April 2010, of its President in the United States, whose efforts are focused on marketing and business development. In addition, the increase relates to the 2011 and 2010 options grants for marketing employees, thereby increasing the respective compensation expense. Furthermore, Vringo had an increase in public relations and advertising costs in connection with new commercial launches in 2011.</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From inception through March 31, 2012, marketing expenses amounted to approximately $12 million. Of this amount, approximately $5.2 million was attributed to salaries, $1.4 million was attributed to share based payments and related expenses, $2.2 million was attributed to travel and trade shows, $1.6 million was attributed to sub-contracting and consulting services, $1.4 million was attributed to public relations services and customer acquisition expenses and $0.2 million was attributed to overhead expenses.</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A significant portion of Vringo’s marketing activity relates to the launching of services with its global partners and building a pipeline for further agreements. In addition, Vringo conducts direct-to-consumer marketing activities in countries where Vringo has launched its services to build on the efforts of its partners. While Vringo does not expect to invest heavily in direct-to-consumer marketing activities in the future, Vringo does expect an increase in marketing expenses as it continues launching its service in different global markets. In certain markets, Vringo’s marketing efforts may include hiring local personnel to introduce Vringo to the market and purchasing rights to certain local content. As Vringo’s market reach grows, it expects its marketing expenses to continue to increase its visibility to potential partners.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2100" w:type="dxa"/>
            <w:vAlign w:val="bottom"/>
            <w:gridSpan w:val="6"/>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3"/>
                <w:szCs w:val="13"/>
                <w:b w:val="1"/>
                <w:bCs w:val="1"/>
                <w:color w:val="auto"/>
              </w:rPr>
              <w:t>31,</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gridSpan w:val="2"/>
          </w:tcPr>
          <w:p>
            <w:pPr>
              <w:jc w:val="center"/>
              <w:ind w:left="265"/>
              <w:spacing w:after="0"/>
              <w:rPr>
                <w:sz w:val="20"/>
                <w:szCs w:val="20"/>
                <w:color w:val="auto"/>
              </w:rPr>
            </w:pPr>
            <w:r>
              <w:rPr>
                <w:rFonts w:ascii="Arial" w:cs="Arial" w:eastAsia="Arial" w:hAnsi="Arial"/>
                <w:sz w:val="13"/>
                <w:szCs w:val="13"/>
                <w:b w:val="1"/>
                <w:bCs w:val="1"/>
                <w:color w:val="auto"/>
                <w:w w:val="89"/>
              </w:rPr>
              <w:t>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3"/>
                <w:szCs w:val="13"/>
                <w:color w:val="auto"/>
                <w:w w:val="88"/>
              </w:rPr>
              <w:t>($ – in thousands)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6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w w:val="93"/>
              </w:rPr>
              <w:t>1,460</w:t>
            </w:r>
          </w:p>
        </w:tc>
        <w:tc>
          <w:tcPr>
            <w:tcW w:w="140" w:type="dxa"/>
            <w:vAlign w:val="bottom"/>
            <w:shd w:val="clear" w:color="auto" w:fill="CCFFCC"/>
          </w:tcPr>
          <w:p>
            <w:pPr>
              <w:spacing w:after="0"/>
              <w:rPr>
                <w:sz w:val="19"/>
                <w:szCs w:val="19"/>
                <w:color w:val="auto"/>
              </w:rPr>
            </w:pPr>
          </w:p>
        </w:tc>
        <w:tc>
          <w:tcPr>
            <w:tcW w:w="6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665</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795</w:t>
            </w:r>
          </w:p>
        </w:tc>
        <w:tc>
          <w:tcPr>
            <w:tcW w:w="14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9,729</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During the three month period ended March 31, 2012, general and administrative expenses increased by $795,000 (or 120%), to $1,460,000, from $665,000 during the three month period ended March 31, 2011. General and administrative expenses increased mostly due to the increase in various professional fees in connection with increased merger and acquisition activity (an increase of approximately $0.4 million, compared to the first quarter of 2011). In addition, there was an increase due to non-cash share based compensation expenses due to new option grants in 2012 and the effect of the separation agreement signed between Vringo and its former CEO (an increase of $0.16 million). Finally, an additional increase in expense in the first quarter of 2012, compared to the first quarter of 2011, was due to an increase in payroll expenses of $76,000, related mainly to reclassification of 50% of the cost of Vringo’s President and new CEO in the United States to general and administrative expenses.</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During the three month period ended March 31, 2011, general and administrative expenses increased $471,000 (or 242%), to $665,000, from $194,000 in the three month period ended March 31, 2010. The</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increase is mostly due to increase in various professional fees in connection with becoming a public company. In addition, there was an increase due to additional insurance costs for Vringo’s directors’ and officers’ liability insurance and an increase in share based compensation expenses due to new option grants in 2011 and 2010.</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From inception through March 31, 2012, general and administrative expenses totaled approximately $9.7 million. Of this amount, approximately $2.4 million was attributed to salaries and related expenses, $2.1 million was attributed to share based payments, $1.8 million was attributed to various office expenses, $2.8 million was attributed to professional fees and $0.6 million was attributed to depreciation and amortization.</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expects that its general and administrative expenses will remain high, as Vringo expects to incur significant costs in connection with future merger, acquisition and financing activities. These costs will be reflected in increased accounting, legal and insurance costs. Vringo also expects that its compensation costs will increase significantly due to the recording of expense related to management share based compensation.</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300" w:type="dxa"/>
            <w:vAlign w:val="bottom"/>
            <w:gridSpan w:val="7"/>
            <w:vMerge w:val="restart"/>
          </w:tcPr>
          <w:p>
            <w:pPr>
              <w:jc w:val="center"/>
              <w:spacing w:after="0"/>
              <w:rPr>
                <w:sz w:val="20"/>
                <w:szCs w:val="20"/>
                <w:color w:val="auto"/>
              </w:rPr>
            </w:pPr>
            <w:r>
              <w:rPr>
                <w:rFonts w:ascii="Arial" w:cs="Arial" w:eastAsia="Arial" w:hAnsi="Arial"/>
                <w:sz w:val="13"/>
                <w:szCs w:val="13"/>
                <w:b w:val="1"/>
                <w:bCs w:val="1"/>
                <w:color w:val="auto"/>
                <w:w w:val="94"/>
              </w:rPr>
              <w:t>Three month period ended March 31,</w:t>
            </w: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3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gridSpan w:val="2"/>
            <w:vMerge w:val="restart"/>
          </w:tcPr>
          <w:p>
            <w:pPr>
              <w:jc w:val="right"/>
              <w:ind w:right="193"/>
              <w:spacing w:after="0" w:line="138" w:lineRule="exact"/>
              <w:rPr>
                <w:sz w:val="20"/>
                <w:szCs w:val="20"/>
                <w:color w:val="auto"/>
              </w:rPr>
            </w:pPr>
            <w:r>
              <w:rPr>
                <w:rFonts w:ascii="Arial" w:cs="Arial" w:eastAsia="Arial" w:hAnsi="Arial"/>
                <w:sz w:val="13"/>
                <w:szCs w:val="13"/>
                <w:b w:val="1"/>
                <w:bCs w:val="1"/>
                <w:color w:val="auto"/>
              </w:rPr>
              <w:t>31,</w:t>
            </w: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060" w:type="dxa"/>
            <w:vAlign w:val="bottom"/>
          </w:tcPr>
          <w:p>
            <w:pPr>
              <w:spacing w:after="0"/>
              <w:rPr>
                <w:sz w:val="7"/>
                <w:szCs w:val="7"/>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3"/>
                <w:szCs w:val="13"/>
                <w:b w:val="1"/>
                <w:bCs w:val="1"/>
                <w:color w:val="auto"/>
              </w:rPr>
              <w:t>2012</w:t>
            </w:r>
          </w:p>
        </w:tc>
        <w:tc>
          <w:tcPr>
            <w:tcW w:w="740" w:type="dxa"/>
            <w:vAlign w:val="bottom"/>
            <w:gridSpan w:val="2"/>
            <w:vMerge w:val="restart"/>
          </w:tcPr>
          <w:p>
            <w:pPr>
              <w:jc w:val="center"/>
              <w:ind w:left="8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104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right"/>
              <w:ind w:right="133"/>
              <w:spacing w:after="0" w:line="113" w:lineRule="exact"/>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3"/>
                <w:szCs w:val="13"/>
                <w:color w:val="auto"/>
                <w:w w:val="90"/>
              </w:rPr>
              <w:t>($ – in thousands)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Non-operating income (expense), net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(2,968)</w:t>
            </w:r>
          </w:p>
        </w:tc>
        <w:tc>
          <w:tcPr>
            <w:tcW w:w="74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592</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(3,560)</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-294005</wp:posOffset>
            </wp:positionV>
            <wp:extent cx="7004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During the three month period ended March 31, 2012, non-operating income (expense) changed by $3.6 million (or -603%), to an expense of $3.0 million, from an income of $0.6 million, in the three month period ended March 31, 2011.</w:t>
      </w:r>
    </w:p>
    <w:p>
      <w:pPr>
        <w:spacing w:after="0" w:line="4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the three month period ended March 31, 2012, Vringo recorded non-operating expense in the amount of $3.0 million, which was mainly comprised of an expense of $2.6 million recorded in connection with issuance of the Reload Warrants accounted for as an inducement to convert convertible debt (see Notes 3 and 5 to the accompanying financial statements for the three months ended March 31, 2012), as well as an additional expense of $0.4 million, recorded due to adjustment of fair value of the Preferential Reload Warrants, Special Bridge Warrants and the Conversion Warrants.</w:t>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the three month period ended March 31, 2011, Vringo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w:t>
      </w:r>
    </w:p>
    <w:p>
      <w:pPr>
        <w:spacing w:after="0" w:line="5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non-operating expense in the first quarter of 2010 was mainly comprised of $0.5 million in connection with the bridge financing and an interest expense of $0.1 million relating to the bridge notes and the venture loan.</w:t>
      </w:r>
    </w:p>
    <w:p>
      <w:pPr>
        <w:spacing w:after="0" w:line="6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From inception through March 31, 2012, non-operating income (expense) totaled approximately $8.1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income of $0.1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200" w:lineRule="exact"/>
        <w:rPr>
          <w:sz w:val="20"/>
          <w:szCs w:val="20"/>
          <w:color w:val="auto"/>
        </w:rPr>
      </w:pPr>
    </w:p>
    <w:p>
      <w:pPr>
        <w:spacing w:after="0" w:line="28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2100" w:type="dxa"/>
            <w:vAlign w:val="bottom"/>
            <w:gridSpan w:val="7"/>
            <w:vMerge w:val="restart"/>
          </w:tcPr>
          <w:p>
            <w:pPr>
              <w:jc w:val="right"/>
              <w:ind w:right="80"/>
              <w:spacing w:after="0"/>
              <w:rPr>
                <w:sz w:val="20"/>
                <w:szCs w:val="20"/>
                <w:color w:val="auto"/>
              </w:rPr>
            </w:pPr>
            <w:r>
              <w:rPr>
                <w:rFonts w:ascii="Arial" w:cs="Arial" w:eastAsia="Arial" w:hAnsi="Arial"/>
                <w:sz w:val="13"/>
                <w:szCs w:val="13"/>
                <w:b w:val="1"/>
                <w:bCs w:val="1"/>
                <w:color w:val="auto"/>
                <w:w w:val="97"/>
              </w:rPr>
              <w:t>Three month period ended March</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0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inception to March 31,</w:t>
            </w:r>
          </w:p>
        </w:tc>
        <w:tc>
          <w:tcPr>
            <w:tcW w:w="0" w:type="dxa"/>
            <w:vAlign w:val="bottom"/>
          </w:tcPr>
          <w:p>
            <w:pPr>
              <w:spacing w:after="0"/>
              <w:rPr>
                <w:sz w:val="1"/>
                <w:szCs w:val="1"/>
                <w:color w:val="auto"/>
              </w:rPr>
            </w:pPr>
          </w:p>
        </w:tc>
      </w:tr>
      <w:tr>
        <w:trPr>
          <w:trHeight w:val="158"/>
        </w:trPr>
        <w:tc>
          <w:tcPr>
            <w:tcW w:w="40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rPr>
              <w:t>31,</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gridSpan w:val="2"/>
          </w:tcPr>
          <w:p>
            <w:pPr>
              <w:jc w:val="center"/>
              <w:ind w:left="325"/>
              <w:spacing w:after="0"/>
              <w:rPr>
                <w:sz w:val="20"/>
                <w:szCs w:val="20"/>
                <w:color w:val="auto"/>
              </w:rPr>
            </w:pPr>
            <w:r>
              <w:rPr>
                <w:rFonts w:ascii="Arial" w:cs="Arial" w:eastAsia="Arial" w:hAnsi="Arial"/>
                <w:sz w:val="13"/>
                <w:szCs w:val="13"/>
                <w:b w:val="1"/>
                <w:bCs w:val="1"/>
                <w:color w:val="auto"/>
                <w:w w:val="89"/>
              </w:rPr>
              <w:t>2012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2011</w:t>
            </w:r>
          </w:p>
        </w:tc>
        <w:tc>
          <w:tcPr>
            <w:tcW w:w="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2"/>
              </w:rPr>
              <w:t>Change</w:t>
            </w:r>
          </w:p>
        </w:tc>
        <w:tc>
          <w:tcPr>
            <w:tcW w:w="1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Arial" w:cs="Arial" w:eastAsia="Arial" w:hAnsi="Arial"/>
                <w:sz w:val="13"/>
                <w:szCs w:val="13"/>
                <w:color w:val="auto"/>
                <w:w w:val="88"/>
              </w:rPr>
              <w:t>($ – in 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3"/>
                <w:szCs w:val="13"/>
                <w:color w:val="auto"/>
                <w:w w:val="92"/>
              </w:rPr>
              <w:t>($ – in thousands)</w:t>
            </w:r>
          </w:p>
        </w:tc>
        <w:tc>
          <w:tcPr>
            <w:tcW w:w="0" w:type="dxa"/>
            <w:vAlign w:val="bottom"/>
          </w:tcPr>
          <w:p>
            <w:pPr>
              <w:spacing w:after="0"/>
              <w:rPr>
                <w:sz w:val="1"/>
                <w:szCs w:val="1"/>
                <w:color w:val="auto"/>
              </w:rPr>
            </w:pPr>
          </w:p>
        </w:tc>
      </w:tr>
      <w:tr>
        <w:trPr>
          <w:trHeight w:val="22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Income tax expense (benefit)</w:t>
            </w:r>
          </w:p>
        </w:tc>
        <w:tc>
          <w:tcPr>
            <w:tcW w:w="600" w:type="dxa"/>
            <w:vAlign w:val="bottom"/>
            <w:tcBorders>
              <w:right w:val="single" w:sz="8" w:color="CCFFCC"/>
            </w:tcBorders>
            <w:shd w:val="clear" w:color="auto" w:fill="CCFFCC"/>
          </w:tcPr>
          <w:p>
            <w:pPr>
              <w:jc w:val="right"/>
              <w:ind w:right="8"/>
              <w:spacing w:after="0"/>
              <w:rPr>
                <w:sz w:val="20"/>
                <w:szCs w:val="20"/>
                <w:color w:val="auto"/>
              </w:rPr>
            </w:pPr>
            <w:r>
              <w:rPr>
                <w:rFonts w:ascii="Arial" w:cs="Arial" w:eastAsia="Arial" w:hAnsi="Arial"/>
                <w:sz w:val="17"/>
                <w:szCs w:val="17"/>
                <w:color w:val="auto"/>
              </w:rPr>
              <w:t>20</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18</w:t>
            </w:r>
          </w:p>
        </w:tc>
        <w:tc>
          <w:tcPr>
            <w:tcW w:w="220" w:type="dxa"/>
            <w:vAlign w:val="bottom"/>
            <w:tcBorders>
              <w:right w:val="single" w:sz="8" w:color="CCFFCC"/>
            </w:tcBorders>
            <w:shd w:val="clear" w:color="auto" w:fill="CCFFCC"/>
          </w:tcPr>
          <w:p>
            <w:pPr>
              <w:spacing w:after="0"/>
              <w:rPr>
                <w:sz w:val="19"/>
                <w:szCs w:val="19"/>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w:t>
            </w:r>
          </w:p>
        </w:tc>
        <w:tc>
          <w:tcPr>
            <w:tcW w:w="146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During the three month period ended March 31, 2012, Vringo recorded an income tax expense in the total amount of $20,000, which reflects an increase of $2,000 compared to tax expense of $18,000 recorded in the three month period ended March 31, 2011. In addition, income tax expense recorded during the three month period ended March 31, 2011 reflect a decrease of $2,000 compared to tax expense of $20,000 recorded in the three month period ended March 31, 2010.</w:t>
      </w:r>
    </w:p>
    <w:p>
      <w:pPr>
        <w:spacing w:after="0" w:line="62"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Taxes on income are mainly due to taxable profits generated by Vringo’s subsidiary as a result of the intercompany cost plus agreement between Vringo and the subsidiary, whereby the subsidiary performs development and other services for Vringo and is reimbursed for its expenses plus 8%. For financial statements purposes, these profits are eliminated upon consolidation. The profits of the subsidiary benefitted from a tax holiday in the 2007 – 2008 tax years and a taxable loss in 2009, 2010 and 2011. Vringo expects a taxable income in its subsidiary in 2012 under the terms of the intercompany agreement. In addition, during the three month period ended March 31, 2012, 2011 and 2010, Vringo recorded income tax expense of $7,000, $12,000 and $0, respectively, in connection with tax withheld at source by Vringo’s partner in Malaysia, which Vringo does not expect to be reclaimed.</w:t>
      </w:r>
    </w:p>
    <w:p>
      <w:pPr>
        <w:spacing w:after="0" w:line="5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From inception through March 31, 2012, income tax expense totaled $139,000. Vringo expects tax expense to increase as its business grows and as Vringo’s subsidiary continues to generate taxable income under the intercompany cost plus agreement.</w:t>
      </w:r>
    </w:p>
    <w:p>
      <w:pPr>
        <w:spacing w:after="0" w:line="57" w:lineRule="exact"/>
        <w:rPr>
          <w:sz w:val="20"/>
          <w:szCs w:val="20"/>
          <w:color w:val="auto"/>
        </w:rPr>
      </w:pPr>
    </w:p>
    <w:p>
      <w:pPr>
        <w:ind w:left="40" w:right="1239"/>
        <w:spacing w:after="0" w:line="349" w:lineRule="auto"/>
        <w:rPr>
          <w:sz w:val="20"/>
          <w:szCs w:val="20"/>
          <w:color w:val="auto"/>
        </w:rPr>
      </w:pPr>
      <w:r>
        <w:rPr>
          <w:rFonts w:ascii="Arial" w:cs="Arial" w:eastAsia="Arial" w:hAnsi="Arial"/>
          <w:sz w:val="17"/>
          <w:szCs w:val="17"/>
          <w:b w:val="1"/>
          <w:bCs w:val="1"/>
          <w:i w:val="1"/>
          <w:iCs w:val="1"/>
          <w:color w:val="auto"/>
        </w:rPr>
        <w:t>Year ended December 31, 2011, 2010 and the development stage period (cumulative from inception through December 31, 2011)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47104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Revenue</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211</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507</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During the year ended December 31, 2011, Vringo recorded revenues of $718,000, which represents an increase of $507,000 (or 240%) from revenues recorded for the year ended December 31, 2010. The increase was mainly due to increased video ringtone subscription revenue in Malaysia ($312,000 in 2011, compared to the $94,000 in 2010), and the United Arab Emirates ($90,000 in</w:t>
      </w:r>
    </w:p>
    <w:p>
      <w:pPr>
        <w:spacing w:after="0" w:line="1" w:lineRule="exact"/>
        <w:rPr>
          <w:sz w:val="20"/>
          <w:szCs w:val="20"/>
          <w:color w:val="auto"/>
        </w:rPr>
      </w:pPr>
    </w:p>
    <w:p>
      <w:pPr>
        <w:jc w:val="both"/>
        <w:ind w:left="40" w:right="1239"/>
        <w:spacing w:after="0" w:line="227" w:lineRule="auto"/>
        <w:rPr>
          <w:sz w:val="20"/>
          <w:szCs w:val="20"/>
          <w:color w:val="auto"/>
        </w:rPr>
      </w:pPr>
      <w:r>
        <w:rPr>
          <w:rFonts w:ascii="Arial" w:cs="Arial" w:eastAsia="Arial" w:hAnsi="Arial"/>
          <w:sz w:val="17"/>
          <w:szCs w:val="17"/>
          <w:color w:val="auto"/>
        </w:rPr>
        <w:t>2011, compared to the $54,000 in 2010), development of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($75,000 recognized in 2011), development of Fan Loyalty application ($80,000 recognized in 2011), Video ReMix platform ($30,000 recognized in 2011). In the first quarter of 2012, the number of subscribers in Malaysia was reduced due to system updates of recycled numbers from the regulated carrier database. Vringo does not expect this change to have a material effect on its revenue.</w:t>
      </w:r>
    </w:p>
    <w:p>
      <w:pPr>
        <w:spacing w:after="0" w:line="9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At the end of 2009, Vringo commenced monetization of its subscription service by launching with carriers primarily in Malaysia and Armenia. As a result, the increase in revenue in 2010, in the total amount of $191,000, was mainly related to revenues from those revenue-sharing agreements. In Malaysia, Vringo recognized $94,000 (compared to $2,000 in 2009). In Armenia, Vringo recognized $35,000 (compared to $17,000 in 2009). In addition, Vringo recorded $54,000 from subscription service launched in 2010 in the United Arab Emirates.</w:t>
      </w:r>
    </w:p>
    <w:p>
      <w:pPr>
        <w:spacing w:after="0" w:line="200" w:lineRule="exact"/>
        <w:rPr>
          <w:sz w:val="20"/>
          <w:szCs w:val="20"/>
          <w:color w:val="auto"/>
        </w:rPr>
      </w:pPr>
    </w:p>
    <w:p>
      <w:pPr>
        <w:spacing w:after="0" w:line="29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(25)</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During the year ended December 31, 2011, Vringo’s cost of revenue was $155,000, which represents an increase of $180,000 (-14%) from Vringo’s cost of revenue for the year ended December 31, 2010. Vringo’s cost of revenue is mainly comprised of cost of services related to the provision of content to end-users and cost of hosted servers needed to support Vringo’s service in markets where Vringo has launched its product. The decrease in cost of revenue recorded year ended December 31, 2011, compared with year ended December 31, 2010, is mainly related to a decrease in content purchases and content related amortization expenses.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commenced monetization of its subscription service model at the end of 2009. As a result, cost of revenue recorded in 2010 increased by 481%, or $149,000, compared to 2009.</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Vringo expects that cost of revenue will increase over time, as Vringo diversifies the portfolio of its products. As some of these costs are fixed irrespective of Vringo’s revenues, Vringo expects its gross margin to increase, as its revenues increase.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2,017</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2,503</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(486)</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13,371</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Research and development expenses decreased from $2,503,000 to $2,017,000 (-19%) during the year ended December 31, 2011, compared to the year ended December 31, 2010. The decrease is primarily due to lower salary and compensation expenses, a result of salary reductions (a decrease of $351,000 compared to 2010), offset by the effect of a separation agreement signed with one of the officers, and lower consulting costs (a decrease of $170,000 compared to 2010), all as part of the cost saving plan implemented by Vringo in early 2011.</w:t>
      </w:r>
    </w:p>
    <w:p>
      <w:pPr>
        <w:spacing w:after="0" w:line="80"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Research and development expenses increased from $1,975,000 to $2,503,000 (27%) in the year ended December 31, 2010, compared to the year ended December 31, 2009. The increase in 2010 was mainly due to enhanced research and development efforts and increased share based compensation expenses, related to options granted in connection with the IPO in 2010.</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0"/>
                <w:szCs w:val="10"/>
                <w:color w:val="auto"/>
              </w:rPr>
            </w:pPr>
          </w:p>
        </w:tc>
        <w:tc>
          <w:tcPr>
            <w:tcW w:w="2700" w:type="dxa"/>
            <w:vAlign w:val="bottom"/>
            <w:tcBorders>
              <w:bottom w:val="single" w:sz="8" w:color="auto"/>
            </w:tcBorders>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60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Marketing</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2,193</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2,183</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11,211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97" w:lineRule="auto"/>
        <w:rPr>
          <w:sz w:val="20"/>
          <w:szCs w:val="20"/>
          <w:color w:val="auto"/>
        </w:rPr>
      </w:pPr>
      <w:r>
        <w:rPr>
          <w:rFonts w:ascii="Arial" w:cs="Arial" w:eastAsia="Arial" w:hAnsi="Arial"/>
          <w:sz w:val="15"/>
          <w:szCs w:val="15"/>
          <w:color w:val="auto"/>
        </w:rPr>
        <w:t>Marketing expenses increased slightly from $2,183,000 to $2,193,000 (0%) during the year ended December 31, 2011, compared to the year ended December 31, 2010. The main changes were higher advertising costs, mainly in connection with</w:t>
      </w:r>
    </w:p>
    <w:p>
      <w:pPr>
        <w:spacing w:after="0" w:line="1" w:lineRule="exact"/>
        <w:rPr>
          <w:sz w:val="20"/>
          <w:szCs w:val="20"/>
          <w:color w:val="auto"/>
        </w:rPr>
      </w:pPr>
    </w:p>
    <w:p>
      <w:pPr>
        <w:ind w:left="40" w:right="1239"/>
        <w:spacing w:after="0" w:line="223"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launch ($498,000 in 2011 compared to $279,000 in 2010), offset by a decrease in consulting costs mainly related to the cost saving plan implemented by Vringo in early 2011 ($195,000 in 2011 compared to $36,000 in 2010).</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During the year ended December 31, 2010, marketing expenses increased by $431,000 (25%), to $2,183,000, from $1,752,000 in the year ended December 31, 2009. The growth in Vringo’s marketing expenses for the year ended December 31, 2010, was in part due to the hiring, in April 2010, of Mr. Perlman, Vringo’s current Chief Executive Officer, whose efforts are focused on marketing and business development. In addition, the growth relates to the vesting of 2010 options grants for employees, thereby increasing the respective compensation expense. Furthermore, Vringo had an increase in public relations and advertising costs in connection with new commercial launches in 2010.</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3"/>
                <w:szCs w:val="13"/>
                <w:color w:val="auto"/>
              </w:rPr>
            </w:pPr>
          </w:p>
        </w:tc>
        <w:tc>
          <w:tcPr>
            <w:tcW w:w="2700" w:type="dxa"/>
            <w:vAlign w:val="bottom"/>
            <w:tcBorders>
              <w:bottom w:val="single" w:sz="8" w:color="auto"/>
            </w:tcBorders>
            <w:gridSpan w:val="8"/>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 2011</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2,777</w:t>
            </w:r>
          </w:p>
        </w:tc>
        <w:tc>
          <w:tcPr>
            <w:tcW w:w="94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1,840</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937</w:t>
            </w:r>
          </w:p>
        </w:tc>
        <w:tc>
          <w:tcPr>
            <w:tcW w:w="12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8,269</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General and administrative expenses increased from $1,840,000 to $2,777,000 (51%) during the year ended December 31, 2011, compared to the year ended December 31, 2010. The increase was mainly due to higher professional fees connected to aborted merger and acquisition activities, venture loan settlement and December 2011 financing (an increase of $643,000 compared to 2010), due to increased share-based compensation (an increase of $290,000 compared to 2010), and increased cost of labor and expenses incurred in connection with being a public company (an increase of $45,000 compared to 2010).</w:t>
      </w:r>
    </w:p>
    <w:p>
      <w:pPr>
        <w:spacing w:after="0" w:line="5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During the year ended December 31, 2010, general and administrative expenses increased $272,000 (17.3%), to $1,840,000, from $1,568,000 in the year ended December 31, 2009. The increase is mostly due to the increase in various professional fees in connection with becoming a public company. In addition, there was an increase of in additional insurance costs for Vringo’s directors’ and officers’ liability insurance and an increase in compensation expenses due to new option grants in 2010.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50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5043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2"/>
              </w:rPr>
              <w:t>Year Ended December 31,</w:t>
            </w:r>
          </w:p>
        </w:tc>
        <w:tc>
          <w:tcPr>
            <w:tcW w:w="160" w:type="dxa"/>
            <w:vAlign w:val="bottom"/>
          </w:tcPr>
          <w:p>
            <w:pPr>
              <w:spacing w:after="0"/>
              <w:rPr>
                <w:sz w:val="11"/>
                <w:szCs w:val="11"/>
                <w:color w:val="auto"/>
              </w:rPr>
            </w:pPr>
          </w:p>
        </w:tc>
        <w:tc>
          <w:tcPr>
            <w:tcW w:w="10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270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265"/>
              <w:spacing w:after="0"/>
              <w:rPr>
                <w:sz w:val="20"/>
                <w:szCs w:val="20"/>
                <w:color w:val="auto"/>
              </w:rPr>
            </w:pPr>
            <w:r>
              <w:rPr>
                <w:rFonts w:ascii="Arial" w:cs="Arial" w:eastAsia="Arial" w:hAnsi="Arial"/>
                <w:sz w:val="13"/>
                <w:szCs w:val="13"/>
                <w:b w:val="1"/>
                <w:bCs w:val="1"/>
                <w:color w:val="auto"/>
                <w:w w:val="89"/>
              </w:rPr>
              <w:t>2011</w:t>
            </w: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00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720" w:type="dxa"/>
            <w:vAlign w:val="bottom"/>
          </w:tcPr>
          <w:p>
            <w:pPr>
              <w:spacing w:after="0"/>
              <w:rPr>
                <w:sz w:val="4"/>
                <w:szCs w:val="4"/>
                <w:color w:val="auto"/>
              </w:rPr>
            </w:pPr>
          </w:p>
        </w:tc>
        <w:tc>
          <w:tcPr>
            <w:tcW w:w="64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32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FFCC"/>
          </w:tcPr>
          <w:p>
            <w:pPr>
              <w:spacing w:after="0"/>
              <w:rPr>
                <w:sz w:val="20"/>
                <w:szCs w:val="20"/>
                <w:color w:val="auto"/>
              </w:rPr>
            </w:pPr>
            <w:r>
              <w:rPr>
                <w:rFonts w:ascii="Arial" w:cs="Arial" w:eastAsia="Arial" w:hAnsi="Arial"/>
                <w:sz w:val="17"/>
                <w:szCs w:val="17"/>
                <w:color w:val="auto"/>
              </w:rPr>
              <w:t>Non-operating income (expense), net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(965)</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(3,412)</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(2,447)</w:t>
            </w:r>
          </w:p>
        </w:tc>
        <w:tc>
          <w:tcPr>
            <w:tcW w:w="120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(5,159)</w:t>
            </w:r>
          </w:p>
        </w:tc>
        <w:tc>
          <w:tcPr>
            <w:tcW w:w="0" w:type="dxa"/>
            <w:vAlign w:val="bottom"/>
          </w:tcPr>
          <w:p>
            <w:pPr>
              <w:spacing w:after="0"/>
              <w:rPr>
                <w:sz w:val="1"/>
                <w:szCs w:val="1"/>
                <w:color w:val="auto"/>
              </w:rPr>
            </w:pPr>
          </w:p>
        </w:tc>
      </w:tr>
      <w:tr>
        <w:trPr>
          <w:trHeight w:val="20"/>
        </w:trPr>
        <w:tc>
          <w:tcPr>
            <w:tcW w:w="37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During the year ended December 31, 2011, Vringo recorded net non-operating expense in the amount of $1.0 million, compared to a net non-operating expense in the amount of $3.4 million, in the year ended December 31, 2010.</w:t>
      </w:r>
    </w:p>
    <w:p>
      <w:pPr>
        <w:spacing w:after="0" w:line="4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year ended December 31, 2011, Vringo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80"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During 2010, Vringo recorded non-operating expense, net in the amount of $3.4 million, primarily due to the recording of the bridge notes, issued on December 29, 2009, at their residual value at the closing of bridge financing, pursuant to which Vringo recorded additional interest costs for the bridge notes of $1.1 million. In addition, as a result of the conversion of the bridge notes Vringo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07" w:lineRule="auto"/>
        <w:rPr>
          <w:sz w:val="20"/>
          <w:szCs w:val="20"/>
          <w:color w:val="auto"/>
        </w:rPr>
      </w:pPr>
      <w:r>
        <w:rPr>
          <w:rFonts w:ascii="Arial" w:cs="Arial" w:eastAsia="Arial" w:hAnsi="Arial"/>
          <w:sz w:val="15"/>
          <w:szCs w:val="15"/>
          <w:color w:val="auto"/>
        </w:rPr>
        <w:t>Vringo recorded additional interest expense of $1.3 million. Vringo also recorded approximately $0.1 million of interest expense for bridge notes and approximately $0.4 million of interest expense for the venture loan. In addition, Vringo recorded $1.0 million income in connection with the adjustment of the fair value of the special bridge warrants and conversion warrants.</w:t>
      </w:r>
    </w:p>
    <w:p>
      <w:pPr>
        <w:spacing w:after="0" w:line="40"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During 2009, Vringo recorded non-operating expenses primarily in connection with interest on venture loan. In addition, Vringo recorded a loss of $0.18 million on extinguished debt from the modification of the terms of the venture loan in December 2009.</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270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Year Ended 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3860" w:type="dxa"/>
            <w:vAlign w:val="bottom"/>
          </w:tcPr>
          <w:p>
            <w:pPr>
              <w:spacing w:after="0"/>
              <w:rPr>
                <w:sz w:val="11"/>
                <w:szCs w:val="11"/>
                <w:color w:val="auto"/>
              </w:rPr>
            </w:pPr>
          </w:p>
        </w:tc>
        <w:tc>
          <w:tcPr>
            <w:tcW w:w="2700" w:type="dxa"/>
            <w:vAlign w:val="bottom"/>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jc w:val="center"/>
              <w:ind w:left="225"/>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92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50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60" w:type="dxa"/>
            <w:vAlign w:val="bottom"/>
            <w:shd w:val="clear" w:color="auto" w:fill="CCFFCC"/>
          </w:tcPr>
          <w:p>
            <w:pPr>
              <w:spacing w:after="0"/>
              <w:rPr>
                <w:sz w:val="20"/>
                <w:szCs w:val="20"/>
                <w:color w:val="auto"/>
              </w:rPr>
            </w:pPr>
            <w:r>
              <w:rPr>
                <w:rFonts w:ascii="Arial" w:cs="Arial" w:eastAsia="Arial" w:hAnsi="Arial"/>
                <w:sz w:val="17"/>
                <w:szCs w:val="17"/>
                <w:color w:val="auto"/>
              </w:rPr>
              <w:t>Taxes on income</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90</w:t>
            </w:r>
          </w:p>
        </w:tc>
        <w:tc>
          <w:tcPr>
            <w:tcW w:w="940" w:type="dxa"/>
            <w:vAlign w:val="bottom"/>
            <w:gridSpan w:val="3"/>
            <w:shd w:val="clear" w:color="auto" w:fill="CCFFCC"/>
          </w:tcPr>
          <w:p>
            <w:pPr>
              <w:ind w:left="660"/>
              <w:spacing w:after="0"/>
              <w:rPr>
                <w:sz w:val="20"/>
                <w:szCs w:val="20"/>
                <w:color w:val="auto"/>
              </w:rPr>
            </w:pPr>
            <w:r>
              <w:rPr>
                <w:rFonts w:ascii="Arial" w:cs="Arial" w:eastAsia="Arial" w:hAnsi="Arial"/>
                <w:sz w:val="17"/>
                <w:szCs w:val="17"/>
                <w:color w:val="auto"/>
              </w:rPr>
              <w:t>35</w:t>
            </w:r>
          </w:p>
        </w:tc>
        <w:tc>
          <w:tcPr>
            <w:tcW w:w="9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55</w:t>
            </w:r>
          </w:p>
        </w:tc>
        <w:tc>
          <w:tcPr>
            <w:tcW w:w="10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38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During the year ended December 31, 2011, Vringo recorded income tax expense in the total amount of $90,000, which reflects an increase of $55,000 compared to tax expense of $35,000 recorded in the year ended December 31, 2010. In addition, income tax expense recorded during the year ended December 31, 2010, which reflects a decrease of $38,000 compared to tax expense of $73,000 recorded in the year ended December 31, 2009. Taxes on income are mainly due to taxable profits generated by Vringo’s Israeli subsidiary, as a result of the intercompany cost plus agreement between Vringo and the subsidiary, whereby the subsidiary performs development and other services for Vringo and is reimbursed for its expenses plus 8%. In addition, during the year ended December 31, 2011 and 2010, Vringo recorded income tax expense of $35,000 and $5,000, respectively, in connection with tax withheld at source by Vringo’s partner in Malaysia, which Vringo does not expect to be reclaimed.</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From inception through December 31, 2011, income tax expense totaled $119,000. Vringo expects tax expense to increase as its business grows and as its subsidiary continues to profit from the cost plus agreement.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of March 31, 2012, Vringo had a cash balance of $3.6 million and $2.7 million in net working capital. The increase of $2.4 million in Vringo’s cash balance from December 31, 2011 was mainly due to $3.65 million cash received from the exercise of approximately 90% of the then outstanding Special Bridge Warrants and Conversion Warrants in February 2012, offset by net cash used by Vringo in its business operations ($0.8 million) and cash used to fund the Merger with Innovate/Protect (approximately $0.4 million). As of March 31, 2012, Vringo’s total deficit in stockholders’ equity was approximately $1.0 million, mainly due to the exercise of the abovementioned warrants, offset by continued operating deficits from inception to date.</w:t>
      </w:r>
    </w:p>
    <w:p>
      <w:pPr>
        <w:spacing w:after="0" w:line="5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Company believes that its current cash levels will be sufficient to support its activity into the first quarter of 2013. Based on current operating plans, additional resources that may be required for the continuation of Vringo’s operations approximates $0.9 million and $4.4 million, for the twelve month periods ending March 31, 2013 and March 31, 2014, respectively. After taking into effect the Merger with Innovate/Protect, additional resources that may be required for the continuation of the combined operations approximates $4.3 million and $11.8 million, for the twelve month periods ending March 31, 2013 and March 31, 2014, respectively. These estimates include a projected $0.7 million cash outflow for merger and integration costs relating to the Innovate/Protect combination, specifically for legal, accounting and exchange fees, as well as an expected increase in D&amp;O insurance.</w:t>
      </w:r>
    </w:p>
    <w:p>
      <w:pPr>
        <w:spacing w:after="0" w:line="82"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259"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The continuation of Vringo’s business, as a going concern is dependent upon the successful consummation of the proposed Merger with Innovate/Protect, or similar merger or acquisition, financing, and upon the further development of Vringo’s products. There can be no assurance, however, that any such opportunities will materialize. Vringo anticipates that it will continue to issue equity and/or debt securities as a source of liquidity, when needed, until Vringo generates positive cash flow to support its operations. Vringo cannot give any assurance that the necessary capital will be raised or that, if funds are raised, it will be on favorable terms. Any future sales of securities to finance Vringo’s operations may require stockholder approval and will dilute existing stockholders’ ownership. Vringo cannot guarantee when or if Vringo will ever generate positive cash flow.</w:t>
      </w:r>
    </w:p>
    <w:p>
      <w:pPr>
        <w:spacing w:after="0" w:line="55"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7104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10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2700" w:type="dxa"/>
            <w:vAlign w:val="bottom"/>
            <w:gridSpan w:val="5"/>
            <w:vMerge w:val="restart"/>
          </w:tcPr>
          <w:p>
            <w:pPr>
              <w:jc w:val="right"/>
              <w:ind w:right="213"/>
              <w:spacing w:after="0"/>
              <w:rPr>
                <w:sz w:val="20"/>
                <w:szCs w:val="20"/>
                <w:color w:val="auto"/>
              </w:rPr>
            </w:pPr>
            <w:r>
              <w:rPr>
                <w:rFonts w:ascii="Arial" w:cs="Arial" w:eastAsia="Arial" w:hAnsi="Arial"/>
                <w:sz w:val="13"/>
                <w:szCs w:val="13"/>
                <w:b w:val="1"/>
                <w:bCs w:val="1"/>
                <w:color w:val="auto"/>
              </w:rPr>
              <w:t>Three month period ended March 31,</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Cumulative from</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270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93"/>
              </w:rPr>
              <w:t>inception to March</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gridSpan w:val="2"/>
            <w:vMerge w:val="restart"/>
          </w:tcPr>
          <w:p>
            <w:pPr>
              <w:jc w:val="right"/>
              <w:ind w:right="413"/>
              <w:spacing w:after="0" w:line="138"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85"/>
        </w:trPr>
        <w:tc>
          <w:tcPr>
            <w:tcW w:w="3660" w:type="dxa"/>
            <w:vAlign w:val="bottom"/>
          </w:tcPr>
          <w:p>
            <w:pPr>
              <w:spacing w:after="0"/>
              <w:rPr>
                <w:sz w:val="7"/>
                <w:szCs w:val="7"/>
                <w:color w:val="auto"/>
              </w:rPr>
            </w:pPr>
          </w:p>
        </w:tc>
        <w:tc>
          <w:tcPr>
            <w:tcW w:w="800" w:type="dxa"/>
            <w:vAlign w:val="bottom"/>
            <w:vMerge w:val="restart"/>
          </w:tcPr>
          <w:p>
            <w:pPr>
              <w:jc w:val="right"/>
              <w:ind w:right="183"/>
              <w:spacing w:after="0"/>
              <w:rPr>
                <w:sz w:val="20"/>
                <w:szCs w:val="20"/>
                <w:color w:val="auto"/>
              </w:rPr>
            </w:pPr>
            <w:r>
              <w:rPr>
                <w:rFonts w:ascii="Arial" w:cs="Arial" w:eastAsia="Arial" w:hAnsi="Arial"/>
                <w:sz w:val="13"/>
                <w:szCs w:val="13"/>
                <w:b w:val="1"/>
                <w:bCs w:val="1"/>
                <w:color w:val="auto"/>
              </w:rPr>
              <w:t>2012</w:t>
            </w:r>
          </w:p>
        </w:tc>
        <w:tc>
          <w:tcPr>
            <w:tcW w:w="940" w:type="dxa"/>
            <w:vAlign w:val="bottom"/>
            <w:gridSpan w:val="2"/>
            <w:vMerge w:val="restart"/>
          </w:tcPr>
          <w:p>
            <w:pPr>
              <w:jc w:val="right"/>
              <w:ind w:right="19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7"/>
                <w:szCs w:val="7"/>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Change</w:t>
            </w: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restart"/>
          </w:tcPr>
          <w:p>
            <w:pPr>
              <w:jc w:val="right"/>
              <w:ind w:right="353"/>
              <w:spacing w:after="0" w:line="113" w:lineRule="exact"/>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3"/>
        </w:trPr>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ind w:right="173"/>
              <w:spacing w:after="0"/>
              <w:rPr>
                <w:sz w:val="20"/>
                <w:szCs w:val="20"/>
                <w:color w:val="auto"/>
              </w:rPr>
            </w:pPr>
            <w:r>
              <w:rPr>
                <w:rFonts w:ascii="Arial" w:cs="Arial" w:eastAsia="Arial" w:hAnsi="Arial"/>
                <w:sz w:val="13"/>
                <w:szCs w:val="13"/>
                <w:color w:val="auto"/>
              </w:rPr>
              <w:t>($ – 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Net cash used in operating activities</w:t>
            </w:r>
          </w:p>
        </w:tc>
        <w:tc>
          <w:tcPr>
            <w:tcW w:w="800" w:type="dxa"/>
            <w:vAlign w:val="bottom"/>
            <w:shd w:val="clear" w:color="auto" w:fill="CCFFCC"/>
          </w:tcPr>
          <w:p>
            <w:pPr>
              <w:jc w:val="right"/>
              <w:ind w:right="3"/>
              <w:spacing w:after="0"/>
              <w:rPr>
                <w:sz w:val="20"/>
                <w:szCs w:val="20"/>
                <w:color w:val="auto"/>
              </w:rPr>
            </w:pPr>
            <w:r>
              <w:rPr>
                <w:rFonts w:ascii="Arial" w:cs="Arial" w:eastAsia="Arial" w:hAnsi="Arial"/>
                <w:sz w:val="17"/>
                <w:szCs w:val="17"/>
                <w:color w:val="auto"/>
              </w:rPr>
              <w:t>(1,215)</w:t>
            </w:r>
          </w:p>
        </w:tc>
        <w:tc>
          <w:tcPr>
            <w:tcW w:w="940" w:type="dxa"/>
            <w:vAlign w:val="bottom"/>
            <w:gridSpan w:val="2"/>
            <w:shd w:val="clear" w:color="auto" w:fill="CCFFCC"/>
          </w:tcPr>
          <w:p>
            <w:pPr>
              <w:jc w:val="right"/>
              <w:ind w:right="13"/>
              <w:spacing w:after="0"/>
              <w:rPr>
                <w:sz w:val="20"/>
                <w:szCs w:val="20"/>
                <w:color w:val="auto"/>
              </w:rPr>
            </w:pPr>
            <w:r>
              <w:rPr>
                <w:rFonts w:ascii="Arial" w:cs="Arial" w:eastAsia="Arial" w:hAnsi="Arial"/>
                <w:sz w:val="17"/>
                <w:szCs w:val="17"/>
                <w:color w:val="auto"/>
              </w:rPr>
              <w:t>(1,517)</w:t>
            </w:r>
          </w:p>
        </w:tc>
        <w:tc>
          <w:tcPr>
            <w:tcW w:w="960" w:type="dxa"/>
            <w:vAlign w:val="bottom"/>
            <w:gridSpan w:val="2"/>
            <w:shd w:val="clear" w:color="auto" w:fill="CCFFCC"/>
          </w:tcPr>
          <w:p>
            <w:pPr>
              <w:jc w:val="right"/>
              <w:ind w:right="93"/>
              <w:spacing w:after="0"/>
              <w:rPr>
                <w:sz w:val="20"/>
                <w:szCs w:val="20"/>
                <w:color w:val="auto"/>
              </w:rPr>
            </w:pPr>
            <w:r>
              <w:rPr>
                <w:rFonts w:ascii="Arial" w:cs="Arial" w:eastAsia="Arial" w:hAnsi="Arial"/>
                <w:sz w:val="17"/>
                <w:szCs w:val="17"/>
                <w:color w:val="auto"/>
              </w:rPr>
              <w:t>302</w:t>
            </w:r>
          </w:p>
        </w:tc>
        <w:tc>
          <w:tcPr>
            <w:tcW w:w="12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(30,518)</w:t>
            </w:r>
          </w:p>
        </w:tc>
        <w:tc>
          <w:tcPr>
            <w:tcW w:w="0" w:type="dxa"/>
            <w:vAlign w:val="bottom"/>
          </w:tcPr>
          <w:p>
            <w:pPr>
              <w:spacing w:after="0"/>
              <w:rPr>
                <w:sz w:val="1"/>
                <w:szCs w:val="1"/>
                <w:color w:val="auto"/>
              </w:rPr>
            </w:pPr>
          </w:p>
        </w:tc>
      </w:tr>
      <w:tr>
        <w:trPr>
          <w:trHeight w:val="200"/>
        </w:trPr>
        <w:tc>
          <w:tcPr>
            <w:tcW w:w="3660" w:type="dxa"/>
            <w:vAlign w:val="bottom"/>
          </w:tcPr>
          <w:p>
            <w:pPr>
              <w:spacing w:after="0"/>
              <w:rPr>
                <w:sz w:val="20"/>
                <w:szCs w:val="20"/>
                <w:color w:val="auto"/>
              </w:rPr>
            </w:pPr>
            <w:r>
              <w:rPr>
                <w:rFonts w:ascii="Arial" w:cs="Arial" w:eastAsia="Arial" w:hAnsi="Arial"/>
                <w:sz w:val="17"/>
                <w:szCs w:val="17"/>
                <w:color w:val="auto"/>
                <w:w w:val="97"/>
              </w:rPr>
              <w:t>Net cash provided by (used in) investing activities</w:t>
            </w:r>
          </w:p>
        </w:tc>
        <w:tc>
          <w:tcPr>
            <w:tcW w:w="800" w:type="dxa"/>
            <w:vAlign w:val="bottom"/>
          </w:tcPr>
          <w:p>
            <w:pPr>
              <w:jc w:val="right"/>
              <w:ind w:right="3"/>
              <w:spacing w:after="0"/>
              <w:rPr>
                <w:sz w:val="20"/>
                <w:szCs w:val="20"/>
                <w:color w:val="auto"/>
              </w:rPr>
            </w:pPr>
            <w:r>
              <w:rPr>
                <w:rFonts w:ascii="Arial" w:cs="Arial" w:eastAsia="Arial" w:hAnsi="Arial"/>
                <w:sz w:val="17"/>
                <w:szCs w:val="17"/>
                <w:color w:val="auto"/>
              </w:rPr>
              <w:t>(5)</w:t>
            </w:r>
          </w:p>
        </w:tc>
        <w:tc>
          <w:tcPr>
            <w:tcW w:w="940" w:type="dxa"/>
            <w:vAlign w:val="bottom"/>
            <w:gridSpan w:val="2"/>
          </w:tcPr>
          <w:p>
            <w:pPr>
              <w:jc w:val="right"/>
              <w:ind w:right="53"/>
              <w:spacing w:after="0"/>
              <w:rPr>
                <w:sz w:val="20"/>
                <w:szCs w:val="20"/>
                <w:color w:val="auto"/>
              </w:rPr>
            </w:pPr>
            <w:r>
              <w:rPr>
                <w:rFonts w:ascii="Arial" w:cs="Arial" w:eastAsia="Arial" w:hAnsi="Arial"/>
                <w:sz w:val="17"/>
                <w:szCs w:val="17"/>
                <w:color w:val="auto"/>
              </w:rPr>
              <w:t>14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(19)</w:t>
            </w:r>
          </w:p>
        </w:tc>
        <w:tc>
          <w:tcPr>
            <w:tcW w:w="1260" w:type="dxa"/>
            <w:vAlign w:val="bottom"/>
            <w:gridSpan w:val="2"/>
          </w:tcPr>
          <w:p>
            <w:pPr>
              <w:jc w:val="right"/>
              <w:ind w:right="53"/>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0"/>
        </w:trPr>
        <w:tc>
          <w:tcPr>
            <w:tcW w:w="3660" w:type="dxa"/>
            <w:vAlign w:val="bottom"/>
            <w:shd w:val="clear" w:color="auto" w:fill="CCFFCC"/>
          </w:tcPr>
          <w:p>
            <w:pPr>
              <w:spacing w:after="0"/>
              <w:rPr>
                <w:sz w:val="20"/>
                <w:szCs w:val="20"/>
                <w:color w:val="auto"/>
              </w:rPr>
            </w:pPr>
            <w:r>
              <w:rPr>
                <w:rFonts w:ascii="Arial" w:cs="Arial" w:eastAsia="Arial" w:hAnsi="Arial"/>
                <w:sz w:val="17"/>
                <w:szCs w:val="17"/>
                <w:color w:val="auto"/>
              </w:rPr>
              <w:t>Net cash provided by financing activities</w:t>
            </w:r>
          </w:p>
        </w:tc>
        <w:tc>
          <w:tcPr>
            <w:tcW w:w="800" w:type="dxa"/>
            <w:vAlign w:val="bottom"/>
            <w:shd w:val="clear" w:color="auto" w:fill="CCFFCC"/>
          </w:tcPr>
          <w:p>
            <w:pPr>
              <w:jc w:val="right"/>
              <w:ind w:right="63"/>
              <w:spacing w:after="0"/>
              <w:rPr>
                <w:sz w:val="20"/>
                <w:szCs w:val="20"/>
                <w:color w:val="auto"/>
              </w:rPr>
            </w:pPr>
            <w:r>
              <w:rPr>
                <w:rFonts w:ascii="Arial" w:cs="Arial" w:eastAsia="Arial" w:hAnsi="Arial"/>
                <w:sz w:val="17"/>
                <w:szCs w:val="17"/>
                <w:color w:val="auto"/>
              </w:rPr>
              <w:t>3,652</w:t>
            </w:r>
          </w:p>
        </w:tc>
        <w:tc>
          <w:tcPr>
            <w:tcW w:w="940" w:type="dxa"/>
            <w:vAlign w:val="bottom"/>
            <w:gridSpan w:val="2"/>
            <w:shd w:val="clear" w:color="auto" w:fill="CCFFCC"/>
          </w:tcPr>
          <w:p>
            <w:pPr>
              <w:jc w:val="right"/>
              <w:ind w:right="13"/>
              <w:spacing w:after="0"/>
              <w:rPr>
                <w:sz w:val="20"/>
                <w:szCs w:val="20"/>
                <w:color w:val="auto"/>
              </w:rPr>
            </w:pPr>
            <w:r>
              <w:rPr>
                <w:rFonts w:ascii="Arial" w:cs="Arial" w:eastAsia="Arial" w:hAnsi="Arial"/>
                <w:sz w:val="17"/>
                <w:szCs w:val="17"/>
                <w:color w:val="auto"/>
              </w:rPr>
              <w:t>(345)</w:t>
            </w:r>
          </w:p>
        </w:tc>
        <w:tc>
          <w:tcPr>
            <w:tcW w:w="960" w:type="dxa"/>
            <w:vAlign w:val="bottom"/>
            <w:gridSpan w:val="2"/>
            <w:shd w:val="clear" w:color="auto" w:fill="CCFFCC"/>
          </w:tcPr>
          <w:p>
            <w:pPr>
              <w:jc w:val="right"/>
              <w:ind w:right="93"/>
              <w:spacing w:after="0"/>
              <w:rPr>
                <w:sz w:val="20"/>
                <w:szCs w:val="20"/>
                <w:color w:val="auto"/>
              </w:rPr>
            </w:pPr>
            <w:r>
              <w:rPr>
                <w:rFonts w:ascii="Arial" w:cs="Arial" w:eastAsia="Arial" w:hAnsi="Arial"/>
                <w:sz w:val="17"/>
                <w:szCs w:val="17"/>
                <w:color w:val="auto"/>
              </w:rPr>
              <w:t>3,997</w:t>
            </w:r>
          </w:p>
        </w:tc>
        <w:tc>
          <w:tcPr>
            <w:tcW w:w="1260" w:type="dxa"/>
            <w:vAlign w:val="bottom"/>
            <w:gridSpan w:val="2"/>
            <w:shd w:val="clear" w:color="auto" w:fill="CCFFCC"/>
          </w:tcPr>
          <w:p>
            <w:pPr>
              <w:jc w:val="right"/>
              <w:ind w:right="113"/>
              <w:spacing w:after="0"/>
              <w:rPr>
                <w:sz w:val="20"/>
                <w:szCs w:val="20"/>
                <w:color w:val="auto"/>
              </w:rPr>
            </w:pPr>
            <w:r>
              <w:rPr>
                <w:rFonts w:ascii="Arial" w:cs="Arial" w:eastAsia="Arial" w:hAnsi="Arial"/>
                <w:sz w:val="17"/>
                <w:szCs w:val="17"/>
                <w:color w:val="auto"/>
              </w:rPr>
              <w:t>34,812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-516255</wp:posOffset>
            </wp:positionV>
            <wp:extent cx="7004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0405" cy="8255"/>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During the three month period ended March 31, 2012, net cash used in operating activities totaled $1.2 million. During the three month period ended March 31, 2011, net cash used in operating activities totaled $1.5 million. The decrease of $0.3 million in cash used in operating activities was mainly due to increased collection of receivables ($0.3 million the first quarter of 2012, compared to $0.1 million in the first quarter of 2011), as well as reduction in workforce related costs. The operating activities included merger and acquisition related expenses (increase of $0.45 million compared to the first quarter of 2011).</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expects its net cash used in operating activities to increase due to costs related to merger and acquisition activity, as well as due to possible future financing activity. As Vringo moves towards greater revenue generation, Vringo expects that these amounts will be offset by revenue. Since Vringo receives most of its revenues directly from carriers whose payment schedules are generally net 90 days or longer, and Vringo’s suppliers’ payment schedules are generally net 30 days, Vringo does not expect the increase in revenue will initially increase its net cash from operating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three month period ended March 31, 2012, net cash used in investing activities totaled $5,000. During the three month period ended March 31, 2011, net cash provided by investing activities totaled $14,000. This change of $19,000 in cash provided by investing activities was primarily due to the release of a short-term deposit, which was offset by the purchase of fixed assets in the first quarter of 2011. Fixed asset purchases in the three month period ended March 31, 2012, amounted to $5,000 compared to $7,000 for the three month period ended March 31, 2011.</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expects that net cash used in investing activities will increase as it intends to continue to upgrade its computers and software in 2012. Moreover, as Vringo’s service continues to grow, it will need to increase its server capacity to meet the needs of its customers.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During the three month period ended March 31, 2012, net cash provided by financing activities totaled $3.65 million, which relates to the exercise of warrants in February 2012. Pursuant to agreements with warrant holders, Vringo issued Reload Warrants at an exercise price of $1.76 per share, with the potential for raising up to an additional $5.0 million.</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Vringo expects to continue to see a net cash inflow from financing activities, as a result of possible inflows from the exercise of warrants and options granted to employees management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139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880" w:type="dxa"/>
            <w:vAlign w:val="bottom"/>
          </w:tcPr>
          <w:p>
            <w:pPr>
              <w:spacing w:after="0"/>
              <w:rPr>
                <w:sz w:val="12"/>
                <w:szCs w:val="12"/>
                <w:color w:val="auto"/>
              </w:rPr>
            </w:pPr>
          </w:p>
        </w:tc>
        <w:tc>
          <w:tcPr>
            <w:tcW w:w="2440" w:type="dxa"/>
            <w:vAlign w:val="bottom"/>
            <w:gridSpan w:val="5"/>
          </w:tcPr>
          <w:p>
            <w:pPr>
              <w:jc w:val="right"/>
              <w:ind w:right="413"/>
              <w:spacing w:after="0" w:line="139" w:lineRule="exact"/>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2"/>
                <w:szCs w:val="12"/>
                <w:color w:val="auto"/>
              </w:rPr>
            </w:pPr>
          </w:p>
        </w:tc>
        <w:tc>
          <w:tcPr>
            <w:tcW w:w="11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Cumulative</w:t>
            </w:r>
          </w:p>
        </w:tc>
      </w:tr>
      <w:tr>
        <w:trPr>
          <w:trHeight w:val="138"/>
        </w:trPr>
        <w:tc>
          <w:tcPr>
            <w:tcW w:w="3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w:t>
            </w:r>
          </w:p>
        </w:tc>
      </w:tr>
      <w:tr>
        <w:trPr>
          <w:trHeight w:val="158"/>
        </w:trPr>
        <w:tc>
          <w:tcPr>
            <w:tcW w:w="38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to December 31,</w:t>
            </w:r>
          </w:p>
        </w:tc>
      </w:tr>
      <w:tr>
        <w:trPr>
          <w:trHeight w:val="180"/>
        </w:trPr>
        <w:tc>
          <w:tcPr>
            <w:tcW w:w="3880" w:type="dxa"/>
            <w:vAlign w:val="bottom"/>
          </w:tcPr>
          <w:p>
            <w:pPr>
              <w:spacing w:after="0"/>
              <w:rPr>
                <w:sz w:val="15"/>
                <w:szCs w:val="15"/>
                <w:color w:val="auto"/>
              </w:rPr>
            </w:pPr>
          </w:p>
        </w:tc>
        <w:tc>
          <w:tcPr>
            <w:tcW w:w="7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Change</w:t>
            </w:r>
          </w:p>
        </w:tc>
        <w:tc>
          <w:tcPr>
            <w:tcW w:w="1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r>
      <w:tr>
        <w:trPr>
          <w:trHeight w:val="188"/>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right"/>
              <w:ind w:right="73"/>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6"/>
        </w:trPr>
        <w:tc>
          <w:tcPr>
            <w:tcW w:w="3880" w:type="dxa"/>
            <w:vAlign w:val="bottom"/>
            <w:shd w:val="clear" w:color="auto" w:fill="CCFFCC"/>
          </w:tcPr>
          <w:p>
            <w:pPr>
              <w:spacing w:after="0"/>
              <w:rPr>
                <w:sz w:val="20"/>
                <w:szCs w:val="20"/>
                <w:color w:val="auto"/>
              </w:rPr>
            </w:pPr>
            <w:r>
              <w:rPr>
                <w:rFonts w:ascii="Arial" w:cs="Arial" w:eastAsia="Arial" w:hAnsi="Arial"/>
                <w:sz w:val="17"/>
                <w:szCs w:val="17"/>
                <w:color w:val="auto"/>
              </w:rPr>
              <w:t>Net cash used in operating activities</w:t>
            </w:r>
          </w:p>
        </w:tc>
        <w:tc>
          <w:tcPr>
            <w:tcW w:w="720" w:type="dxa"/>
            <w:vAlign w:val="bottom"/>
            <w:shd w:val="clear" w:color="auto" w:fill="CCFFCC"/>
          </w:tcPr>
          <w:p>
            <w:pPr>
              <w:jc w:val="right"/>
              <w:ind w:right="3"/>
              <w:spacing w:after="0"/>
              <w:rPr>
                <w:sz w:val="20"/>
                <w:szCs w:val="20"/>
                <w:color w:val="auto"/>
              </w:rPr>
            </w:pPr>
            <w:r>
              <w:rPr>
                <w:rFonts w:ascii="Arial" w:cs="Arial" w:eastAsia="Arial" w:hAnsi="Arial"/>
                <w:sz w:val="17"/>
                <w:szCs w:val="17"/>
                <w:color w:val="auto"/>
              </w:rPr>
              <w:t>(5,380)</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(6,361)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(981)</w:t>
            </w:r>
          </w:p>
        </w:tc>
        <w:tc>
          <w:tcPr>
            <w:tcW w:w="13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color w:val="auto"/>
              </w:rPr>
              <w:t>(29,303)</w:t>
            </w:r>
          </w:p>
        </w:tc>
      </w:tr>
      <w:tr>
        <w:trPr>
          <w:trHeight w:val="200"/>
        </w:trPr>
        <w:tc>
          <w:tcPr>
            <w:tcW w:w="3880" w:type="dxa"/>
            <w:vAlign w:val="bottom"/>
          </w:tcPr>
          <w:p>
            <w:pPr>
              <w:spacing w:after="0"/>
              <w:rPr>
                <w:sz w:val="20"/>
                <w:szCs w:val="20"/>
                <w:color w:val="auto"/>
              </w:rPr>
            </w:pPr>
            <w:r>
              <w:rPr>
                <w:rFonts w:ascii="Arial" w:cs="Arial" w:eastAsia="Arial" w:hAnsi="Arial"/>
                <w:sz w:val="17"/>
                <w:szCs w:val="17"/>
                <w:color w:val="auto"/>
              </w:rPr>
              <w:t>Net cash provided by (used in) investing activities</w:t>
            </w:r>
          </w:p>
        </w:tc>
        <w:tc>
          <w:tcPr>
            <w:tcW w:w="720" w:type="dxa"/>
            <w:vAlign w:val="bottom"/>
          </w:tcPr>
          <w:p>
            <w:pPr>
              <w:jc w:val="right"/>
              <w:ind w:right="3"/>
              <w:spacing w:after="0"/>
              <w:rPr>
                <w:sz w:val="20"/>
                <w:szCs w:val="20"/>
                <w:color w:val="auto"/>
              </w:rPr>
            </w:pPr>
            <w:r>
              <w:rPr>
                <w:rFonts w:ascii="Arial" w:cs="Arial" w:eastAsia="Arial" w:hAnsi="Arial"/>
                <w:sz w:val="17"/>
                <w:szCs w:val="17"/>
                <w:color w:val="auto"/>
              </w:rPr>
              <w:t>(6)</w:t>
            </w:r>
          </w:p>
        </w:tc>
        <w:tc>
          <w:tcPr>
            <w:tcW w:w="860" w:type="dxa"/>
            <w:vAlign w:val="bottom"/>
            <w:gridSpan w:val="2"/>
          </w:tcPr>
          <w:p>
            <w:pPr>
              <w:jc w:val="right"/>
              <w:ind w:right="53"/>
              <w:spacing w:after="0"/>
              <w:rPr>
                <w:sz w:val="20"/>
                <w:szCs w:val="20"/>
                <w:color w:val="auto"/>
              </w:rPr>
            </w:pPr>
            <w:r>
              <w:rPr>
                <w:rFonts w:ascii="Arial" w:cs="Arial" w:eastAsia="Arial" w:hAnsi="Arial"/>
                <w:sz w:val="17"/>
                <w:szCs w:val="17"/>
                <w:color w:val="auto"/>
              </w:rPr>
              <w:t>2,499</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(2,505)</w:t>
            </w:r>
          </w:p>
        </w:tc>
        <w:tc>
          <w:tcPr>
            <w:tcW w:w="1300" w:type="dxa"/>
            <w:vAlign w:val="bottom"/>
            <w:gridSpan w:val="2"/>
          </w:tcPr>
          <w:p>
            <w:pPr>
              <w:jc w:val="right"/>
              <w:ind w:right="73"/>
              <w:spacing w:after="0"/>
              <w:rPr>
                <w:sz w:val="20"/>
                <w:szCs w:val="20"/>
                <w:color w:val="auto"/>
              </w:rPr>
            </w:pPr>
            <w:r>
              <w:rPr>
                <w:rFonts w:ascii="Arial" w:cs="Arial" w:eastAsia="Arial" w:hAnsi="Arial"/>
                <w:sz w:val="17"/>
                <w:szCs w:val="17"/>
                <w:color w:val="auto"/>
              </w:rPr>
              <w:t>(606)</w:t>
            </w:r>
          </w:p>
        </w:tc>
      </w:tr>
      <w:tr>
        <w:trPr>
          <w:trHeight w:val="200"/>
        </w:trPr>
        <w:tc>
          <w:tcPr>
            <w:tcW w:w="3880" w:type="dxa"/>
            <w:vAlign w:val="bottom"/>
            <w:shd w:val="clear" w:color="auto" w:fill="CCFFCC"/>
          </w:tcPr>
          <w:p>
            <w:pPr>
              <w:spacing w:after="0"/>
              <w:rPr>
                <w:sz w:val="20"/>
                <w:szCs w:val="20"/>
                <w:color w:val="auto"/>
              </w:rPr>
            </w:pPr>
            <w:r>
              <w:rPr>
                <w:rFonts w:ascii="Arial" w:cs="Arial" w:eastAsia="Arial" w:hAnsi="Arial"/>
                <w:sz w:val="17"/>
                <w:szCs w:val="17"/>
                <w:color w:val="auto"/>
              </w:rPr>
              <w:t>Net cash provided by financing activities</w:t>
            </w:r>
          </w:p>
        </w:tc>
        <w:tc>
          <w:tcPr>
            <w:tcW w:w="720" w:type="dxa"/>
            <w:vAlign w:val="bottom"/>
            <w:shd w:val="clear" w:color="auto" w:fill="CCFFCC"/>
          </w:tcPr>
          <w:p>
            <w:pPr>
              <w:jc w:val="right"/>
              <w:ind w:right="43"/>
              <w:spacing w:after="0"/>
              <w:rPr>
                <w:sz w:val="20"/>
                <w:szCs w:val="20"/>
                <w:color w:val="auto"/>
              </w:rPr>
            </w:pPr>
            <w:r>
              <w:rPr>
                <w:rFonts w:ascii="Arial" w:cs="Arial" w:eastAsia="Arial" w:hAnsi="Arial"/>
                <w:sz w:val="17"/>
                <w:szCs w:val="17"/>
                <w:color w:val="auto"/>
              </w:rPr>
              <w:t>1,198</w:t>
            </w:r>
          </w:p>
        </w:tc>
        <w:tc>
          <w:tcPr>
            <w:tcW w:w="8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8,520</w:t>
            </w:r>
          </w:p>
        </w:tc>
        <w:tc>
          <w:tcPr>
            <w:tcW w:w="86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7,322</w:t>
            </w:r>
          </w:p>
        </w:tc>
        <w:tc>
          <w:tcPr>
            <w:tcW w:w="1300" w:type="dxa"/>
            <w:vAlign w:val="bottom"/>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31,160</w:t>
            </w:r>
          </w:p>
        </w:tc>
      </w:tr>
    </w:tbl>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2009, net cash used in operating activities totaled $4.8 million. The increase of $1.6 million used in operating activities, compared to 2009, was mainly due to payments to service providers in connection with the IPO, and other payments made in connection with becoming a public company. These costs included: auditors fees, increased directors insurance and legal counsel.</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During the year ended December 31, 2011, net cash used in investing activities totaled $6,000. These included a decrease in restricted deposit in the total amount of $21,000 and asset purchases in 2011, in the total amount of $27,000. Fixed asset purchases in the year ended December 31, 2010 amounted to $86,000 compared to $34,000 for the year ended December 31, 2009. The increase in fixed asset purchases in 2010 was due to the need to replace certain fixed assets that had fully depreciated and to improve the servers in the research and development facility of our Israeli subsidiary.</w:t>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See also Notes 8, 9 and 11, to the accompanying financial statements for the year ended December 31, 2011.</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During the year ended December 31, 2010, net cash provided by financing activities totaled $8.5 million, which relates to the net proceeds received as a result of the IPO, partially offset by repayment of principal on the venture loan, in the total amount of $0.8 million.</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Future operations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March 2012, Vringo entered into the Merger Agreement with Innovate/Protect. Vringo believes that the Merger, if consummated, will maximize the economic benefits of Vringo’s intellectual property portfolio, add significant talent in technological innovation, and potentially enhance Vringo’s opportunities for revenue</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the fourth quarter of 2011, Vringo announced an agreement with ZTE Corporation, the largest handset maker in China and</w:t>
      </w:r>
    </w:p>
    <w:p>
      <w:pPr>
        <w:spacing w:after="0" w:line="55" w:lineRule="exact"/>
        <w:rPr>
          <w:sz w:val="20"/>
          <w:szCs w:val="20"/>
          <w:color w:val="auto"/>
        </w:rPr>
      </w:pPr>
    </w:p>
    <w:p>
      <w:pPr>
        <w:jc w:val="both"/>
        <w:ind w:left="40" w:right="1239"/>
        <w:spacing w:after="0" w:line="239" w:lineRule="auto"/>
        <w:rPr>
          <w:sz w:val="20"/>
          <w:szCs w:val="20"/>
          <w:color w:val="auto"/>
        </w:rPr>
      </w:pPr>
      <w:r>
        <w:rPr>
          <w:rFonts w:ascii="Arial" w:cs="Arial" w:eastAsia="Arial" w:hAnsi="Arial"/>
          <w:sz w:val="16"/>
          <w:szCs w:val="16"/>
          <w:color w:val="auto"/>
        </w:rPr>
        <w:t>fourth-largest globally, to preload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on Android handsets, which is scheduled to commence late in the second quarter or in the third quarter of 2012. As part of the commercial terms of the agreement, these handsets will be sold via mobile phone operators and through various OEM contracts. Similar arrangement are being pursued with other handset manufacturers, although there can be no assurance that any such opportunities may arise.</w:t>
      </w:r>
    </w:p>
    <w:p>
      <w:pPr>
        <w:spacing w:after="0" w:line="9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Vringo is currently in discussions with several potential strategic partners and mobile carriers and Vringo will be pursuing additional agreements over the next 12 to 24 months. In addition, Vringo is continuing to explore further opportunities for strategic business alliances, however, there can be no assurance that any such opportunities may arise, or that any such opportunities will be consummated.</w:t>
      </w:r>
    </w:p>
    <w:p>
      <w:pPr>
        <w:spacing w:after="0" w:line="7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the Merger is consummated, together with the executive team from Innovate/Protect, Vringo anticipates the creation of additional products and services that will be distributed through Vringo’s existing operator and handset relationships.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Off-Balance Sheet Arrangements</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Vringo has no obligations, assets or liabilities which would be considered off-balance sheet arrangements. Vringo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Estimates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While Vringo’s significant accounting policies are more fully described in the notes to Vringo’s consolidated financial statements for the year ended December 31, 2011, Vringo believes the following accounting policies to be the most critical in understanding the judgments and estimates Vringo use in preparing its consolidated financial statements.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Accounting for Stock-based Compensation</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Vringo accounts for stock-based awards under FASB ASC718, “</w:t>
      </w:r>
      <w:r>
        <w:rPr>
          <w:rFonts w:ascii="Arial" w:cs="Arial" w:eastAsia="Arial" w:hAnsi="Arial"/>
          <w:sz w:val="15"/>
          <w:szCs w:val="15"/>
          <w:i w:val="1"/>
          <w:iCs w:val="1"/>
          <w:color w:val="auto"/>
        </w:rPr>
        <w:t>Compensation — Stock Compensatio</w:t>
      </w:r>
      <w:r>
        <w:rPr>
          <w:rFonts w:ascii="Arial" w:cs="Arial" w:eastAsia="Arial" w:hAnsi="Arial"/>
          <w:sz w:val="15"/>
          <w:szCs w:val="15"/>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5"/>
          <w:szCs w:val="15"/>
          <w:i w:val="1"/>
          <w:iCs w:val="1"/>
          <w:color w:val="auto"/>
        </w:rPr>
        <w:t>Equity-Based Payments to Non Employees</w:t>
      </w:r>
      <w:r>
        <w:rPr>
          <w:rFonts w:ascii="Arial" w:cs="Arial" w:eastAsia="Arial" w:hAnsi="Arial"/>
          <w:sz w:val="15"/>
          <w:szCs w:val="15"/>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Vringo’s estimates, such amounts will be recorded as a cumulative adjustment in the period estimates are revised. Vringo considers various factors when estimating expected forfeitures, including historical experience. Actual results may differ substantially from these estimates.</w:t>
      </w:r>
    </w:p>
    <w:p>
      <w:pPr>
        <w:spacing w:after="0" w:line="6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Vringo determines the fair value of stock options granted to employees, directors and consultants using the Black-Scholes-Merton and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Vringo estimates its expected stock volatility based on historical stock volatility from comparable companies.</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In January 2012, Vringo’s board of directors approved an acceleration of option vesting for all option holders should Vringo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March 31, 2012, Vringo expects to account for no dividends payouts, acceleration of vesting triggered by the Merger with Innovate/Protect will be accounted for upon the consummation of the proposed Merger; moreover, it assumes that the estimated effect of acceleration pursuant to meeting the abovementioned market conditions will be immaterial, due to low probability of occurrence, please refer to Note 5 to the accompanying financial statements for the three months ended March 31, 2012.</w:t>
      </w:r>
    </w:p>
    <w:p>
      <w:pPr>
        <w:spacing w:after="0" w:line="57"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These option pricing models utilize various inputs and assumptions, which are highly subjective. Had Vringo used different assumptions, its results may have been significantly different. For further information on judgments and assessments used, please refer to Note 11 to the consolidated financial statements of Vringo for the year ended December 31, 2011.</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December 29, 2009, Vringo consummated a bridge financing pursuant to which Vringo issued 5% subordinated convertible promissory notes, ("Bridge Notes"), in the aggregate amount of $2.98 million in a private placement, as well as warrants to purchase 795,200 shares of common stock (the“Special Bridge Warrants", and collectively with the Bridge Notes, the“Bridge Financing"). Proceeds from the Bridge Financing were first allocated to the Special Bridge Warrants, which were classified as a derivative liability and recorded at fair value, with the residual amount allocated to the Bridge Notes.</w:t>
      </w:r>
    </w:p>
    <w:p>
      <w:pPr>
        <w:spacing w:after="0" w:line="53"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On December 1, 2011, Vringo entered into financing agreements which triggered anti-dilution provisions in certain of its outstanding warrants. As a result, the exercise price was reduced to $0.94 and the number of Special Bridge Warrants outstanding was adjusted to 2,528,615. Between February 6 and February 14, 2012, Vringo entered into agreements with holders of the Special Bridge Warrants, pursuant to which such holders exercised 2,274,235 Special Bridge Warrants (see also to Notes 3 and 5 to the accompanying financial statements). As of March 31, 2012,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 down-round protection using a Monte-Carlo simulation. The following assumptions were used: 82.95% expected volatility, a risk-free interest rate of 0.50%, estimated life of 2.75 years and no dividend yield.</w:t>
      </w:r>
    </w:p>
    <w:p>
      <w:pPr>
        <w:spacing w:after="0" w:line="60"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Upon the consummation of the IPO, the Bridge Notes automatically converted into 864,332 shares of common stock and 1,728,664 warrants (the“Conversion Warrants"). The Conversion Warrants have down-round protection clauses, i.e. in a new issuance of common shares at a lower price than the current exercise price, the current exercise price will be adjusted to the new issuance price. On December 1, 2011, Vringo entered into financing agreements which triggered anti-dilution provisions in certain of its outstanding warrants. As a result, the exercise price was reduced to $0.94. Between February 6 and February 14, 2012, Vringo entered into agreements with holders of the Special Bridge Warrants and Conversion Warrants, pursuant to which such holders exercised 1,554,758 Conversion Warrants (see also to Notes 3 and 5 to the accompanying financial statements). As of March 31, 2012, the Conversion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w:t>
      </w:r>
    </w:p>
    <w:p>
      <w:pPr>
        <w:spacing w:after="0" w:line="200" w:lineRule="exact"/>
        <w:rPr>
          <w:sz w:val="20"/>
          <w:szCs w:val="20"/>
          <w:color w:val="auto"/>
        </w:rPr>
      </w:pPr>
    </w:p>
    <w:p>
      <w:pPr>
        <w:spacing w:after="0" w:line="28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down-round protection using a Monte-Carlo simulation. The following assumptions were used: 79.26% expected volatility, a risk-free interest rate of 0.60%, estimated life of 3.23 years and no dividend yield.</w:t>
      </w:r>
    </w:p>
    <w:p>
      <w:pPr>
        <w:spacing w:after="0" w:line="6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Between February 6 and February 14, 2012, Vringo entered into agreements with holders of the Special Bridge Warrants and Conversion Warrants, pursuant to which such holders exercised 2,274,235 Special Bridge Warrants and 1,554,758 Conversion Warrants to purchase an aggregate of 3,828,993 shares of its common stock for aggregate proceeds of approximately $3.6 million. In addition, Vringo issued Reload Warrants to purchase an aggregate of 2,660,922 shares of common stock at an exercise price of $1.76 per share in consideration for the immediate exercise of the warrants. 1,392,972 of the Reload Warrants bear down-round protection clauses;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Vringo estimated there is a 30% probability that down-round protection will be activated in September 2012. As of March 31, 2012 fair value of the Preferential Reload Warrants was calculated using the Black-Scholes-Merton and the Monte-Carlo models, using the following assumptions: 73.13% expected volatility, a risk-free interest rate of 1.05%, estimated life of 4.86 years and no dividend yield. Vringo estimated there is a 30% probability that down-round protection will be activated in September 2012.</w:t>
      </w:r>
    </w:p>
    <w:p>
      <w:pPr>
        <w:spacing w:after="0" w:line="7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Had Vringo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its net loss and net loss per share amounts could have been significantly different.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As part of the process of preparing Vringo’s consolidated financial statements, Vringo is required to estimate its income taxes in each of the jurisdictions in which Vringo operates. This process involves management estimating Vringo’s actual current tax exposure together with assessing temporary differences resulting from differing treatment of items for tax and accounting purposes. These differences result in deferred tax assets and liabilities, which are included within Vringo’s consolidated balance sheet. Vringo must then assess the likelihood that its deferred tax assets will be recovered from future taxable income and, to the extent Vringo believes that recovery is not more likely than not, Vringo must establish a valuation allowance. Significant management judgment is required in determining Vringo’s provision for income taxes, Vringo’s deferred tax assets and liabilities and any valuation allowance recorded against Vringo’s net deferred tax assets. At March 31, 2012 and December 31, 2011, Vringo has fully offset its U.S. net deferred tax asset with a valuation allowance. Vringo’s lack of earnings history and the uncertainty surrounding its ability to generate U.S. taxable income prior to the expiration of such deferred tax assets were the primary factors considered by management in establishing the valuation allowance.</w:t>
      </w:r>
    </w:p>
    <w:p>
      <w:pPr>
        <w:spacing w:after="0" w:line="7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ASC 740, “</w:t>
      </w:r>
      <w:r>
        <w:rPr>
          <w:rFonts w:ascii="Arial" w:cs="Arial" w:eastAsia="Arial" w:hAnsi="Arial"/>
          <w:sz w:val="15"/>
          <w:szCs w:val="15"/>
          <w:i w:val="1"/>
          <w:iCs w:val="1"/>
          <w:color w:val="auto"/>
        </w:rPr>
        <w:t>Income Taxes</w:t>
      </w:r>
      <w:r>
        <w:rPr>
          <w:rFonts w:ascii="Arial" w:cs="Arial" w:eastAsia="Arial" w:hAnsi="Arial"/>
          <w:sz w:val="15"/>
          <w:szCs w:val="15"/>
          <w:color w:val="auto"/>
        </w:rPr>
        <w:t>” (formerly FASB Interpretation No. 48, “</w:t>
      </w:r>
      <w:r>
        <w:rPr>
          <w:rFonts w:ascii="Arial" w:cs="Arial" w:eastAsia="Arial" w:hAnsi="Arial"/>
          <w:sz w:val="15"/>
          <w:szCs w:val="15"/>
          <w:i w:val="1"/>
          <w:iCs w:val="1"/>
          <w:color w:val="auto"/>
        </w:rPr>
        <w:t>Accounting for Uncertainty in Income Taxes — an</w:t>
      </w:r>
      <w:r>
        <w:rPr>
          <w:rFonts w:ascii="Arial" w:cs="Arial" w:eastAsia="Arial" w:hAnsi="Arial"/>
          <w:sz w:val="15"/>
          <w:szCs w:val="15"/>
          <w:color w:val="auto"/>
        </w:rPr>
        <w:t xml:space="preserve"> </w:t>
      </w:r>
      <w:r>
        <w:rPr>
          <w:rFonts w:ascii="Arial" w:cs="Arial" w:eastAsia="Arial" w:hAnsi="Arial"/>
          <w:sz w:val="15"/>
          <w:szCs w:val="15"/>
          <w:i w:val="1"/>
          <w:iCs w:val="1"/>
          <w:color w:val="auto"/>
        </w:rPr>
        <w:t>Interpretation of FASB Statement 109</w:t>
      </w:r>
      <w:r>
        <w:rPr>
          <w:rFonts w:ascii="Arial" w:cs="Arial" w:eastAsia="Arial" w:hAnsi="Arial"/>
          <w:sz w:val="15"/>
          <w:szCs w:val="15"/>
          <w:color w:val="auto"/>
        </w:rPr>
        <w:t>”), prescribes how a company should recognize, measure, present and disclose in its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Vringo’s financial position, results of operations, or cash flows.</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Vringo’s financial position, results of operations, or cash flows.</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Vringo does not expect the adoption of ASU 2011-11 in the first quarter of 2013 to have an impact on Vringo’s financial position, results of operations, or cash flows.</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INNOVATE/PROTECT’S BUSINESS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6" w:lineRule="exact"/>
        <w:rPr>
          <w:sz w:val="20"/>
          <w:szCs w:val="20"/>
          <w:color w:val="auto"/>
        </w:rPr>
      </w:pPr>
    </w:p>
    <w:p>
      <w:pPr>
        <w:ind w:left="560" w:hanging="300"/>
        <w:spacing w:after="0"/>
        <w:tabs>
          <w:tab w:leader="none" w:pos="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licensing,</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customized technology solutions,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strategic partnerships; and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litigation.</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5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5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of the Lycos Patents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Upon formation in June 2011, Innovate/Protect acquired its initial patent assets from Lycos through its wholly-owned subsidiary, I/P Engine. Such assets were comprised of eight patents (the “</w:t>
      </w:r>
      <w:r>
        <w:rPr>
          <w:rFonts w:ascii="Arial" w:cs="Arial" w:eastAsia="Arial" w:hAnsi="Arial"/>
          <w:sz w:val="16"/>
          <w:szCs w:val="16"/>
          <w:b w:val="1"/>
          <w:bCs w:val="1"/>
          <w:color w:val="auto"/>
        </w:rPr>
        <w:t>Lycos Patents</w:t>
      </w:r>
      <w:r>
        <w:rPr>
          <w:rFonts w:ascii="Arial" w:cs="Arial" w:eastAsia="Arial" w:hAnsi="Arial"/>
          <w:sz w:val="16"/>
          <w:szCs w:val="16"/>
          <w:color w:val="auto"/>
        </w:rPr>
        <w:t>”)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6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6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0" w:lineRule="auto"/>
        <w:rPr>
          <w:sz w:val="20"/>
          <w:szCs w:val="20"/>
          <w:color w:val="auto"/>
        </w:rPr>
      </w:pPr>
      <w:r>
        <w:rPr>
          <w:rFonts w:ascii="Arial" w:cs="Arial" w:eastAsia="Arial" w:hAnsi="Arial"/>
          <w:sz w:val="15"/>
          <w:szCs w:val="15"/>
          <w:color w:val="auto"/>
        </w:rPr>
        <w:t>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374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880" w:type="dxa"/>
            <w:vAlign w:val="bottom"/>
          </w:tcPr>
          <w:p>
            <w:pPr>
              <w:spacing w:after="0" w:line="131" w:lineRule="exact"/>
              <w:rPr>
                <w:sz w:val="20"/>
                <w:szCs w:val="20"/>
                <w:color w:val="auto"/>
              </w:rPr>
            </w:pPr>
            <w:r>
              <w:rPr>
                <w:rFonts w:ascii="Arial" w:cs="Arial" w:eastAsia="Arial" w:hAnsi="Arial"/>
                <w:sz w:val="13"/>
                <w:szCs w:val="13"/>
                <w:b w:val="1"/>
                <w:bCs w:val="1"/>
                <w:color w:val="auto"/>
              </w:rPr>
              <w:t>Application</w:t>
            </w:r>
          </w:p>
        </w:tc>
        <w:tc>
          <w:tcPr>
            <w:tcW w:w="10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Country</w:t>
            </w:r>
          </w:p>
        </w:tc>
        <w:tc>
          <w:tcPr>
            <w:tcW w:w="10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Filing</w:t>
            </w:r>
          </w:p>
        </w:tc>
        <w:tc>
          <w:tcPr>
            <w:tcW w:w="80" w:type="dxa"/>
            <w:vAlign w:val="bottom"/>
          </w:tcPr>
          <w:p>
            <w:pPr>
              <w:spacing w:after="0"/>
              <w:rPr>
                <w:sz w:val="11"/>
                <w:szCs w:val="11"/>
                <w:color w:val="auto"/>
              </w:rPr>
            </w:pPr>
          </w:p>
        </w:tc>
        <w:tc>
          <w:tcPr>
            <w:tcW w:w="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5"/>
              </w:rPr>
              <w:t>Patent</w:t>
            </w:r>
          </w:p>
        </w:tc>
        <w:tc>
          <w:tcPr>
            <w:tcW w:w="8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Grant</w:t>
            </w:r>
          </w:p>
        </w:tc>
        <w:tc>
          <w:tcPr>
            <w:tcW w:w="10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Expiration</w:t>
            </w:r>
          </w:p>
        </w:tc>
        <w:tc>
          <w:tcPr>
            <w:tcW w:w="100" w:type="dxa"/>
            <w:vAlign w:val="bottom"/>
          </w:tcPr>
          <w:p>
            <w:pPr>
              <w:spacing w:after="0"/>
              <w:rPr>
                <w:sz w:val="11"/>
                <w:szCs w:val="11"/>
                <w:color w:val="auto"/>
              </w:rPr>
            </w:pPr>
          </w:p>
        </w:tc>
        <w:tc>
          <w:tcPr>
            <w:tcW w:w="2360" w:type="dxa"/>
            <w:vAlign w:val="bottom"/>
          </w:tcPr>
          <w:p>
            <w:pPr>
              <w:ind w:left="1040"/>
              <w:spacing w:after="0" w:line="131" w:lineRule="exact"/>
              <w:rPr>
                <w:sz w:val="20"/>
                <w:szCs w:val="20"/>
                <w:color w:val="auto"/>
              </w:rPr>
            </w:pPr>
            <w:r>
              <w:rPr>
                <w:rFonts w:ascii="Arial" w:cs="Arial" w:eastAsia="Arial" w:hAnsi="Arial"/>
                <w:sz w:val="13"/>
                <w:szCs w:val="13"/>
                <w:b w:val="1"/>
                <w:bCs w:val="1"/>
                <w:color w:val="auto"/>
              </w:rPr>
              <w:t>Title</w:t>
            </w:r>
          </w:p>
        </w:tc>
      </w:tr>
      <w:tr>
        <w:trPr>
          <w:trHeight w:val="158"/>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3"/>
                <w:szCs w:val="13"/>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Date</w:t>
            </w:r>
          </w:p>
        </w:tc>
        <w:tc>
          <w:tcPr>
            <w:tcW w:w="100" w:type="dxa"/>
            <w:vAlign w:val="bottom"/>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r>
      <w:tr>
        <w:trPr>
          <w:trHeight w:val="172"/>
        </w:trPr>
        <w:tc>
          <w:tcPr>
            <w:tcW w:w="880" w:type="dxa"/>
            <w:vAlign w:val="bottom"/>
          </w:tcPr>
          <w:p>
            <w:pPr>
              <w:spacing w:after="0"/>
              <w:rPr>
                <w:sz w:val="20"/>
                <w:szCs w:val="20"/>
                <w:color w:val="auto"/>
              </w:rPr>
            </w:pPr>
            <w:r>
              <w:rPr>
                <w:rFonts w:ascii="Arial" w:cs="Arial" w:eastAsia="Arial" w:hAnsi="Arial"/>
                <w:sz w:val="15"/>
                <w:szCs w:val="15"/>
                <w:color w:val="auto"/>
              </w:rPr>
              <w:t>09204149</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0"/>
              </w:rPr>
              <w:t>12/03/1998</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88"/>
              </w:rPr>
              <w:t>6314420</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0"/>
              </w:rPr>
              <w:t>11/06/2001</w:t>
            </w:r>
          </w:p>
        </w:tc>
        <w:tc>
          <w:tcPr>
            <w:tcW w:w="1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5"/>
                <w:szCs w:val="15"/>
                <w:color w:val="auto"/>
                <w:w w:val="90"/>
              </w:rPr>
              <w:t>12/03/2018</w:t>
            </w:r>
          </w:p>
        </w:tc>
        <w:tc>
          <w:tcPr>
            <w:tcW w:w="10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2"/>
              </w:rPr>
              <w:t>Collaborative/Adaptive Search Engine</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10045198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10/22/2001</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6775664</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08/10/2004</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4"/>
              </w:rPr>
              <w:t>10/22/2021  Information Filter System and Method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for Integrated Content-Based and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Collaborative/Adaptive Feedback</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Queries</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08627436</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04/04/1996</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5867799</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02/02/1999</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8"/>
              </w:rPr>
              <w:t>04/04/2016  An Information System and Method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for Filtering a Massive Flow of</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Entities to Meet User</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Classification Needs</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09186407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11/05/1998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5983214</w:t>
            </w:r>
          </w:p>
        </w:tc>
        <w:tc>
          <w:tcPr>
            <w:tcW w:w="800" w:type="dxa"/>
            <w:vAlign w:val="bottom"/>
            <w:gridSpan w:val="2"/>
          </w:tcPr>
          <w:p>
            <w:pPr>
              <w:jc w:val="center"/>
              <w:ind w:left="5"/>
              <w:spacing w:after="0"/>
              <w:rPr>
                <w:sz w:val="20"/>
                <w:szCs w:val="20"/>
                <w:color w:val="auto"/>
              </w:rPr>
            </w:pPr>
            <w:r>
              <w:rPr>
                <w:rFonts w:ascii="Arial" w:cs="Arial" w:eastAsia="Arial" w:hAnsi="Arial"/>
                <w:sz w:val="15"/>
                <w:szCs w:val="15"/>
                <w:color w:val="auto"/>
                <w:w w:val="90"/>
              </w:rPr>
              <w:t>11/09/1999</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rPr>
              <w:t>11/05/2018  System and Method Employing</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7"/>
              </w:rPr>
              <w:t>Individual User Content-Based Data</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0"/>
              </w:rPr>
              <w:t>and User Collaborative Feedback Data</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to Evaluate the Content of an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Information Entity in a Large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6"/>
              </w:rPr>
              <w:t>Information Communication Network</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09195709</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11/19/1998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6029161</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02/22/2000</w:t>
            </w:r>
          </w:p>
        </w:tc>
        <w:tc>
          <w:tcPr>
            <w:tcW w:w="840" w:type="dxa"/>
            <w:vAlign w:val="bottom"/>
            <w:gridSpan w:val="2"/>
          </w:tcPr>
          <w:p>
            <w:pPr>
              <w:ind w:left="140"/>
              <w:spacing w:after="0"/>
              <w:rPr>
                <w:sz w:val="20"/>
                <w:szCs w:val="20"/>
                <w:color w:val="auto"/>
              </w:rPr>
            </w:pPr>
            <w:r>
              <w:rPr>
                <w:rFonts w:ascii="Arial" w:cs="Arial" w:eastAsia="Arial" w:hAnsi="Arial"/>
                <w:sz w:val="15"/>
                <w:szCs w:val="15"/>
                <w:color w:val="auto"/>
                <w:w w:val="90"/>
              </w:rPr>
              <w:t>11/19/2018</w:t>
            </w: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Multi-level Mindpool System</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Especially Adapted to Provide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8"/>
              </w:rPr>
              <w:t>Collaborative Filter Data for a Large</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Scale Information Filtering System</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09195708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11/19/1998</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6308175</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10/23/2001</w:t>
            </w:r>
          </w:p>
        </w:tc>
        <w:tc>
          <w:tcPr>
            <w:tcW w:w="840" w:type="dxa"/>
            <w:vAlign w:val="bottom"/>
            <w:gridSpan w:val="2"/>
          </w:tcPr>
          <w:p>
            <w:pPr>
              <w:ind w:left="140"/>
              <w:spacing w:after="0"/>
              <w:rPr>
                <w:sz w:val="20"/>
                <w:szCs w:val="20"/>
                <w:color w:val="auto"/>
              </w:rPr>
            </w:pPr>
            <w:r>
              <w:rPr>
                <w:rFonts w:ascii="Arial" w:cs="Arial" w:eastAsia="Arial" w:hAnsi="Arial"/>
                <w:sz w:val="15"/>
                <w:szCs w:val="15"/>
                <w:color w:val="auto"/>
                <w:w w:val="90"/>
              </w:rPr>
              <w:t>11/19/2018</w:t>
            </w: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Integrated Collaborative/Content-</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Based Filter Structure Employing</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Selectively Shared, Content-Based</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w w:val="98"/>
              </w:rPr>
              <w:t>Profile Data to Evaluate Information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Entities in a Massive Information</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Network</w:t>
            </w:r>
          </w:p>
        </w:tc>
      </w:t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09587144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06/02/2000</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6640218</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10/28/2003</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w w:val="95"/>
              </w:rPr>
              <w:t>06/02/2020  Estimating the Usefulness of an Item</w:t>
            </w:r>
          </w:p>
        </w:tc>
      </w:tr>
      <w:tr>
        <w:trPr>
          <w:trHeight w:val="188"/>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Arial" w:cs="Arial" w:eastAsia="Arial" w:hAnsi="Arial"/>
                <w:sz w:val="15"/>
                <w:szCs w:val="15"/>
                <w:color w:val="auto"/>
              </w:rPr>
              <w:t>in a Collection of Information</w:t>
            </w:r>
          </w:p>
        </w:tc>
      </w:tr>
      <w:tr>
        <w:trPr>
          <w:trHeight w:val="190"/>
        </w:trPr>
        <w:tc>
          <w:tcPr>
            <w:tcW w:w="880" w:type="dxa"/>
            <w:vAlign w:val="bottom"/>
          </w:tcPr>
          <w:p>
            <w:pPr>
              <w:spacing w:after="0"/>
              <w:rPr>
                <w:sz w:val="20"/>
                <w:szCs w:val="20"/>
                <w:color w:val="auto"/>
              </w:rPr>
            </w:pPr>
            <w:r>
              <w:rPr>
                <w:rFonts w:ascii="Arial" w:cs="Arial" w:eastAsia="Arial" w:hAnsi="Arial"/>
                <w:sz w:val="15"/>
                <w:szCs w:val="15"/>
                <w:color w:val="auto"/>
              </w:rPr>
              <w:t>09803540</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5"/>
                <w:szCs w:val="15"/>
                <w:color w:val="auto"/>
                <w:w w:val="91"/>
              </w:rPr>
              <w:t>United States</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90"/>
              </w:rPr>
              <w:t>03/09/2001</w:t>
            </w:r>
          </w:p>
        </w:tc>
        <w:tc>
          <w:tcPr>
            <w:tcW w:w="82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7228493</w:t>
            </w:r>
          </w:p>
        </w:tc>
        <w:tc>
          <w:tcPr>
            <w:tcW w:w="80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06/05/2007</w:t>
            </w:r>
          </w:p>
        </w:tc>
        <w:tc>
          <w:tcPr>
            <w:tcW w:w="100" w:type="dxa"/>
            <w:vAlign w:val="bottom"/>
          </w:tcPr>
          <w:p>
            <w:pPr>
              <w:spacing w:after="0"/>
              <w:rPr>
                <w:sz w:val="16"/>
                <w:szCs w:val="16"/>
                <w:color w:val="auto"/>
              </w:rPr>
            </w:pPr>
          </w:p>
        </w:tc>
        <w:tc>
          <w:tcPr>
            <w:tcW w:w="3200" w:type="dxa"/>
            <w:vAlign w:val="bottom"/>
            <w:gridSpan w:val="3"/>
          </w:tcPr>
          <w:p>
            <w:pPr>
              <w:ind w:left="40"/>
              <w:spacing w:after="0"/>
              <w:rPr>
                <w:sz w:val="20"/>
                <w:szCs w:val="20"/>
                <w:color w:val="auto"/>
              </w:rPr>
            </w:pPr>
            <w:r>
              <w:rPr>
                <w:rFonts w:ascii="Arial" w:cs="Arial" w:eastAsia="Arial" w:hAnsi="Arial"/>
                <w:sz w:val="15"/>
                <w:szCs w:val="15"/>
                <w:color w:val="auto"/>
              </w:rPr>
              <w:t>03/09/2021  Serving Content to a Client</w:t>
            </w:r>
          </w:p>
        </w:tc>
      </w:tr>
    </w:tbl>
    <w:p>
      <w:pPr>
        <w:spacing w:after="0" w:line="94"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Background on Intellectual Property Asset Enforcement Market</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Innovate/Protect’s Initial Litigation</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48"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 xml:space="preserve">The court docket for the case, including the parties’ briefs, is publicly available on the Public Access to Court Electronic Records website (“PACER”), </w:t>
      </w:r>
      <w:r>
        <w:rPr>
          <w:rFonts w:ascii="Arial" w:cs="Arial" w:eastAsia="Arial" w:hAnsi="Arial"/>
          <w:sz w:val="16"/>
          <w:szCs w:val="16"/>
          <w:i w:val="1"/>
          <w:iCs w:val="1"/>
          <w:color w:val="auto"/>
        </w:rPr>
        <w:t>www.pacer.gov</w:t>
      </w:r>
      <w:r>
        <w:rPr>
          <w:rFonts w:ascii="Arial" w:cs="Arial" w:eastAsia="Arial" w:hAnsi="Arial"/>
          <w:sz w:val="16"/>
          <w:szCs w:val="16"/>
          <w:color w:val="auto"/>
        </w:rPr>
        <w:t>, which is operated by the Administrative Office of the U.S. Courts.</w:t>
      </w:r>
    </w:p>
    <w:p>
      <w:pPr>
        <w:spacing w:after="0" w:line="4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7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4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9" w:lineRule="auto"/>
        <w:rPr>
          <w:sz w:val="20"/>
          <w:szCs w:val="20"/>
          <w:color w:val="auto"/>
        </w:rPr>
      </w:pPr>
      <w:r>
        <w:rPr>
          <w:rFonts w:ascii="Arial" w:cs="Arial" w:eastAsia="Arial" w:hAnsi="Arial"/>
          <w:sz w:val="16"/>
          <w:szCs w:val="16"/>
          <w:color w:val="auto"/>
        </w:rPr>
        <w:t xml:space="preserve">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w:t>
      </w:r>
    </w:p>
    <w:p>
      <w:pPr>
        <w:spacing w:after="0" w:line="66"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5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Within the </w:t>
      </w:r>
      <w:r>
        <w:rPr>
          <w:rFonts w:ascii="Arial" w:cs="Arial" w:eastAsia="Arial" w:hAnsi="Arial"/>
          <w:sz w:val="15"/>
          <w:szCs w:val="15"/>
          <w:i w:val="1"/>
          <w:iCs w:val="1"/>
          <w:color w:val="auto"/>
        </w:rPr>
        <w:t>Markman</w:t>
      </w:r>
      <w:r>
        <w:rPr>
          <w:rFonts w:ascii="Arial" w:cs="Arial" w:eastAsia="Arial" w:hAnsi="Arial"/>
          <w:sz w:val="15"/>
          <w:szCs w:val="15"/>
          <w:color w:val="auto"/>
        </w:rPr>
        <w:t xml:space="preserve">,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w:t>
      </w:r>
      <w:r>
        <w:rPr>
          <w:rFonts w:ascii="Arial" w:cs="Arial" w:eastAsia="Arial" w:hAnsi="Arial"/>
          <w:sz w:val="15"/>
          <w:szCs w:val="15"/>
          <w:i w:val="1"/>
          <w:iCs w:val="1"/>
          <w:color w:val="auto"/>
        </w:rPr>
        <w:t>Markman</w:t>
      </w:r>
      <w:r>
        <w:rPr>
          <w:rFonts w:ascii="Arial" w:cs="Arial" w:eastAsia="Arial" w:hAnsi="Arial"/>
          <w:sz w:val="15"/>
          <w:szCs w:val="15"/>
          <w:color w:val="auto"/>
        </w:rPr>
        <w:t xml:space="preserve">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w:t>
      </w:r>
      <w:r>
        <w:rPr>
          <w:rFonts w:ascii="Arial" w:cs="Arial" w:eastAsia="Arial" w:hAnsi="Arial"/>
          <w:sz w:val="15"/>
          <w:szCs w:val="15"/>
          <w:i w:val="1"/>
          <w:iCs w:val="1"/>
          <w:color w:val="auto"/>
        </w:rPr>
        <w:t>http://www.pacer.uscourts.gov/</w:t>
      </w:r>
      <w:r>
        <w:rPr>
          <w:rFonts w:ascii="Arial" w:cs="Arial" w:eastAsia="Arial" w:hAnsi="Arial"/>
          <w:sz w:val="15"/>
          <w:szCs w:val="15"/>
          <w:color w:val="auto"/>
        </w:rPr>
        <w:t>, and was also filed by Vringo with the Securities and Exchange Commission.</w:t>
      </w:r>
    </w:p>
    <w:p>
      <w:pPr>
        <w:spacing w:after="0" w:line="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Growth Strategy</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Through Innovate/Protect’s wholly owned subsidiary, I/P Engine, Innovate/Protect intends to continue to seek to generate license revenue and related cash flows from parties who infringe on or use the Lycos Patents.</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7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6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200" w:lineRule="exact"/>
        <w:rPr>
          <w:sz w:val="20"/>
          <w:szCs w:val="20"/>
          <w:color w:val="auto"/>
        </w:rPr>
      </w:pPr>
    </w:p>
    <w:p>
      <w:pPr>
        <w:spacing w:after="0" w:line="30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Competition</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 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Relationship with Hudson Bay Master Fund Ltd.</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Hudson Bay is the principal stockholder of Innovate/Protect and holds significant control rights with respect to the management of its business and assets. On June 22, 2011, Innovate/Protect consummated a private placement transaction with Hudson Bay whereby Hudson Bay purchased 6,968 shares of Innovate/Protect’s Series A Preferred for $1,800,000 and Senior Secured Note of Innovate/Protect in the aggregate principal amount of $3,200,000.</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shares of Series A Preferred may be converted by Hudson Bay into shares of Innovate/Protect’s common stock. The conversion formula is subject to adjustments and anti-dilution protections, including but not limited to, adjusting the conversion price to account for the issuance of additional securities by Innovate/Protect below the existing conversion price and for stock splits, stock dividends and recapitalizations of Innovate/Protect’s capital stock.</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Hudson Bay is entitled to vote the shares of Series A Preferred on an as converted basis, giving Hudson Bay effective control over Innovate/Protect, and as the Series A Preferred holder, Hudson Bay is entitled to vote together with the holders of the common stock as a single class on all matters. As the holder of Series A Preferred, Hudson Bay also has the right to vote separately as a class to elect a majority of Innovate/Protect’s board of directors and the terms of the Series A Preferred restricts Innovate/Protect from performing certain actions without the prior consent of Hudson Bay.</w:t>
      </w:r>
    </w:p>
    <w:p>
      <w:pPr>
        <w:spacing w:after="0" w:line="6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At Hudson Bay’s option, the shares of the Series A Preferred are also subject to redemption upon certain triggering events such as (i) Innovate/Protect’s failure or refusal to convert the Series A Preferred into shares of common stock, (ii) Innovate/Protect’s failure to have a sufficient number of authorized shares of common stock reserved for conversion of the Series A Preferred, (iii) any default, redemption or acceleration of any indebtedness of Innovate/Protect or its subsidiaries, (iv) Innovate/Protect voluntarily commences a bankruptcy proceeding on Innovate/Protect’s behalf, Innovate/Protect consents to involuntary bankruptcy, appointment of a receiver, trustee, assignee, liquidator or similar official for bankruptcy purposes, a general assignment for the benefit of creditors or admit in writing that Innovate/Protect is generally unable to pay its debts as they become due, or (v) a judgment against Innovate/Protect in an amount in excess of $250,000. In addition, pursuant to the terms of the Series A Preferred, Innovate/Protect’s board of directors must obtain written approval from Hudson Bay to issue any capital stock superior, pari-passu or junior in rank to the Series A Preferred.</w:t>
      </w:r>
    </w:p>
    <w:p>
      <w:pPr>
        <w:spacing w:after="0" w:line="7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Pursuant to its terms, the Senior Secured Note matures on June 22, 2014 and accrues interest at a rate of 0.46%, with interest being payable on the first calendar day of each quarter after the issuance date. In the event of default, the interest rate will increase to 18%. The Senior Secured Note is also subject to redemption rights,</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whereby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Innovate/Protect to redeem up to $2,000,000 of the aggregate principal amount of the Senior Secured Note.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Hudson Bay agreed that until the earlier of (i) any termination of the Merger Agreement pursuant to the terms of the Merger Agreement and (ii) the effective time of the Merger, it shall not sell, transfer, dispose of or encumber (x) the Senior Secured Note or any portion thereof or interest thereon unless the recipient of such Senior Secured Note agrees in writing with Innovate/Protect to adhere to Hudson Bay’s obligations pursuant to the letter agreement or (y) any shares of Innovate/Protect Series A Stock, unless the recipient of such Innovate/Protect Series A Stock grants Hudson Bay a proxy with respect to the voting of such Innovate/Protect Series A Stock with respect to the Merger Agreement, the Merger and any related matter or agrees in writing with Hudson Bay to vote in accordance with any and all instructions that Hudson Bay may deliver to such recipient with respect to the Merger Agreement, the Merger or any related matter. The Senior Secured Note ranks senior to all outstanding and future indebtedness of Innovate/Protect and is secured by a first priority perfected security interest in all of Innovate/Protect and its subsidiaries’ assets (including the Lycos Patents).</w:t>
      </w:r>
    </w:p>
    <w:p>
      <w:pPr>
        <w:spacing w:after="0" w:line="26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September 1, 2011, Innovate/Protect issued to Hudson Bay a warrant to purchase 250,000 shares of common stock in exchange for Hudson Bay agreeing to waive its anti-dilution rights with respect to certain transactions and for waiving its right to future directors’ fees for its principals. The warrant is exercisable for five years to purchase one share of Innovate/Protect’s common stock at an exercise price of $1.00 per share. Such warrant is immediately exercisable and subject to cashless exercise provisions.</w:t>
      </w:r>
    </w:p>
    <w:p>
      <w:pPr>
        <w:spacing w:after="0" w:line="80"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6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Yoav Roth, the former chairman of Innovate/Protect’s board of directors, is a founding partner of Hudson Bay Capital Management LP, the investment manager of Hudson Bay. Mr. Roth tendered his resignation from Innovate/Protect’s board of directors, effective March 15, 2012. Alexander R. Berger, Innovate/Protect’s Secretary, Treasurer, Chief Operating Officer, Chief Financial Officer and Director, was an employee of Hudson Bay Capital from February 2008 to August 2011, most recently as Vice President.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Previous Financings</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Innovate/Protect raised an aggregate of $5,145,229 through the sale of its common stock to investors other than Hudson Bay pursuant to private placement transactions. Such private placements are described below.</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On August 31, 2011, Innovate/Protect closed a private placement of 1,250,000 shares of its common stock to an aggregate of five accredited investors for an aggregate purchase price of $1,250,000.</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Employees</w:t>
      </w:r>
    </w:p>
    <w:p>
      <w:pPr>
        <w:spacing w:after="0" w:line="109"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As of June 20, 2012, Innovate/Protect had three full-time employees and one part-time employee. None of Innovate/Protect’s employees are subject to a collective bargaining agreement, and Innovate/Protect believes its employee relations to be good.</w:t>
      </w:r>
    </w:p>
    <w:p>
      <w:pPr>
        <w:spacing w:after="0" w:line="200" w:lineRule="exact"/>
        <w:rPr>
          <w:sz w:val="20"/>
          <w:szCs w:val="20"/>
          <w:color w:val="auto"/>
        </w:rPr>
      </w:pPr>
    </w:p>
    <w:p>
      <w:pPr>
        <w:spacing w:after="0" w:line="23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Property and Facilities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Innovate/Protect leases its principal executive offices at 380 Madison Avenue, 22nd Floor, New York, New York.</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Innovate/Protect’s lease term ends in January 25, 2014. Innovate/Protect pays $3,602 per month for its headquarters space.</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Legal Proceedings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Corporate Information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is headquartered in New York, New York and was incorporated in Delaware in 2011. Innovate/Protect’s</w:t>
      </w:r>
    </w:p>
    <w:p>
      <w:pPr>
        <w:spacing w:after="0" w:line="43" w:lineRule="exact"/>
        <w:rPr>
          <w:sz w:val="20"/>
          <w:szCs w:val="20"/>
          <w:color w:val="auto"/>
        </w:rPr>
      </w:pPr>
    </w:p>
    <w:p>
      <w:pPr>
        <w:jc w:val="both"/>
        <w:ind w:left="40" w:right="1239"/>
        <w:spacing w:after="0" w:line="222"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The information on or that can be accessed through Innovate/Protect’s website is not part of this proxy statement/prospectus.</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line="272" w:lineRule="auto"/>
        <w:rPr>
          <w:sz w:val="20"/>
          <w:szCs w:val="20"/>
          <w:color w:val="auto"/>
        </w:rPr>
      </w:pPr>
      <w:r>
        <w:rPr>
          <w:rFonts w:ascii="Arial" w:cs="Arial" w:eastAsia="Arial" w:hAnsi="Arial"/>
          <w:sz w:val="17"/>
          <w:szCs w:val="17"/>
          <w:b w:val="1"/>
          <w:bCs w:val="1"/>
          <w:color w:val="auto"/>
        </w:rPr>
        <w:t>INNOVATE/PROTECT’S MANAGEMENT’S DISCUSSION AND ANALYSIS OF FINANCIAL CONDITION AND RESULTS OF OPERATIONS</w:t>
      </w:r>
    </w:p>
    <w:p>
      <w:pPr>
        <w:spacing w:after="0" w:line="62"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i w:val="1"/>
          <w:iCs w:val="1"/>
          <w:color w:val="auto"/>
        </w:rPr>
        <w:t>This discussion of Innovate/Protect’s financial condition and results of operations should be read together with the consolidated financial statements and notes contained elsewhere in this proxy statement/prospectus. Certain statements in this section and other sections are forward-looking. While Innovate/Protect believes these statements are accurate, its business is dependent on many factors, some of which are discussed in the sections entitled “Risk Factors” and “Innovate/Protect’s Business.” Many of these factors are beyond Innovate/Protect’s control and any of these and other factors could cause actual results to differ materially from the forward-looking statements made in this proxy statement/prospectus. See the section entitled “Risk Factors” for further information regarding these factors. Innovate/Protect undertakes no obligation to release publicly the results of any revisions to the statements contained in this report to reflect events or circumstances that occur subsequent to the date of this proxy statement/prospectus.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Overview and Plan of Operations</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its inception in June 2011, Innovate/Protect has been engaged in the following activities:</w:t>
      </w:r>
    </w:p>
    <w:p>
      <w:pPr>
        <w:spacing w:after="0" w:line="105" w:lineRule="exact"/>
        <w:rPr>
          <w:sz w:val="20"/>
          <w:szCs w:val="20"/>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securing initial debt and equity capital from Hudson Bay;</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performing due diligence on, negotiating and completing the purchase of the Lycos Patents;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recruiting management team, board of directors and advisors;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establishing a physical location from which to operate;</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establishing systems of internal control over financial reporting and implementation of financial operation systems;</w:t>
      </w:r>
    </w:p>
    <w:p>
      <w:pPr>
        <w:spacing w:after="0" w:line="116" w:lineRule="exact"/>
        <w:rPr>
          <w:rFonts w:ascii="Arial" w:cs="Arial" w:eastAsia="Arial" w:hAnsi="Arial"/>
          <w:sz w:val="16"/>
          <w:szCs w:val="16"/>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securing subsequent equity capital from private investors;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initiating and prosecuting lawsuit against those Innovate/Protect believes infringe on the Lycos Patents;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developing Innovate/Protect’s business plan as described herein and planning for future business activities; and</w:t>
      </w:r>
    </w:p>
    <w:p>
      <w:pPr>
        <w:spacing w:after="0" w:line="116" w:lineRule="exact"/>
        <w:rPr>
          <w:rFonts w:ascii="Arial" w:cs="Arial" w:eastAsia="Arial" w:hAnsi="Arial"/>
          <w:sz w:val="16"/>
          <w:szCs w:val="16"/>
          <w:color w:val="auto"/>
        </w:rPr>
      </w:pPr>
    </w:p>
    <w:p>
      <w:pPr>
        <w:ind w:left="560" w:right="1239" w:hanging="300"/>
        <w:spacing w:after="0" w:line="267" w:lineRule="auto"/>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selecting registered independent auditing firm and undertaking an audit of financial statements from inception through December 31, 2011; and</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Identifying and pursuing general and specific strategic opportunities and engaging in discussions intended to further develop the opportunities.</w:t>
      </w:r>
    </w:p>
    <w:p>
      <w:pPr>
        <w:spacing w:after="0" w:line="62" w:lineRule="exact"/>
        <w:rPr>
          <w:sz w:val="20"/>
          <w:szCs w:val="20"/>
          <w:color w:val="auto"/>
        </w:rPr>
      </w:pPr>
    </w:p>
    <w:p>
      <w:pPr>
        <w:ind w:left="40" w:right="1239" w:firstLine="251"/>
        <w:spacing w:after="0" w:line="272" w:lineRule="auto"/>
        <w:rPr>
          <w:sz w:val="20"/>
          <w:szCs w:val="20"/>
          <w:color w:val="auto"/>
        </w:rPr>
      </w:pPr>
      <w:r>
        <w:rPr>
          <w:rFonts w:ascii="Arial" w:cs="Arial" w:eastAsia="Arial" w:hAnsi="Arial"/>
          <w:sz w:val="17"/>
          <w:szCs w:val="17"/>
          <w:color w:val="auto"/>
        </w:rPr>
        <w:t>On March 12, 2012, Innovate/Protect entered into an Agreement and Plan of Merger with Vringo, Inc. (“</w:t>
      </w:r>
      <w:r>
        <w:rPr>
          <w:rFonts w:ascii="Arial" w:cs="Arial" w:eastAsia="Arial" w:hAnsi="Arial"/>
          <w:sz w:val="17"/>
          <w:szCs w:val="17"/>
          <w:b w:val="1"/>
          <w:bCs w:val="1"/>
          <w:color w:val="auto"/>
        </w:rPr>
        <w:t>Vringo</w:t>
      </w:r>
      <w:r>
        <w:rPr>
          <w:rFonts w:ascii="Arial" w:cs="Arial" w:eastAsia="Arial" w:hAnsi="Arial"/>
          <w:sz w:val="17"/>
          <w:szCs w:val="17"/>
          <w:color w:val="auto"/>
        </w:rPr>
        <w:t>”) and VIP Merger Sub, Inc. (the “</w:t>
      </w:r>
      <w:r>
        <w:rPr>
          <w:rFonts w:ascii="Arial" w:cs="Arial" w:eastAsia="Arial" w:hAnsi="Arial"/>
          <w:sz w:val="17"/>
          <w:szCs w:val="17"/>
          <w:b w:val="1"/>
          <w:bCs w:val="1"/>
          <w:color w:val="auto"/>
        </w:rPr>
        <w:t>Merger Agreement</w:t>
      </w:r>
      <w:r>
        <w:rPr>
          <w:rFonts w:ascii="Arial" w:cs="Arial" w:eastAsia="Arial" w:hAnsi="Arial"/>
          <w:sz w:val="17"/>
          <w:szCs w:val="17"/>
          <w:color w:val="auto"/>
        </w:rPr>
        <w:t>”).</w:t>
      </w:r>
    </w:p>
    <w:p>
      <w:pPr>
        <w:spacing w:after="0" w:line="62"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Innovate/Protect’s financial operating results for the period from inception through March 31, 2012 reflect these activities, which activities are discussed in further detail in the section of this prospectus captioned “Innovate/Protect’s Business.”</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Innovate/Protect’s plan of operation for the foreseeable future will be to:</w:t>
      </w:r>
    </w:p>
    <w:p>
      <w:pPr>
        <w:spacing w:after="0" w:line="105" w:lineRule="exact"/>
        <w:rPr>
          <w:sz w:val="20"/>
          <w:szCs w:val="20"/>
          <w:color w:val="auto"/>
        </w:rPr>
      </w:pPr>
    </w:p>
    <w:p>
      <w:pPr>
        <w:jc w:val="both"/>
        <w:ind w:left="560" w:right="1239" w:hanging="300"/>
        <w:spacing w:after="0" w:line="280" w:lineRule="auto"/>
        <w:tabs>
          <w:tab w:leader="none" w:pos="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right="1239" w:hanging="300"/>
        <w:spacing w:after="0" w:line="267"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the extent that time and resources allow, seek strategic opportunities and seek to acquire or internally develop additional intellectual property assets that Innovate/Protect will then seek to monetize.</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Formation and Issuance and Valuation of Securities at Inception</w:t>
      </w:r>
    </w:p>
    <w:p>
      <w:pPr>
        <w:spacing w:after="0" w:line="109"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4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76"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w:t>
      </w:r>
    </w:p>
    <w:p>
      <w:pPr>
        <w:spacing w:after="0" w:line="6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4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Hudson Bay’s $1,800,000 investment in the shares of Series A Preferred was initially convertible on demand into 6,968,000 shares of Innovate/Protect common stock. The initial valuation of the Series A</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5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 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7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Innovate/Protect estimates its legal fees to be approximately $275,000 in April, $775,000 in May, $275,000 for each of June, July, August 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w:t>
      </w:r>
    </w:p>
    <w:p>
      <w:pPr>
        <w:spacing w:after="0" w:line="6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Innovate/Protect estimates that its short term operating expenses will be approximately $210,000 per month from April to December 2012, or $1.89 million for the period. Short term operating expenses include Note interest expense, payroll and employee benefit expenses, occupancy (rent) expenses, telecom expenses, transportation and lodging expenses, public relations expenses, and a reserve contingency. Notably, the reserve contingency is $100,000 per month for unforeseen costs and delays. Innovate/Protect budgeted a large contingency amount, relative to the total budget, given the uncertainty inherent with litigation and its limited operating history.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Results of Operations</w:t>
      </w:r>
    </w:p>
    <w:p>
      <w:pPr>
        <w:spacing w:after="0" w:line="109"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The following table reflects Innovate/Protect's consolidated operating results for the three months ended March 31, 2012, from June 8, 2011 (Inception) through March 31, 2012, and from June 8, 2011 (Inception)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11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For the Three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Period from</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Period from</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Months Ended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0"/>
              </w:rPr>
              <w:t>June 8, 2011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June 8, 2011</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6"/>
              </w:rPr>
              <w:t>March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4"/>
              </w:rPr>
              <w:t>(Inception) to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(Inception) to</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6"/>
              </w:rPr>
              <w:t>March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93"/>
        </w:trPr>
        <w:tc>
          <w:tcPr>
            <w:tcW w:w="33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Revenue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0</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0</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0</w:t>
            </w:r>
          </w:p>
        </w:tc>
        <w:tc>
          <w:tcPr>
            <w:tcW w:w="3100" w:type="dxa"/>
            <w:vAlign w:val="bottom"/>
          </w:tcPr>
          <w:p>
            <w:pPr>
              <w:spacing w:after="0"/>
              <w:rPr>
                <w:sz w:val="16"/>
                <w:szCs w:val="16"/>
                <w:color w:val="auto"/>
              </w:rPr>
            </w:pPr>
          </w:p>
        </w:tc>
      </w:tr>
      <w:tr>
        <w:trPr>
          <w:trHeight w:val="200"/>
        </w:trPr>
        <w:tc>
          <w:tcPr>
            <w:tcW w:w="33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Legal</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1,171,920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2,274,020</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1,102,100</w:t>
            </w:r>
          </w:p>
        </w:tc>
        <w:tc>
          <w:tcPr>
            <w:tcW w:w="3100" w:type="dxa"/>
            <w:vAlign w:val="bottom"/>
          </w:tcPr>
          <w:p>
            <w:pPr>
              <w:spacing w:after="0"/>
              <w:rPr>
                <w:sz w:val="17"/>
                <w:szCs w:val="17"/>
                <w:color w:val="auto"/>
              </w:rPr>
            </w:pPr>
          </w:p>
        </w:tc>
      </w:tr>
      <w:tr>
        <w:trPr>
          <w:trHeight w:val="200"/>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Compensation</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378,408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1,375,321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996,913</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Amortization and depreciation</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156,137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484,415</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105,971</w:t>
            </w:r>
          </w:p>
        </w:tc>
        <w:tc>
          <w:tcPr>
            <w:tcW w:w="3100" w:type="dxa"/>
            <w:vAlign w:val="bottom"/>
          </w:tcPr>
          <w:p>
            <w:pPr>
              <w:spacing w:after="0"/>
              <w:rPr>
                <w:sz w:val="17"/>
                <w:szCs w:val="17"/>
                <w:color w:val="auto"/>
              </w:rPr>
            </w:pPr>
          </w:p>
        </w:tc>
      </w:tr>
      <w:tr>
        <w:trPr>
          <w:trHeight w:val="200"/>
        </w:trPr>
        <w:tc>
          <w:tcPr>
            <w:tcW w:w="3380" w:type="dxa"/>
            <w:vAlign w:val="bottom"/>
            <w:gridSpan w:val="2"/>
          </w:tcPr>
          <w:p>
            <w:pPr>
              <w:ind w:left="16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161,605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374,797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328,278</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Startup and organizational costs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105,971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105,971</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380" w:type="dxa"/>
            <w:vAlign w:val="bottom"/>
            <w:gridSpan w:val="2"/>
          </w:tcPr>
          <w:p>
            <w:pPr>
              <w:ind w:left="340"/>
              <w:spacing w:after="0" w:line="193" w:lineRule="exact"/>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6"/>
                <w:szCs w:val="16"/>
                <w:color w:val="auto"/>
              </w:rPr>
            </w:pPr>
          </w:p>
        </w:tc>
        <w:tc>
          <w:tcPr>
            <w:tcW w:w="10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1,868,070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4,614,524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2,746,454</w:t>
            </w:r>
          </w:p>
        </w:tc>
        <w:tc>
          <w:tcPr>
            <w:tcW w:w="3100" w:type="dxa"/>
            <w:vAlign w:val="bottom"/>
          </w:tcPr>
          <w:p>
            <w:pPr>
              <w:spacing w:after="0"/>
              <w:rPr>
                <w:sz w:val="16"/>
                <w:szCs w:val="16"/>
                <w:color w:val="auto"/>
              </w:rPr>
            </w:pPr>
          </w:p>
        </w:tc>
      </w:tr>
      <w:tr>
        <w:trPr>
          <w:trHeight w:val="200"/>
        </w:trPr>
        <w:tc>
          <w:tcPr>
            <w:tcW w:w="33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(1,868,070)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94"/>
              </w:rPr>
              <w:t>(4,614,524)</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(2,746,454)</w:t>
            </w:r>
          </w:p>
        </w:tc>
        <w:tc>
          <w:tcPr>
            <w:tcW w:w="3100" w:type="dxa"/>
            <w:vAlign w:val="bottom"/>
          </w:tcPr>
          <w:p>
            <w:pPr>
              <w:spacing w:after="0"/>
              <w:rPr>
                <w:sz w:val="17"/>
                <w:szCs w:val="17"/>
                <w:color w:val="auto"/>
              </w:rPr>
            </w:pPr>
          </w:p>
        </w:tc>
      </w:tr>
      <w:tr>
        <w:trPr>
          <w:trHeight w:val="200"/>
        </w:trPr>
        <w:tc>
          <w:tcPr>
            <w:tcW w:w="338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3,680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7,728</w:t>
            </w:r>
          </w:p>
        </w:tc>
        <w:tc>
          <w:tcPr>
            <w:tcW w:w="3100" w:type="dxa"/>
            <w:vAlign w:val="bottom"/>
          </w:tcPr>
          <w:p>
            <w:pPr>
              <w:spacing w:after="0"/>
              <w:rPr>
                <w:sz w:val="17"/>
                <w:szCs w:val="17"/>
                <w:color w:val="auto"/>
              </w:rPr>
            </w:pPr>
          </w:p>
        </w:tc>
      </w:tr>
      <w:tr>
        <w:trPr>
          <w:trHeight w:val="200"/>
        </w:trPr>
        <w:tc>
          <w:tcPr>
            <w:tcW w:w="33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applicable to common shareholders</w:t>
            </w:r>
          </w:p>
        </w:tc>
        <w:tc>
          <w:tcPr>
            <w:tcW w:w="12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(1,871,750)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w w:val="94"/>
              </w:rPr>
              <w:t>(4,625,932)</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(2,754,182)</w:t>
            </w:r>
          </w:p>
        </w:tc>
        <w:tc>
          <w:tcPr>
            <w:tcW w:w="3100" w:type="dxa"/>
            <w:vAlign w:val="bottom"/>
          </w:tcPr>
          <w:p>
            <w:pPr>
              <w:spacing w:after="0"/>
              <w:rPr>
                <w:sz w:val="17"/>
                <w:szCs w:val="17"/>
                <w:color w:val="auto"/>
              </w:rPr>
            </w:pPr>
          </w:p>
        </w:tc>
      </w:tr>
      <w:tr>
        <w:trPr>
          <w:trHeight w:val="727"/>
        </w:trPr>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-1105535</wp:posOffset>
            </wp:positionV>
            <wp:extent cx="4408170" cy="135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Operating Expenses</w:t>
      </w:r>
    </w:p>
    <w:p>
      <w:pPr>
        <w:spacing w:after="0" w:line="109"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60"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Operating and administrative expenses for the period from inception through March 31, 2012 reflect expenses incurred in connection with Innovate/Protect’s formation and commencement of operations. The net loss for the period of $4,625,931 is not comparable to a previous period. The loss for the period includes legal expenses totaling $2,274,020, of which $105,971 were to organize Innovate/Protect, and the balance to prepare, file and commence a lawsuit against those parties that Innovate/Protect believes have infringed on the Lycos Patents. Compensation expense includes $246,251 of salary and expenses directly related to the salaries of two executive officers, and $558,373 of stock-based compensation to the two executive officers, two members of the board and a consultant. Amortization and depreciation includes $482,862 of patent amortization expenses and $1,553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in the amount of $195,188 have been capitalized in the cost of the patents and are being amortized along with the purchase price.</w:t>
      </w:r>
    </w:p>
    <w:p>
      <w:pPr>
        <w:spacing w:after="0" w:line="6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Operating and administrative expenses for the quarter ended March 31, 2012 reflect expenses incurred in connection with Innovate/Protect’s litigation and overhead. The net loss for the period of $1,871,750 is not comparable to a previous period. The loss for the period includes legal expenses totaling $1,171,920. Compensation expense was $378,408, including $84,255 of stock based compensation. Amortization and depreciation expense of $156,137 are mainly related to period amortization of Innovate/Protect's patents.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Interest Expense</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Interest expense reflects an interest rate of 0.46% on the principal amount of $3,200,000 under the Senior Secured Note held by Hudson Bay for ten days in June and for the remainder of the year ended December 31, 2011. Interest was all paid in cash and none was accrued at March 31, 2012.</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Critical Accounting Estimates</w:t>
      </w:r>
    </w:p>
    <w:p>
      <w:pPr>
        <w:spacing w:after="0" w:line="109" w:lineRule="exact"/>
        <w:rPr>
          <w:sz w:val="20"/>
          <w:szCs w:val="20"/>
          <w:color w:val="auto"/>
        </w:rPr>
      </w:pPr>
    </w:p>
    <w:p>
      <w:pPr>
        <w:jc w:val="both"/>
        <w:ind w:left="40" w:right="1239"/>
        <w:spacing w:after="0" w:line="250" w:lineRule="auto"/>
        <w:rPr>
          <w:sz w:val="20"/>
          <w:szCs w:val="20"/>
          <w:color w:val="auto"/>
        </w:rPr>
      </w:pPr>
      <w:r>
        <w:rPr>
          <w:rFonts w:ascii="Arial" w:cs="Arial" w:eastAsia="Arial" w:hAnsi="Arial"/>
          <w:sz w:val="17"/>
          <w:szCs w:val="17"/>
          <w:b w:val="1"/>
          <w:bCs w:val="1"/>
          <w:i w:val="1"/>
          <w:iCs w:val="1"/>
          <w:color w:val="auto"/>
        </w:rPr>
        <w:t xml:space="preserve">Related party debt: </w:t>
      </w:r>
      <w:r>
        <w:rPr>
          <w:rFonts w:ascii="Arial" w:cs="Arial" w:eastAsia="Arial" w:hAnsi="Arial"/>
          <w:sz w:val="17"/>
          <w:szCs w:val="17"/>
          <w:color w:val="auto"/>
        </w:rPr>
        <w:t>Innovate/Protect is obligated under a note payable to Hudson Bay with an outstanding balance of $3,200,000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2011 and March 31, 2012 (the “</w:t>
      </w:r>
      <w:r>
        <w:rPr>
          <w:rFonts w:ascii="Arial" w:cs="Arial" w:eastAsia="Arial" w:hAnsi="Arial"/>
          <w:sz w:val="17"/>
          <w:szCs w:val="17"/>
          <w:b w:val="1"/>
          <w:bCs w:val="1"/>
          <w:color w:val="auto"/>
        </w:rPr>
        <w:t>Hudson Bay Note</w:t>
      </w:r>
      <w:r>
        <w:rPr>
          <w:rFonts w:ascii="Arial" w:cs="Arial" w:eastAsia="Arial" w:hAnsi="Arial"/>
          <w:sz w:val="17"/>
          <w:szCs w:val="17"/>
          <w:color w:val="auto"/>
        </w:rPr>
        <w:t>”). At March 31, 2011, Hudson Bay owned a sufficient amount of the outstanding preferred stock of Innovate/Protect, convertible upon demand to common stock sufficient to control Innovate/Protect. The Hudson Bay Note accrues interest at 0.46% per annum and matures on June 22, 2014. Innovate/Protect has granted Hudson Bay a security interest in all tangible and intangible personal property of Innovate/Protect and its subsidiaries to secure its obligations under the Hudson Bay Note.</w:t>
      </w:r>
    </w:p>
    <w:p>
      <w:pPr>
        <w:spacing w:after="0" w:line="81"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Hudson Bay has the option of requiring Innovate/Protect to redeem up to $2,000,000 aggregate principal of the Hudson Bay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w:t>
      </w: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Innovate/Protect to redeem the Hudson Bay Note in the event of a change of control or in event of default at a redemption price, pursuant to a formula, of up to 125% of the sum of the portion of the principal amount and any accrued and unpaid interest. On May 8, 2012, Hudson Bay and Innovate/Protect entered into a letter agreement to clarify the mutual understanding between the parties that the transactions contemplated by the Merger Agreement do not constitute a change in control.</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31, 2012, there were no known conditions of default.</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Innovate/Protect determined there was an embedded derivative since certain redemption options were determined not to be clearly and closely related to the debt host. Innovate/Protect also determined that the fair value of the embedded derivative was zero at December 31, 2011 and March 31, 2012 since the probability of change in control or event of default in the near future is remote. The gross amount Innovate/Protect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w:t>
      </w:r>
    </w:p>
    <w:p>
      <w:pPr>
        <w:spacing w:after="0" w:line="6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Innovate/Protect will evaluate the fair value of the derivative each reporting period and report changes in the fair value as other income (expense), net.</w:t>
      </w:r>
    </w:p>
    <w:p>
      <w:pPr>
        <w:spacing w:after="0" w:line="66"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Innovate/Protect has made the following types of stock-based awards, valued and reflected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as follows:</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Common Stock Grants: </w:t>
      </w:r>
      <w:r>
        <w:rPr>
          <w:rFonts w:ascii="Arial" w:cs="Arial" w:eastAsia="Arial" w:hAnsi="Arial"/>
          <w:sz w:val="17"/>
          <w:szCs w:val="17"/>
          <w:color w:val="auto"/>
        </w:rPr>
        <w:t>Common stock grants are valued at their fair market value at the date of the grant, multiplied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granted. These grants are reflected as compensation expense in the period during which the respective awards vest, ranging from immediate to 36 months from the grant dates.</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Sales of Common Stock at Less than Fair Market Value: </w:t>
      </w:r>
      <w:r>
        <w:rPr>
          <w:rFonts w:ascii="Arial" w:cs="Arial" w:eastAsia="Arial" w:hAnsi="Arial"/>
          <w:sz w:val="15"/>
          <w:szCs w:val="15"/>
          <w:color w:val="auto"/>
        </w:rPr>
        <w:t>Common stock sales at less than fair market value to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200" w:lineRule="exact"/>
        <w:rPr>
          <w:sz w:val="20"/>
          <w:szCs w:val="20"/>
          <w:color w:val="auto"/>
        </w:rPr>
      </w:pPr>
    </w:p>
    <w:p>
      <w:pPr>
        <w:spacing w:after="0" w:line="26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Common Stock Options: </w:t>
      </w:r>
      <w:r>
        <w:rPr>
          <w:rFonts w:ascii="Arial" w:cs="Arial" w:eastAsia="Arial" w:hAnsi="Arial"/>
          <w:sz w:val="17"/>
          <w:szCs w:val="17"/>
          <w:color w:val="auto"/>
        </w:rPr>
        <w:t>Common stock options are valued at their fair market value at the time the options are granted, 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Black-Scholes option pricing model for valuing stock-based compensation awards. Common stock options are reflected as compensation expense in the period during which they vest.</w:t>
      </w:r>
    </w:p>
    <w:p>
      <w:pPr>
        <w:spacing w:after="0" w:line="76" w:lineRule="exact"/>
        <w:rPr>
          <w:sz w:val="20"/>
          <w:szCs w:val="20"/>
          <w:color w:val="auto"/>
        </w:rPr>
      </w:pPr>
    </w:p>
    <w:p>
      <w:pPr>
        <w:jc w:val="both"/>
        <w:ind w:left="40" w:right="1239"/>
        <w:spacing w:after="0" w:line="269" w:lineRule="auto"/>
        <w:rPr>
          <w:sz w:val="20"/>
          <w:szCs w:val="20"/>
          <w:color w:val="auto"/>
        </w:rPr>
      </w:pPr>
      <w:r>
        <w:rPr>
          <w:rFonts w:ascii="Arial" w:cs="Arial" w:eastAsia="Arial" w:hAnsi="Arial"/>
          <w:sz w:val="16"/>
          <w:szCs w:val="16"/>
          <w:b w:val="1"/>
          <w:bCs w:val="1"/>
          <w:i w:val="1"/>
          <w:iCs w:val="1"/>
          <w:color w:val="auto"/>
        </w:rPr>
        <w:t xml:space="preserve">Fair value of common stock: </w:t>
      </w:r>
      <w:r>
        <w:rPr>
          <w:rFonts w:ascii="Arial" w:cs="Arial" w:eastAsia="Arial" w:hAnsi="Arial"/>
          <w:sz w:val="16"/>
          <w:szCs w:val="16"/>
          <w:color w:val="auto"/>
        </w:rPr>
        <w:t>At inception, Innovate/Protect determined the fair value of each common share to be $.25832.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determined the amount of capital it estimated would be required ($1,800,000) to carry Innovate/Protect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Innovate/Protect’s Series A Preferred Stock sold would convert upon demand, in accordance with the terms of the Series A Preferred Stock.</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Subsequent to inception, Innovate/Protect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2" w:lineRule="exact"/>
        <w:rPr>
          <w:sz w:val="20"/>
          <w:szCs w:val="20"/>
          <w:color w:val="auto"/>
        </w:rPr>
      </w:pPr>
    </w:p>
    <w:p>
      <w:pPr>
        <w:jc w:val="both"/>
        <w:ind w:left="40" w:right="1239"/>
        <w:spacing w:after="0" w:line="307"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Deferred income tax assets and liabilities are determined using the asset and liability method. Under this method,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4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Innovate/Protect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Innovate/Protect’s policy to classify interest and penalties related to uncertain income tax matters as income tax expense.</w:t>
      </w:r>
    </w:p>
    <w:p>
      <w:pPr>
        <w:spacing w:after="0" w:line="78"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b w:val="1"/>
          <w:bCs w:val="1"/>
          <w:i w:val="1"/>
          <w:iCs w:val="1"/>
          <w:color w:val="auto"/>
        </w:rPr>
        <w:t xml:space="preserve">Intangible assets: </w:t>
      </w:r>
      <w:r>
        <w:rPr>
          <w:rFonts w:ascii="Arial" w:cs="Arial" w:eastAsia="Arial" w:hAnsi="Arial"/>
          <w:sz w:val="15"/>
          <w:szCs w:val="15"/>
          <w:color w:val="auto"/>
        </w:rPr>
        <w:t>Intangible assets consist of patents that were purchased and the costs to acquire them. They are amortized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Liquidity and Capital Resources</w:t>
      </w:r>
    </w:p>
    <w:p>
      <w:pPr>
        <w:spacing w:after="0" w:line="109"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Based on current operating plans, additional resources that may be required for the continuation of Innovate/Protect’s operations approximates $3.4 million and $7.5 million, for the twelve month periods ending March 31, 2013 and March 31, 2014, respectively. Through the merger with Vringo, Innovate/Protect will have access to the joint companies’ cash resources. Alternatively, Innovate/Protect would need to raise capital from investors in a private placement of its securities.</w:t>
      </w:r>
    </w:p>
    <w:p>
      <w:pPr>
        <w:spacing w:after="0" w:line="200" w:lineRule="exact"/>
        <w:rPr>
          <w:sz w:val="20"/>
          <w:szCs w:val="20"/>
          <w:color w:val="auto"/>
        </w:rPr>
      </w:pPr>
    </w:p>
    <w:p>
      <w:pPr>
        <w:spacing w:after="0" w:line="30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The Hudson Bay Senior Secured Note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Innovate/Protect is obligated under a Senior Secured Note payable to Hudson Bay with an outstanding balance of $3,200,000 at December 31, 2011 and March 31, 2012. The Senior Secured Note accrues interest at 0.46% per annum and matures on June 22, 2014.</w:t>
      </w:r>
    </w:p>
    <w:p>
      <w:pPr>
        <w:spacing w:after="0" w:line="7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 Patents) to secure its obligations under the Senior Secured Note.</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The Hudson Bay Debt Facility</w:t>
      </w:r>
    </w:p>
    <w:p>
      <w:pPr>
        <w:spacing w:after="0" w:line="105"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w:t>
      </w:r>
    </w:p>
    <w:p>
      <w:pPr>
        <w:spacing w:after="0" w:line="200" w:lineRule="exact"/>
        <w:rPr>
          <w:sz w:val="20"/>
          <w:szCs w:val="20"/>
          <w:color w:val="auto"/>
        </w:rPr>
      </w:pPr>
    </w:p>
    <w:p>
      <w:pPr>
        <w:spacing w:after="0" w:line="28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Working Capital and Capital Expenditure Needs</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of March 31, 2012, Innovate/Protect had cash of $3,979,671 and working capital of $1,153,529.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For the period from inception through March 31, 2012, Innovate/Protect used $6,165,554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53"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Innovate/Protect  may  raise  additional  capital  in  the  form  of  equity  or  debt.  The  issuance  of  additional  shares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Innovate/Protect’s capital stock:</w:t>
      </w:r>
    </w:p>
    <w:p>
      <w:pPr>
        <w:spacing w:after="0" w:line="93" w:lineRule="exact"/>
        <w:rPr>
          <w:sz w:val="20"/>
          <w:szCs w:val="20"/>
          <w:color w:val="auto"/>
        </w:rPr>
      </w:pPr>
    </w:p>
    <w:p>
      <w:pPr>
        <w:ind w:left="560" w:hanging="300"/>
        <w:spacing w:after="0"/>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may significantly reduce the equity interest of Innovate/Protect stockholders;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may cause economic dilution to Innovate/Protect stockholders;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may subordinate the rights of holders of common stock if preferred stock is issued with rights senior to those afforded to the holders of Innovate/Protect common stock; 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Innovate/Protect common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Similarly, if Innovate/Protect incurs substantial debt, it could result in:</w:t>
      </w:r>
    </w:p>
    <w:p>
      <w:pPr>
        <w:spacing w:after="0" w:line="105" w:lineRule="exact"/>
        <w:rPr>
          <w:sz w:val="20"/>
          <w:szCs w:val="20"/>
          <w:color w:val="auto"/>
        </w:rPr>
      </w:pPr>
    </w:p>
    <w:p>
      <w:pPr>
        <w:ind w:left="560" w:right="1239" w:hanging="300"/>
        <w:spacing w:after="0" w:line="267" w:lineRule="auto"/>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default and foreclosure on Innovate/Protect’s assets if its operating cash flow is insufficient to pay Innovate/Protect’s debt obligations;</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60" w:right="1239" w:hanging="300"/>
        <w:spacing w:after="0" w:line="253"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77"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Innovate/Protect’s immediate payment of all principal and accrued interest, if any, if the debt security is payable on demand;</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covenants that limit the ability to acquire capital assets or make additional acquisitions;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Innovate/Protect’s inability to obtain additional financing, if necessary, if the debt security contains covenants restricting its ability to obtain additional financing while such security is outstanding;</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Innovate/Protect’s inability to pay dividends on its common stock;</w:t>
      </w:r>
    </w:p>
    <w:p>
      <w:pPr>
        <w:spacing w:after="0" w:line="105"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76" w:lineRule="exact"/>
        <w:rPr>
          <w:rFonts w:ascii="Arial" w:cs="Arial" w:eastAsia="Arial" w:hAnsi="Arial"/>
          <w:sz w:val="17"/>
          <w:szCs w:val="17"/>
          <w:color w:val="auto"/>
        </w:rPr>
      </w:pPr>
    </w:p>
    <w:p>
      <w:pPr>
        <w:ind w:left="560" w:hanging="300"/>
        <w:spacing w:after="0"/>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limitations on Innovate/Protect’s flexibility in planning for and reacting to changes in its business and industry;</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increased vulnerability to adverse changes in general economic, industry and competitive conditions and adverse changes in government regulation; and</w:t>
      </w:r>
    </w:p>
    <w:p>
      <w:pPr>
        <w:spacing w:after="0" w:line="66" w:lineRule="exact"/>
        <w:rPr>
          <w:rFonts w:ascii="Arial" w:cs="Arial" w:eastAsia="Arial" w:hAnsi="Arial"/>
          <w:sz w:val="17"/>
          <w:szCs w:val="17"/>
          <w:color w:val="auto"/>
        </w:rPr>
      </w:pPr>
    </w:p>
    <w:p>
      <w:pPr>
        <w:jc w:val="both"/>
        <w:ind w:left="560" w:right="1239" w:hanging="300"/>
        <w:spacing w:after="0" w:line="256" w:lineRule="auto"/>
        <w:tabs>
          <w:tab w:leader="none" w:pos="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Contractual Obligations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July 2011, Innovate/Protect entered into a license agreement with a non-affiliated third party to lease office space in New York City. The license is for a term of two years and five months and requires monthly payments in the amount of $2,152. In April 2012, Innovate/Protect entered into a second license agreement with the same non-affiliated third party to lease additional office space in the same location in New York City. The license is for a term of approximately one year and nine months and requires monthly payments in the amount of $1,450.</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Innovate/Protect’s contractual commitments and obligations as of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40" w:type="dxa"/>
            <w:vAlign w:val="bottom"/>
          </w:tcPr>
          <w:p>
            <w:pPr>
              <w:jc w:val="right"/>
              <w:ind w:right="181"/>
              <w:spacing w:after="0" w:line="14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40" w:type="dxa"/>
            <w:vAlign w:val="bottom"/>
          </w:tcPr>
          <w:p>
            <w:pPr>
              <w:jc w:val="right"/>
              <w:ind w:right="89"/>
              <w:spacing w:after="0" w:line="14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2"/>
                <w:szCs w:val="12"/>
                <w:color w:val="auto"/>
              </w:rPr>
            </w:pPr>
          </w:p>
        </w:tc>
        <w:tc>
          <w:tcPr>
            <w:tcW w:w="840" w:type="dxa"/>
            <w:vAlign w:val="bottom"/>
          </w:tcPr>
          <w:p>
            <w:pPr>
              <w:jc w:val="right"/>
              <w:ind w:right="208"/>
              <w:spacing w:after="0" w:line="148"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83"/>
              <w:spacing w:after="0" w:line="148" w:lineRule="exact"/>
              <w:rPr>
                <w:sz w:val="20"/>
                <w:szCs w:val="20"/>
                <w:color w:val="auto"/>
              </w:rPr>
            </w:pPr>
            <w:r>
              <w:rPr>
                <w:rFonts w:ascii="Arial" w:cs="Arial" w:eastAsia="Arial" w:hAnsi="Arial"/>
                <w:sz w:val="13"/>
                <w:szCs w:val="13"/>
                <w:b w:val="1"/>
                <w:bCs w:val="1"/>
                <w:color w:val="auto"/>
                <w:w w:val="96"/>
              </w:rPr>
              <w:t>More than</w:t>
            </w:r>
          </w:p>
        </w:tc>
        <w:tc>
          <w:tcPr>
            <w:tcW w:w="0" w:type="dxa"/>
            <w:vAlign w:val="bottom"/>
          </w:tcPr>
          <w:p>
            <w:pPr>
              <w:spacing w:after="0"/>
              <w:rPr>
                <w:sz w:val="1"/>
                <w:szCs w:val="1"/>
                <w:color w:val="auto"/>
              </w:rPr>
            </w:pPr>
          </w:p>
        </w:tc>
      </w:tr>
      <w:tr>
        <w:trPr>
          <w:trHeight w:val="158"/>
        </w:trPr>
        <w:tc>
          <w:tcPr>
            <w:tcW w:w="3060" w:type="dxa"/>
            <w:vAlign w:val="bottom"/>
            <w:vMerge w:val="restart"/>
          </w:tcPr>
          <w:p>
            <w:pPr>
              <w:spacing w:after="0"/>
              <w:rPr>
                <w:sz w:val="20"/>
                <w:szCs w:val="20"/>
                <w:color w:val="auto"/>
              </w:rPr>
            </w:pPr>
            <w:r>
              <w:rPr>
                <w:rFonts w:ascii="Arial" w:cs="Arial" w:eastAsia="Arial" w:hAnsi="Arial"/>
                <w:sz w:val="17"/>
                <w:szCs w:val="17"/>
                <w:color w:val="auto"/>
              </w:rPr>
              <w:t>Long-term debt obligations</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1 year</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years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3 years</w:t>
            </w:r>
          </w:p>
        </w:tc>
        <w:tc>
          <w:tcPr>
            <w:tcW w:w="0" w:type="dxa"/>
            <w:vAlign w:val="bottom"/>
          </w:tcPr>
          <w:p>
            <w:pPr>
              <w:spacing w:after="0"/>
              <w:rPr>
                <w:sz w:val="1"/>
                <w:szCs w:val="1"/>
                <w:color w:val="auto"/>
              </w:rPr>
            </w:pPr>
          </w:p>
        </w:tc>
      </w:tr>
      <w:tr>
        <w:trPr>
          <w:trHeight w:val="193"/>
        </w:trPr>
        <w:tc>
          <w:tcPr>
            <w:tcW w:w="3060" w:type="dxa"/>
            <w:vAlign w:val="bottom"/>
            <w:vMerge w:val="continue"/>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6"/>
              </w:rPr>
              <w:t>$ 3,200,000</w:t>
            </w:r>
          </w:p>
        </w:tc>
        <w:tc>
          <w:tcPr>
            <w:tcW w:w="1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4"/>
              </w:rPr>
              <w:t>$ 2,000,000</w:t>
            </w:r>
          </w:p>
        </w:tc>
        <w:tc>
          <w:tcPr>
            <w:tcW w:w="14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color w:val="auto"/>
                <w:w w:val="86"/>
              </w:rPr>
              <w:t>$ 1,200,000</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23"/>
              <w:spacing w:after="0" w:line="193"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0"/>
        </w:trPr>
        <w:tc>
          <w:tcPr>
            <w:tcW w:w="3060" w:type="dxa"/>
            <w:vAlign w:val="bottom"/>
            <w:shd w:val="clear" w:color="auto" w:fill="CCFFCC"/>
          </w:tcPr>
          <w:p>
            <w:pPr>
              <w:spacing w:after="0"/>
              <w:rPr>
                <w:sz w:val="20"/>
                <w:szCs w:val="20"/>
                <w:color w:val="auto"/>
              </w:rPr>
            </w:pPr>
            <w:r>
              <w:rPr>
                <w:rFonts w:ascii="Arial" w:cs="Arial" w:eastAsia="Arial" w:hAnsi="Arial"/>
                <w:sz w:val="17"/>
                <w:szCs w:val="17"/>
                <w:color w:val="auto"/>
              </w:rPr>
              <w:t>Operating lease obligations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79,244</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43,224</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36,020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ind w:right="223"/>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3"/>
        </w:trPr>
        <w:tc>
          <w:tcPr>
            <w:tcW w:w="3060" w:type="dxa"/>
            <w:vAlign w:val="bottom"/>
          </w:tcPr>
          <w:p>
            <w:pPr>
              <w:ind w:left="160"/>
              <w:spacing w:after="0"/>
              <w:rPr>
                <w:sz w:val="20"/>
                <w:szCs w:val="20"/>
                <w:color w:val="auto"/>
              </w:rPr>
            </w:pPr>
            <w:r>
              <w:rPr>
                <w:rFonts w:ascii="Arial" w:cs="Arial" w:eastAsia="Arial" w:hAnsi="Arial"/>
                <w:sz w:val="17"/>
                <w:szCs w:val="17"/>
                <w:color w:val="auto"/>
              </w:rPr>
              <w:t>Total contractual obligations</w:t>
            </w:r>
          </w:p>
        </w:tc>
        <w:tc>
          <w:tcPr>
            <w:tcW w:w="840" w:type="dxa"/>
            <w:vAlign w:val="bottom"/>
          </w:tcPr>
          <w:p>
            <w:pPr>
              <w:jc w:val="right"/>
              <w:spacing w:after="0"/>
              <w:rPr>
                <w:sz w:val="20"/>
                <w:szCs w:val="20"/>
                <w:color w:val="auto"/>
              </w:rPr>
            </w:pPr>
            <w:r>
              <w:rPr>
                <w:rFonts w:ascii="Arial" w:cs="Arial" w:eastAsia="Arial" w:hAnsi="Arial"/>
                <w:sz w:val="17"/>
                <w:szCs w:val="17"/>
                <w:color w:val="auto"/>
                <w:w w:val="86"/>
              </w:rPr>
              <w:t>$ 3,279,244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$ 2,043,224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$ 1,236,020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223"/>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 Balance Sheet Transactions</w:t>
      </w:r>
    </w:p>
    <w:p>
      <w:pPr>
        <w:spacing w:after="0" w:line="109"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Innovate/Protect is not party to any off balance sheet transactions. Innovate/Protect has no guarantees or obligations other than those which arise out of normal business operations.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became effective for Innovate/Protect during the interim period beginning January 1, 2012. The adoption does not have any impact on Innovate/Protect’s financial position or results of operations.</w:t>
      </w:r>
    </w:p>
    <w:p>
      <w:pPr>
        <w:spacing w:after="0" w:line="6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became effective for Innovate/Protect during the interim period beginning January 1, 2012. Innovate/Protect currently does not have any components of other comprehensive income within its consolidated financial statements thus adoption of this new guidance does not impact Innovate/Protect.</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MANAGEMENT OF THE COMBINED COMPANY FOLLOWING THE MERGER</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Executive Officers and Directors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Executive Officers and Directors of the Combined Company Following the Merger</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Vringo board of directors is currently composed of six directors. Pursuant to the Merger Agreement, following the completion of the Merger, the board of directors of the combined company will be composed of seven directors, three of whom are current directors of Vringo and four of whom are current directors of Innovate/Protect.</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lists the names, ages as of June 20, 2012, and positions of the individuals who are expected to serve as executive officers and directors of the combined company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605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605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Age</w:t>
            </w:r>
          </w:p>
        </w:tc>
        <w:tc>
          <w:tcPr>
            <w:tcW w:w="140" w:type="dxa"/>
            <w:vAlign w:val="bottom"/>
          </w:tcPr>
          <w:p>
            <w:pPr>
              <w:spacing w:after="0"/>
              <w:rPr>
                <w:sz w:val="14"/>
                <w:szCs w:val="14"/>
                <w:color w:val="auto"/>
              </w:rPr>
            </w:pPr>
          </w:p>
        </w:tc>
        <w:tc>
          <w:tcPr>
            <w:tcW w:w="432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Position</w:t>
            </w:r>
          </w:p>
        </w:tc>
      </w:tr>
      <w:tr>
        <w:trPr>
          <w:trHeight w:val="218"/>
        </w:trPr>
        <w:tc>
          <w:tcPr>
            <w:tcW w:w="1920" w:type="dxa"/>
            <w:vAlign w:val="bottom"/>
          </w:tcPr>
          <w:p>
            <w:pPr>
              <w:spacing w:after="0"/>
              <w:rPr>
                <w:sz w:val="20"/>
                <w:szCs w:val="20"/>
                <w:color w:val="auto"/>
              </w:rPr>
            </w:pPr>
            <w:r>
              <w:rPr>
                <w:rFonts w:ascii="Arial" w:cs="Arial" w:eastAsia="Arial" w:hAnsi="Arial"/>
                <w:sz w:val="17"/>
                <w:szCs w:val="17"/>
                <w:color w:val="auto"/>
              </w:rPr>
              <w:t>Andrew D. Perlman</w:t>
            </w:r>
          </w:p>
        </w:tc>
        <w:tc>
          <w:tcPr>
            <w:tcW w:w="1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34</w:t>
            </w:r>
          </w:p>
        </w:tc>
        <w:tc>
          <w:tcPr>
            <w:tcW w:w="140" w:type="dxa"/>
            <w:vAlign w:val="bottom"/>
          </w:tcPr>
          <w:p>
            <w:pPr>
              <w:spacing w:after="0"/>
              <w:rPr>
                <w:sz w:val="18"/>
                <w:szCs w:val="18"/>
                <w:color w:val="auto"/>
              </w:rPr>
            </w:pPr>
          </w:p>
        </w:tc>
        <w:tc>
          <w:tcPr>
            <w:tcW w:w="4320" w:type="dxa"/>
            <w:vAlign w:val="bottom"/>
          </w:tcPr>
          <w:p>
            <w:pPr>
              <w:spacing w:after="0" w:line="218"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5"/>
                <w:szCs w:val="25"/>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Andrew Kennedy Lang</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45</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Chief Technology Officer and President</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Seth M. Siegel</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58</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Chairman of the Board of Directors</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Alexander R. Berger</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29</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Chief Operating Officer and Secretary</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John Engelman</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56</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Donald E. Stout</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65</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38"/>
        </w:trPr>
        <w:tc>
          <w:tcPr>
            <w:tcW w:w="1920" w:type="dxa"/>
            <w:vAlign w:val="bottom"/>
          </w:tcPr>
          <w:p>
            <w:pPr>
              <w:spacing w:after="0"/>
              <w:rPr>
                <w:sz w:val="20"/>
                <w:szCs w:val="20"/>
                <w:color w:val="auto"/>
              </w:rPr>
            </w:pPr>
            <w:r>
              <w:rPr>
                <w:rFonts w:ascii="Arial" w:cs="Arial" w:eastAsia="Arial" w:hAnsi="Arial"/>
                <w:sz w:val="17"/>
                <w:szCs w:val="17"/>
                <w:color w:val="auto"/>
              </w:rPr>
              <w:t>H. Van Sinclair</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59</w:t>
            </w:r>
          </w:p>
        </w:tc>
        <w:tc>
          <w:tcPr>
            <w:tcW w:w="140" w:type="dxa"/>
            <w:vAlign w:val="bottom"/>
          </w:tcPr>
          <w:p>
            <w:pPr>
              <w:spacing w:after="0"/>
              <w:rPr>
                <w:sz w:val="20"/>
                <w:szCs w:val="20"/>
                <w:color w:val="auto"/>
              </w:rPr>
            </w:pPr>
          </w:p>
        </w:tc>
        <w:tc>
          <w:tcPr>
            <w:tcW w:w="4320" w:type="dxa"/>
            <w:vAlign w:val="bottom"/>
          </w:tcPr>
          <w:p>
            <w:pPr>
              <w:spacing w:after="0" w:line="239" w:lineRule="exact"/>
              <w:rPr>
                <w:sz w:val="20"/>
                <w:szCs w:val="20"/>
                <w:color w:val="auto"/>
              </w:rPr>
            </w:pPr>
            <w:r>
              <w:rPr>
                <w:rFonts w:ascii="Arial" w:cs="Arial" w:eastAsia="Arial" w:hAnsi="Arial"/>
                <w:sz w:val="17"/>
                <w:szCs w:val="17"/>
                <w:color w:val="auto"/>
              </w:rPr>
              <w:t>Director</w:t>
            </w:r>
            <w:r>
              <w:rPr>
                <w:rFonts w:ascii="Arial" w:cs="Arial" w:eastAsia="Arial" w:hAnsi="Arial"/>
                <w:sz w:val="27"/>
                <w:szCs w:val="27"/>
                <w:color w:val="auto"/>
                <w:vertAlign w:val="superscript"/>
              </w:rPr>
              <w:t>(1)</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Ellen Cohl</w:t>
            </w:r>
          </w:p>
        </w:tc>
        <w:tc>
          <w:tcPr>
            <w:tcW w:w="560" w:type="dxa"/>
            <w:vAlign w:val="bottom"/>
            <w:gridSpan w:val="2"/>
          </w:tcPr>
          <w:p>
            <w:pPr>
              <w:jc w:val="center"/>
              <w:ind w:left="76"/>
              <w:spacing w:after="0"/>
              <w:rPr>
                <w:sz w:val="20"/>
                <w:szCs w:val="20"/>
                <w:color w:val="auto"/>
              </w:rPr>
            </w:pPr>
            <w:r>
              <w:rPr>
                <w:rFonts w:ascii="Arial" w:cs="Arial" w:eastAsia="Arial" w:hAnsi="Arial"/>
                <w:sz w:val="17"/>
                <w:szCs w:val="17"/>
                <w:color w:val="auto"/>
                <w:w w:val="84"/>
              </w:rPr>
              <w:t>45</w:t>
            </w:r>
          </w:p>
        </w:tc>
        <w:tc>
          <w:tcPr>
            <w:tcW w:w="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5727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(1) Director nominee.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b w:val="1"/>
          <w:bCs w:val="1"/>
          <w:i w:val="1"/>
          <w:iCs w:val="1"/>
          <w:color w:val="auto"/>
        </w:rPr>
        <w:t xml:space="preserve">Andrew D. Perlman </w:t>
      </w:r>
      <w:r>
        <w:rPr>
          <w:rFonts w:ascii="Arial" w:cs="Arial" w:eastAsia="Arial" w:hAnsi="Arial"/>
          <w:sz w:val="16"/>
          <w:szCs w:val="16"/>
          <w:color w:val="auto"/>
        </w:rPr>
        <w:t>has served as a director of Vringo since September 2009, as Vringo’s President since April 2010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Vringo’s Chief Executive Officer since March 2012.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Vringo’s U.S. operations as well as its Senior Vice President Content &amp; Community. In this position, 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7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believes Mr. Perlman’s extensive experience in the music and digital media qualifies him to serve on Vringo’s board of directors. His extensive experience and insights gained both as an executive at start-up companies and as a senior executive at EMI are a significant contribution to Vringo and the board of directors.</w:t>
      </w:r>
    </w:p>
    <w:p>
      <w:pPr>
        <w:spacing w:after="0" w:line="72" w:lineRule="exact"/>
        <w:rPr>
          <w:sz w:val="20"/>
          <w:szCs w:val="20"/>
          <w:color w:val="auto"/>
        </w:rPr>
      </w:pPr>
    </w:p>
    <w:p>
      <w:pPr>
        <w:jc w:val="both"/>
        <w:ind w:left="40" w:right="1239" w:firstLine="251"/>
        <w:spacing w:after="0" w:line="294" w:lineRule="auto"/>
        <w:rPr>
          <w:sz w:val="20"/>
          <w:szCs w:val="20"/>
          <w:color w:val="auto"/>
        </w:rPr>
      </w:pPr>
      <w:r>
        <w:rPr>
          <w:rFonts w:ascii="Arial" w:cs="Arial" w:eastAsia="Arial" w:hAnsi="Arial"/>
          <w:sz w:val="15"/>
          <w:szCs w:val="15"/>
          <w:b w:val="1"/>
          <w:bCs w:val="1"/>
          <w:color w:val="auto"/>
        </w:rPr>
        <w:t xml:space="preserve">Andrew Kennedy Lang </w:t>
      </w:r>
      <w:r>
        <w:rPr>
          <w:rFonts w:ascii="Arial" w:cs="Arial" w:eastAsia="Arial" w:hAnsi="Arial"/>
          <w:sz w:val="15"/>
          <w:szCs w:val="15"/>
          <w:color w:val="auto"/>
        </w:rPr>
        <w:t>has served as President, Chief Executive Officer, Chief Technology Officer and a Director of</w:t>
      </w:r>
      <w:r>
        <w:rPr>
          <w:rFonts w:ascii="Arial" w:cs="Arial" w:eastAsia="Arial" w:hAnsi="Arial"/>
          <w:sz w:val="15"/>
          <w:szCs w:val="15"/>
          <w:b w:val="1"/>
          <w:bCs w:val="1"/>
          <w:color w:val="auto"/>
        </w:rPr>
        <w:t xml:space="preserve"> </w:t>
      </w:r>
      <w:r>
        <w:rPr>
          <w:rFonts w:ascii="Arial" w:cs="Arial" w:eastAsia="Arial" w:hAnsi="Arial"/>
          <w:sz w:val="15"/>
          <w:szCs w:val="15"/>
          <w:color w:val="auto"/>
        </w:rPr>
        <w:t>Innovate/Protect since June 22, 2011.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where he finished second in his class and holds Bachelor’s degrees in Electrical Engineering, Computer Science, Mathematics, and Physics. Mr. Lang holds a Master’s degree in Computer Science from Carnegie Melon University.</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Lang’s experience with innovation and technology, including his experience as the Chief Technology Officer of Lycos, qualifies him to serve on Vringo’s board of directors following the Merger.</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b w:val="1"/>
          <w:bCs w:val="1"/>
          <w:color w:val="auto"/>
        </w:rPr>
        <w:t xml:space="preserve">Seth M. Siegel </w:t>
      </w:r>
      <w:r>
        <w:rPr>
          <w:rFonts w:ascii="Arial" w:cs="Arial" w:eastAsia="Arial" w:hAnsi="Arial"/>
          <w:sz w:val="15"/>
          <w:szCs w:val="15"/>
          <w:color w:val="auto"/>
        </w:rPr>
        <w:t>has served as a director since May 2006 of Vringo and as Chairman of board of directors of Vringo since March</w:t>
      </w:r>
      <w:r>
        <w:rPr>
          <w:rFonts w:ascii="Arial" w:cs="Arial" w:eastAsia="Arial" w:hAnsi="Arial"/>
          <w:sz w:val="15"/>
          <w:szCs w:val="15"/>
          <w:b w:val="1"/>
          <w:bCs w:val="1"/>
          <w:color w:val="auto"/>
        </w:rPr>
        <w:t xml:space="preserve"> </w:t>
      </w:r>
      <w:r>
        <w:rPr>
          <w:rFonts w:ascii="Arial" w:cs="Arial" w:eastAsia="Arial" w:hAnsi="Arial"/>
          <w:sz w:val="15"/>
          <w:szCs w:val="15"/>
          <w:color w:val="auto"/>
        </w:rPr>
        <w:t>2010. Mr. Siegel has been working in the corporate and entertainment licensing industry since 1982. Mr. Siegel is a co-founder of The Beanstalk Group, a leading brand licensing agency and consultancy and a part of Omnicom Group Inc. (NYSE:OMC). He continues his relationship with both The Beanstalk Group (as a Vice Chairman) and Omnicom (as a consultant on special projects). He is also, since 2007, co-founder and co-Chief Executive Officer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61"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Vringo believes Mr. Siegel’s extensive knowledge of consumer brands and marketing, as well as his leadership experience at The Beanstalk Group qualifies him to serve on Vringo’s board of directors. His extensive experience with leading brands as co-founder and chief executive officer of The Beanstalk Group provide a significant contribution to Vringo and the board of directors.</w:t>
      </w:r>
    </w:p>
    <w:p>
      <w:pPr>
        <w:spacing w:after="0" w:line="36"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 xml:space="preserve">Alexander R. Berger </w:t>
      </w:r>
      <w:r>
        <w:rPr>
          <w:rFonts w:ascii="Arial" w:cs="Arial" w:eastAsia="Arial" w:hAnsi="Arial"/>
          <w:sz w:val="15"/>
          <w:szCs w:val="15"/>
          <w:color w:val="auto"/>
        </w:rPr>
        <w:t>has served as Innovate/Protect’s Chief Operating Officer, Chief Financial Officer, Secretary and</w:t>
      </w:r>
      <w:r>
        <w:rPr>
          <w:rFonts w:ascii="Arial" w:cs="Arial" w:eastAsia="Arial" w:hAnsi="Arial"/>
          <w:sz w:val="15"/>
          <w:szCs w:val="15"/>
          <w:b w:val="1"/>
          <w:bCs w:val="1"/>
          <w:color w:val="auto"/>
        </w:rPr>
        <w:t xml:space="preserve"> </w:t>
      </w:r>
      <w:r>
        <w:rPr>
          <w:rFonts w:ascii="Arial" w:cs="Arial" w:eastAsia="Arial" w:hAnsi="Arial"/>
          <w:sz w:val="15"/>
          <w:szCs w:val="15"/>
          <w:color w:val="auto"/>
        </w:rPr>
        <w:t>Treasurer and a director since inception.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5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Berger’s experience and leadership as an executive officer and director of Innovate/Protect qualify him to serve on Vringo’s board of directors following the Merger.</w:t>
      </w:r>
    </w:p>
    <w:p>
      <w:pPr>
        <w:spacing w:after="0" w:line="62"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b w:val="1"/>
          <w:bCs w:val="1"/>
          <w:color w:val="auto"/>
        </w:rPr>
        <w:t xml:space="preserve">John Engelman </w:t>
      </w:r>
      <w:r>
        <w:rPr>
          <w:rFonts w:ascii="Arial" w:cs="Arial" w:eastAsia="Arial" w:hAnsi="Arial"/>
          <w:sz w:val="15"/>
          <w:szCs w:val="15"/>
          <w:color w:val="auto"/>
        </w:rPr>
        <w:t>has served as a director of Vringo since December 2010. Mr. Engelman is a co-founder of Boomerang Media</w:t>
      </w:r>
      <w:r>
        <w:rPr>
          <w:rFonts w:ascii="Arial" w:cs="Arial" w:eastAsia="Arial" w:hAnsi="Arial"/>
          <w:sz w:val="15"/>
          <w:szCs w:val="15"/>
          <w:b w:val="1"/>
          <w:bCs w:val="1"/>
          <w:color w:val="auto"/>
        </w:rPr>
        <w:t xml:space="preserve"> </w:t>
      </w:r>
      <w:r>
        <w:rPr>
          <w:rFonts w:ascii="Arial" w:cs="Arial" w:eastAsia="Arial" w:hAnsi="Arial"/>
          <w:sz w:val="15"/>
          <w:szCs w:val="15"/>
          <w:color w:val="auto"/>
        </w:rPr>
        <w:t>LLC (“Boomerang”), founded in January 2008, which specializes in the acquisition and global licensing of entertainment brands comprised of evergreen television and motion picture libraries and underlying character-based intellectual property. He currently serves as Co-Chief Executive Officer of Classic Media LLC which was acquired by Boomerang in 2009. He was also the Co-Chief Executive Officer of Classic Media from May 2000 to November 2007.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w:t>
      </w: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Acquisition Corporation, a NASDAQ traded special purpose acquisition company focused on the acquisition of trans-border and Hispanic businesses. From 1997 to 2001, Mr. Engelman was an operating partner with Pegasus.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5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Vringo believes Mr. Engelman's experience in the media intellectual property and entertainment industries qualifies him to serve on Vringo’s board of directors. His extensive experience and insights gained both as an executive at Boomerang Media and Classic Media are a significant contribution to Vringo and its board of directors.</w:t>
      </w:r>
    </w:p>
    <w:p>
      <w:pPr>
        <w:spacing w:after="0" w:line="72"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b w:val="1"/>
          <w:bCs w:val="1"/>
          <w:color w:val="auto"/>
        </w:rPr>
        <w:t xml:space="preserve">Donald E. Stout </w:t>
      </w:r>
      <w:r>
        <w:rPr>
          <w:rFonts w:ascii="Arial" w:cs="Arial" w:eastAsia="Arial" w:hAnsi="Arial"/>
          <w:sz w:val="15"/>
          <w:szCs w:val="15"/>
          <w:color w:val="auto"/>
        </w:rPr>
        <w:t>has been a director of Innovate/Protect since August 15, 2011. In a career spanning over forty years, Mr. Stout</w:t>
      </w:r>
      <w:r>
        <w:rPr>
          <w:rFonts w:ascii="Arial" w:cs="Arial" w:eastAsia="Arial" w:hAnsi="Arial"/>
          <w:sz w:val="15"/>
          <w:szCs w:val="15"/>
          <w:b w:val="1"/>
          <w:bCs w:val="1"/>
          <w:color w:val="auto"/>
        </w:rPr>
        <w:t xml:space="preserve"> </w:t>
      </w:r>
      <w:r>
        <w:rPr>
          <w:rFonts w:ascii="Arial" w:cs="Arial" w:eastAsia="Arial" w:hAnsi="Arial"/>
          <w:sz w:val="15"/>
          <w:szCs w:val="15"/>
          <w:color w:val="auto"/>
        </w:rPr>
        <w:t>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Mr. Stout’s extensive experience in intellectual property law and handling of significant papten infringement actions qualifies him to serve on Vringo’s board of directors following the Merger.</w:t>
      </w:r>
    </w:p>
    <w:p>
      <w:pPr>
        <w:spacing w:after="0" w:line="62"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b w:val="1"/>
          <w:bCs w:val="1"/>
          <w:color w:val="auto"/>
        </w:rPr>
        <w:t xml:space="preserve">H. Van Sinclair </w:t>
      </w:r>
      <w:r>
        <w:rPr>
          <w:rFonts w:ascii="Arial" w:cs="Arial" w:eastAsia="Arial" w:hAnsi="Arial"/>
          <w:sz w:val="15"/>
          <w:szCs w:val="15"/>
          <w:color w:val="auto"/>
        </w:rPr>
        <w:t>has been a director of Innovate/Protect since November 7, 2011. Since 2003, Mr. Sinclair has served as</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and Chief Executive Officer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6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Vringo believes that Mr. Sinclair’s experience and leadership with The RLJ Companies qualify him to serve on Vringo’s board of directors following the Merger.</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b w:val="1"/>
          <w:bCs w:val="1"/>
          <w:color w:val="auto"/>
        </w:rPr>
        <w:t xml:space="preserve">Ellen Cohl </w:t>
      </w:r>
      <w:r>
        <w:rPr>
          <w:rFonts w:ascii="Arial" w:cs="Arial" w:eastAsia="Arial" w:hAnsi="Arial"/>
          <w:sz w:val="16"/>
          <w:szCs w:val="16"/>
          <w:color w:val="auto"/>
        </w:rPr>
        <w:t>has served as Chief Financial Officer, and previously as Vice President, Finance &amp; Governance of Vringo since</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2009, including the role of Compliance Officer as of Vringo’s IPO. Ms. Cohl operates from Vringo’s research and development facilities located in Beit-Shemesh, Israel.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Key Employees of the Combined Company Following the Merger</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840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488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Position with the Combined Company</w:t>
            </w:r>
          </w:p>
        </w:tc>
      </w:tr>
      <w:tr>
        <w:trPr>
          <w:trHeight w:val="181"/>
        </w:trPr>
        <w:tc>
          <w:tcPr>
            <w:tcW w:w="1920" w:type="dxa"/>
            <w:vAlign w:val="bottom"/>
          </w:tcPr>
          <w:p>
            <w:pPr>
              <w:spacing w:after="0" w:line="180" w:lineRule="exact"/>
              <w:rPr>
                <w:sz w:val="20"/>
                <w:szCs w:val="20"/>
                <w:color w:val="auto"/>
              </w:rPr>
            </w:pPr>
            <w:r>
              <w:rPr>
                <w:rFonts w:ascii="Arial" w:cs="Arial" w:eastAsia="Arial" w:hAnsi="Arial"/>
                <w:sz w:val="17"/>
                <w:szCs w:val="17"/>
                <w:color w:val="auto"/>
              </w:rPr>
              <w:t>David L. Cohen</w:t>
            </w:r>
          </w:p>
        </w:tc>
        <w:tc>
          <w:tcPr>
            <w:tcW w:w="140" w:type="dxa"/>
            <w:vAlign w:val="bottom"/>
          </w:tcPr>
          <w:p>
            <w:pPr>
              <w:spacing w:after="0"/>
              <w:rPr>
                <w:sz w:val="15"/>
                <w:szCs w:val="15"/>
                <w:color w:val="auto"/>
              </w:rPr>
            </w:pPr>
          </w:p>
        </w:tc>
        <w:tc>
          <w:tcPr>
            <w:tcW w:w="4880" w:type="dxa"/>
            <w:vAlign w:val="bottom"/>
          </w:tcPr>
          <w:p>
            <w:pPr>
              <w:spacing w:after="0" w:line="180" w:lineRule="exact"/>
              <w:rPr>
                <w:sz w:val="20"/>
                <w:szCs w:val="20"/>
                <w:color w:val="auto"/>
              </w:rPr>
            </w:pPr>
            <w:r>
              <w:rPr>
                <w:rFonts w:ascii="Arial" w:cs="Arial" w:eastAsia="Arial" w:hAnsi="Arial"/>
                <w:sz w:val="17"/>
                <w:szCs w:val="17"/>
                <w:color w:val="auto"/>
              </w:rPr>
              <w:t>Special Counsel</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rPr>
              <w:t>Clifford Weinstein</w:t>
            </w:r>
          </w:p>
        </w:tc>
        <w:tc>
          <w:tcPr>
            <w:tcW w:w="14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Executive Vice President</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Josh Wolff</w:t>
            </w:r>
          </w:p>
        </w:tc>
        <w:tc>
          <w:tcPr>
            <w:tcW w:w="1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Senior Vice President for Partner Solutions</w:t>
            </w:r>
          </w:p>
        </w:tc>
      </w:tr>
    </w:tbl>
    <w:p>
      <w:pPr>
        <w:spacing w:after="0" w:line="84"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b w:val="1"/>
          <w:bCs w:val="1"/>
          <w:color w:val="auto"/>
        </w:rPr>
        <w:t>David L. Cohen</w:t>
      </w:r>
      <w:r>
        <w:rPr>
          <w:rFonts w:ascii="Arial" w:cs="Arial" w:eastAsia="Arial" w:hAnsi="Arial"/>
          <w:sz w:val="15"/>
          <w:szCs w:val="15"/>
          <w:color w:val="auto"/>
        </w:rPr>
        <w:t>, 41, has been Special Counsel to Innovate/Protect since February 2012. Prior to joining Innovate/Protect, Mr.</w:t>
      </w:r>
      <w:r>
        <w:rPr>
          <w:rFonts w:ascii="Arial" w:cs="Arial" w:eastAsia="Arial" w:hAnsi="Arial"/>
          <w:sz w:val="15"/>
          <w:szCs w:val="15"/>
          <w:b w:val="1"/>
          <w:bCs w:val="1"/>
          <w:color w:val="auto"/>
        </w:rPr>
        <w:t xml:space="preserve"> </w:t>
      </w:r>
      <w:r>
        <w:rPr>
          <w:rFonts w:ascii="Arial" w:cs="Arial" w:eastAsia="Arial" w:hAnsi="Arial"/>
          <w:sz w:val="15"/>
          <w:szCs w:val="15"/>
          <w:color w:val="auto"/>
        </w:rPr>
        <w:t>Cohen was Senior Litigation Counsel for Nokia, where he 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57"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b w:val="1"/>
          <w:bCs w:val="1"/>
          <w:color w:val="auto"/>
        </w:rPr>
        <w:t>Clifford Weinstein</w:t>
      </w:r>
      <w:r>
        <w:rPr>
          <w:rFonts w:ascii="Arial" w:cs="Arial" w:eastAsia="Arial" w:hAnsi="Arial"/>
          <w:sz w:val="15"/>
          <w:szCs w:val="15"/>
          <w:color w:val="auto"/>
        </w:rPr>
        <w:t>, 30, has served as Executive Vice President of Vringo since April 2012. Previously, he served as Vice</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of Corporate Development since November 2011. Prior to joining Vringo, Mr. Weinstein was employed at Maxim Group, LLC, from 2003 to February 2008, and October 2008 to October 2011, where he served in a variety of roles beginning in private wealth management and ultimately as Senior Vice President of Institutional Sales. Maxim Group is an investment banking, securities and investment management firm. From February to October 2008, Mr. Weinstein was employed at New Castle Financial Services LLC. Mr. Weinstein holds a Bachelor’s Degree in Business Administration from Fordham University.</w:t>
      </w:r>
    </w:p>
    <w:p>
      <w:pPr>
        <w:spacing w:after="0" w:line="4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b w:val="1"/>
          <w:bCs w:val="1"/>
          <w:color w:val="auto"/>
        </w:rPr>
        <w:t>Josh Wolff</w:t>
      </w:r>
      <w:r>
        <w:rPr>
          <w:rFonts w:ascii="Arial" w:cs="Arial" w:eastAsia="Arial" w:hAnsi="Arial"/>
          <w:sz w:val="16"/>
          <w:szCs w:val="16"/>
          <w:color w:val="auto"/>
        </w:rPr>
        <w:t>, 41, has served as Senior Vice President for Partner Solutions at Vringo since March 2012.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for Service and Solutions since joining the company in October 2007. Mr. Wolff oversees the implementation of Vringo’s technology in the carrier and partner environments and the distribution of its applications and services via consumer storefronts. Prior to joining Vringo, Mr. Wolff was Manager of New Product Integration at NMS Communications (formerly Natural Microsystems) in Framingham, Massachusetts. Earlier in his career, Mr. Wolff was Director of Technology at Mobilee in Boston, Massachusetts, a voice portal service, and Director of Information Technology at ABC Industries in Long Island, New York. Mr. Wolff holds a Bachelor of Arts degree from Yeshiva University and a Bachelor of Science in Industrial Engineering from Columbia University, where he was recognized by the Alpha Pi Mu National Honors Society.</w:t>
      </w:r>
    </w:p>
    <w:p>
      <w:pPr>
        <w:spacing w:after="0" w:line="200" w:lineRule="exact"/>
        <w:rPr>
          <w:sz w:val="20"/>
          <w:szCs w:val="20"/>
          <w:color w:val="auto"/>
        </w:rPr>
      </w:pPr>
    </w:p>
    <w:p>
      <w:pPr>
        <w:spacing w:after="0" w:line="29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Composition of the Board and Director Independence</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board of directors of Vringo is currently comprised of six directors. Following the completion of the Merger, the combined company is initially expected to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Each of Seth M. Siegel, John Engelman, Donald E. Stout and H. Van Sinclair, the directors of the combined company following the completion of the Merger, will be deemed “independent” in accordance with the standards set by the NYSE MKT as well as Rule 10A-3 promulgated under the Securities Exchange Act of 1934, as amended, or the Exchange Act. Accordingly, the board of directors of the combined company will be comprised of a majority of independent directors as required by the NYSE MKT.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Vringo has established three standing committees: (1) the Audit Committee, (2) the Compensation Committee and (3) the Nominating and Corporate Governance Committee. Each committee operates under a charter that has been approved by the Vringo board of directors, and which is available on Vringo’s website at </w:t>
      </w:r>
      <w:r>
        <w:rPr>
          <w:rFonts w:ascii="Arial" w:cs="Arial" w:eastAsia="Arial" w:hAnsi="Arial"/>
          <w:sz w:val="17"/>
          <w:szCs w:val="17"/>
          <w:i w:val="1"/>
          <w:iCs w:val="1"/>
          <w:color w:val="auto"/>
        </w:rPr>
        <w:t>http://ir.vringo.com</w:t>
      </w:r>
      <w:r>
        <w:rPr>
          <w:rFonts w:ascii="Arial" w:cs="Arial" w:eastAsia="Arial" w:hAnsi="Arial"/>
          <w:sz w:val="17"/>
          <w:szCs w:val="17"/>
          <w:color w:val="auto"/>
        </w:rPr>
        <w:t>. It is expected that the following appointment will be made: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Compensation Committee: Messrs. Siegel and Engelman.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Audit Committee: Messrs. Sinclair and Stout.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Nominating and Corporate Governance Committee: Messrs. Siegel and Sinclair.</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Vringo’s board of directors has established a Compensation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Compensation Committee is authorized to:</w:t>
      </w:r>
    </w:p>
    <w:p>
      <w:pPr>
        <w:spacing w:after="0" w:line="105" w:lineRule="exact"/>
        <w:rPr>
          <w:sz w:val="20"/>
          <w:szCs w:val="20"/>
          <w:color w:val="auto"/>
        </w:rPr>
      </w:pPr>
    </w:p>
    <w:p>
      <w:pPr>
        <w:ind w:left="560" w:right="1239" w:hanging="300"/>
        <w:spacing w:after="0" w:line="267" w:lineRule="auto"/>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review and recommend the compensation arrangements for management, including the compensation for the chief executive officer;</w:t>
      </w:r>
    </w:p>
    <w:p>
      <w:pPr>
        <w:spacing w:after="0" w:line="66"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establish and review general compensation policies with the objective of attracting and retaining superior talent, rewarding individual performance and achieving financial goals;</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administer our stock incentive plans; and</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prepare the report of the Compensation Committee that SEC rules require to be included in the annual meeting proxy statement.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Vringo board of directors has established an Audit Committee. The Vringo board of directors has determined that Mr.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Sinclair is an “audit committee financial expert” as defined in Item 407(d)(5)(ii) of Regulation S-K.</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Audit Committee is authorized to:</w:t>
      </w:r>
    </w:p>
    <w:p>
      <w:pPr>
        <w:spacing w:after="0" w:line="105" w:lineRule="exact"/>
        <w:rPr>
          <w:sz w:val="20"/>
          <w:szCs w:val="20"/>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approve and retain the independent auditors to conduct the annual audit of the books and records;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review the proposed scope and results of the audit;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review and pre-approve the independent auditor’s audit and non-audit services rendered;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approve the audit fees to be paid;</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review accounting and financial controls with the independent auditors and financial and accounting staff;</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review and approve transactions between Vringo and its directors, officers and affiliates;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recognize and prevent prohibited non-audit services;</w:t>
      </w:r>
    </w:p>
    <w:p>
      <w:pPr>
        <w:spacing w:after="0" w:line="200" w:lineRule="exact"/>
        <w:rPr>
          <w:sz w:val="20"/>
          <w:szCs w:val="20"/>
          <w:color w:val="auto"/>
        </w:rPr>
      </w:pPr>
    </w:p>
    <w:p>
      <w:pPr>
        <w:spacing w:after="0" w:line="3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60" w:hanging="300"/>
        <w:spacing w:after="0"/>
        <w:tabs>
          <w:tab w:leader="none" w:pos="5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establish procedures for complaints received by Vringo regarding accounting matters;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oversee internal audit functions;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prepare the report of the Audit Committee that SEC rules require to be included in the annual meeting proxy statement.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Vringo board of directors has established a Nominating and Corporate Governance Committee.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Nominating and Corporate Governance Committee is authorized to:</w:t>
      </w:r>
    </w:p>
    <w:p>
      <w:pPr>
        <w:spacing w:after="0" w:line="105" w:lineRule="exact"/>
        <w:rPr>
          <w:sz w:val="20"/>
          <w:szCs w:val="20"/>
          <w:color w:val="auto"/>
        </w:rPr>
      </w:pPr>
    </w:p>
    <w:p>
      <w:pPr>
        <w:ind w:left="560" w:hanging="300"/>
        <w:spacing w:after="0"/>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identify and nominate members of the board of directors;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oversee the evaluation of the board of directors and management;</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develop and recommend corporate governance guidelines to the board of directors;</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evaluate the performance of the members of the board of directors;</w:t>
      </w:r>
    </w:p>
    <w:p>
      <w:pPr>
        <w:spacing w:after="0" w:line="105" w:lineRule="exact"/>
        <w:rPr>
          <w:rFonts w:ascii="Arial" w:cs="Arial" w:eastAsia="Arial" w:hAnsi="Arial"/>
          <w:sz w:val="17"/>
          <w:szCs w:val="17"/>
          <w:color w:val="auto"/>
        </w:rPr>
      </w:pPr>
    </w:p>
    <w:p>
      <w:pPr>
        <w:ind w:left="560" w:right="1239" w:hanging="300"/>
        <w:spacing w:after="0" w:line="267" w:lineRule="auto"/>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make recommendations to the board of directors as to the structure, composition and functioning of the board of directors and its committees.</w:t>
      </w:r>
    </w:p>
    <w:p>
      <w:pPr>
        <w:spacing w:after="0" w:line="66"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Vringo has no formal policy regarding board diversity. Vringo’s Nominating and Corporate Governance Committee and board of directors may therefore consider a broad range of factors relating to the qualifications and background of nominees, which may include diversity, which is not only limited to race, gender or national origin. Vringo’s Nominating and Corporate Governance Committee’s and board of directors’ priority in selecting board members is identification of persons who will further the interests of Vringo’s stockholders through his or her established record of professional accomplishment, the ability to contribute positively to the collaborative culture among board members and professional and personal experiences and expertise relevant to Vringo’s growth strategy.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Board Leadership Structure, Executive Sessions of Non-Management Directors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Mr. Perlman serves as Vringo’s Chief Executive Officer and Mr. Siegel, a non-management director, serves as chairman of Vringo’s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 It is expected that the board leadership structure will continue following the consummation of the Merger.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Risk Oversight</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board of directors oversees Vringo’s business and considers the risks associated with Vringo’s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Code of Ethics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Vringo has adopted a code of ethics that applies to its officers, directors and employees. Vringo has filed with the SEC copies of its code of ethics and its board committee charters as exhibits to its registration statement for its initial public offering. A copy of the code of ethics is accessible on Vringo’s website at </w:t>
      </w:r>
      <w:r>
        <w:rPr>
          <w:rFonts w:ascii="Arial" w:cs="Arial" w:eastAsia="Arial" w:hAnsi="Arial"/>
          <w:sz w:val="17"/>
          <w:szCs w:val="17"/>
          <w:i w:val="1"/>
          <w:iCs w:val="1"/>
          <w:color w:val="auto"/>
        </w:rPr>
        <w:t>http://ir.vringo.com</w:t>
      </w:r>
      <w:r>
        <w:rPr>
          <w:rFonts w:ascii="Arial" w:cs="Arial" w:eastAsia="Arial" w:hAnsi="Arial"/>
          <w:sz w:val="17"/>
          <w:szCs w:val="17"/>
          <w:color w:val="auto"/>
        </w:rPr>
        <w: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Vringo copies of all Section 16(a) filings.</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Based solely upon a review of the copies of the forms furnished to Vringo, Vringo believes that its officers, directors and holders of more than 10% of our common stock complied with all applicable filing requirements during the fiscal year ended December 31, 2011 except as set forth below:</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February 3, 2011 Form 4/As were filed by Jonathan Medved, Andrew D. Perlman, Seth M. Siegel and John Engelman to amend filings of their respective June 21, 2010 initial public offering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Related Person Transactions</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following is a description of transactions that Vringo entered into with its executive officers, directors or 5% stockholders during the past two years. Vringo believes that all of the transactions described below were made on terms no less favorable to Vringo than could have been obtained from unaffiliated third parties. All future related party transactions will be approved by Vringo’s audit committee or a majority of Vringo’s independent directors who do not have an interest in the transaction and who will have access, at Vringo’s expense, to Vringo’s independent legal counsel.</w:t>
      </w:r>
    </w:p>
    <w:p>
      <w:pPr>
        <w:spacing w:after="0" w:line="6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As of December 31, 2010, Mr. Goldfarb, Vringo’s co-founder and former officer of Vringo’s subsidiary, held approximately 6.0% of Vringo’s outstanding shares of common stock, respectively. In the year ended December 31, 2010, Vringo paid Mr. Goldfarb for consulting services provided to Vringo, through Degel Software Limited (“</w:t>
      </w:r>
      <w:r>
        <w:rPr>
          <w:rFonts w:ascii="Arial" w:cs="Arial" w:eastAsia="Arial" w:hAnsi="Arial"/>
          <w:sz w:val="17"/>
          <w:szCs w:val="17"/>
          <w:b w:val="1"/>
          <w:bCs w:val="1"/>
          <w:color w:val="auto"/>
        </w:rPr>
        <w:t>Degel</w:t>
      </w:r>
      <w:r>
        <w:rPr>
          <w:rFonts w:ascii="Arial" w:cs="Arial" w:eastAsia="Arial" w:hAnsi="Arial"/>
          <w:sz w:val="17"/>
          <w:szCs w:val="17"/>
          <w:color w:val="auto"/>
        </w:rPr>
        <w:t>”) a total amount of $221,000. In January 2011, Mr. Goldfarb entered into a separation agreement with Vringo, as part of which, the vesting of 60,000 options with an exercise price of $0.01 was accelerated. In addition, pursuant to the separation agreement, Vringo paid Mr. Goldfarb, through Degel, a total amount of $125,000.</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Vringo’s intellectual property counsel is Heidi Brun, the wife of Vringo’s co-founder, and former officer of Vringo’s subsidiary, Mr. David Goldfarb. For the years ended December 31, 2011 and 2010, Vringo paid Heidi Brun, through a law firm which she represents, approximately $66,000 and $95,000, respectively. In addition, until March 31, 2011, Vringo’s Israeli subsidiary sub-leased part of its office space from Heidi Brun Associates. Total rent paid to Heidi Brun Associates in the year ended December 31, 2011 and 2010 was approximately $4,000 and $16,000, respectively.</w:t>
      </w:r>
    </w:p>
    <w:p>
      <w:pPr>
        <w:spacing w:after="0" w:line="80"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Edo Segal, who serves on the board of directors of Vringo, is the chief executive officer of two consulting firms which Vringo paid approximately $53,000 and $112,000 during the years ended December 31, 2011 and 2010, respectively.</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Director Compensation</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It is currently expected that the non-employee director compensation will be reviewed by the compensation committee of the board of directors of the combined company following the completion of the Merger and may be subject to change.</w:t>
      </w:r>
    </w:p>
    <w:p>
      <w:pPr>
        <w:spacing w:after="0" w:line="4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addition to compensation, currently Vringo reimburses each member of its board of directors for reasonable travel and other expenses in connection with attending meetings of the board of directors.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Director Compensation Table: Combined Company Directors from Vringo</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following table sets forth cash compensation and the value of stock options awards granted to Vringo’s non-employee directors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450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70"/>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5"/>
              <w:spacing w:after="0" w:line="139"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5"/>
              <w:spacing w:after="0" w:line="139" w:lineRule="exact"/>
              <w:rPr>
                <w:sz w:val="20"/>
                <w:szCs w:val="20"/>
                <w:color w:val="auto"/>
              </w:rPr>
            </w:pPr>
            <w:r>
              <w:rPr>
                <w:rFonts w:ascii="Arial" w:cs="Arial" w:eastAsia="Arial" w:hAnsi="Arial"/>
                <w:sz w:val="13"/>
                <w:szCs w:val="13"/>
                <w:b w:val="1"/>
                <w:bCs w:val="1"/>
                <w:color w:val="auto"/>
              </w:rPr>
              <w:t>Total</w:t>
            </w:r>
          </w:p>
        </w:tc>
      </w:tr>
      <w:tr>
        <w:trPr>
          <w:trHeight w:val="138"/>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70"/>
              <w:spacing w:after="0" w:line="13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1"/>
                <w:szCs w:val="11"/>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25"/>
              <w:spacing w:after="0" w:line="138" w:lineRule="exact"/>
              <w:rPr>
                <w:sz w:val="20"/>
                <w:szCs w:val="20"/>
                <w:color w:val="auto"/>
              </w:rPr>
            </w:pPr>
            <w:r>
              <w:rPr>
                <w:rFonts w:ascii="Arial" w:cs="Arial" w:eastAsia="Arial" w:hAnsi="Arial"/>
                <w:sz w:val="13"/>
                <w:szCs w:val="13"/>
                <w:b w:val="1"/>
                <w:bCs w:val="1"/>
                <w:color w:val="auto"/>
              </w:rPr>
              <w:t>($)</w:t>
            </w:r>
          </w:p>
        </w:tc>
      </w:tr>
      <w:tr>
        <w:trPr>
          <w:trHeight w:val="196"/>
        </w:trPr>
        <w:tc>
          <w:tcPr>
            <w:tcW w:w="4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70"/>
              <w:spacing w:after="0" w:line="195" w:lineRule="exact"/>
              <w:rPr>
                <w:sz w:val="20"/>
                <w:szCs w:val="20"/>
                <w:color w:val="auto"/>
              </w:rPr>
            </w:pPr>
            <w:r>
              <w:rPr>
                <w:rFonts w:ascii="Arial" w:cs="Arial" w:eastAsia="Arial" w:hAnsi="Arial"/>
                <w:sz w:val="22"/>
                <w:szCs w:val="22"/>
                <w:b w:val="1"/>
                <w:bCs w:val="1"/>
                <w:color w:val="auto"/>
                <w:w w:val="92"/>
                <w:vertAlign w:val="subscript"/>
              </w:rPr>
              <w:t>($)</w:t>
            </w:r>
            <w:r>
              <w:rPr>
                <w:rFonts w:ascii="Arial" w:cs="Arial" w:eastAsia="Arial" w:hAnsi="Arial"/>
                <w:sz w:val="10"/>
                <w:szCs w:val="10"/>
                <w:b w:val="1"/>
                <w:bCs w:val="1"/>
                <w:color w:val="auto"/>
                <w:w w:val="92"/>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31"/>
        </w:trPr>
        <w:tc>
          <w:tcPr>
            <w:tcW w:w="4500" w:type="dxa"/>
            <w:vAlign w:val="bottom"/>
            <w:shd w:val="clear" w:color="auto" w:fill="CCFFCC"/>
          </w:tcPr>
          <w:p>
            <w:pPr>
              <w:spacing w:after="0" w:line="231" w:lineRule="exact"/>
              <w:rPr>
                <w:sz w:val="20"/>
                <w:szCs w:val="20"/>
                <w:color w:val="auto"/>
              </w:rPr>
            </w:pPr>
            <w:r>
              <w:rPr>
                <w:rFonts w:ascii="Arial" w:cs="Arial" w:eastAsia="Arial" w:hAnsi="Arial"/>
                <w:sz w:val="16"/>
                <w:szCs w:val="16"/>
                <w:color w:val="auto"/>
              </w:rPr>
              <w:t>Seth M. Siegel</w:t>
            </w:r>
            <w:r>
              <w:rPr>
                <w:rFonts w:ascii="Arial" w:cs="Arial" w:eastAsia="Arial" w:hAnsi="Arial"/>
                <w:sz w:val="26"/>
                <w:szCs w:val="26"/>
                <w:color w:val="auto"/>
                <w:vertAlign w:val="superscript"/>
              </w:rPr>
              <w:t>(2)</w:t>
            </w:r>
          </w:p>
        </w:tc>
        <w:tc>
          <w:tcPr>
            <w:tcW w:w="3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105,431</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105,431</w:t>
            </w:r>
          </w:p>
        </w:tc>
      </w:tr>
      <w:tr>
        <w:trPr>
          <w:trHeight w:val="364"/>
        </w:trPr>
        <w:tc>
          <w:tcPr>
            <w:tcW w:w="4500" w:type="dxa"/>
            <w:vAlign w:val="bottom"/>
          </w:tcPr>
          <w:p>
            <w:pPr>
              <w:spacing w:after="0"/>
              <w:rPr>
                <w:sz w:val="20"/>
                <w:szCs w:val="20"/>
                <w:color w:val="auto"/>
              </w:rPr>
            </w:pPr>
            <w:r>
              <w:rPr>
                <w:rFonts w:ascii="Arial" w:cs="Arial" w:eastAsia="Arial" w:hAnsi="Arial"/>
                <w:sz w:val="17"/>
                <w:szCs w:val="17"/>
                <w:color w:val="auto"/>
              </w:rPr>
              <w:t>John Engelman</w:t>
            </w:r>
            <w:r>
              <w:rPr>
                <w:rFonts w:ascii="Arial" w:cs="Arial" w:eastAsia="Arial" w:hAnsi="Arial"/>
                <w:sz w:val="27"/>
                <w:szCs w:val="27"/>
                <w:color w:val="auto"/>
                <w:vertAlign w:val="superscript"/>
              </w:rPr>
              <w:t>(3)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29,871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5"/>
              <w:spacing w:after="0"/>
              <w:rPr>
                <w:sz w:val="20"/>
                <w:szCs w:val="20"/>
                <w:color w:val="auto"/>
              </w:rPr>
            </w:pPr>
            <w:r>
              <w:rPr>
                <w:rFonts w:ascii="Arial" w:cs="Arial" w:eastAsia="Arial" w:hAnsi="Arial"/>
                <w:sz w:val="17"/>
                <w:szCs w:val="17"/>
                <w:color w:val="auto"/>
              </w:rPr>
              <w:t>10,000</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
              <w:spacing w:after="0"/>
              <w:rPr>
                <w:sz w:val="20"/>
                <w:szCs w:val="20"/>
                <w:color w:val="auto"/>
              </w:rPr>
            </w:pPr>
            <w:r>
              <w:rPr>
                <w:rFonts w:ascii="Arial" w:cs="Arial" w:eastAsia="Arial" w:hAnsi="Arial"/>
                <w:sz w:val="17"/>
                <w:szCs w:val="17"/>
                <w:color w:val="auto"/>
              </w:rPr>
              <w:t>39,871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jc w:val="both"/>
        <w:ind w:left="260" w:right="1239" w:hanging="250"/>
        <w:spacing w:after="0" w:line="256" w:lineRule="auto"/>
        <w:tabs>
          <w:tab w:leader="none" w:pos="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 11 of Vringo’s consolidated financial statements for the year ended December 31, 2011, for the assumptions made in the valuation of the equity awards.</w:t>
      </w:r>
    </w:p>
    <w:p>
      <w:pPr>
        <w:spacing w:after="0" w:line="76"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Mr. Siegel performs his duties as Chairman of the board of directors and as member of the Compensation Committee and Nominating and Corporate Governance Committee, on a volunteer basis. As of December 31, 2011, 313,333 options were outstanding, of which 117,500 were exercisable.</w:t>
      </w:r>
    </w:p>
    <w:p>
      <w:pPr>
        <w:spacing w:after="0" w:line="7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Represents fee earned by Mr. Engelman for Board services through December 31, 2011. As of December 31, 2011, 42,500 options were outstanding, of which 10,625 were exercisable.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Director Compensation Table: Combined Company Directors from Innovate/Protect</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following table sets forth a stock grant to Innovate/Protect’s non-employee director and a stock option award granted to another Innovate/Protect’s non-employee director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8374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line="144"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
              <w:spacing w:after="0" w:line="144"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5"/>
              <w:spacing w:after="0" w:line="144" w:lineRule="exact"/>
              <w:rPr>
                <w:sz w:val="20"/>
                <w:szCs w:val="20"/>
                <w:color w:val="auto"/>
              </w:rPr>
            </w:pPr>
            <w:r>
              <w:rPr>
                <w:rFonts w:ascii="Arial" w:cs="Arial" w:eastAsia="Arial" w:hAnsi="Arial"/>
                <w:sz w:val="13"/>
                <w:szCs w:val="13"/>
                <w:b w:val="1"/>
                <w:bCs w:val="1"/>
                <w:color w:val="auto"/>
              </w:rPr>
              <w:t>Total</w:t>
            </w:r>
          </w:p>
        </w:tc>
      </w:tr>
      <w:tr>
        <w:trPr>
          <w:trHeight w:val="138"/>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0"/>
              <w:spacing w:after="0" w:line="138"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1"/>
                <w:szCs w:val="11"/>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325"/>
              <w:spacing w:after="0" w:line="138" w:lineRule="exact"/>
              <w:rPr>
                <w:sz w:val="20"/>
                <w:szCs w:val="20"/>
                <w:color w:val="auto"/>
              </w:rPr>
            </w:pPr>
            <w:r>
              <w:rPr>
                <w:rFonts w:ascii="Arial" w:cs="Arial" w:eastAsia="Arial" w:hAnsi="Arial"/>
                <w:sz w:val="13"/>
                <w:szCs w:val="13"/>
                <w:b w:val="1"/>
                <w:bCs w:val="1"/>
                <w:color w:val="auto"/>
              </w:rPr>
              <w:t>($)</w:t>
            </w:r>
          </w:p>
        </w:tc>
      </w:tr>
      <w:tr>
        <w:trPr>
          <w:trHeight w:val="196"/>
        </w:trPr>
        <w:tc>
          <w:tcPr>
            <w:tcW w:w="4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0"/>
              <w:spacing w:after="0" w:line="195"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31"/>
        </w:trPr>
        <w:tc>
          <w:tcPr>
            <w:tcW w:w="4480" w:type="dxa"/>
            <w:vAlign w:val="bottom"/>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jc w:val="right"/>
              <w:spacing w:after="0" w:line="231" w:lineRule="exact"/>
              <w:rPr>
                <w:sz w:val="20"/>
                <w:szCs w:val="20"/>
                <w:color w:val="auto"/>
              </w:rPr>
            </w:pPr>
            <w:r>
              <w:rPr>
                <w:rFonts w:ascii="Arial" w:cs="Arial" w:eastAsia="Arial" w:hAnsi="Arial"/>
                <w:sz w:val="16"/>
                <w:szCs w:val="16"/>
                <w:color w:val="auto"/>
                <w:w w:val="88"/>
              </w:rPr>
              <w:t>120,000</w:t>
            </w:r>
            <w:r>
              <w:rPr>
                <w:rFonts w:ascii="Arial" w:cs="Arial" w:eastAsia="Arial" w:hAnsi="Arial"/>
                <w:sz w:val="26"/>
                <w:szCs w:val="26"/>
                <w:color w:val="auto"/>
                <w:w w:val="88"/>
                <w:vertAlign w:val="superscript"/>
              </w:rPr>
              <w:t>(2)</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ind w:left="38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120,000</w:t>
            </w:r>
          </w:p>
        </w:tc>
      </w:tr>
      <w:tr>
        <w:trPr>
          <w:trHeight w:val="364"/>
        </w:trPr>
        <w:tc>
          <w:tcPr>
            <w:tcW w:w="4480" w:type="dxa"/>
            <w:vAlign w:val="bottom"/>
          </w:tcPr>
          <w:p>
            <w:pPr>
              <w:spacing w:after="0"/>
              <w:rPr>
                <w:sz w:val="20"/>
                <w:szCs w:val="20"/>
                <w:color w:val="auto"/>
              </w:rPr>
            </w:pPr>
            <w:r>
              <w:rPr>
                <w:rFonts w:ascii="Arial" w:cs="Arial" w:eastAsia="Arial" w:hAnsi="Arial"/>
                <w:sz w:val="17"/>
                <w:szCs w:val="17"/>
                <w:color w:val="auto"/>
              </w:rPr>
              <w:t>Donald E. Stout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4"/>
              </w:rPr>
              <w:t>25,028</w:t>
            </w:r>
            <w:r>
              <w:rPr>
                <w:rFonts w:ascii="Arial" w:cs="Arial" w:eastAsia="Arial" w:hAnsi="Arial"/>
                <w:sz w:val="27"/>
                <w:szCs w:val="27"/>
                <w:color w:val="auto"/>
                <w:w w:val="94"/>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ind w:left="38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
              <w:spacing w:after="0"/>
              <w:rPr>
                <w:sz w:val="20"/>
                <w:szCs w:val="20"/>
                <w:color w:val="auto"/>
              </w:rPr>
            </w:pPr>
            <w:r>
              <w:rPr>
                <w:rFonts w:ascii="Arial" w:cs="Arial" w:eastAsia="Arial" w:hAnsi="Arial"/>
                <w:sz w:val="17"/>
                <w:szCs w:val="17"/>
                <w:color w:val="auto"/>
              </w:rPr>
              <w:t>25,028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jc w:val="both"/>
        <w:ind w:left="260" w:right="1239" w:hanging="250"/>
        <w:spacing w:after="0" w:line="256" w:lineRule="auto"/>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See Note 12 of the consolidated financial statements for the year ended December 31, 2011, for the assumptions made in the valuation of the equity awards.</w:t>
      </w:r>
    </w:p>
    <w:p>
      <w:pPr>
        <w:spacing w:after="0" w:line="7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Stock grant of 40,000 shares. The fair value of these shares when granted has been treated as compensation and will be recognized at such times as the shares vest over an eighteen (18) month period.</w:t>
      </w:r>
    </w:p>
    <w:p>
      <w:pPr>
        <w:spacing w:after="0" w:line="66"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Stock option to purchase up to 13,646 shares of common stock at $3.00 per share prior to the expiration of the options on November 6, 2016. The option was fully vested and exercisable at the grant date. The fair market value of the option at grant date, $1.8341 per share, was recognized as expense at the grant date.</w:t>
      </w:r>
    </w:p>
    <w:p>
      <w:pPr>
        <w:spacing w:after="0" w:line="200" w:lineRule="exact"/>
        <w:rPr>
          <w:sz w:val="20"/>
          <w:szCs w:val="20"/>
          <w:color w:val="auto"/>
        </w:rPr>
      </w:pPr>
    </w:p>
    <w:p>
      <w:pPr>
        <w:spacing w:after="0" w:line="29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Executive Compensation</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Summary Compensation Table</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compensation awarded to, earned or paid by Vringo to its Chief Executive Officer and other named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139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2780" w:type="dxa"/>
            <w:vAlign w:val="bottom"/>
          </w:tcPr>
          <w:p>
            <w:pPr>
              <w:spacing w:after="0" w:line="139" w:lineRule="exact"/>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2"/>
                <w:szCs w:val="12"/>
                <w:color w:val="auto"/>
              </w:rPr>
            </w:pPr>
          </w:p>
        </w:tc>
        <w:tc>
          <w:tcPr>
            <w:tcW w:w="460" w:type="dxa"/>
            <w:vAlign w:val="bottom"/>
          </w:tcPr>
          <w:p>
            <w:pPr>
              <w:jc w:val="right"/>
              <w:ind w:right="33"/>
              <w:spacing w:after="0" w:line="139" w:lineRule="exact"/>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61"/>
              <w:spacing w:after="0" w:line="139"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39" w:lineRule="exact"/>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0"/>
              <w:spacing w:after="0" w:line="139" w:lineRule="exact"/>
              <w:rPr>
                <w:sz w:val="20"/>
                <w:szCs w:val="20"/>
                <w:color w:val="auto"/>
              </w:rPr>
            </w:pPr>
            <w:r>
              <w:rPr>
                <w:rFonts w:ascii="Arial" w:cs="Arial" w:eastAsia="Arial" w:hAnsi="Arial"/>
                <w:sz w:val="13"/>
                <w:szCs w:val="13"/>
                <w:b w:val="1"/>
                <w:bCs w:val="1"/>
                <w:color w:val="auto"/>
                <w:w w:val="98"/>
              </w:rPr>
              <w:t>All 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0"/>
              <w:spacing w:after="0" w:line="139" w:lineRule="exact"/>
              <w:rPr>
                <w:sz w:val="20"/>
                <w:szCs w:val="20"/>
                <w:color w:val="auto"/>
              </w:rPr>
            </w:pPr>
            <w:r>
              <w:rPr>
                <w:rFonts w:ascii="Arial" w:cs="Arial" w:eastAsia="Arial" w:hAnsi="Arial"/>
                <w:sz w:val="13"/>
                <w:szCs w:val="13"/>
                <w:b w:val="1"/>
                <w:bCs w:val="1"/>
                <w:color w:val="auto"/>
              </w:rPr>
              <w:t>Total</w:t>
            </w:r>
          </w:p>
        </w:tc>
      </w:tr>
      <w:tr>
        <w:trPr>
          <w:trHeight w:val="152"/>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01"/>
              <w:spacing w:after="0" w:line="15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82"/>
              <w:spacing w:after="0"/>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40"/>
              <w:spacing w:after="0"/>
              <w:rPr>
                <w:sz w:val="20"/>
                <w:szCs w:val="20"/>
                <w:color w:val="auto"/>
              </w:rPr>
            </w:pPr>
            <w:r>
              <w:rPr>
                <w:rFonts w:ascii="Arial" w:cs="Arial" w:eastAsia="Arial" w:hAnsi="Arial"/>
                <w:sz w:val="13"/>
                <w:szCs w:val="13"/>
                <w:b w:val="1"/>
                <w:bCs w:val="1"/>
                <w:color w:val="auto"/>
              </w:rPr>
              <w:t>($)</w:t>
            </w:r>
          </w:p>
        </w:tc>
      </w:tr>
      <w:tr>
        <w:trPr>
          <w:trHeight w:val="182"/>
        </w:trPr>
        <w:tc>
          <w:tcPr>
            <w:tcW w:w="2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2"/>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218"/>
        </w:trPr>
        <w:tc>
          <w:tcPr>
            <w:tcW w:w="2780" w:type="dxa"/>
            <w:vAlign w:val="bottom"/>
          </w:tcPr>
          <w:p>
            <w:pPr>
              <w:spacing w:after="0" w:line="218" w:lineRule="exact"/>
              <w:rPr>
                <w:sz w:val="20"/>
                <w:szCs w:val="20"/>
                <w:color w:val="auto"/>
              </w:rPr>
            </w:pPr>
            <w:r>
              <w:rPr>
                <w:rFonts w:ascii="Arial" w:cs="Arial" w:eastAsia="Arial" w:hAnsi="Arial"/>
                <w:sz w:val="16"/>
                <w:szCs w:val="16"/>
                <w:color w:val="auto"/>
              </w:rPr>
              <w:t>Jonathan Medved</w:t>
            </w:r>
            <w:r>
              <w:rPr>
                <w:rFonts w:ascii="Arial" w:cs="Arial" w:eastAsia="Arial" w:hAnsi="Arial"/>
                <w:sz w:val="25"/>
                <w:szCs w:val="25"/>
                <w:color w:val="auto"/>
                <w:vertAlign w:val="superscript"/>
              </w:rPr>
              <w:t>(3)</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215,255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18" w:lineRule="exact"/>
              <w:rPr>
                <w:sz w:val="20"/>
                <w:szCs w:val="20"/>
                <w:color w:val="auto"/>
              </w:rPr>
            </w:pPr>
            <w:r>
              <w:rPr>
                <w:rFonts w:ascii="Arial" w:cs="Arial" w:eastAsia="Arial" w:hAnsi="Arial"/>
                <w:sz w:val="16"/>
                <w:szCs w:val="16"/>
                <w:color w:val="auto"/>
                <w:w w:val="89"/>
              </w:rPr>
              <w:t>104,177</w:t>
            </w:r>
            <w:r>
              <w:rPr>
                <w:rFonts w:ascii="Arial" w:cs="Arial" w:eastAsia="Arial" w:hAnsi="Arial"/>
                <w:sz w:val="25"/>
                <w:szCs w:val="25"/>
                <w:color w:val="auto"/>
                <w:w w:val="89"/>
                <w:vertAlign w:val="superscript"/>
              </w:rPr>
              <w:t>(5)</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319,432</w:t>
            </w:r>
          </w:p>
        </w:tc>
      </w:tr>
      <w:tr>
        <w:trPr>
          <w:trHeight w:val="238"/>
        </w:trPr>
        <w:tc>
          <w:tcPr>
            <w:tcW w:w="2780" w:type="dxa"/>
            <w:vAlign w:val="bottom"/>
          </w:tcPr>
          <w:p>
            <w:pPr>
              <w:spacing w:after="0"/>
              <w:rPr>
                <w:sz w:val="20"/>
                <w:szCs w:val="20"/>
                <w:color w:val="auto"/>
              </w:rPr>
            </w:pPr>
            <w:r>
              <w:rPr>
                <w:rFonts w:ascii="Arial" w:cs="Arial" w:eastAsia="Arial" w:hAnsi="Arial"/>
                <w:sz w:val="17"/>
                <w:szCs w:val="17"/>
                <w:i w:val="1"/>
                <w:iCs w:val="1"/>
                <w:color w:val="auto"/>
              </w:rPr>
              <w:t>Former Chief Executive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213,531</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$ 1,476,000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9" w:lineRule="exact"/>
              <w:rPr>
                <w:sz w:val="20"/>
                <w:szCs w:val="20"/>
                <w:color w:val="auto"/>
              </w:rPr>
            </w:pPr>
            <w:r>
              <w:rPr>
                <w:rFonts w:ascii="Arial" w:cs="Arial" w:eastAsia="Arial" w:hAnsi="Arial"/>
                <w:sz w:val="17"/>
                <w:szCs w:val="17"/>
                <w:color w:val="auto"/>
                <w:w w:val="94"/>
              </w:rPr>
              <w:t>90,802</w:t>
            </w:r>
            <w:r>
              <w:rPr>
                <w:rFonts w:ascii="Arial" w:cs="Arial" w:eastAsia="Arial" w:hAnsi="Arial"/>
                <w:sz w:val="27"/>
                <w:szCs w:val="27"/>
                <w:color w:val="auto"/>
                <w:w w:val="94"/>
                <w:vertAlign w:val="superscript"/>
              </w:rPr>
              <w:t>(5)</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5"/>
              </w:rPr>
              <w:t>1,780,333</w:t>
            </w:r>
          </w:p>
        </w:tc>
      </w:tr>
      <w:tr>
        <w:trPr>
          <w:trHeight w:val="200"/>
        </w:trPr>
        <w:tc>
          <w:tcPr>
            <w:tcW w:w="2780" w:type="dxa"/>
            <w:vAlign w:val="bottom"/>
          </w:tcPr>
          <w:p>
            <w:pPr>
              <w:spacing w:after="0"/>
              <w:rPr>
                <w:sz w:val="20"/>
                <w:szCs w:val="20"/>
                <w:color w:val="auto"/>
              </w:rPr>
            </w:pPr>
            <w:r>
              <w:rPr>
                <w:rFonts w:ascii="Arial" w:cs="Arial" w:eastAsia="Arial" w:hAnsi="Arial"/>
                <w:sz w:val="17"/>
                <w:szCs w:val="17"/>
                <w:color w:val="auto"/>
              </w:rPr>
              <w:t>Andrew D. Perlman</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188,269</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156,325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344,594</w:t>
            </w:r>
          </w:p>
        </w:tc>
      </w:tr>
      <w:tr>
        <w:trPr>
          <w:trHeight w:val="202"/>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Executive Officer and Director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142,885</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279,900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422,785</w:t>
            </w:r>
          </w:p>
        </w:tc>
      </w:tr>
      <w:tr>
        <w:trPr>
          <w:trHeight w:val="236"/>
        </w:trPr>
        <w:tc>
          <w:tcPr>
            <w:tcW w:w="2780" w:type="dxa"/>
            <w:vAlign w:val="bottom"/>
          </w:tcPr>
          <w:p>
            <w:pPr>
              <w:spacing w:after="0"/>
              <w:rPr>
                <w:sz w:val="20"/>
                <w:szCs w:val="20"/>
                <w:color w:val="auto"/>
              </w:rPr>
            </w:pPr>
            <w:r>
              <w:rPr>
                <w:rFonts w:ascii="Arial" w:cs="Arial" w:eastAsia="Arial" w:hAnsi="Arial"/>
                <w:sz w:val="17"/>
                <w:szCs w:val="17"/>
                <w:color w:val="auto"/>
              </w:rPr>
              <w:t>Ellen Cohl</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127,988</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58,180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6" w:lineRule="exact"/>
              <w:rPr>
                <w:sz w:val="20"/>
                <w:szCs w:val="20"/>
                <w:color w:val="auto"/>
              </w:rPr>
            </w:pPr>
            <w:r>
              <w:rPr>
                <w:rFonts w:ascii="Arial" w:cs="Arial" w:eastAsia="Arial" w:hAnsi="Arial"/>
                <w:sz w:val="17"/>
                <w:szCs w:val="17"/>
                <w:color w:val="auto"/>
                <w:w w:val="94"/>
              </w:rPr>
              <w:t>36,841</w:t>
            </w:r>
            <w:r>
              <w:rPr>
                <w:rFonts w:ascii="Arial" w:cs="Arial" w:eastAsia="Arial" w:hAnsi="Arial"/>
                <w:sz w:val="27"/>
                <w:szCs w:val="27"/>
                <w:color w:val="auto"/>
                <w:w w:val="94"/>
                <w:vertAlign w:val="superscript"/>
              </w:rPr>
              <w:t>(6)</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223,009</w:t>
            </w:r>
          </w:p>
        </w:tc>
      </w:tr>
      <w:tr>
        <w:trPr>
          <w:trHeight w:val="240"/>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Financial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106,540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73,800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40" w:lineRule="exact"/>
              <w:rPr>
                <w:sz w:val="20"/>
                <w:szCs w:val="20"/>
                <w:color w:val="auto"/>
              </w:rPr>
            </w:pPr>
            <w:r>
              <w:rPr>
                <w:rFonts w:ascii="Arial" w:cs="Arial" w:eastAsia="Arial" w:hAnsi="Arial"/>
                <w:sz w:val="17"/>
                <w:szCs w:val="17"/>
                <w:color w:val="auto"/>
                <w:w w:val="94"/>
              </w:rPr>
              <w:t>31,276</w:t>
            </w:r>
            <w:r>
              <w:rPr>
                <w:rFonts w:ascii="Arial" w:cs="Arial" w:eastAsia="Arial" w:hAnsi="Arial"/>
                <w:sz w:val="27"/>
                <w:szCs w:val="27"/>
                <w:color w:val="auto"/>
                <w:w w:val="94"/>
                <w:vertAlign w:val="superscript"/>
              </w:rPr>
              <w:t>(6)</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211,616</w:t>
            </w:r>
          </w:p>
        </w:tc>
      </w:tr>
      <w:tr>
        <w:trPr>
          <w:trHeight w:val="236"/>
        </w:trPr>
        <w:tc>
          <w:tcPr>
            <w:tcW w:w="2780" w:type="dxa"/>
            <w:vAlign w:val="bottom"/>
          </w:tcPr>
          <w:p>
            <w:pPr>
              <w:spacing w:after="0" w:line="236" w:lineRule="exact"/>
              <w:rPr>
                <w:sz w:val="20"/>
                <w:szCs w:val="20"/>
                <w:color w:val="auto"/>
              </w:rPr>
            </w:pPr>
            <w:r>
              <w:rPr>
                <w:rFonts w:ascii="Arial" w:cs="Arial" w:eastAsia="Arial" w:hAnsi="Arial"/>
                <w:sz w:val="17"/>
                <w:szCs w:val="17"/>
                <w:color w:val="auto"/>
              </w:rPr>
              <w:t>Stuart Frohlich</w:t>
            </w:r>
            <w:r>
              <w:rPr>
                <w:rFonts w:ascii="Arial" w:cs="Arial" w:eastAsia="Arial" w:hAnsi="Arial"/>
                <w:sz w:val="27"/>
                <w:szCs w:val="27"/>
                <w:color w:val="auto"/>
                <w:vertAlign w:val="superscript"/>
              </w:rPr>
              <w:t>(4)</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2011</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87,273</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line="236" w:lineRule="exact"/>
              <w:rPr>
                <w:sz w:val="20"/>
                <w:szCs w:val="20"/>
                <w:color w:val="auto"/>
              </w:rPr>
            </w:pPr>
            <w:r>
              <w:rPr>
                <w:rFonts w:ascii="Arial" w:cs="Arial" w:eastAsia="Arial" w:hAnsi="Arial"/>
                <w:sz w:val="17"/>
                <w:szCs w:val="17"/>
                <w:color w:val="auto"/>
                <w:w w:val="94"/>
              </w:rPr>
              <w:t>31,097</w:t>
            </w:r>
            <w:r>
              <w:rPr>
                <w:rFonts w:ascii="Arial" w:cs="Arial" w:eastAsia="Arial" w:hAnsi="Arial"/>
                <w:sz w:val="27"/>
                <w:szCs w:val="27"/>
                <w:color w:val="auto"/>
                <w:w w:val="94"/>
                <w:vertAlign w:val="superscript"/>
              </w:rPr>
              <w:t>(7)</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118,370</w:t>
            </w:r>
          </w:p>
        </w:tc>
      </w:tr>
      <w:tr>
        <w:trPr>
          <w:trHeight w:val="366"/>
        </w:trPr>
        <w:tc>
          <w:tcPr>
            <w:tcW w:w="2780" w:type="dxa"/>
            <w:vAlign w:val="bottom"/>
          </w:tcPr>
          <w:p>
            <w:pPr>
              <w:spacing w:after="0"/>
              <w:rPr>
                <w:sz w:val="20"/>
                <w:szCs w:val="20"/>
                <w:color w:val="auto"/>
              </w:rPr>
            </w:pPr>
            <w:r>
              <w:rPr>
                <w:rFonts w:ascii="Arial" w:cs="Arial" w:eastAsia="Arial" w:hAnsi="Arial"/>
                <w:sz w:val="17"/>
                <w:szCs w:val="17"/>
                <w:i w:val="1"/>
                <w:iCs w:val="1"/>
                <w:color w:val="auto"/>
              </w:rPr>
              <w:t>Chief Operating Officer</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129,693</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210,600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4"/>
              </w:rPr>
              <w:t>43,893</w:t>
            </w:r>
            <w:r>
              <w:rPr>
                <w:rFonts w:ascii="Arial" w:cs="Arial" w:eastAsia="Arial" w:hAnsi="Arial"/>
                <w:sz w:val="27"/>
                <w:szCs w:val="27"/>
                <w:color w:val="auto"/>
                <w:w w:val="94"/>
                <w:vertAlign w:val="superscript"/>
              </w:rPr>
              <w:t>(7)</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5727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366" w:lineRule="exact"/>
        <w:rPr>
          <w:sz w:val="20"/>
          <w:szCs w:val="20"/>
          <w:color w:val="auto"/>
        </w:rPr>
      </w:pPr>
    </w:p>
    <w:p>
      <w:pPr>
        <w:ind w:left="260" w:hanging="250"/>
        <w:spacing w:after="0"/>
        <w:tabs>
          <w:tab w:leader="none" w:pos="2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Based upon an average exchange rate of 3.58 and 3.73 between the NIS and U.S. Dollar for 2011 and 2010, respectively.</w:t>
      </w:r>
    </w:p>
    <w:p>
      <w:pPr>
        <w:spacing w:after="0" w:line="128" w:lineRule="exact"/>
        <w:rPr>
          <w:rFonts w:ascii="Arial" w:cs="Arial" w:eastAsia="Arial" w:hAnsi="Arial"/>
          <w:sz w:val="15"/>
          <w:szCs w:val="15"/>
          <w:color w:val="auto"/>
        </w:rPr>
      </w:pPr>
    </w:p>
    <w:p>
      <w:pPr>
        <w:ind w:left="260" w:right="1239" w:hanging="250"/>
        <w:spacing w:after="0" w:line="299" w:lineRule="auto"/>
        <w:tabs>
          <w:tab w:leader="none" w:pos="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in accordance with FASB ASC Topic 718. For the assumptions made in the valuation of Vringo’s equity awards see Note 11 of the consolidated financial statements of Vringo.</w:t>
      </w:r>
    </w:p>
    <w:p>
      <w:pPr>
        <w:spacing w:after="0" w:line="42" w:lineRule="exact"/>
        <w:rPr>
          <w:rFonts w:ascii="Arial" w:cs="Arial" w:eastAsia="Arial" w:hAnsi="Arial"/>
          <w:sz w:val="16"/>
          <w:szCs w:val="16"/>
          <w:color w:val="auto"/>
        </w:rPr>
      </w:pPr>
    </w:p>
    <w:p>
      <w:pPr>
        <w:jc w:val="both"/>
        <w:ind w:left="260" w:right="1239" w:hanging="250"/>
        <w:spacing w:after="0" w:line="266" w:lineRule="auto"/>
        <w:tabs>
          <w:tab w:leader="none" w:pos="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Subsequent to the year ended December 31, 2011, in March 2012, Vringo entered into a separation agreement with Vringo’s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2" w:lineRule="exact"/>
        <w:rPr>
          <w:rFonts w:ascii="Arial" w:cs="Arial" w:eastAsia="Arial" w:hAnsi="Arial"/>
          <w:sz w:val="16"/>
          <w:szCs w:val="16"/>
          <w:color w:val="auto"/>
        </w:rPr>
      </w:pPr>
    </w:p>
    <w:p>
      <w:pPr>
        <w:ind w:left="260" w:right="1239" w:hanging="250"/>
        <w:spacing w:after="0" w:line="267" w:lineRule="auto"/>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On July 31, 2011, Stuart Frohlich resigned his position as Chief Operating Officer of Vringo, Inc. As part of his separation agreement, 20,000 of his $0.01 options to purchase shares of Vringo common stock were accelerated.</w:t>
      </w:r>
    </w:p>
    <w:p>
      <w:pPr>
        <w:spacing w:after="0" w:line="66" w:lineRule="exact"/>
        <w:rPr>
          <w:rFonts w:ascii="Arial" w:cs="Arial" w:eastAsia="Arial" w:hAnsi="Arial"/>
          <w:sz w:val="17"/>
          <w:szCs w:val="17"/>
          <w:color w:val="auto"/>
        </w:rPr>
      </w:pPr>
    </w:p>
    <w:p>
      <w:pPr>
        <w:jc w:val="both"/>
        <w:ind w:left="260" w:right="1239" w:hanging="250"/>
        <w:spacing w:after="0" w:line="270" w:lineRule="auto"/>
        <w:tabs>
          <w:tab w:leader="none" w:pos="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67" w:lineRule="exact"/>
        <w:rPr>
          <w:rFonts w:ascii="Arial" w:cs="Arial" w:eastAsia="Arial" w:hAnsi="Arial"/>
          <w:sz w:val="16"/>
          <w:szCs w:val="16"/>
          <w:color w:val="auto"/>
        </w:rPr>
      </w:pPr>
    </w:p>
    <w:p>
      <w:pPr>
        <w:jc w:val="both"/>
        <w:ind w:left="260" w:right="1239" w:hanging="250"/>
        <w:spacing w:after="0" w:line="253" w:lineRule="auto"/>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in 2011 and $26,177 in 2010. Additionally, includes local travel reimbursement in the aggregate amount of $5,943 in 2011 and $5,099 in 2010.</w:t>
      </w:r>
    </w:p>
    <w:p>
      <w:pPr>
        <w:spacing w:after="0" w:line="77"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$19,938 in 2011 and $31,187 in 2010.</w:t>
      </w:r>
    </w:p>
    <w:p>
      <w:pPr>
        <w:spacing w:after="0" w:line="7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In addition, includes payments associated with possession of company-leased vehicle in the amount of $11,159 in 2011 and $12,706 in 2010.</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Narrative Disclosure to Summary Compensation Table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Jonathan Medved Separation Agreement</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In March 2012, Vringo signed a separation agreement with its former Chief Executive Officer,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Andrew Perlman Employment Agreement</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Andrew Perlman entered into an employment agreement with Vringo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Vringo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financial statements.</w:t>
      </w:r>
    </w:p>
    <w:p>
      <w:pPr>
        <w:spacing w:after="0" w:line="80"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In March 2012, Mr. Perlman was appointed as Vringo’s Chief Executive Officer. In connection with Mr. Perlman’s new position, the Vringo board of directors agreed to following, revised employment terms: Mr. Perlman will be paid $250,000 per year, he will be entitled to severance, equal to his one year salary, to be paid in the event he ceases to be Vringo’s Chief Executive Officer pursuant to a change of control. In addition, the Vringo board of directors approved the grant of options to purchase 450,000 shares at an exercise price of $1.65 per share. Vringo and Mr. Perlman expect to enter into an amendment to his employment agreement to formalize the foregoing terms.</w:t>
      </w:r>
    </w:p>
    <w:p>
      <w:pPr>
        <w:spacing w:after="0" w:line="8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employment agreement requires Mr. Perlman to assign inventions and other intellectual property which he conceives or reduces to practice during his employment to Vringo and to maintain Vringo’s confidential information during employment and thereafter. Mr. Perlman is also subject to a non-competition and a non-solicitation provision that extends for a period of twelve months following termination of his agreement.</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Ellen Cohl Employment Agreement</w:t>
      </w:r>
    </w:p>
    <w:p>
      <w:pPr>
        <w:spacing w:after="0" w:line="105" w:lineRule="exact"/>
        <w:rPr>
          <w:sz w:val="20"/>
          <w:szCs w:val="20"/>
          <w:color w:val="auto"/>
        </w:rPr>
      </w:pPr>
    </w:p>
    <w:p>
      <w:pPr>
        <w:jc w:val="both"/>
        <w:ind w:left="40" w:right="1239" w:firstLine="251"/>
        <w:spacing w:after="0" w:line="248" w:lineRule="auto"/>
        <w:rPr>
          <w:sz w:val="20"/>
          <w:szCs w:val="20"/>
          <w:color w:val="auto"/>
        </w:rPr>
      </w:pPr>
      <w:r>
        <w:rPr>
          <w:rFonts w:ascii="Arial" w:cs="Arial" w:eastAsia="Arial" w:hAnsi="Arial"/>
          <w:sz w:val="17"/>
          <w:szCs w:val="17"/>
          <w:color w:val="auto"/>
        </w:rPr>
        <w:t>Ellen Cohl entered into an employment agreement with Vringo on October 20, 2010, to act as Vringo’s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8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200" w:lineRule="exact"/>
        <w:rPr>
          <w:sz w:val="20"/>
          <w:szCs w:val="20"/>
          <w:color w:val="auto"/>
        </w:rPr>
      </w:pPr>
    </w:p>
    <w:p>
      <w:pPr>
        <w:spacing w:after="0" w:line="30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Vringo’s contributions under this Section 5.4 will continue only up to the applicable tax-exempt “ceiling” under the income tax regulations in effect from time to time. The funds may be released to Ms. Cohl upon her written request.</w:t>
      </w:r>
    </w:p>
    <w:p>
      <w:pPr>
        <w:spacing w:after="0" w:line="6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employment agreement requires Ms. Cohl to assign inventions and other intellectual property which she conceives or reduces to practice during employment to Vringo and to maintain Vringo’s confidential information during employment and thereafter. Ms. Cohl is also subject to a non-competition and a non-solicitation provision that extends for a period of 12 months following termination of her agreement.</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Table: Combined Company Executive Officers from Vringo</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sets forth cash compensation and the value of stock options awards granted to Vringo’s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42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ind w:left="100"/>
              <w:spacing w:after="0" w:line="139" w:lineRule="exact"/>
              <w:rPr>
                <w:sz w:val="20"/>
                <w:szCs w:val="20"/>
                <w:color w:val="auto"/>
              </w:rPr>
            </w:pPr>
            <w:r>
              <w:rPr>
                <w:rFonts w:ascii="Arial" w:cs="Arial" w:eastAsia="Arial" w:hAnsi="Arial"/>
                <w:sz w:val="13"/>
                <w:szCs w:val="13"/>
                <w:b w:val="1"/>
                <w:bCs w:val="1"/>
                <w:color w:val="auto"/>
              </w:rPr>
              <w:t>Salary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7"/>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840" w:type="dxa"/>
            <w:vAlign w:val="bottom"/>
          </w:tcPr>
          <w:p>
            <w:pPr>
              <w:jc w:val="right"/>
              <w:ind w:right="68"/>
              <w:spacing w:after="0" w:line="139"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39" w:lineRule="exact"/>
              <w:rPr>
                <w:sz w:val="20"/>
                <w:szCs w:val="20"/>
                <w:color w:val="auto"/>
              </w:rPr>
            </w:pPr>
            <w:r>
              <w:rPr>
                <w:rFonts w:ascii="Arial" w:cs="Arial" w:eastAsia="Arial" w:hAnsi="Arial"/>
                <w:sz w:val="13"/>
                <w:szCs w:val="13"/>
                <w:b w:val="1"/>
                <w:bCs w:val="1"/>
                <w:color w:val="auto"/>
                <w:w w:val="96"/>
              </w:rPr>
              <w:t>Total</w:t>
            </w:r>
          </w:p>
        </w:tc>
      </w:tr>
      <w:tr>
        <w:trPr>
          <w:trHeight w:val="147"/>
        </w:trPr>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5"/>
              <w:spacing w:after="0" w:line="14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7"/>
              <w:spacing w:after="0" w:line="14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0"/>
              </w:rPr>
              <w:t>Compensation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345"/>
              <w:spacing w:after="0" w:line="148" w:lineRule="exact"/>
              <w:rPr>
                <w:sz w:val="20"/>
                <w:szCs w:val="20"/>
                <w:color w:val="auto"/>
              </w:rPr>
            </w:pPr>
            <w:r>
              <w:rPr>
                <w:rFonts w:ascii="Arial" w:cs="Arial" w:eastAsia="Arial" w:hAnsi="Arial"/>
                <w:sz w:val="13"/>
                <w:szCs w:val="13"/>
                <w:b w:val="1"/>
                <w:bCs w:val="1"/>
                <w:color w:val="auto"/>
              </w:rPr>
              <w:t>($)</w:t>
            </w:r>
          </w:p>
        </w:tc>
      </w:tr>
      <w:tr>
        <w:trPr>
          <w:trHeight w:val="186"/>
        </w:trPr>
        <w:tc>
          <w:tcPr>
            <w:tcW w:w="3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7"/>
              <w:spacing w:after="0" w:line="187"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3"/>
        </w:trPr>
        <w:tc>
          <w:tcPr>
            <w:tcW w:w="34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Andrew D. Perlman</w:t>
            </w:r>
          </w:p>
        </w:tc>
        <w:tc>
          <w:tcPr>
            <w:tcW w:w="3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ind w:left="100"/>
              <w:spacing w:after="0" w:line="193" w:lineRule="exact"/>
              <w:rPr>
                <w:sz w:val="20"/>
                <w:szCs w:val="20"/>
                <w:color w:val="auto"/>
              </w:rPr>
            </w:pPr>
            <w:r>
              <w:rPr>
                <w:rFonts w:ascii="Arial" w:cs="Arial" w:eastAsia="Arial" w:hAnsi="Arial"/>
                <w:sz w:val="17"/>
                <w:szCs w:val="17"/>
                <w:color w:val="auto"/>
                <w:w w:val="97"/>
              </w:rPr>
              <w:t>188,269</w:t>
            </w:r>
          </w:p>
        </w:tc>
        <w:tc>
          <w:tcPr>
            <w:tcW w:w="3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156,325</w:t>
            </w:r>
          </w:p>
        </w:tc>
        <w:tc>
          <w:tcPr>
            <w:tcW w:w="160" w:type="dxa"/>
            <w:vAlign w:val="bottom"/>
            <w:shd w:val="clear" w:color="auto" w:fill="CCFFCC"/>
          </w:tcPr>
          <w:p>
            <w:pPr>
              <w:spacing w:after="0"/>
              <w:rPr>
                <w:sz w:val="16"/>
                <w:szCs w:val="16"/>
                <w:color w:val="auto"/>
              </w:rPr>
            </w:pPr>
          </w:p>
        </w:tc>
        <w:tc>
          <w:tcPr>
            <w:tcW w:w="840" w:type="dxa"/>
            <w:vAlign w:val="bottom"/>
            <w:shd w:val="clear" w:color="auto" w:fill="CCFFCC"/>
          </w:tcPr>
          <w:p>
            <w:pPr>
              <w:jc w:val="right"/>
              <w:ind w:right="8"/>
              <w:spacing w:after="0" w:line="19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ind w:left="40"/>
              <w:spacing w:after="0" w:line="193" w:lineRule="exact"/>
              <w:rPr>
                <w:sz w:val="20"/>
                <w:szCs w:val="20"/>
                <w:color w:val="auto"/>
              </w:rPr>
            </w:pPr>
            <w:r>
              <w:rPr>
                <w:rFonts w:ascii="Arial" w:cs="Arial" w:eastAsia="Arial" w:hAnsi="Arial"/>
                <w:sz w:val="17"/>
                <w:szCs w:val="17"/>
                <w:color w:val="auto"/>
              </w:rPr>
              <w:t>344,594</w:t>
            </w:r>
          </w:p>
        </w:tc>
      </w:tr>
      <w:tr>
        <w:trPr>
          <w:trHeight w:val="364"/>
        </w:trPr>
        <w:tc>
          <w:tcPr>
            <w:tcW w:w="3420" w:type="dxa"/>
            <w:vAlign w:val="bottom"/>
          </w:tcPr>
          <w:p>
            <w:pPr>
              <w:spacing w:after="0"/>
              <w:rPr>
                <w:sz w:val="20"/>
                <w:szCs w:val="20"/>
                <w:color w:val="auto"/>
              </w:rPr>
            </w:pPr>
            <w:r>
              <w:rPr>
                <w:rFonts w:ascii="Arial" w:cs="Arial" w:eastAsia="Arial" w:hAnsi="Arial"/>
                <w:sz w:val="17"/>
                <w:szCs w:val="17"/>
                <w:color w:val="auto"/>
              </w:rPr>
              <w:t>Ellen Cohl</w:t>
            </w: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tcPr>
          <w:p>
            <w:pPr>
              <w:ind w:left="100"/>
              <w:spacing w:after="0"/>
              <w:rPr>
                <w:sz w:val="20"/>
                <w:szCs w:val="20"/>
                <w:color w:val="auto"/>
              </w:rPr>
            </w:pPr>
            <w:r>
              <w:rPr>
                <w:rFonts w:ascii="Arial" w:cs="Arial" w:eastAsia="Arial" w:hAnsi="Arial"/>
                <w:sz w:val="17"/>
                <w:szCs w:val="17"/>
                <w:color w:val="auto"/>
                <w:w w:val="97"/>
              </w:rPr>
              <w:t>127,988</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58,180</w:t>
            </w:r>
          </w:p>
        </w:tc>
        <w:tc>
          <w:tcPr>
            <w:tcW w:w="1000" w:type="dxa"/>
            <w:vAlign w:val="bottom"/>
            <w:gridSpan w:val="2"/>
          </w:tcPr>
          <w:p>
            <w:pPr>
              <w:jc w:val="right"/>
              <w:ind w:right="8"/>
              <w:spacing w:after="0"/>
              <w:rPr>
                <w:sz w:val="20"/>
                <w:szCs w:val="20"/>
                <w:color w:val="auto"/>
              </w:rPr>
            </w:pPr>
            <w:r>
              <w:rPr>
                <w:rFonts w:ascii="Arial" w:cs="Arial" w:eastAsia="Arial" w:hAnsi="Arial"/>
                <w:sz w:val="17"/>
                <w:szCs w:val="17"/>
                <w:color w:val="auto"/>
              </w:rPr>
              <w:t>36,841</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ind w:left="40"/>
              <w:spacing w:after="0"/>
              <w:rPr>
                <w:sz w:val="20"/>
                <w:szCs w:val="20"/>
                <w:color w:val="auto"/>
              </w:rPr>
            </w:pPr>
            <w:r>
              <w:rPr>
                <w:rFonts w:ascii="Arial" w:cs="Arial" w:eastAsia="Arial" w:hAnsi="Arial"/>
                <w:sz w:val="17"/>
                <w:szCs w:val="17"/>
                <w:color w:val="auto"/>
                <w:w w:val="95"/>
              </w:rPr>
              <w:t>223,009</w:t>
            </w:r>
            <w:r>
              <w:rPr>
                <w:rFonts w:ascii="Arial" w:cs="Arial" w:eastAsia="Arial" w:hAnsi="Arial"/>
                <w:sz w:val="27"/>
                <w:szCs w:val="27"/>
                <w:color w:val="auto"/>
                <w:w w:val="95"/>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ind w:left="260" w:hanging="250"/>
        <w:spacing w:after="0"/>
        <w:tabs>
          <w:tab w:leader="none" w:pos="2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w:t>
      </w:r>
    </w:p>
    <w:p>
      <w:pPr>
        <w:spacing w:after="0" w:line="105" w:lineRule="exact"/>
        <w:rPr>
          <w:rFonts w:ascii="Arial" w:cs="Arial" w:eastAsia="Arial" w:hAnsi="Arial"/>
          <w:sz w:val="17"/>
          <w:szCs w:val="17"/>
          <w:color w:val="auto"/>
        </w:rPr>
      </w:pPr>
    </w:p>
    <w:p>
      <w:pPr>
        <w:jc w:val="both"/>
        <w:ind w:left="260" w:right="1239" w:hanging="250"/>
        <w:spacing w:after="0" w:line="307" w:lineRule="auto"/>
        <w:tabs>
          <w:tab w:leader="none" w:pos="2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Additionally, includes local travel reimbursement in the aggregate amount of $5,943.</w:t>
      </w:r>
    </w:p>
    <w:p>
      <w:pPr>
        <w:spacing w:after="0" w:line="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Executive Compensation Table: Combined Company Executive Officers from Innovate/Protect</w:t>
      </w:r>
    </w:p>
    <w:p>
      <w:pPr>
        <w:spacing w:after="0" w:line="105" w:lineRule="exact"/>
        <w:rPr>
          <w:sz w:val="20"/>
          <w:szCs w:val="20"/>
          <w:color w:val="auto"/>
        </w:rPr>
      </w:pPr>
    </w:p>
    <w:p>
      <w:pPr>
        <w:ind w:left="40" w:right="1239" w:firstLine="251"/>
        <w:spacing w:after="0" w:line="280" w:lineRule="auto"/>
        <w:rPr>
          <w:sz w:val="20"/>
          <w:szCs w:val="20"/>
          <w:color w:val="auto"/>
        </w:rPr>
      </w:pPr>
      <w:r>
        <w:rPr>
          <w:rFonts w:ascii="Arial" w:cs="Arial" w:eastAsia="Arial" w:hAnsi="Arial"/>
          <w:sz w:val="16"/>
          <w:szCs w:val="16"/>
          <w:color w:val="auto"/>
        </w:rPr>
        <w:t>The following table sets forth cash compensation and the value of stock options awards granted to Innovate/Protect’s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420" w:type="dxa"/>
            <w:vAlign w:val="bottom"/>
          </w:tcPr>
          <w:p>
            <w:pPr>
              <w:spacing w:after="0" w:line="139"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2"/>
                <w:szCs w:val="12"/>
                <w:color w:val="auto"/>
              </w:rPr>
            </w:pPr>
          </w:p>
        </w:tc>
        <w:tc>
          <w:tcPr>
            <w:tcW w:w="860" w:type="dxa"/>
            <w:vAlign w:val="bottom"/>
          </w:tcPr>
          <w:p>
            <w:pPr>
              <w:jc w:val="right"/>
              <w:ind w:right="173"/>
              <w:spacing w:after="0" w:line="139"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880" w:type="dxa"/>
            <w:vAlign w:val="bottom"/>
          </w:tcPr>
          <w:p>
            <w:pPr>
              <w:jc w:val="right"/>
              <w:ind w:right="88"/>
              <w:spacing w:after="0" w:line="139" w:lineRule="exact"/>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120"/>
              <w:spacing w:after="0" w:line="139" w:lineRule="exact"/>
              <w:rPr>
                <w:sz w:val="20"/>
                <w:szCs w:val="20"/>
                <w:color w:val="auto"/>
              </w:rPr>
            </w:pPr>
            <w:r>
              <w:rPr>
                <w:rFonts w:ascii="Arial" w:cs="Arial" w:eastAsia="Arial" w:hAnsi="Arial"/>
                <w:sz w:val="13"/>
                <w:szCs w:val="13"/>
                <w:b w:val="1"/>
                <w:bCs w:val="1"/>
                <w:color w:val="auto"/>
              </w:rPr>
              <w:t>Total</w:t>
            </w:r>
          </w:p>
        </w:tc>
      </w:tr>
      <w:tr>
        <w:trPr>
          <w:trHeight w:val="147"/>
        </w:trPr>
        <w:tc>
          <w:tcPr>
            <w:tcW w:w="3420" w:type="dxa"/>
            <w:vAlign w:val="bottom"/>
          </w:tcPr>
          <w:p>
            <w:pPr>
              <w:spacing w:after="0"/>
              <w:rPr>
                <w:sz w:val="12"/>
                <w:szCs w:val="12"/>
                <w:color w:val="auto"/>
              </w:rPr>
            </w:pPr>
          </w:p>
        </w:tc>
        <w:tc>
          <w:tcPr>
            <w:tcW w:w="1000" w:type="dxa"/>
            <w:vAlign w:val="bottom"/>
            <w:gridSpan w:val="2"/>
          </w:tcPr>
          <w:p>
            <w:pPr>
              <w:jc w:val="right"/>
              <w:ind w:right="273"/>
              <w:spacing w:after="0" w:line="148"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Awards</w:t>
            </w:r>
          </w:p>
        </w:tc>
        <w:tc>
          <w:tcPr>
            <w:tcW w:w="16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5"/>
              <w:spacing w:after="0" w:line="148" w:lineRule="exact"/>
              <w:rPr>
                <w:sz w:val="20"/>
                <w:szCs w:val="20"/>
                <w:color w:val="auto"/>
              </w:rPr>
            </w:pPr>
            <w:r>
              <w:rPr>
                <w:rFonts w:ascii="Arial" w:cs="Arial" w:eastAsia="Arial" w:hAnsi="Arial"/>
                <w:sz w:val="13"/>
                <w:szCs w:val="13"/>
                <w:b w:val="1"/>
                <w:bCs w:val="1"/>
                <w:color w:val="auto"/>
              </w:rPr>
              <w:t>($)</w:t>
            </w:r>
          </w:p>
        </w:tc>
      </w:tr>
      <w:tr>
        <w:trPr>
          <w:trHeight w:val="186"/>
        </w:trPr>
        <w:tc>
          <w:tcPr>
            <w:tcW w:w="3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21"/>
                <w:szCs w:val="21"/>
                <w:b w:val="1"/>
                <w:bCs w:val="1"/>
                <w:color w:val="auto"/>
                <w:w w:val="95"/>
                <w:vertAlign w:val="subscript"/>
              </w:rPr>
              <w:t>($)</w:t>
            </w:r>
            <w:r>
              <w:rPr>
                <w:rFonts w:ascii="Arial" w:cs="Arial" w:eastAsia="Arial" w:hAnsi="Arial"/>
                <w:sz w:val="10"/>
                <w:szCs w:val="10"/>
                <w:b w:val="1"/>
                <w:bCs w:val="1"/>
                <w:color w:val="auto"/>
                <w:w w:val="95"/>
              </w:rPr>
              <w:t>(1)</w:t>
            </w:r>
          </w:p>
        </w:tc>
        <w:tc>
          <w:tcPr>
            <w:tcW w:w="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31"/>
        </w:trPr>
        <w:tc>
          <w:tcPr>
            <w:tcW w:w="3420" w:type="dxa"/>
            <w:vAlign w:val="bottom"/>
            <w:shd w:val="clear" w:color="auto" w:fill="CCFFCC"/>
          </w:tcPr>
          <w:p>
            <w:pPr>
              <w:spacing w:after="0"/>
              <w:rPr>
                <w:sz w:val="20"/>
                <w:szCs w:val="20"/>
                <w:color w:val="auto"/>
              </w:rPr>
            </w:pPr>
            <w:r>
              <w:rPr>
                <w:rFonts w:ascii="Arial" w:cs="Arial" w:eastAsia="Arial" w:hAnsi="Arial"/>
                <w:sz w:val="17"/>
                <w:szCs w:val="17"/>
                <w:color w:val="auto"/>
              </w:rPr>
              <w:t>Andrew Kennedy Lang</w:t>
            </w:r>
          </w:p>
        </w:tc>
        <w:tc>
          <w:tcPr>
            <w:tcW w:w="1000" w:type="dxa"/>
            <w:vAlign w:val="bottom"/>
            <w:gridSpan w:val="2"/>
            <w:shd w:val="clear" w:color="auto" w:fill="CCFFCC"/>
          </w:tcPr>
          <w:p>
            <w:pPr>
              <w:jc w:val="right"/>
              <w:ind w:right="13"/>
              <w:spacing w:after="0" w:line="231" w:lineRule="exact"/>
              <w:rPr>
                <w:sz w:val="20"/>
                <w:szCs w:val="20"/>
                <w:color w:val="auto"/>
              </w:rPr>
            </w:pPr>
            <w:r>
              <w:rPr>
                <w:rFonts w:ascii="Arial" w:cs="Arial" w:eastAsia="Arial" w:hAnsi="Arial"/>
                <w:sz w:val="16"/>
                <w:szCs w:val="16"/>
                <w:color w:val="auto"/>
              </w:rPr>
              <w:t>$ 88,723</w:t>
            </w:r>
            <w:r>
              <w:rPr>
                <w:rFonts w:ascii="Arial" w:cs="Arial" w:eastAsia="Arial" w:hAnsi="Arial"/>
                <w:sz w:val="26"/>
                <w:szCs w:val="26"/>
                <w:color w:val="auto"/>
                <w:vertAlign w:val="superscript"/>
              </w:rPr>
              <w:t>(2)</w:t>
            </w:r>
          </w:p>
        </w:tc>
        <w:tc>
          <w:tcPr>
            <w:tcW w:w="1020" w:type="dxa"/>
            <w:vAlign w:val="bottom"/>
            <w:gridSpan w:val="2"/>
            <w:shd w:val="clear" w:color="auto" w:fill="CCFFCC"/>
          </w:tcPr>
          <w:p>
            <w:pPr>
              <w:jc w:val="right"/>
              <w:spacing w:after="0" w:line="231" w:lineRule="exact"/>
              <w:rPr>
                <w:sz w:val="20"/>
                <w:szCs w:val="20"/>
                <w:color w:val="auto"/>
              </w:rPr>
            </w:pPr>
            <w:r>
              <w:rPr>
                <w:rFonts w:ascii="Arial" w:cs="Arial" w:eastAsia="Arial" w:hAnsi="Arial"/>
                <w:sz w:val="16"/>
                <w:szCs w:val="16"/>
                <w:color w:val="auto"/>
              </w:rPr>
              <w:t>$ 546,254</w:t>
            </w:r>
            <w:r>
              <w:rPr>
                <w:rFonts w:ascii="Arial" w:cs="Arial" w:eastAsia="Arial" w:hAnsi="Arial"/>
                <w:sz w:val="26"/>
                <w:szCs w:val="26"/>
                <w:color w:val="auto"/>
                <w:vertAlign w:val="superscript"/>
              </w:rPr>
              <w:t>(3)</w:t>
            </w:r>
          </w:p>
        </w:tc>
        <w:tc>
          <w:tcPr>
            <w:tcW w:w="1040" w:type="dxa"/>
            <w:vAlign w:val="bottom"/>
            <w:gridSpan w:val="2"/>
            <w:shd w:val="clear" w:color="auto" w:fill="CCFFCC"/>
          </w:tcPr>
          <w:p>
            <w:pPr>
              <w:jc w:val="right"/>
              <w:ind w:right="28"/>
              <w:spacing w:after="0" w:line="231" w:lineRule="exact"/>
              <w:rPr>
                <w:sz w:val="20"/>
                <w:szCs w:val="20"/>
                <w:color w:val="auto"/>
              </w:rPr>
            </w:pPr>
            <w:r>
              <w:rPr>
                <w:rFonts w:ascii="Arial" w:cs="Arial" w:eastAsia="Arial" w:hAnsi="Arial"/>
                <w:sz w:val="16"/>
                <w:szCs w:val="16"/>
                <w:color w:val="auto"/>
              </w:rPr>
              <w:t>14,653</w:t>
            </w:r>
            <w:r>
              <w:rPr>
                <w:rFonts w:ascii="Arial" w:cs="Arial" w:eastAsia="Arial" w:hAnsi="Arial"/>
                <w:sz w:val="26"/>
                <w:szCs w:val="26"/>
                <w:color w:val="auto"/>
                <w:vertAlign w:val="superscript"/>
              </w:rPr>
              <w:t>(4)</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FFCC"/>
          </w:tcPr>
          <w:p>
            <w:pPr>
              <w:ind w:left="120"/>
              <w:spacing w:after="0"/>
              <w:rPr>
                <w:sz w:val="20"/>
                <w:szCs w:val="20"/>
                <w:color w:val="auto"/>
              </w:rPr>
            </w:pPr>
            <w:r>
              <w:rPr>
                <w:rFonts w:ascii="Arial" w:cs="Arial" w:eastAsia="Arial" w:hAnsi="Arial"/>
                <w:sz w:val="17"/>
                <w:szCs w:val="17"/>
                <w:color w:val="auto"/>
              </w:rPr>
              <w:t>649,630</w:t>
            </w:r>
          </w:p>
        </w:tc>
      </w:tr>
      <w:tr>
        <w:trPr>
          <w:trHeight w:val="364"/>
        </w:trPr>
        <w:tc>
          <w:tcPr>
            <w:tcW w:w="3420" w:type="dxa"/>
            <w:vAlign w:val="bottom"/>
          </w:tcPr>
          <w:p>
            <w:pPr>
              <w:spacing w:after="0"/>
              <w:rPr>
                <w:sz w:val="20"/>
                <w:szCs w:val="20"/>
                <w:color w:val="auto"/>
              </w:rPr>
            </w:pPr>
            <w:r>
              <w:rPr>
                <w:rFonts w:ascii="Arial" w:cs="Arial" w:eastAsia="Arial" w:hAnsi="Arial"/>
                <w:sz w:val="17"/>
                <w:szCs w:val="17"/>
                <w:color w:val="auto"/>
              </w:rPr>
              <w:t>Alexander R. Berger</w:t>
            </w:r>
          </w:p>
        </w:tc>
        <w:tc>
          <w:tcPr>
            <w:tcW w:w="1000" w:type="dxa"/>
            <w:vAlign w:val="bottom"/>
            <w:gridSpan w:val="2"/>
          </w:tcPr>
          <w:p>
            <w:pPr>
              <w:jc w:val="right"/>
              <w:ind w:right="13"/>
              <w:spacing w:after="0"/>
              <w:rPr>
                <w:sz w:val="20"/>
                <w:szCs w:val="20"/>
                <w:color w:val="auto"/>
              </w:rPr>
            </w:pPr>
            <w:r>
              <w:rPr>
                <w:rFonts w:ascii="Arial" w:cs="Arial" w:eastAsia="Arial" w:hAnsi="Arial"/>
                <w:sz w:val="17"/>
                <w:szCs w:val="17"/>
                <w:color w:val="auto"/>
              </w:rPr>
              <w:t>$ 53,274</w:t>
            </w:r>
            <w:r>
              <w:rPr>
                <w:rFonts w:ascii="Arial" w:cs="Arial" w:eastAsia="Arial" w:hAnsi="Arial"/>
                <w:sz w:val="27"/>
                <w:szCs w:val="27"/>
                <w:color w:val="auto"/>
                <w:vertAlign w:val="superscript"/>
              </w:rPr>
              <w:t>(5)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$ 161,438</w:t>
            </w:r>
            <w:r>
              <w:rPr>
                <w:rFonts w:ascii="Arial" w:cs="Arial" w:eastAsia="Arial" w:hAnsi="Arial"/>
                <w:sz w:val="27"/>
                <w:szCs w:val="27"/>
                <w:color w:val="auto"/>
                <w:w w:val="98"/>
                <w:vertAlign w:val="superscript"/>
              </w:rPr>
              <w:t>(6)</w:t>
            </w:r>
          </w:p>
        </w:tc>
        <w:tc>
          <w:tcPr>
            <w:tcW w:w="16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ind w:left="120"/>
              <w:spacing w:after="0"/>
              <w:rPr>
                <w:sz w:val="20"/>
                <w:szCs w:val="20"/>
                <w:color w:val="auto"/>
              </w:rPr>
            </w:pPr>
            <w:r>
              <w:rPr>
                <w:rFonts w:ascii="Arial" w:cs="Arial" w:eastAsia="Arial" w:hAnsi="Arial"/>
                <w:sz w:val="17"/>
                <w:szCs w:val="17"/>
                <w:color w:val="auto"/>
              </w:rPr>
              <w:t>214,712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72770"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368" w:lineRule="exact"/>
        <w:rPr>
          <w:sz w:val="20"/>
          <w:szCs w:val="20"/>
          <w:color w:val="auto"/>
        </w:rPr>
      </w:pPr>
    </w:p>
    <w:p>
      <w:pPr>
        <w:ind w:left="260" w:hanging="250"/>
        <w:spacing w:after="0"/>
        <w:tabs>
          <w:tab w:leader="none" w:pos="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w:t>
      </w:r>
    </w:p>
    <w:p>
      <w:pPr>
        <w:spacing w:after="0" w:line="105"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the event that the Merger is not consummated and Innovate/Protect successfully completes an IPO and realizes net proceeds of at least $7 million from the sum of its previously completed private placements and the IPO, Mr. Lang’s annual salary will increase to $385,000.</w:t>
      </w:r>
    </w:p>
    <w:p>
      <w:pPr>
        <w:spacing w:after="0" w:line="76"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Total stock award of 2,115,625 shares. 1,178,125 shares vested immediately upon grant and 937,500 shares vest over a three (3) year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hanging="250"/>
        <w:spacing w:after="0"/>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Includes $14,653 provided to Mr. Lang in moving reimbursement expenses.</w:t>
      </w:r>
    </w:p>
    <w:p>
      <w:pPr>
        <w:spacing w:after="0" w:line="105" w:lineRule="exact"/>
        <w:rPr>
          <w:rFonts w:ascii="Arial" w:cs="Arial" w:eastAsia="Arial" w:hAnsi="Arial"/>
          <w:sz w:val="17"/>
          <w:szCs w:val="17"/>
          <w:color w:val="auto"/>
        </w:rPr>
      </w:pPr>
    </w:p>
    <w:p>
      <w:pPr>
        <w:jc w:val="both"/>
        <w:ind w:left="260" w:right="1239" w:hanging="250"/>
        <w:spacing w:after="0" w:line="256" w:lineRule="auto"/>
        <w:tabs>
          <w:tab w:leader="none" w:pos="2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the event that the Merger is not consummated and Innovate/Protect successfully completes an IPO and realizes net proceeds of at least $7 million from the sum of its previously completed private placements and the IPO, Mr. Berger’s annual salary will increase to $250,000.</w:t>
      </w:r>
    </w:p>
    <w:p>
      <w:pPr>
        <w:spacing w:after="0" w:line="76" w:lineRule="exact"/>
        <w:rPr>
          <w:rFonts w:ascii="Arial" w:cs="Arial" w:eastAsia="Arial" w:hAnsi="Arial"/>
          <w:sz w:val="17"/>
          <w:szCs w:val="17"/>
          <w:color w:val="auto"/>
        </w:rPr>
      </w:pPr>
    </w:p>
    <w:p>
      <w:pPr>
        <w:jc w:val="both"/>
        <w:ind w:left="260" w:right="1239" w:hanging="250"/>
        <w:spacing w:after="0" w:line="297" w:lineRule="auto"/>
        <w:tabs>
          <w:tab w:leader="none" w:pos="2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Total stock award of 625,000 shares. The fair value of these shares at the time of grant has been treated as compensation and is recognized at such times as the shares vest over an eighteen (18) month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Outstanding Equity Awards at Fiscal Year-End</w:t>
      </w:r>
    </w:p>
    <w:p>
      <w:pPr>
        <w:spacing w:after="0" w:line="105"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The table below sets forth information regarding outstanding equity awards held by Vringo’s named executive officers as of December 31, 2011 granted under Vringo’s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5"/>
              </w:rPr>
              <w:t>Option awards</w:t>
            </w: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8"/>
        </w:trPr>
        <w:tc>
          <w:tcPr>
            <w:tcW w:w="23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w:t>
            </w: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08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Option</w:t>
            </w:r>
          </w:p>
        </w:tc>
        <w:tc>
          <w:tcPr>
            <w:tcW w:w="1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Vesting</w:t>
            </w:r>
          </w:p>
        </w:tc>
        <w:tc>
          <w:tcPr>
            <w:tcW w:w="160" w:type="dxa"/>
            <w:vAlign w:val="bottom"/>
          </w:tcPr>
          <w:p>
            <w:pPr>
              <w:spacing w:after="0"/>
              <w:rPr>
                <w:sz w:val="12"/>
                <w:szCs w:val="12"/>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Option</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5"/>
              </w:rPr>
              <w:t>securities</w:t>
            </w:r>
          </w:p>
        </w:tc>
        <w:tc>
          <w:tcPr>
            <w:tcW w:w="160" w:type="dxa"/>
            <w:vAlign w:val="bottom"/>
          </w:tcPr>
          <w:p>
            <w:pPr>
              <w:spacing w:after="0"/>
              <w:rPr>
                <w:sz w:val="11"/>
                <w:szCs w:val="11"/>
                <w:color w:val="auto"/>
              </w:rPr>
            </w:pPr>
          </w:p>
        </w:tc>
        <w:tc>
          <w:tcPr>
            <w:tcW w:w="1080" w:type="dxa"/>
            <w:vAlign w:val="bottom"/>
            <w:gridSpan w:val="3"/>
          </w:tcPr>
          <w:p>
            <w:pPr>
              <w:jc w:val="center"/>
              <w:ind w:right="220"/>
              <w:spacing w:after="0" w:line="138" w:lineRule="exact"/>
              <w:rPr>
                <w:sz w:val="20"/>
                <w:szCs w:val="20"/>
                <w:color w:val="auto"/>
              </w:rPr>
            </w:pPr>
            <w:r>
              <w:rPr>
                <w:rFonts w:ascii="Arial" w:cs="Arial" w:eastAsia="Arial" w:hAnsi="Arial"/>
                <w:sz w:val="13"/>
                <w:szCs w:val="13"/>
                <w:b w:val="1"/>
                <w:bCs w:val="1"/>
                <w:color w:val="auto"/>
                <w:w w:val="89"/>
              </w:rPr>
              <w:t>exercise price</w:t>
            </w: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commencement</w:t>
            </w:r>
          </w:p>
        </w:tc>
        <w:tc>
          <w:tcPr>
            <w:tcW w:w="16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expiration</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underlying</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underlying</w:t>
            </w:r>
          </w:p>
        </w:tc>
        <w:tc>
          <w:tcPr>
            <w:tcW w:w="1020" w:type="dxa"/>
            <w:vAlign w:val="bottom"/>
            <w:gridSpan w:val="2"/>
          </w:tcPr>
          <w:p>
            <w:pPr>
              <w:jc w:val="center"/>
              <w:ind w:left="78"/>
              <w:spacing w:after="0" w:line="138" w:lineRule="exact"/>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7"/>
              </w:rPr>
              <w:t>date</w:t>
            </w:r>
          </w:p>
        </w:tc>
        <w:tc>
          <w:tcPr>
            <w:tcW w:w="16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date</w:t>
            </w: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unexercised</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unexercised</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8"/>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8"/>
        </w:trPr>
        <w:tc>
          <w:tcPr>
            <w:tcW w:w="2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exercisable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231"/>
        </w:trPr>
        <w:tc>
          <w:tcPr>
            <w:tcW w:w="2200" w:type="dxa"/>
            <w:vAlign w:val="bottom"/>
          </w:tcPr>
          <w:p>
            <w:pPr>
              <w:spacing w:after="0" w:line="231" w:lineRule="exact"/>
              <w:rPr>
                <w:sz w:val="20"/>
                <w:szCs w:val="20"/>
                <w:color w:val="auto"/>
              </w:rPr>
            </w:pPr>
            <w:r>
              <w:rPr>
                <w:rFonts w:ascii="Arial" w:cs="Arial" w:eastAsia="Arial" w:hAnsi="Arial"/>
                <w:sz w:val="16"/>
                <w:szCs w:val="16"/>
                <w:color w:val="auto"/>
              </w:rPr>
              <w:t>Jonathan Medved</w:t>
            </w:r>
            <w:r>
              <w:rPr>
                <w:rFonts w:ascii="Arial" w:cs="Arial" w:eastAsia="Arial" w:hAnsi="Arial"/>
                <w:sz w:val="26"/>
                <w:szCs w:val="26"/>
                <w:color w:val="auto"/>
                <w:vertAlign w:val="superscript"/>
              </w:rPr>
              <w:t>(1)</w:t>
            </w:r>
          </w:p>
        </w:tc>
        <w:tc>
          <w:tcPr>
            <w:tcW w:w="14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20,833</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9/16/2007</w:t>
            </w:r>
          </w:p>
        </w:tc>
        <w:tc>
          <w:tcPr>
            <w:tcW w:w="160" w:type="dxa"/>
            <w:vAlign w:val="bottom"/>
          </w:tcPr>
          <w:p>
            <w:pPr>
              <w:spacing w:after="0"/>
              <w:rPr>
                <w:sz w:val="20"/>
                <w:szCs w:val="20"/>
                <w:color w:val="auto"/>
              </w:rPr>
            </w:pPr>
          </w:p>
        </w:tc>
        <w:tc>
          <w:tcPr>
            <w:tcW w:w="980" w:type="dxa"/>
            <w:vAlign w:val="bottom"/>
          </w:tcPr>
          <w:p>
            <w:pPr>
              <w:ind w:left="80"/>
              <w:spacing w:after="0" w:line="231" w:lineRule="exact"/>
              <w:rPr>
                <w:sz w:val="20"/>
                <w:szCs w:val="20"/>
                <w:color w:val="auto"/>
              </w:rPr>
            </w:pPr>
            <w:r>
              <w:rPr>
                <w:rFonts w:ascii="Arial" w:cs="Arial" w:eastAsia="Arial" w:hAnsi="Arial"/>
                <w:sz w:val="16"/>
                <w:szCs w:val="16"/>
                <w:color w:val="auto"/>
                <w:w w:val="95"/>
              </w:rPr>
              <w:t>9/21/2013</w:t>
            </w:r>
            <w:r>
              <w:rPr>
                <w:rFonts w:ascii="Arial" w:cs="Arial" w:eastAsia="Arial" w:hAnsi="Arial"/>
                <w:sz w:val="26"/>
                <w:szCs w:val="26"/>
                <w:color w:val="auto"/>
                <w:w w:val="95"/>
                <w:vertAlign w:val="superscript"/>
              </w:rPr>
              <w:t>(4)</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(1)</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7,670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4,018</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6/25/2009</w:t>
            </w:r>
          </w:p>
        </w:tc>
        <w:tc>
          <w:tcPr>
            <w:tcW w:w="1140" w:type="dxa"/>
            <w:vAlign w:val="bottom"/>
            <w:gridSpan w:val="2"/>
            <w:shd w:val="clear" w:color="auto" w:fill="CCFFCC"/>
          </w:tcPr>
          <w:p>
            <w:pPr>
              <w:ind w:left="240"/>
              <w:spacing w:after="0" w:line="239" w:lineRule="exact"/>
              <w:rPr>
                <w:sz w:val="20"/>
                <w:szCs w:val="20"/>
                <w:color w:val="auto"/>
              </w:rPr>
            </w:pPr>
            <w:r>
              <w:rPr>
                <w:rFonts w:ascii="Arial" w:cs="Arial" w:eastAsia="Arial" w:hAnsi="Arial"/>
                <w:sz w:val="17"/>
                <w:szCs w:val="17"/>
                <w:color w:val="auto"/>
                <w:w w:val="90"/>
              </w:rPr>
              <w:t>9/21/2013</w:t>
            </w:r>
            <w:r>
              <w:rPr>
                <w:rFonts w:ascii="Arial" w:cs="Arial" w:eastAsia="Arial" w:hAnsi="Arial"/>
                <w:sz w:val="27"/>
                <w:szCs w:val="27"/>
                <w:color w:val="auto"/>
                <w:w w:val="90"/>
                <w:vertAlign w:val="superscript"/>
              </w:rPr>
              <w:t>(4)</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266,667</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line="239" w:lineRule="exact"/>
              <w:rPr>
                <w:sz w:val="20"/>
                <w:szCs w:val="20"/>
                <w:color w:val="auto"/>
              </w:rPr>
            </w:pPr>
            <w:r>
              <w:rPr>
                <w:rFonts w:ascii="Arial" w:cs="Arial" w:eastAsia="Arial" w:hAnsi="Arial"/>
                <w:sz w:val="17"/>
                <w:szCs w:val="17"/>
                <w:color w:val="auto"/>
                <w:w w:val="90"/>
              </w:rPr>
              <w:t>9/21/2012</w:t>
            </w:r>
            <w:r>
              <w:rPr>
                <w:rFonts w:ascii="Arial" w:cs="Arial" w:eastAsia="Arial" w:hAnsi="Arial"/>
                <w:sz w:val="27"/>
                <w:szCs w:val="27"/>
                <w:color w:val="auto"/>
                <w:w w:val="90"/>
                <w:vertAlign w:val="superscript"/>
              </w:rPr>
              <w:t>(4)</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(2)</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150,000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250,000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9/21/2013</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4,167</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7/30/2007</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7/30/2013</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2,500</w:t>
            </w: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4.50</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1/20/2008</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1/20/2014</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(1)</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1,490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677</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1.50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2/14/2009</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2/14/2015</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46,667</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3/17/2016</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(2)</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33,750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56,250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3/17/2016</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46,667</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Andrew Perlman</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30,000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60,000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(3)</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20,000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(3)</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6,250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13,750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1/31/2017</w:t>
            </w:r>
          </w:p>
        </w:tc>
      </w:tr>
      <w:tr>
        <w:trPr>
          <w:trHeight w:val="238"/>
        </w:trPr>
        <w:tc>
          <w:tcPr>
            <w:tcW w:w="2340" w:type="dxa"/>
            <w:vAlign w:val="bottom"/>
            <w:gridSpan w:val="2"/>
            <w:shd w:val="clear" w:color="auto" w:fill="CCFFCC"/>
          </w:tcPr>
          <w:p>
            <w:pPr>
              <w:spacing w:after="0" w:line="239" w:lineRule="exact"/>
              <w:rPr>
                <w:sz w:val="20"/>
                <w:szCs w:val="20"/>
                <w:color w:val="auto"/>
              </w:rPr>
            </w:pPr>
            <w:r>
              <w:rPr>
                <w:rFonts w:ascii="Arial" w:cs="Arial" w:eastAsia="Arial" w:hAnsi="Arial"/>
                <w:sz w:val="17"/>
                <w:szCs w:val="17"/>
                <w:color w:val="auto"/>
              </w:rPr>
              <w:t>Ellen Cohl</w:t>
            </w:r>
            <w:r>
              <w:rPr>
                <w:rFonts w:ascii="Arial" w:cs="Arial" w:eastAsia="Arial" w:hAnsi="Arial"/>
                <w:sz w:val="27"/>
                <w:szCs w:val="27"/>
                <w:color w:val="auto"/>
                <w:vertAlign w:val="superscript"/>
              </w:rPr>
              <w:t>(2)</w:t>
            </w:r>
          </w:p>
        </w:tc>
        <w:tc>
          <w:tcPr>
            <w:tcW w:w="860" w:type="dxa"/>
            <w:vAlign w:val="bottom"/>
            <w:shd w:val="clear" w:color="auto" w:fill="CCFFCC"/>
          </w:tcPr>
          <w:p>
            <w:pPr>
              <w:jc w:val="right"/>
              <w:ind w:right="1"/>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15,000</w:t>
            </w:r>
          </w:p>
        </w:tc>
        <w:tc>
          <w:tcPr>
            <w:tcW w:w="1020" w:type="dxa"/>
            <w:vAlign w:val="bottom"/>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0.01</w:t>
            </w: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shd w:val="clear" w:color="auto" w:fill="CCFFCC"/>
          </w:tcPr>
          <w:p>
            <w:pPr>
              <w:ind w:left="240"/>
              <w:spacing w:after="0"/>
              <w:rPr>
                <w:sz w:val="20"/>
                <w:szCs w:val="20"/>
                <w:color w:val="auto"/>
              </w:rPr>
            </w:pPr>
            <w:r>
              <w:rPr>
                <w:rFonts w:ascii="Arial" w:cs="Arial" w:eastAsia="Arial" w:hAnsi="Arial"/>
                <w:sz w:val="17"/>
                <w:szCs w:val="17"/>
                <w:color w:val="auto"/>
              </w:rPr>
              <w:t>3/17/2016</w:t>
            </w:r>
          </w:p>
        </w:tc>
      </w:tr>
      <w:tr>
        <w:trPr>
          <w:trHeight w:val="213"/>
        </w:trPr>
        <w:tc>
          <w:tcPr>
            <w:tcW w:w="2340" w:type="dxa"/>
            <w:vAlign w:val="bottom"/>
            <w:gridSpan w:val="2"/>
          </w:tcPr>
          <w:p>
            <w:pPr>
              <w:spacing w:after="0"/>
              <w:rPr>
                <w:sz w:val="20"/>
                <w:szCs w:val="20"/>
                <w:color w:val="auto"/>
              </w:rPr>
            </w:pPr>
            <w:r>
              <w:rPr>
                <w:rFonts w:ascii="Arial" w:cs="Arial" w:eastAsia="Arial" w:hAnsi="Arial"/>
                <w:sz w:val="17"/>
                <w:szCs w:val="17"/>
                <w:color w:val="auto"/>
              </w:rPr>
              <w:t>Ellen Cohl (2)</w:t>
            </w: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15,000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1020" w:type="dxa"/>
            <w:vAlign w:val="bottom"/>
            <w:gridSpan w:val="2"/>
          </w:tcPr>
          <w:p>
            <w:pPr>
              <w:jc w:val="right"/>
              <w:ind w:right="53"/>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6/22/2010</w:t>
            </w:r>
          </w:p>
        </w:tc>
        <w:tc>
          <w:tcPr>
            <w:tcW w:w="1140" w:type="dxa"/>
            <w:vAlign w:val="bottom"/>
            <w:gridSpan w:val="2"/>
          </w:tcPr>
          <w:p>
            <w:pPr>
              <w:ind w:left="240"/>
              <w:spacing w:after="0"/>
              <w:rPr>
                <w:sz w:val="20"/>
                <w:szCs w:val="20"/>
                <w:color w:val="auto"/>
              </w:rPr>
            </w:pPr>
            <w:r>
              <w:rPr>
                <w:rFonts w:ascii="Arial" w:cs="Arial" w:eastAsia="Arial" w:hAnsi="Arial"/>
                <w:sz w:val="17"/>
                <w:szCs w:val="17"/>
                <w:color w:val="auto"/>
              </w:rPr>
              <w:t>3/17/2016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572770"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2770" cy="1587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both"/>
        <w:ind w:left="260" w:right="1239" w:hanging="250"/>
        <w:spacing w:after="0" w:line="253" w:lineRule="auto"/>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spacing w:after="0" w:line="77"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77" w:lineRule="exact"/>
        <w:rPr>
          <w:rFonts w:ascii="Arial" w:cs="Arial" w:eastAsia="Arial" w:hAnsi="Arial"/>
          <w:sz w:val="17"/>
          <w:szCs w:val="17"/>
          <w:color w:val="auto"/>
        </w:rPr>
      </w:pPr>
    </w:p>
    <w:p>
      <w:pPr>
        <w:jc w:val="both"/>
        <w:ind w:left="260" w:right="1239" w:hanging="250"/>
        <w:spacing w:after="0" w:line="253" w:lineRule="auto"/>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Reflects option expiration dates pursuant to separation agreement signed in March 2012.</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For additional option grants related subsequent events, also refer to Note 17 to the Vringo’s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SECURITY OWNERSHIP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CERTAIN BENEFICIAL OWNERS AND MANAGEMENT</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information as of June 20, 2012, regarding the beneficial ownership of Vringo common stock by</w:t>
      </w:r>
    </w:p>
    <w:p>
      <w:pPr>
        <w:spacing w:after="0" w:line="40" w:lineRule="exact"/>
        <w:rPr>
          <w:sz w:val="20"/>
          <w:szCs w:val="20"/>
          <w:color w:val="auto"/>
        </w:rPr>
      </w:pPr>
    </w:p>
    <w:p>
      <w:pPr>
        <w:jc w:val="both"/>
        <w:ind w:left="40" w:right="1239" w:firstLine="7"/>
        <w:spacing w:after="0" w:line="268" w:lineRule="auto"/>
        <w:tabs>
          <w:tab w:leader="none" w:pos="26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person known by the Vringo board of directors to own beneficially 5% or more of the outstanding shares of Vringo common stock, (ii) each director of Vringo, (iii) Vringo’s named executive officers, and (iv) all of Vringo’s directors and executive officers as a group. Information with respect to beneficial ownership is based solely on a review of Vringo’s capital stock transfer records and on publicly available filings made with the SEC by or on behalf of the stockholders listed below.</w:t>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Percentage of beneficial ownership is calculated in relation to the 14,244,160 shares of Vringo common stock that were outstanding as of June 20, 2012. Beneficial ownership is determined in accordance with the rules of the SEC, which generally attribute beneficial ownership of securities to persons who possess sole or shared voting or investment power with respect to those securities, and includes shares of Vringo common stock issuable pursuant to the exercise of stock options or other securities that are exercisable or convertible into shares of Vringo common stock within 60 days of June 20, 2012. Options to purchase shares of Vringo common stock that are exercisable within 60 days of June 20, 2012 are considered beneficially owned by the person holding such options for the purpose of computing ownership of such person, but are not treated as outstanding for the purpose of computing the beneficial ownership of any other person. Unless otherwise indicated, to Vringo’s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374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line="161" w:lineRule="exact"/>
              <w:rPr>
                <w:sz w:val="20"/>
                <w:szCs w:val="20"/>
                <w:color w:val="auto"/>
              </w:rPr>
            </w:pPr>
            <w:r>
              <w:rPr>
                <w:rFonts w:ascii="Arial" w:cs="Arial" w:eastAsia="Arial" w:hAnsi="Arial"/>
                <w:sz w:val="11"/>
                <w:szCs w:val="11"/>
                <w:b w:val="1"/>
                <w:bCs w:val="1"/>
                <w:color w:val="auto"/>
              </w:rPr>
              <w:t>Name and Address of Beneficial Owner</w:t>
            </w:r>
            <w:r>
              <w:rPr>
                <w:rFonts w:ascii="Arial" w:cs="Arial" w:eastAsia="Arial" w:hAnsi="Arial"/>
                <w:sz w:val="18"/>
                <w:szCs w:val="18"/>
                <w:b w:val="1"/>
                <w:bCs w:val="1"/>
                <w:color w:val="auto"/>
                <w:vertAlign w:val="superscript"/>
              </w:rPr>
              <w:t>(1)</w:t>
            </w: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140" w:type="dxa"/>
            <w:vAlign w:val="bottom"/>
          </w:tcPr>
          <w:p>
            <w:pPr>
              <w:spacing w:after="0"/>
              <w:rPr>
                <w:sz w:val="13"/>
                <w:szCs w:val="13"/>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b w:val="1"/>
                <w:bCs w:val="1"/>
                <w:color w:val="auto"/>
              </w:rPr>
              <w:t>Percentage of</w:t>
            </w:r>
          </w:p>
        </w:tc>
      </w:tr>
      <w:tr>
        <w:trPr>
          <w:trHeight w:val="171"/>
        </w:trPr>
        <w:tc>
          <w:tcPr>
            <w:tcW w:w="9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4"/>
              </w:rPr>
              <w:t>of Common</w:t>
            </w:r>
          </w:p>
        </w:tc>
        <w:tc>
          <w:tcPr>
            <w:tcW w:w="140" w:type="dxa"/>
            <w:vAlign w:val="bottom"/>
          </w:tcPr>
          <w:p>
            <w:pPr>
              <w:spacing w:after="0"/>
              <w:rPr>
                <w:sz w:val="14"/>
                <w:szCs w:val="14"/>
                <w:color w:val="auto"/>
              </w:rPr>
            </w:pPr>
          </w:p>
        </w:tc>
        <w:tc>
          <w:tcPr>
            <w:tcW w:w="1120" w:type="dxa"/>
            <w:vAlign w:val="bottom"/>
          </w:tcPr>
          <w:p>
            <w:pPr>
              <w:jc w:val="right"/>
              <w:spacing w:after="0" w:line="171"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9"/>
                <w:szCs w:val="19"/>
                <w:b w:val="1"/>
                <w:bCs w:val="1"/>
                <w:color w:val="auto"/>
                <w:vertAlign w:val="superscript"/>
              </w:rPr>
              <w:t>(5)</w:t>
            </w:r>
          </w:p>
        </w:tc>
      </w:tr>
      <w:tr>
        <w:trPr>
          <w:trHeight w:val="114"/>
        </w:trPr>
        <w:tc>
          <w:tcPr>
            <w:tcW w:w="9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1"/>
              </w:rPr>
              <w:t>Stock Beneficially</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6"/>
        </w:trPr>
        <w:tc>
          <w:tcPr>
            <w:tcW w:w="9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tcPr>
          <w:p>
            <w:pPr>
              <w:jc w:val="center"/>
              <w:spacing w:after="0" w:line="187" w:lineRule="exact"/>
              <w:rPr>
                <w:sz w:val="20"/>
                <w:szCs w:val="20"/>
                <w:color w:val="auto"/>
              </w:rPr>
            </w:pPr>
            <w:r>
              <w:rPr>
                <w:rFonts w:ascii="Arial" w:cs="Arial" w:eastAsia="Arial" w:hAnsi="Arial"/>
                <w:sz w:val="21"/>
                <w:szCs w:val="21"/>
                <w:b w:val="1"/>
                <w:bCs w:val="1"/>
                <w:color w:val="auto"/>
                <w:w w:val="95"/>
                <w:vertAlign w:val="subscript"/>
              </w:rPr>
              <w:t>Owned</w:t>
            </w:r>
            <w:r>
              <w:rPr>
                <w:rFonts w:ascii="Arial" w:cs="Arial" w:eastAsia="Arial" w:hAnsi="Arial"/>
                <w:sz w:val="10"/>
                <w:szCs w:val="10"/>
                <w:b w:val="1"/>
                <w:bCs w:val="1"/>
                <w:color w:val="auto"/>
                <w:w w:val="95"/>
              </w:rPr>
              <w:t>(2)(3)(4)</w:t>
            </w:r>
          </w:p>
        </w:tc>
        <w:tc>
          <w:tcPr>
            <w:tcW w:w="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3"/>
        </w:trPr>
        <w:tc>
          <w:tcPr>
            <w:tcW w:w="50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i w:val="1"/>
                <w:iCs w:val="1"/>
                <w:color w:val="auto"/>
              </w:rPr>
              <w:t>Five percent or more beneficial owners:</w:t>
            </w: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r>
      <w:tr>
        <w:trPr>
          <w:trHeight w:val="226"/>
        </w:trPr>
        <w:tc>
          <w:tcPr>
            <w:tcW w:w="5000" w:type="dxa"/>
            <w:vAlign w:val="bottom"/>
            <w:gridSpan w:val="2"/>
          </w:tcPr>
          <w:p>
            <w:pPr>
              <w:spacing w:after="0" w:line="226" w:lineRule="exact"/>
              <w:rPr>
                <w:sz w:val="20"/>
                <w:szCs w:val="20"/>
                <w:color w:val="auto"/>
              </w:rPr>
            </w:pPr>
            <w:r>
              <w:rPr>
                <w:rFonts w:ascii="Arial" w:cs="Arial" w:eastAsia="Arial" w:hAnsi="Arial"/>
                <w:sz w:val="16"/>
                <w:szCs w:val="16"/>
                <w:b w:val="1"/>
                <w:bCs w:val="1"/>
                <w:color w:val="auto"/>
              </w:rPr>
              <w:t>Iroquois Master Fund Ltd.</w:t>
            </w:r>
            <w:r>
              <w:rPr>
                <w:rFonts w:ascii="Arial" w:cs="Arial" w:eastAsia="Arial" w:hAnsi="Arial"/>
                <w:sz w:val="26"/>
                <w:szCs w:val="26"/>
                <w:color w:val="auto"/>
                <w:vertAlign w:val="superscript"/>
              </w:rPr>
              <w:t>(6)</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1,242,828</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8.3%</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641 Lexington Ave, 26 Fl.</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7"/>
                <w:szCs w:val="17"/>
                <w:color w:val="auto"/>
              </w:rPr>
              <w:t>New York, NY 10022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000" w:type="dxa"/>
            <w:vAlign w:val="bottom"/>
            <w:gridSpan w:val="2"/>
            <w:shd w:val="clear" w:color="auto" w:fill="CCFFCC"/>
          </w:tcPr>
          <w:p>
            <w:pPr>
              <w:spacing w:after="0" w:line="226" w:lineRule="exact"/>
              <w:rPr>
                <w:sz w:val="20"/>
                <w:szCs w:val="20"/>
                <w:color w:val="auto"/>
              </w:rPr>
            </w:pPr>
            <w:r>
              <w:rPr>
                <w:rFonts w:ascii="Arial" w:cs="Arial" w:eastAsia="Arial" w:hAnsi="Arial"/>
                <w:sz w:val="16"/>
                <w:szCs w:val="16"/>
                <w:b w:val="1"/>
                <w:bCs w:val="1"/>
                <w:color w:val="auto"/>
              </w:rPr>
              <w:t>Mark Cuban</w:t>
            </w:r>
            <w:r>
              <w:rPr>
                <w:rFonts w:ascii="Arial" w:cs="Arial" w:eastAsia="Arial" w:hAnsi="Arial"/>
                <w:sz w:val="26"/>
                <w:szCs w:val="26"/>
                <w:color w:val="auto"/>
                <w:vertAlign w:val="superscript"/>
              </w:rPr>
              <w:t>(7)</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1,030,720</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7.2%</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5424 Deloache Avenue</w:t>
            </w:r>
          </w:p>
        </w:tc>
        <w:tc>
          <w:tcPr>
            <w:tcW w:w="16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13"/>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Dallas, Texas 75220</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26"/>
        </w:trPr>
        <w:tc>
          <w:tcPr>
            <w:tcW w:w="5000" w:type="dxa"/>
            <w:vAlign w:val="bottom"/>
            <w:gridSpan w:val="2"/>
          </w:tcPr>
          <w:p>
            <w:pPr>
              <w:spacing w:after="0" w:line="226" w:lineRule="exact"/>
              <w:rPr>
                <w:sz w:val="20"/>
                <w:szCs w:val="20"/>
                <w:color w:val="auto"/>
              </w:rPr>
            </w:pPr>
            <w:r>
              <w:rPr>
                <w:rFonts w:ascii="Arial" w:cs="Arial" w:eastAsia="Arial" w:hAnsi="Arial"/>
                <w:sz w:val="16"/>
                <w:szCs w:val="16"/>
                <w:b w:val="1"/>
                <w:bCs w:val="1"/>
                <w:color w:val="auto"/>
              </w:rPr>
              <w:t>18 Partners, LLC</w:t>
            </w:r>
            <w:r>
              <w:rPr>
                <w:rFonts w:ascii="Arial" w:cs="Arial" w:eastAsia="Arial" w:hAnsi="Arial"/>
                <w:sz w:val="26"/>
                <w:szCs w:val="26"/>
                <w:color w:val="auto"/>
                <w:vertAlign w:val="superscript"/>
              </w:rPr>
              <w:t>(8)</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774,975</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5.1%</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1180 East Hallandale Beach Boulevard, Suite C</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7"/>
                <w:szCs w:val="17"/>
                <w:color w:val="auto"/>
              </w:rPr>
              <w:t>Hallandale Beach, FL 33009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16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Andrew D. Perlman</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275,928</w:t>
            </w:r>
          </w:p>
        </w:tc>
        <w:tc>
          <w:tcPr>
            <w:tcW w:w="1260" w:type="dxa"/>
            <w:vAlign w:val="bottom"/>
            <w:gridSpan w:val="2"/>
          </w:tcPr>
          <w:p>
            <w:pPr>
              <w:jc w:val="right"/>
              <w:ind w:right="277"/>
              <w:spacing w:after="0"/>
              <w:rPr>
                <w:sz w:val="20"/>
                <w:szCs w:val="20"/>
                <w:color w:val="auto"/>
              </w:rPr>
            </w:pPr>
            <w:r>
              <w:rPr>
                <w:rFonts w:ascii="Arial" w:cs="Arial" w:eastAsia="Arial" w:hAnsi="Arial"/>
                <w:sz w:val="17"/>
                <w:szCs w:val="17"/>
                <w:color w:val="auto"/>
              </w:rPr>
              <w:t>1.9%</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Seth M. Siegel</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440,122</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3.0%</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Ellen Cohl</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105,417</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John Engelman</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127,575</w:t>
            </w:r>
          </w:p>
        </w:tc>
        <w:tc>
          <w:tcPr>
            <w:tcW w:w="1260" w:type="dxa"/>
            <w:vAlign w:val="bottom"/>
            <w:gridSpan w:val="2"/>
            <w:shd w:val="clear" w:color="auto" w:fill="CCFFCC"/>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Edo Segal</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90,298</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Philip Serlin</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38,333</w:t>
            </w:r>
          </w:p>
        </w:tc>
        <w:tc>
          <w:tcPr>
            <w:tcW w:w="1260" w:type="dxa"/>
            <w:vAlign w:val="bottom"/>
            <w:gridSpan w:val="2"/>
            <w:shd w:val="clear" w:color="auto" w:fill="CCFFCC"/>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tcPr>
          <w:p>
            <w:pPr>
              <w:spacing w:after="0"/>
              <w:rPr>
                <w:sz w:val="20"/>
                <w:szCs w:val="20"/>
                <w:color w:val="auto"/>
              </w:rPr>
            </w:pPr>
            <w:r>
              <w:rPr>
                <w:rFonts w:ascii="Arial" w:cs="Arial" w:eastAsia="Arial" w:hAnsi="Arial"/>
                <w:sz w:val="17"/>
                <w:szCs w:val="17"/>
                <w:color w:val="auto"/>
              </w:rPr>
              <w:t>Geoffrey Skolnik</w:t>
            </w:r>
          </w:p>
        </w:tc>
        <w:tc>
          <w:tcPr>
            <w:tcW w:w="1360" w:type="dxa"/>
            <w:vAlign w:val="bottom"/>
            <w:gridSpan w:val="2"/>
          </w:tcPr>
          <w:p>
            <w:pPr>
              <w:jc w:val="right"/>
              <w:ind w:right="18"/>
              <w:spacing w:after="0"/>
              <w:rPr>
                <w:sz w:val="20"/>
                <w:szCs w:val="20"/>
                <w:color w:val="auto"/>
              </w:rPr>
            </w:pPr>
            <w:r>
              <w:rPr>
                <w:rFonts w:ascii="Arial" w:cs="Arial" w:eastAsia="Arial" w:hAnsi="Arial"/>
                <w:sz w:val="17"/>
                <w:szCs w:val="17"/>
                <w:color w:val="auto"/>
              </w:rPr>
              <w:t>5,625</w:t>
            </w:r>
          </w:p>
        </w:tc>
        <w:tc>
          <w:tcPr>
            <w:tcW w:w="1260" w:type="dxa"/>
            <w:vAlign w:val="bottom"/>
            <w:gridSpan w:val="2"/>
          </w:tcPr>
          <w:p>
            <w:pPr>
              <w:jc w:val="right"/>
              <w:ind w:right="417"/>
              <w:spacing w:after="0"/>
              <w:rPr>
                <w:sz w:val="20"/>
                <w:szCs w:val="20"/>
                <w:color w:val="auto"/>
              </w:rPr>
            </w:pPr>
            <w:r>
              <w:rPr>
                <w:rFonts w:ascii="Arial" w:cs="Arial" w:eastAsia="Arial" w:hAnsi="Arial"/>
                <w:sz w:val="17"/>
                <w:szCs w:val="17"/>
                <w:color w:val="auto"/>
              </w:rPr>
              <w:t>*%</w:t>
            </w:r>
          </w:p>
        </w:tc>
      </w:tr>
      <w:tr>
        <w:trPr>
          <w:trHeight w:val="200"/>
        </w:trPr>
        <w:tc>
          <w:tcPr>
            <w:tcW w:w="5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i w:val="1"/>
                <w:iCs w:val="1"/>
                <w:color w:val="auto"/>
              </w:rPr>
              <w:t>All executive officers and directors as a group (7 persons)</w:t>
            </w:r>
          </w:p>
        </w:tc>
        <w:tc>
          <w:tcPr>
            <w:tcW w:w="1360" w:type="dxa"/>
            <w:vAlign w:val="bottom"/>
            <w:gridSpan w:val="2"/>
            <w:shd w:val="clear" w:color="auto" w:fill="CCFFCC"/>
          </w:tcPr>
          <w:p>
            <w:pPr>
              <w:jc w:val="right"/>
              <w:ind w:right="18"/>
              <w:spacing w:after="0"/>
              <w:rPr>
                <w:sz w:val="20"/>
                <w:szCs w:val="20"/>
                <w:color w:val="auto"/>
              </w:rPr>
            </w:pPr>
            <w:r>
              <w:rPr>
                <w:rFonts w:ascii="Arial" w:cs="Arial" w:eastAsia="Arial" w:hAnsi="Arial"/>
                <w:sz w:val="17"/>
                <w:szCs w:val="17"/>
                <w:color w:val="auto"/>
              </w:rPr>
              <w:t>1,083,297</w:t>
            </w:r>
          </w:p>
        </w:tc>
        <w:tc>
          <w:tcPr>
            <w:tcW w:w="1260" w:type="dxa"/>
            <w:vAlign w:val="bottom"/>
            <w:gridSpan w:val="2"/>
            <w:shd w:val="clear" w:color="auto" w:fill="CCFFCC"/>
          </w:tcPr>
          <w:p>
            <w:pPr>
              <w:jc w:val="right"/>
              <w:ind w:right="277"/>
              <w:spacing w:after="0"/>
              <w:rPr>
                <w:sz w:val="20"/>
                <w:szCs w:val="20"/>
                <w:color w:val="auto"/>
              </w:rPr>
            </w:pPr>
            <w:r>
              <w:rPr>
                <w:rFonts w:ascii="Arial" w:cs="Arial" w:eastAsia="Arial" w:hAnsi="Arial"/>
                <w:sz w:val="17"/>
                <w:szCs w:val="17"/>
                <w:color w:val="auto"/>
              </w:rPr>
              <w:t>7.5%</w:t>
            </w:r>
          </w:p>
        </w:tc>
      </w:tr>
      <w:tr>
        <w:trPr>
          <w:trHeight w:val="251"/>
        </w:trPr>
        <w:tc>
          <w:tcPr>
            <w:tcW w:w="900" w:type="dxa"/>
            <w:vAlign w:val="bottom"/>
            <w:tcBorders>
              <w:bottom w:val="single" w:sz="8" w:color="auto"/>
            </w:tcBorders>
          </w:tcPr>
          <w:p>
            <w:pPr>
              <w:spacing w:after="0"/>
              <w:rPr>
                <w:sz w:val="21"/>
                <w:szCs w:val="21"/>
                <w:color w:val="auto"/>
              </w:rPr>
            </w:pPr>
          </w:p>
        </w:tc>
        <w:tc>
          <w:tcPr>
            <w:tcW w:w="4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3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w:t>
      </w:r>
    </w:p>
    <w:p>
      <w:pPr>
        <w:spacing w:after="0" w:line="105" w:lineRule="exact"/>
        <w:rPr>
          <w:sz w:val="20"/>
          <w:szCs w:val="20"/>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the individuals is c/o Vringo Inc., 44 W. 28th Street New York, New York, 10001.</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June 20, 2012.</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All ownership of the executive officers and directors is direct beneficial ownership, except for 19,165 shares held in a trust controlled by Seth M. Siegel.</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information included on Form 3, Form 4, Form 4/A or Schedule 13G filed with the SEC.</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Percentage of common stock excludes the exercise of all options and warrants held by the holder that are not exercisable within 60 days.</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69" w:lineRule="auto"/>
        <w:tabs>
          <w:tab w:leader="none" w:pos="2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right="1239" w:hanging="250"/>
        <w:spacing w:after="0" w:line="267" w:lineRule="auto"/>
        <w:tabs>
          <w:tab w:leader="none" w:pos="2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information set forth in a Schedule 13G filed with the Securities and Exchange Commission under the Exchange Act on April 13, 2012. Mr. Cuban has sole power to vote or dispose of the 1,030,720 shares.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Based on information set forth in a Schedule 13G filed with the Securities and Exchange Commission under the Exchange Act on April 30, 2012 on behalf of 18 Partners, LLC (“</w:t>
      </w:r>
      <w:r>
        <w:rPr>
          <w:rFonts w:ascii="Arial" w:cs="Arial" w:eastAsia="Arial" w:hAnsi="Arial"/>
          <w:sz w:val="15"/>
          <w:szCs w:val="15"/>
          <w:b w:val="1"/>
          <w:bCs w:val="1"/>
          <w:color w:val="auto"/>
        </w:rPr>
        <w:t>18 Partners</w:t>
      </w:r>
      <w:r>
        <w:rPr>
          <w:rFonts w:ascii="Arial" w:cs="Arial" w:eastAsia="Arial" w:hAnsi="Arial"/>
          <w:sz w:val="15"/>
          <w:szCs w:val="15"/>
          <w:color w:val="auto"/>
        </w:rPr>
        <w:t>”) and Jaime Peisach, Cheryl Peisach, and Monica Peisach Sasson (collectively, the “</w:t>
      </w:r>
      <w:r>
        <w:rPr>
          <w:rFonts w:ascii="Arial" w:cs="Arial" w:eastAsia="Arial" w:hAnsi="Arial"/>
          <w:sz w:val="15"/>
          <w:szCs w:val="15"/>
          <w:b w:val="1"/>
          <w:bCs w:val="1"/>
          <w:color w:val="auto"/>
        </w:rPr>
        <w:t>Managers</w:t>
      </w:r>
      <w:r>
        <w:rPr>
          <w:rFonts w:ascii="Arial" w:cs="Arial" w:eastAsia="Arial" w:hAnsi="Arial"/>
          <w:sz w:val="15"/>
          <w:szCs w:val="15"/>
          <w:color w:val="auto"/>
        </w:rPr>
        <w:t>”), each of whom is a manager of 18 Partners. 18 Partners holds 704,975 shares, including 216,000 shares issuable within 60 days upon the exercise of currently outstanding warrants. As the managers of 18 Partners, each of the Managers may be deemed to own the shares held by 18 Partners. Each of the Managers expressly disclaims beneficial ownership of the shares held by 18 Partners, except to the extent of his or her pecuniary interest therein, if any. In addition to the shares held by 18 Partners, Jaime Peisach holds 35,000 shares as custodian for the Steven Peisach UTMA account and Cheryl Peisach holds 35,000 shares as custodian for the Mauricio Peisach UTMA account. Each of Jaime Pesach and Cheryl Peisach has sole power to vote or direct the vote of 35,000 shares (as described above).</w:t>
      </w: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SECURITY OWNERSHIP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CERTAIN BENEFICIAL OWNERS AND MANAGEMENT</w:t>
      </w:r>
    </w:p>
    <w:p>
      <w:pPr>
        <w:spacing w:after="0" w:line="9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following table sets forth the beneficial ownership of Innovate/Protect capital stock as of June 20, 2012, by (i) each person or entity who is known by Innovate to own beneficially more than 5% of the outstanding shares of Innovate capital stock, (ii) each director of Innovate/Protect, (iii) each of Innovate/Protect’s named executive officers, and (iv) all directors and named executive officers of Innovate/Protect as a group.</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in relation to the 5,919,661 shares of Innovate common stock and 6,673 preferred stock of Innovate/Protect preferred stock that were outstanding as of June 20, 2012.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issuable pursuant to the exercise of stock options or other securities that are exercisable or convertible into shares of Innovate/Protect capital stock within 60 days of June 20, 2012. Options to purchase shares of Innovate/Protect common stock that are exercisable within 60 days of June 20, 2012 are considered beneficially owned by the person holding such options for the purpose of computing ownership of such person, but are not treated as outstanding for the purpose of computing the beneficial ownership of any other person. Notes convertible into shares of Innovate/Protect capital stock that are convertible within 60 days of June 20, 2012 are considered beneficially owned by the person holding such notes for the purpose of computing ownership of such person, but are not treated as outstanding for the purpose of computing the beneficial ownership of any other person. Unless otherwise indicated, to Innovate/Protect’s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215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22"/>
                <w:szCs w:val="22"/>
                <w:b w:val="1"/>
                <w:bCs w:val="1"/>
                <w:color w:val="auto"/>
                <w:vertAlign w:val="superscript"/>
              </w:rPr>
              <w:t>(1)</w:t>
            </w: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2"/>
              </w:rPr>
              <w:t>Common Stock (as converted)</w:t>
            </w:r>
          </w:p>
        </w:tc>
        <w:tc>
          <w:tcPr>
            <w:tcW w:w="16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Preferred Stock</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gridSpan w:val="3"/>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Amount of</w:t>
            </w:r>
          </w:p>
        </w:tc>
        <w:tc>
          <w:tcPr>
            <w:tcW w:w="140" w:type="dxa"/>
            <w:vAlign w:val="bottom"/>
          </w:tcPr>
          <w:p>
            <w:pPr>
              <w:spacing w:after="0"/>
              <w:rPr>
                <w:sz w:val="12"/>
                <w:szCs w:val="12"/>
                <w:color w:val="auto"/>
              </w:rPr>
            </w:pPr>
          </w:p>
        </w:tc>
        <w:tc>
          <w:tcPr>
            <w:tcW w:w="8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Percent of</w:t>
            </w:r>
          </w:p>
        </w:tc>
        <w:tc>
          <w:tcPr>
            <w:tcW w:w="160" w:type="dxa"/>
            <w:vAlign w:val="bottom"/>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Amount of</w:t>
            </w:r>
          </w:p>
        </w:tc>
        <w:tc>
          <w:tcPr>
            <w:tcW w:w="140" w:type="dxa"/>
            <w:vAlign w:val="bottom"/>
          </w:tcPr>
          <w:p>
            <w:pPr>
              <w:spacing w:after="0"/>
              <w:rPr>
                <w:sz w:val="12"/>
                <w:szCs w:val="12"/>
                <w:color w:val="auto"/>
              </w:rPr>
            </w:pPr>
          </w:p>
        </w:tc>
        <w:tc>
          <w:tcPr>
            <w:tcW w:w="940" w:type="dxa"/>
            <w:vAlign w:val="bottom"/>
          </w:tcPr>
          <w:p>
            <w:pPr>
              <w:jc w:val="right"/>
              <w:ind w:right="100"/>
              <w:spacing w:after="0" w:line="148" w:lineRule="exact"/>
              <w:rPr>
                <w:sz w:val="20"/>
                <w:szCs w:val="20"/>
                <w:color w:val="auto"/>
              </w:rPr>
            </w:pPr>
            <w:r>
              <w:rPr>
                <w:rFonts w:ascii="Arial" w:cs="Arial" w:eastAsia="Arial" w:hAnsi="Arial"/>
                <w:sz w:val="13"/>
                <w:szCs w:val="13"/>
                <w:b w:val="1"/>
                <w:bCs w:val="1"/>
                <w:color w:val="auto"/>
              </w:rPr>
              <w:t>Percent of</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1"/>
                <w:szCs w:val="11"/>
                <w:color w:val="auto"/>
              </w:rPr>
            </w:pPr>
          </w:p>
        </w:tc>
        <w:tc>
          <w:tcPr>
            <w:tcW w:w="820" w:type="dxa"/>
            <w:vAlign w:val="bottom"/>
          </w:tcPr>
          <w:p>
            <w:pPr>
              <w:jc w:val="right"/>
              <w:ind w:right="173"/>
              <w:spacing w:after="0" w:line="138" w:lineRule="exact"/>
              <w:rPr>
                <w:sz w:val="20"/>
                <w:szCs w:val="20"/>
                <w:color w:val="auto"/>
              </w:rPr>
            </w:pPr>
            <w:r>
              <w:rPr>
                <w:rFonts w:ascii="Arial" w:cs="Arial" w:eastAsia="Arial" w:hAnsi="Arial"/>
                <w:sz w:val="13"/>
                <w:szCs w:val="13"/>
                <w:b w:val="1"/>
                <w:bCs w:val="1"/>
                <w:color w:val="auto"/>
              </w:rPr>
              <w:t>Class</w:t>
            </w:r>
          </w:p>
        </w:tc>
        <w:tc>
          <w:tcPr>
            <w:tcW w:w="16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w:t>
            </w:r>
          </w:p>
        </w:tc>
        <w:tc>
          <w:tcPr>
            <w:tcW w:w="140" w:type="dxa"/>
            <w:vAlign w:val="bottom"/>
          </w:tcPr>
          <w:p>
            <w:pPr>
              <w:spacing w:after="0"/>
              <w:rPr>
                <w:sz w:val="11"/>
                <w:szCs w:val="11"/>
                <w:color w:val="auto"/>
              </w:rPr>
            </w:pPr>
          </w:p>
        </w:tc>
        <w:tc>
          <w:tcPr>
            <w:tcW w:w="940" w:type="dxa"/>
            <w:vAlign w:val="bottom"/>
          </w:tcPr>
          <w:p>
            <w:pPr>
              <w:jc w:val="right"/>
              <w:ind w:right="240"/>
              <w:spacing w:after="0" w:line="138" w:lineRule="exact"/>
              <w:rPr>
                <w:sz w:val="20"/>
                <w:szCs w:val="20"/>
                <w:color w:val="auto"/>
              </w:rPr>
            </w:pPr>
            <w:r>
              <w:rPr>
                <w:rFonts w:ascii="Arial" w:cs="Arial" w:eastAsia="Arial" w:hAnsi="Arial"/>
                <w:sz w:val="13"/>
                <w:szCs w:val="13"/>
                <w:b w:val="1"/>
                <w:bCs w:val="1"/>
                <w:color w:val="auto"/>
              </w:rPr>
              <w:t>Class</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3"/>
                <w:szCs w:val="13"/>
                <w:b w:val="1"/>
                <w:bCs w:val="1"/>
                <w:color w:val="auto"/>
                <w:w w:val="89"/>
              </w:rPr>
              <w:t>Ownership</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Ownership</w:t>
            </w:r>
          </w:p>
        </w:tc>
        <w:tc>
          <w:tcPr>
            <w:tcW w:w="1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gridSpan w:val="2"/>
          </w:tcPr>
          <w:p>
            <w:pPr>
              <w:spacing w:after="0" w:line="193" w:lineRule="exact"/>
              <w:rPr>
                <w:sz w:val="20"/>
                <w:szCs w:val="20"/>
                <w:color w:val="auto"/>
              </w:rPr>
            </w:pPr>
            <w:r>
              <w:rPr>
                <w:rFonts w:ascii="Arial" w:cs="Arial" w:eastAsia="Arial" w:hAnsi="Arial"/>
                <w:sz w:val="17"/>
                <w:szCs w:val="17"/>
                <w:b w:val="1"/>
                <w:bCs w:val="1"/>
                <w:i w:val="1"/>
                <w:iCs w:val="1"/>
                <w:color w:val="auto"/>
              </w:rPr>
              <w:t>5% Stockholders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80" w:type="dxa"/>
            <w:vAlign w:val="bottom"/>
            <w:gridSpan w:val="3"/>
            <w:shd w:val="clear" w:color="auto" w:fill="CCFFCC"/>
          </w:tcPr>
          <w:p>
            <w:pPr>
              <w:spacing w:after="0" w:line="226" w:lineRule="exact"/>
              <w:rPr>
                <w:sz w:val="20"/>
                <w:szCs w:val="20"/>
                <w:color w:val="auto"/>
              </w:rPr>
            </w:pPr>
            <w:r>
              <w:rPr>
                <w:rFonts w:ascii="Arial" w:cs="Arial" w:eastAsia="Arial" w:hAnsi="Arial"/>
                <w:sz w:val="16"/>
                <w:szCs w:val="16"/>
                <w:b w:val="1"/>
                <w:bCs w:val="1"/>
                <w:color w:val="auto"/>
              </w:rPr>
              <w:t>Hudson Bay Master Fund Ltd.</w:t>
            </w:r>
            <w:r>
              <w:rPr>
                <w:rFonts w:ascii="Arial" w:cs="Arial" w:eastAsia="Arial" w:hAnsi="Arial"/>
                <w:sz w:val="26"/>
                <w:szCs w:val="26"/>
                <w:color w:val="auto"/>
                <w:vertAlign w:val="superscript"/>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6,431,100</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53.8%</w:t>
            </w:r>
          </w:p>
        </w:tc>
        <w:tc>
          <w:tcPr>
            <w:tcW w:w="960" w:type="dxa"/>
            <w:vAlign w:val="bottom"/>
            <w:gridSpan w:val="2"/>
            <w:shd w:val="clear" w:color="auto" w:fill="CCFFCC"/>
          </w:tcPr>
          <w:p>
            <w:pPr>
              <w:jc w:val="right"/>
              <w:ind w:right="22"/>
              <w:spacing w:after="0"/>
              <w:rPr>
                <w:sz w:val="20"/>
                <w:szCs w:val="20"/>
                <w:color w:val="auto"/>
              </w:rPr>
            </w:pPr>
            <w:r>
              <w:rPr>
                <w:rFonts w:ascii="Arial" w:cs="Arial" w:eastAsia="Arial" w:hAnsi="Arial"/>
                <w:sz w:val="17"/>
                <w:szCs w:val="17"/>
                <w:color w:val="auto"/>
              </w:rPr>
              <w:t>6,181</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92.6%</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777 Third Avenue</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New York, NY 10017</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gridSpan w:val="3"/>
          </w:tcPr>
          <w:p>
            <w:pPr>
              <w:spacing w:after="0" w:line="226" w:lineRule="exact"/>
              <w:rPr>
                <w:sz w:val="20"/>
                <w:szCs w:val="20"/>
                <w:color w:val="auto"/>
              </w:rPr>
            </w:pPr>
            <w:r>
              <w:rPr>
                <w:rFonts w:ascii="Arial" w:cs="Arial" w:eastAsia="Arial" w:hAnsi="Arial"/>
                <w:sz w:val="16"/>
                <w:szCs w:val="16"/>
                <w:b w:val="1"/>
                <w:bCs w:val="1"/>
                <w:color w:val="auto"/>
              </w:rPr>
              <w:t>Sander Gerber</w:t>
            </w:r>
            <w:r>
              <w:rPr>
                <w:rFonts w:ascii="Arial" w:cs="Arial" w:eastAsia="Arial" w:hAnsi="Arial"/>
                <w:sz w:val="26"/>
                <w:szCs w:val="26"/>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7"/>
                <w:szCs w:val="17"/>
                <w:color w:val="auto"/>
              </w:rPr>
              <w:t>6,431,100</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53.8%</w:t>
            </w:r>
          </w:p>
        </w:tc>
        <w:tc>
          <w:tcPr>
            <w:tcW w:w="960" w:type="dxa"/>
            <w:vAlign w:val="bottom"/>
            <w:gridSpan w:val="2"/>
          </w:tcPr>
          <w:p>
            <w:pPr>
              <w:jc w:val="right"/>
              <w:ind w:right="22"/>
              <w:spacing w:after="0"/>
              <w:rPr>
                <w:sz w:val="20"/>
                <w:szCs w:val="20"/>
                <w:color w:val="auto"/>
              </w:rPr>
            </w:pPr>
            <w:r>
              <w:rPr>
                <w:rFonts w:ascii="Arial" w:cs="Arial" w:eastAsia="Arial" w:hAnsi="Arial"/>
                <w:sz w:val="17"/>
                <w:szCs w:val="17"/>
                <w:color w:val="auto"/>
              </w:rPr>
              <w:t>6,181</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92.6</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c/o Hudson Bay Capital Management LP</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777 Third Avenue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New York, NY 10017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80" w:type="dxa"/>
            <w:vAlign w:val="bottom"/>
            <w:gridSpan w:val="3"/>
            <w:shd w:val="clear" w:color="auto" w:fill="CCFFCC"/>
          </w:tcPr>
          <w:p>
            <w:pPr>
              <w:spacing w:after="0" w:line="227" w:lineRule="exact"/>
              <w:rPr>
                <w:sz w:val="20"/>
                <w:szCs w:val="20"/>
                <w:color w:val="auto"/>
              </w:rPr>
            </w:pPr>
            <w:r>
              <w:rPr>
                <w:rFonts w:ascii="Arial" w:cs="Arial" w:eastAsia="Arial" w:hAnsi="Arial"/>
                <w:sz w:val="16"/>
                <w:szCs w:val="16"/>
                <w:b w:val="1"/>
                <w:bCs w:val="1"/>
                <w:color w:val="auto"/>
              </w:rPr>
              <w:t>Iroquois Master Fund Ltd.</w:t>
            </w:r>
            <w:r>
              <w:rPr>
                <w:rFonts w:ascii="Arial" w:cs="Arial" w:eastAsia="Arial" w:hAnsi="Arial"/>
                <w:sz w:val="26"/>
                <w:szCs w:val="26"/>
                <w:color w:val="auto"/>
                <w:vertAlign w:val="superscript"/>
              </w:rPr>
              <w:t>(4)</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517,958</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8.15%</w:t>
            </w:r>
          </w:p>
        </w:tc>
        <w:tc>
          <w:tcPr>
            <w:tcW w:w="960" w:type="dxa"/>
            <w:vAlign w:val="bottom"/>
            <w:gridSpan w:val="2"/>
            <w:shd w:val="clear" w:color="auto" w:fill="CCFFCC"/>
          </w:tcPr>
          <w:p>
            <w:pPr>
              <w:jc w:val="right"/>
              <w:ind w:right="22"/>
              <w:spacing w:after="0"/>
              <w:rPr>
                <w:sz w:val="20"/>
                <w:szCs w:val="20"/>
                <w:color w:val="auto"/>
              </w:rPr>
            </w:pPr>
            <w:r>
              <w:rPr>
                <w:rFonts w:ascii="Arial" w:cs="Arial" w:eastAsia="Arial" w:hAnsi="Arial"/>
                <w:sz w:val="17"/>
                <w:szCs w:val="17"/>
                <w:color w:val="auto"/>
              </w:rPr>
              <w:t>344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5.2%</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gridSpan w:val="3"/>
            <w:shd w:val="clear" w:color="auto" w:fill="CCFFCC"/>
          </w:tcPr>
          <w:p>
            <w:pPr>
              <w:spacing w:after="0" w:line="236" w:lineRule="exact"/>
              <w:rPr>
                <w:sz w:val="20"/>
                <w:szCs w:val="20"/>
                <w:color w:val="auto"/>
              </w:rPr>
            </w:pPr>
            <w:r>
              <w:rPr>
                <w:rFonts w:ascii="Arial" w:cs="Arial" w:eastAsia="Arial" w:hAnsi="Arial"/>
                <w:sz w:val="17"/>
                <w:szCs w:val="17"/>
                <w:color w:val="auto"/>
              </w:rPr>
              <w:t>641 Lexington Ave. 26</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tc>
        <w:tc>
          <w:tcPr>
            <w:tcW w:w="8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New York, NY 10022</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rPr>
              <w:t>Frost Gamma Investments Trust</w:t>
            </w:r>
          </w:p>
        </w:tc>
        <w:tc>
          <w:tcPr>
            <w:tcW w:w="840" w:type="dxa"/>
            <w:vAlign w:val="bottom"/>
          </w:tcPr>
          <w:p>
            <w:pPr>
              <w:jc w:val="right"/>
              <w:spacing w:after="0" w:line="188" w:lineRule="exact"/>
              <w:rPr>
                <w:sz w:val="20"/>
                <w:szCs w:val="20"/>
                <w:color w:val="auto"/>
              </w:rPr>
            </w:pPr>
            <w:r>
              <w:rPr>
                <w:rFonts w:ascii="Arial" w:cs="Arial" w:eastAsia="Arial" w:hAnsi="Arial"/>
                <w:sz w:val="17"/>
                <w:szCs w:val="17"/>
                <w:color w:val="auto"/>
              </w:rPr>
              <w:t>375,000</w:t>
            </w:r>
          </w:p>
        </w:tc>
        <w:tc>
          <w:tcPr>
            <w:tcW w:w="960" w:type="dxa"/>
            <w:vAlign w:val="bottom"/>
            <w:gridSpan w:val="2"/>
          </w:tcPr>
          <w:p>
            <w:pPr>
              <w:jc w:val="right"/>
              <w:ind w:right="33"/>
              <w:spacing w:after="0" w:line="188" w:lineRule="exact"/>
              <w:rPr>
                <w:sz w:val="20"/>
                <w:szCs w:val="20"/>
                <w:color w:val="auto"/>
              </w:rPr>
            </w:pPr>
            <w:r>
              <w:rPr>
                <w:rFonts w:ascii="Arial" w:cs="Arial" w:eastAsia="Arial" w:hAnsi="Arial"/>
                <w:sz w:val="17"/>
                <w:szCs w:val="17"/>
                <w:color w:val="auto"/>
              </w:rPr>
              <w:t>6.33%</w:t>
            </w:r>
          </w:p>
        </w:tc>
        <w:tc>
          <w:tcPr>
            <w:tcW w:w="160" w:type="dxa"/>
            <w:vAlign w:val="bottom"/>
          </w:tcPr>
          <w:p>
            <w:pPr>
              <w:spacing w:after="0"/>
              <w:rPr>
                <w:sz w:val="16"/>
                <w:szCs w:val="16"/>
                <w:color w:val="auto"/>
              </w:rPr>
            </w:pPr>
          </w:p>
        </w:tc>
        <w:tc>
          <w:tcPr>
            <w:tcW w:w="800" w:type="dxa"/>
            <w:vAlign w:val="bottom"/>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40" w:type="dxa"/>
            <w:vAlign w:val="bottom"/>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4400 Biscayne Boulevard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Miami, FL 33137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shd w:val="clear" w:color="auto" w:fill="CCFFCC"/>
          </w:tcPr>
          <w:p>
            <w:pPr>
              <w:spacing w:after="0" w:line="188" w:lineRule="exact"/>
              <w:rPr>
                <w:sz w:val="20"/>
                <w:szCs w:val="20"/>
                <w:color w:val="auto"/>
              </w:rPr>
            </w:pPr>
            <w:r>
              <w:rPr>
                <w:rFonts w:ascii="Arial" w:cs="Arial" w:eastAsia="Arial" w:hAnsi="Arial"/>
                <w:sz w:val="17"/>
                <w:szCs w:val="17"/>
                <w:b w:val="1"/>
                <w:bCs w:val="1"/>
                <w:color w:val="auto"/>
              </w:rPr>
              <w:t>Michael and Betsy Brauser TBE</w:t>
            </w:r>
          </w:p>
        </w:tc>
        <w:tc>
          <w:tcPr>
            <w:tcW w:w="8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color w:val="auto"/>
              </w:rPr>
              <w:t>387,500</w:t>
            </w:r>
          </w:p>
        </w:tc>
        <w:tc>
          <w:tcPr>
            <w:tcW w:w="960" w:type="dxa"/>
            <w:vAlign w:val="bottom"/>
            <w:gridSpan w:val="2"/>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6.55%</w:t>
            </w:r>
          </w:p>
        </w:tc>
        <w:tc>
          <w:tcPr>
            <w:tcW w:w="160" w:type="dxa"/>
            <w:vAlign w:val="bottom"/>
            <w:shd w:val="clear" w:color="auto" w:fill="CCFFCC"/>
          </w:tcPr>
          <w:p>
            <w:pPr>
              <w:spacing w:after="0"/>
              <w:rPr>
                <w:sz w:val="16"/>
                <w:szCs w:val="16"/>
                <w:color w:val="auto"/>
              </w:rPr>
            </w:pPr>
          </w:p>
        </w:tc>
        <w:tc>
          <w:tcPr>
            <w:tcW w:w="800" w:type="dxa"/>
            <w:vAlign w:val="bottom"/>
            <w:shd w:val="clear" w:color="auto" w:fill="CCFFCC"/>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6"/>
                <w:szCs w:val="16"/>
                <w:color w:val="auto"/>
              </w:rPr>
            </w:pPr>
          </w:p>
        </w:tc>
        <w:tc>
          <w:tcPr>
            <w:tcW w:w="940" w:type="dxa"/>
            <w:vAlign w:val="bottom"/>
            <w:shd w:val="clear" w:color="auto" w:fill="CCFFCC"/>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3164 NE 31st Avenue</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Lighthouse Point, FL 33064</w:t>
            </w: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780" w:type="dxa"/>
            <w:vAlign w:val="bottom"/>
            <w:gridSpan w:val="3"/>
          </w:tcPr>
          <w:p>
            <w:pPr>
              <w:spacing w:after="0" w:line="188" w:lineRule="exact"/>
              <w:rPr>
                <w:sz w:val="20"/>
                <w:szCs w:val="20"/>
                <w:color w:val="auto"/>
              </w:rPr>
            </w:pPr>
            <w:r>
              <w:rPr>
                <w:rFonts w:ascii="Arial" w:cs="Arial" w:eastAsia="Arial" w:hAnsi="Arial"/>
                <w:sz w:val="17"/>
                <w:szCs w:val="17"/>
                <w:b w:val="1"/>
                <w:bCs w:val="1"/>
                <w:color w:val="auto"/>
              </w:rPr>
              <w:t>Barry Honig</w:t>
            </w:r>
          </w:p>
        </w:tc>
        <w:tc>
          <w:tcPr>
            <w:tcW w:w="840" w:type="dxa"/>
            <w:vAlign w:val="bottom"/>
          </w:tcPr>
          <w:p>
            <w:pPr>
              <w:jc w:val="right"/>
              <w:spacing w:after="0" w:line="188" w:lineRule="exact"/>
              <w:rPr>
                <w:sz w:val="20"/>
                <w:szCs w:val="20"/>
                <w:color w:val="auto"/>
              </w:rPr>
            </w:pPr>
            <w:r>
              <w:rPr>
                <w:rFonts w:ascii="Arial" w:cs="Arial" w:eastAsia="Arial" w:hAnsi="Arial"/>
                <w:sz w:val="17"/>
                <w:szCs w:val="17"/>
                <w:color w:val="auto"/>
              </w:rPr>
              <w:t>437,500</w:t>
            </w:r>
          </w:p>
        </w:tc>
        <w:tc>
          <w:tcPr>
            <w:tcW w:w="960" w:type="dxa"/>
            <w:vAlign w:val="bottom"/>
            <w:gridSpan w:val="2"/>
          </w:tcPr>
          <w:p>
            <w:pPr>
              <w:jc w:val="right"/>
              <w:ind w:right="33"/>
              <w:spacing w:after="0" w:line="188" w:lineRule="exact"/>
              <w:rPr>
                <w:sz w:val="20"/>
                <w:szCs w:val="20"/>
                <w:color w:val="auto"/>
              </w:rPr>
            </w:pPr>
            <w:r>
              <w:rPr>
                <w:rFonts w:ascii="Arial" w:cs="Arial" w:eastAsia="Arial" w:hAnsi="Arial"/>
                <w:sz w:val="17"/>
                <w:szCs w:val="17"/>
                <w:color w:val="auto"/>
              </w:rPr>
              <w:t>7.39%</w:t>
            </w:r>
          </w:p>
        </w:tc>
        <w:tc>
          <w:tcPr>
            <w:tcW w:w="160" w:type="dxa"/>
            <w:vAlign w:val="bottom"/>
          </w:tcPr>
          <w:p>
            <w:pPr>
              <w:spacing w:after="0"/>
              <w:rPr>
                <w:sz w:val="16"/>
                <w:szCs w:val="16"/>
                <w:color w:val="auto"/>
              </w:rPr>
            </w:pPr>
          </w:p>
        </w:tc>
        <w:tc>
          <w:tcPr>
            <w:tcW w:w="800" w:type="dxa"/>
            <w:vAlign w:val="bottom"/>
          </w:tcPr>
          <w:p>
            <w:pPr>
              <w:jc w:val="right"/>
              <w:ind w:right="22"/>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940" w:type="dxa"/>
            <w:vAlign w:val="bottom"/>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4400 Biscayne Boulevard, Suite 850</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color w:val="auto"/>
              </w:rPr>
              <w:t>Miami, FL 33137</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Andrew Kennedy Lang</w:t>
            </w:r>
          </w:p>
        </w:tc>
        <w:tc>
          <w:tcPr>
            <w:tcW w:w="840" w:type="dxa"/>
            <w:vAlign w:val="bottom"/>
          </w:tcPr>
          <w:p>
            <w:pPr>
              <w:jc w:val="right"/>
              <w:spacing w:after="0"/>
              <w:rPr>
                <w:sz w:val="20"/>
                <w:szCs w:val="20"/>
                <w:color w:val="auto"/>
              </w:rPr>
            </w:pPr>
            <w:r>
              <w:rPr>
                <w:rFonts w:ascii="Arial" w:cs="Arial" w:eastAsia="Arial" w:hAnsi="Arial"/>
                <w:sz w:val="17"/>
                <w:szCs w:val="17"/>
                <w:color w:val="auto"/>
              </w:rPr>
              <w:t>1,875,000</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31.67%</w:t>
            </w:r>
          </w:p>
        </w:tc>
        <w:tc>
          <w:tcPr>
            <w:tcW w:w="1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780" w:type="dxa"/>
            <w:vAlign w:val="bottom"/>
            <w:gridSpan w:val="3"/>
            <w:shd w:val="clear" w:color="auto" w:fill="CCFFCC"/>
          </w:tcPr>
          <w:p>
            <w:pPr>
              <w:spacing w:after="0" w:line="239" w:lineRule="exact"/>
              <w:rPr>
                <w:sz w:val="20"/>
                <w:szCs w:val="20"/>
                <w:color w:val="auto"/>
              </w:rPr>
            </w:pPr>
            <w:r>
              <w:rPr>
                <w:rFonts w:ascii="Arial" w:cs="Arial" w:eastAsia="Arial" w:hAnsi="Arial"/>
                <w:sz w:val="17"/>
                <w:szCs w:val="17"/>
                <w:color w:val="auto"/>
              </w:rPr>
              <w:t>Alexander R. Berger</w:t>
            </w:r>
            <w:r>
              <w:rPr>
                <w:rFonts w:ascii="Arial" w:cs="Arial" w:eastAsia="Arial" w:hAnsi="Arial"/>
                <w:sz w:val="27"/>
                <w:szCs w:val="27"/>
                <w:color w:val="auto"/>
                <w:vertAlign w:val="superscript"/>
              </w:rPr>
              <w:t>(5)</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960" w:type="dxa"/>
            <w:vAlign w:val="bottom"/>
            <w:gridSpan w:val="2"/>
            <w:shd w:val="clear" w:color="auto" w:fill="CCFFCC"/>
          </w:tcPr>
          <w:p>
            <w:pPr>
              <w:jc w:val="right"/>
              <w:ind w:right="33"/>
              <w:spacing w:after="0"/>
              <w:rPr>
                <w:sz w:val="20"/>
                <w:szCs w:val="20"/>
                <w:color w:val="auto"/>
              </w:rPr>
            </w:pPr>
            <w:r>
              <w:rPr>
                <w:rFonts w:ascii="Arial" w:cs="Arial" w:eastAsia="Arial" w:hAnsi="Arial"/>
                <w:sz w:val="17"/>
                <w:szCs w:val="17"/>
                <w:color w:val="auto"/>
              </w:rPr>
              <w:t>10.56%</w:t>
            </w: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line="239" w:lineRule="exact"/>
              <w:rPr>
                <w:sz w:val="20"/>
                <w:szCs w:val="20"/>
                <w:color w:val="auto"/>
              </w:rPr>
            </w:pPr>
            <w:r>
              <w:rPr>
                <w:rFonts w:ascii="Arial" w:cs="Arial" w:eastAsia="Arial" w:hAnsi="Arial"/>
                <w:sz w:val="17"/>
                <w:szCs w:val="17"/>
                <w:color w:val="auto"/>
              </w:rPr>
              <w:t>Donald E. Stout</w:t>
            </w:r>
            <w:r>
              <w:rPr>
                <w:rFonts w:ascii="Arial" w:cs="Arial" w:eastAsia="Arial" w:hAnsi="Arial"/>
                <w:sz w:val="27"/>
                <w:szCs w:val="27"/>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7"/>
                <w:szCs w:val="17"/>
                <w:color w:val="auto"/>
              </w:rPr>
              <w:t>256,824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4.33%</w:t>
            </w:r>
          </w:p>
        </w:tc>
        <w:tc>
          <w:tcPr>
            <w:tcW w:w="16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7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H. Van Sinclair</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40,000</w:t>
            </w:r>
          </w:p>
        </w:tc>
        <w:tc>
          <w:tcPr>
            <w:tcW w:w="960" w:type="dxa"/>
            <w:vAlign w:val="bottom"/>
            <w:gridSpan w:val="2"/>
            <w:shd w:val="clear" w:color="auto" w:fill="CCFFCC"/>
          </w:tcPr>
          <w:p>
            <w:pPr>
              <w:jc w:val="right"/>
              <w:ind w:right="17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40" w:type="dxa"/>
            <w:vAlign w:val="bottom"/>
            <w:shd w:val="clear" w:color="auto" w:fill="CCFFCC"/>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7"/>
              </w:rPr>
              <w:t>All officers and directors as a group (4 persons)</w:t>
            </w:r>
          </w:p>
        </w:tc>
        <w:tc>
          <w:tcPr>
            <w:tcW w:w="840" w:type="dxa"/>
            <w:vAlign w:val="bottom"/>
          </w:tcPr>
          <w:p>
            <w:pPr>
              <w:jc w:val="right"/>
              <w:spacing w:after="0"/>
              <w:rPr>
                <w:sz w:val="20"/>
                <w:szCs w:val="20"/>
                <w:color w:val="auto"/>
              </w:rPr>
            </w:pPr>
            <w:r>
              <w:rPr>
                <w:rFonts w:ascii="Arial" w:cs="Arial" w:eastAsia="Arial" w:hAnsi="Arial"/>
                <w:sz w:val="17"/>
                <w:szCs w:val="17"/>
                <w:color w:val="auto"/>
              </w:rPr>
              <w:t>2,796,824</w:t>
            </w:r>
          </w:p>
        </w:tc>
        <w:tc>
          <w:tcPr>
            <w:tcW w:w="960" w:type="dxa"/>
            <w:vAlign w:val="bottom"/>
            <w:gridSpan w:val="2"/>
          </w:tcPr>
          <w:p>
            <w:pPr>
              <w:jc w:val="right"/>
              <w:ind w:right="33"/>
              <w:spacing w:after="0"/>
              <w:rPr>
                <w:sz w:val="20"/>
                <w:szCs w:val="20"/>
                <w:color w:val="auto"/>
              </w:rPr>
            </w:pPr>
            <w:r>
              <w:rPr>
                <w:rFonts w:ascii="Arial" w:cs="Arial" w:eastAsia="Arial" w:hAnsi="Arial"/>
                <w:sz w:val="17"/>
                <w:szCs w:val="17"/>
                <w:color w:val="auto"/>
              </w:rPr>
              <w:t>47.42%</w:t>
            </w:r>
          </w:p>
        </w:tc>
        <w:tc>
          <w:tcPr>
            <w:tcW w:w="16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40" w:type="dxa"/>
            <w:vAlign w:val="bottom"/>
          </w:tcPr>
          <w:p>
            <w:pPr>
              <w:jc w:val="right"/>
              <w:ind w:right="2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1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01"/>
              <w:spacing w:after="0"/>
              <w:rPr>
                <w:sz w:val="20"/>
                <w:szCs w:val="20"/>
                <w:color w:val="auto"/>
              </w:rPr>
            </w:pPr>
            <w:r>
              <w:rPr>
                <w:rFonts w:ascii="Arial" w:cs="Arial" w:eastAsia="Arial" w:hAnsi="Arial"/>
                <w:sz w:val="17"/>
                <w:szCs w:val="17"/>
                <w:color w:val="auto"/>
              </w:rPr>
              <w:t>180</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5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0" w:name="page191"/>
    <w:bookmarkEnd w:id="1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727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right="1239" w:hanging="250"/>
        <w:spacing w:after="0" w:line="267" w:lineRule="auto"/>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Unless otherwise indicated, 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June 20, 2012.</w:t>
      </w:r>
    </w:p>
    <w:p>
      <w:pPr>
        <w:spacing w:after="0" w:line="66" w:lineRule="exact"/>
        <w:rPr>
          <w:rFonts w:ascii="Arial" w:cs="Arial" w:eastAsia="Arial" w:hAnsi="Arial"/>
          <w:sz w:val="17"/>
          <w:szCs w:val="17"/>
          <w:color w:val="auto"/>
        </w:rPr>
      </w:pPr>
    </w:p>
    <w:p>
      <w:pPr>
        <w:jc w:val="both"/>
        <w:ind w:left="260" w:right="1239" w:hanging="250"/>
        <w:spacing w:after="0" w:line="292" w:lineRule="auto"/>
        <w:tabs>
          <w:tab w:leader="none" w:pos="2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Hudson Bay Master Fund Ltd. also holds a warrant exercisable for 250,000 shares of common stock, which would be 4.15% of the class upon exercise and shares of preferred stock convertible into 6,181,000 shares of common stock.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53"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Held by ARB-A Investment Trust, of which Mr. Berger is the trustee.</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200" w:lineRule="exact"/>
        <w:rPr>
          <w:sz w:val="20"/>
          <w:szCs w:val="20"/>
          <w:color w:val="auto"/>
        </w:rPr>
      </w:pPr>
    </w:p>
    <w:p>
      <w:pPr>
        <w:spacing w:after="0" w:line="3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SECURITY OWNERSHIP OF CERTAIN BENEFICIAL OWNERS AND</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MANAGEMENT OF THE COMBINED COMPANY FOLLOWING THE MERGER</w:t>
      </w:r>
    </w:p>
    <w:p>
      <w:pPr>
        <w:spacing w:after="0" w:line="93"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following table sets forth information as of June 20,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3"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Percentage of beneficial ownership is calculated based on 14,244,160 shares of Vringo common stock outstanding as of June 20, 2012 and 12,592,661 shares of Innovate/Protect capital stock outstanding as of June 20, 2012 (which includes 6,673 shares of preferred stock and 5,919,661 shares of common stock). The percent of common stock of the combined company is based on 32,357,329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June 20,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June 20,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49"/>
        </w:trPr>
        <w:tc>
          <w:tcPr>
            <w:tcW w:w="27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10"/>
        </w:trPr>
        <w:tc>
          <w:tcPr>
            <w:tcW w:w="2700" w:type="dxa"/>
            <w:vAlign w:val="bottom"/>
            <w:gridSpan w:val="3"/>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 Voting</w:t>
            </w: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Percent of</w:t>
            </w:r>
          </w:p>
        </w:tc>
      </w:tr>
      <w:tr>
        <w:trPr>
          <w:trHeight w:val="159"/>
        </w:trPr>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Beneficial</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Class</w:t>
            </w: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9" w:lineRule="exact"/>
              <w:rPr>
                <w:sz w:val="20"/>
                <w:szCs w:val="20"/>
                <w:color w:val="auto"/>
              </w:rPr>
            </w:pPr>
            <w:r>
              <w:rPr>
                <w:rFonts w:ascii="Arial" w:cs="Arial" w:eastAsia="Arial" w:hAnsi="Arial"/>
                <w:sz w:val="11"/>
                <w:szCs w:val="11"/>
                <w:b w:val="1"/>
                <w:bCs w:val="1"/>
                <w:color w:val="auto"/>
              </w:rPr>
              <w:t>Power</w:t>
            </w:r>
            <w:r>
              <w:rPr>
                <w:rFonts w:ascii="Arial" w:cs="Arial" w:eastAsia="Arial" w:hAnsi="Arial"/>
                <w:sz w:val="18"/>
                <w:szCs w:val="18"/>
                <w:b w:val="1"/>
                <w:bCs w:val="1"/>
                <w:color w:val="auto"/>
                <w:vertAlign w:val="superscript"/>
              </w:rPr>
              <w:t>(8)</w:t>
            </w:r>
          </w:p>
        </w:tc>
        <w:tc>
          <w:tcPr>
            <w:tcW w:w="10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Class</w:t>
            </w:r>
          </w:p>
        </w:tc>
      </w:tr>
      <w:tr>
        <w:trPr>
          <w:trHeight w:val="174"/>
        </w:trPr>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2"/>
                <w:szCs w:val="12"/>
                <w:b w:val="1"/>
                <w:bCs w:val="1"/>
                <w:color w:val="auto"/>
                <w:w w:val="96"/>
              </w:rPr>
              <w:t>Ownership</w:t>
            </w:r>
            <w:r>
              <w:rPr>
                <w:rFonts w:ascii="Arial" w:cs="Arial" w:eastAsia="Arial" w:hAnsi="Arial"/>
                <w:sz w:val="20"/>
                <w:szCs w:val="20"/>
                <w:b w:val="1"/>
                <w:bCs w:val="1"/>
                <w:color w:val="auto"/>
                <w:w w:val="96"/>
                <w:vertAlign w:val="superscript"/>
              </w:rPr>
              <w:t>(3)</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r>
      <w:tr>
        <w:trPr>
          <w:trHeight w:val="180"/>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rPr>
              <w:t>5% Stockholders (Preferred)</w:t>
            </w:r>
          </w:p>
        </w:tc>
        <w:tc>
          <w:tcPr>
            <w:tcW w:w="1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r>
      <w:tr>
        <w:trPr>
          <w:trHeight w:val="217"/>
        </w:trPr>
        <w:tc>
          <w:tcPr>
            <w:tcW w:w="2700" w:type="dxa"/>
            <w:vAlign w:val="bottom"/>
            <w:gridSpan w:val="3"/>
          </w:tcPr>
          <w:p>
            <w:pPr>
              <w:spacing w:after="0" w:line="217" w:lineRule="exact"/>
              <w:rPr>
                <w:sz w:val="20"/>
                <w:szCs w:val="20"/>
                <w:color w:val="auto"/>
              </w:rPr>
            </w:pPr>
            <w:r>
              <w:rPr>
                <w:rFonts w:ascii="Arial" w:cs="Arial" w:eastAsia="Arial" w:hAnsi="Arial"/>
                <w:sz w:val="15"/>
                <w:szCs w:val="15"/>
                <w:color w:val="auto"/>
              </w:rPr>
              <w:t>Hudson Bay Master Fund Ltd.</w:t>
            </w:r>
            <w:r>
              <w:rPr>
                <w:rFonts w:ascii="Arial" w:cs="Arial" w:eastAsia="Arial" w:hAnsi="Arial"/>
                <w:sz w:val="25"/>
                <w:szCs w:val="25"/>
                <w:color w:val="auto"/>
                <w:vertAlign w:val="superscript"/>
              </w:rPr>
              <w:t>(5)</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6,181</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92.6%</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777 Third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10017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0"/>
        </w:trPr>
        <w:tc>
          <w:tcPr>
            <w:tcW w:w="2700" w:type="dxa"/>
            <w:vAlign w:val="bottom"/>
            <w:gridSpan w:val="3"/>
            <w:shd w:val="clear" w:color="auto" w:fill="CCFFCC"/>
          </w:tcPr>
          <w:p>
            <w:pPr>
              <w:spacing w:after="0" w:line="221" w:lineRule="exact"/>
              <w:rPr>
                <w:sz w:val="20"/>
                <w:szCs w:val="20"/>
                <w:color w:val="auto"/>
              </w:rPr>
            </w:pPr>
            <w:r>
              <w:rPr>
                <w:rFonts w:ascii="Arial" w:cs="Arial" w:eastAsia="Arial" w:hAnsi="Arial"/>
                <w:sz w:val="15"/>
                <w:szCs w:val="15"/>
                <w:color w:val="auto"/>
              </w:rPr>
              <w:t>Sander Gerber</w:t>
            </w:r>
            <w:r>
              <w:rPr>
                <w:rFonts w:ascii="Arial" w:cs="Arial" w:eastAsia="Arial" w:hAnsi="Arial"/>
                <w:sz w:val="25"/>
                <w:szCs w:val="25"/>
                <w:color w:val="auto"/>
                <w:vertAlign w:val="superscript"/>
              </w:rPr>
              <w:t>(5)</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6,181</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92.6%</w:t>
            </w: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w w:val="98"/>
              </w:rPr>
              <w:t>c/o Hudson Bay Capital Management LP</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777 Third Avenue</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New York, NY 10017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17"/>
        </w:trPr>
        <w:tc>
          <w:tcPr>
            <w:tcW w:w="2700" w:type="dxa"/>
            <w:vAlign w:val="bottom"/>
            <w:gridSpan w:val="3"/>
          </w:tcPr>
          <w:p>
            <w:pPr>
              <w:spacing w:after="0" w:line="216" w:lineRule="exact"/>
              <w:rPr>
                <w:sz w:val="20"/>
                <w:szCs w:val="20"/>
                <w:color w:val="auto"/>
              </w:rPr>
            </w:pPr>
            <w:r>
              <w:rPr>
                <w:rFonts w:ascii="Arial" w:cs="Arial" w:eastAsia="Arial" w:hAnsi="Arial"/>
                <w:sz w:val="15"/>
                <w:szCs w:val="15"/>
                <w:color w:val="auto"/>
              </w:rPr>
              <w:t>Iroquois Master Fund Ltd.</w:t>
            </w:r>
            <w:r>
              <w:rPr>
                <w:rFonts w:ascii="Arial" w:cs="Arial" w:eastAsia="Arial" w:hAnsi="Arial"/>
                <w:sz w:val="25"/>
                <w:szCs w:val="25"/>
                <w:color w:val="auto"/>
                <w:vertAlign w:val="superscript"/>
              </w:rPr>
              <w:t>(6)</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344</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641 Lexington Ave, 26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5"/>
              </w:rPr>
              <w:t>5% Stockholders (Common) (Excluding</w:t>
            </w:r>
          </w:p>
        </w:tc>
        <w:tc>
          <w:tcPr>
            <w:tcW w:w="10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2"/>
              </w:rPr>
              <w:t>Named Executive Officers and Directors)</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17"/>
        </w:trPr>
        <w:tc>
          <w:tcPr>
            <w:tcW w:w="2700" w:type="dxa"/>
            <w:vAlign w:val="bottom"/>
            <w:gridSpan w:val="3"/>
          </w:tcPr>
          <w:p>
            <w:pPr>
              <w:spacing w:after="0" w:line="217" w:lineRule="exact"/>
              <w:rPr>
                <w:sz w:val="20"/>
                <w:szCs w:val="20"/>
                <w:color w:val="auto"/>
              </w:rPr>
            </w:pPr>
            <w:r>
              <w:rPr>
                <w:rFonts w:ascii="Arial" w:cs="Arial" w:eastAsia="Arial" w:hAnsi="Arial"/>
                <w:sz w:val="15"/>
                <w:szCs w:val="15"/>
                <w:color w:val="auto"/>
              </w:rPr>
              <w:t>Hudson Bay Master Fund Ltd.</w:t>
            </w:r>
            <w:r>
              <w:rPr>
                <w:rFonts w:ascii="Arial" w:cs="Arial" w:eastAsia="Arial" w:hAnsi="Arial"/>
                <w:sz w:val="25"/>
                <w:szCs w:val="25"/>
                <w:color w:val="auto"/>
                <w:vertAlign w:val="superscript"/>
              </w:rPr>
              <w:t>(5)</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3,548,875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9.99%</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3,548,875</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9.99%</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777 Third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10017</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0"/>
        </w:trPr>
        <w:tc>
          <w:tcPr>
            <w:tcW w:w="2700" w:type="dxa"/>
            <w:vAlign w:val="bottom"/>
            <w:gridSpan w:val="3"/>
            <w:shd w:val="clear" w:color="auto" w:fill="CCFFCC"/>
          </w:tcPr>
          <w:p>
            <w:pPr>
              <w:spacing w:after="0" w:line="221" w:lineRule="exact"/>
              <w:rPr>
                <w:sz w:val="20"/>
                <w:szCs w:val="20"/>
                <w:color w:val="auto"/>
              </w:rPr>
            </w:pPr>
            <w:r>
              <w:rPr>
                <w:rFonts w:ascii="Arial" w:cs="Arial" w:eastAsia="Arial" w:hAnsi="Arial"/>
                <w:sz w:val="15"/>
                <w:szCs w:val="15"/>
                <w:color w:val="auto"/>
              </w:rPr>
              <w:t>Sander Gerber</w:t>
            </w:r>
            <w:r>
              <w:rPr>
                <w:rFonts w:ascii="Arial" w:cs="Arial" w:eastAsia="Arial" w:hAnsi="Arial"/>
                <w:sz w:val="25"/>
                <w:szCs w:val="25"/>
                <w:color w:val="auto"/>
                <w:vertAlign w:val="superscript"/>
              </w:rPr>
              <w:t>(5)</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3,548,875</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9.99%</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3,548,875</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9.99%</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w w:val="98"/>
              </w:rPr>
              <w:t>c/o Hudson Bay Capital Management LP</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777 Third Avenue</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New York, NY 10017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17"/>
        </w:trPr>
        <w:tc>
          <w:tcPr>
            <w:tcW w:w="2700" w:type="dxa"/>
            <w:vAlign w:val="bottom"/>
            <w:gridSpan w:val="3"/>
          </w:tcPr>
          <w:p>
            <w:pPr>
              <w:spacing w:after="0" w:line="216" w:lineRule="exact"/>
              <w:rPr>
                <w:sz w:val="20"/>
                <w:szCs w:val="20"/>
                <w:color w:val="auto"/>
              </w:rPr>
            </w:pPr>
            <w:r>
              <w:rPr>
                <w:rFonts w:ascii="Arial" w:cs="Arial" w:eastAsia="Arial" w:hAnsi="Arial"/>
                <w:sz w:val="15"/>
                <w:szCs w:val="15"/>
                <w:color w:val="auto"/>
              </w:rPr>
              <w:t>Iroquois Master Fund Ltd.</w:t>
            </w:r>
            <w:r>
              <w:rPr>
                <w:rFonts w:ascii="Arial" w:cs="Arial" w:eastAsia="Arial" w:hAnsi="Arial"/>
                <w:sz w:val="25"/>
                <w:szCs w:val="25"/>
                <w:color w:val="auto"/>
                <w:vertAlign w:val="superscript"/>
              </w:rPr>
              <w:t>(6)</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2,219,446</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6.7%</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524,936</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1.6%</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641 Lexington Ave, 26</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Floor</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New York, NY 10022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Frost Gamma Investments Trust</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1,606,872</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4.9%</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1,131,600</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3.5%</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4400 Biscayne Boulevard</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Miami, FL 33137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80"/>
        </w:trPr>
        <w:tc>
          <w:tcPr>
            <w:tcW w:w="2700" w:type="dxa"/>
            <w:vAlign w:val="bottom"/>
            <w:gridSpan w:val="3"/>
          </w:tcPr>
          <w:p>
            <w:pPr>
              <w:spacing w:after="0"/>
              <w:rPr>
                <w:sz w:val="20"/>
                <w:szCs w:val="20"/>
                <w:color w:val="auto"/>
              </w:rPr>
            </w:pPr>
            <w:r>
              <w:rPr>
                <w:rFonts w:ascii="Arial" w:cs="Arial" w:eastAsia="Arial" w:hAnsi="Arial"/>
                <w:sz w:val="15"/>
                <w:szCs w:val="15"/>
                <w:color w:val="auto"/>
              </w:rPr>
              <w:t>Michael and Betsy Brauser TBE</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1,660,435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5.1%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1,169,320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3.6%</w:t>
            </w: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color w:val="auto"/>
              </w:rPr>
              <w:t>3164 NE 31st Avenue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3"/>
        </w:trPr>
        <w:tc>
          <w:tcPr>
            <w:tcW w:w="2700" w:type="dxa"/>
            <w:vAlign w:val="bottom"/>
            <w:gridSpan w:val="3"/>
          </w:tcPr>
          <w:p>
            <w:pPr>
              <w:spacing w:after="0"/>
              <w:rPr>
                <w:sz w:val="20"/>
                <w:szCs w:val="20"/>
                <w:color w:val="auto"/>
              </w:rPr>
            </w:pPr>
            <w:r>
              <w:rPr>
                <w:rFonts w:ascii="Arial" w:cs="Arial" w:eastAsia="Arial" w:hAnsi="Arial"/>
                <w:sz w:val="15"/>
                <w:szCs w:val="15"/>
                <w:color w:val="auto"/>
              </w:rPr>
              <w:t>Lighthouse Point, FL 33064</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3"/>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Barry Honig</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1,874,684</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5.7%</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1,320,200</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4.1%</w:t>
            </w:r>
          </w:p>
        </w:tc>
      </w:tr>
      <w:tr>
        <w:trPr>
          <w:trHeight w:val="188"/>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4400 Biscayne Boulevard, Suite 850</w:t>
            </w:r>
          </w:p>
        </w:tc>
        <w:tc>
          <w:tcPr>
            <w:tcW w:w="100" w:type="dxa"/>
            <w:vAlign w:val="bottom"/>
            <w:shd w:val="clear" w:color="auto" w:fill="CCFFCC"/>
          </w:tcPr>
          <w:p>
            <w:pPr>
              <w:spacing w:after="0"/>
              <w:rPr>
                <w:sz w:val="16"/>
                <w:szCs w:val="16"/>
                <w:color w:val="auto"/>
              </w:rPr>
            </w:pPr>
          </w:p>
        </w:tc>
        <w:tc>
          <w:tcPr>
            <w:tcW w:w="12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r>
      <w:tr>
        <w:trPr>
          <w:trHeight w:val="196"/>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color w:val="auto"/>
              </w:rPr>
              <w:t>Miami, FL 33137</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188"/>
        </w:trPr>
        <w:tc>
          <w:tcPr>
            <w:tcW w:w="2700" w:type="dxa"/>
            <w:vAlign w:val="bottom"/>
            <w:gridSpan w:val="3"/>
          </w:tcPr>
          <w:p>
            <w:pPr>
              <w:spacing w:after="0"/>
              <w:rPr>
                <w:sz w:val="20"/>
                <w:szCs w:val="20"/>
                <w:color w:val="auto"/>
              </w:rPr>
            </w:pPr>
            <w:r>
              <w:rPr>
                <w:rFonts w:ascii="Arial" w:cs="Arial" w:eastAsia="Arial" w:hAnsi="Arial"/>
                <w:sz w:val="15"/>
                <w:szCs w:val="15"/>
                <w:b w:val="1"/>
                <w:bCs w:val="1"/>
                <w:i w:val="1"/>
                <w:iCs w:val="1"/>
                <w:color w:val="auto"/>
                <w:w w:val="92"/>
              </w:rPr>
              <w:t>Named Executive Officers and Directors: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Andrew D. Perlman</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607,381</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1.8%</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66,666</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Andrew Kennedy Lang</w:t>
            </w:r>
            <w:r>
              <w:rPr>
                <w:rFonts w:ascii="Arial" w:cs="Arial" w:eastAsia="Arial" w:hAnsi="Arial"/>
                <w:sz w:val="25"/>
                <w:szCs w:val="25"/>
                <w:color w:val="auto"/>
                <w:vertAlign w:val="superscript"/>
              </w:rPr>
              <w:t>(2)</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8,034,360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23.1%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5,658,000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17.5%</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Seth M. Siegel</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619,289</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1.9%</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92,773</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Alexander R. Berger</w:t>
            </w:r>
            <w:r>
              <w:rPr>
                <w:rFonts w:ascii="Arial" w:cs="Arial" w:eastAsia="Arial" w:hAnsi="Arial"/>
                <w:sz w:val="25"/>
                <w:szCs w:val="25"/>
                <w:color w:val="auto"/>
                <w:vertAlign w:val="superscript"/>
              </w:rPr>
              <w:t>(4)</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2,678,120</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8.1%</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1,866,000</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5.8%</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John Engelman</w:t>
            </w:r>
            <w:r>
              <w:rPr>
                <w:rFonts w:ascii="Arial" w:cs="Arial" w:eastAsia="Arial" w:hAnsi="Arial"/>
                <w:sz w:val="25"/>
                <w:szCs w:val="25"/>
                <w:color w:val="auto"/>
                <w:vertAlign w:val="superscript"/>
              </w:rPr>
              <w:t>(1)</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201,533</w:t>
            </w:r>
          </w:p>
        </w:tc>
        <w:tc>
          <w:tcPr>
            <w:tcW w:w="700" w:type="dxa"/>
            <w:vAlign w:val="bottom"/>
            <w:gridSpan w:val="3"/>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43,614</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Donald E. Stout</w:t>
            </w:r>
            <w:r>
              <w:rPr>
                <w:rFonts w:ascii="Arial" w:cs="Arial" w:eastAsia="Arial" w:hAnsi="Arial"/>
                <w:sz w:val="25"/>
                <w:szCs w:val="25"/>
                <w:color w:val="auto"/>
                <w:vertAlign w:val="superscript"/>
              </w:rPr>
              <w:t>(7)</w:t>
            </w:r>
          </w:p>
        </w:tc>
        <w:tc>
          <w:tcPr>
            <w:tcW w:w="1400" w:type="dxa"/>
            <w:vAlign w:val="bottom"/>
            <w:gridSpan w:val="3"/>
          </w:tcPr>
          <w:p>
            <w:pPr>
              <w:jc w:val="right"/>
              <w:ind w:right="60"/>
              <w:spacing w:after="0"/>
              <w:rPr>
                <w:sz w:val="20"/>
                <w:szCs w:val="20"/>
                <w:color w:val="auto"/>
              </w:rPr>
            </w:pPr>
            <w:r>
              <w:rPr>
                <w:rFonts w:ascii="Arial" w:cs="Arial" w:eastAsia="Arial" w:hAnsi="Arial"/>
                <w:sz w:val="15"/>
                <w:szCs w:val="15"/>
                <w:color w:val="auto"/>
              </w:rPr>
              <w:t>1,083,195</w:t>
            </w:r>
          </w:p>
        </w:tc>
        <w:tc>
          <w:tcPr>
            <w:tcW w:w="700" w:type="dxa"/>
            <w:vAlign w:val="bottom"/>
            <w:gridSpan w:val="3"/>
          </w:tcPr>
          <w:p>
            <w:pPr>
              <w:jc w:val="right"/>
              <w:ind w:right="80"/>
              <w:spacing w:after="0"/>
              <w:rPr>
                <w:sz w:val="20"/>
                <w:szCs w:val="20"/>
                <w:color w:val="auto"/>
              </w:rPr>
            </w:pPr>
            <w:r>
              <w:rPr>
                <w:rFonts w:ascii="Arial" w:cs="Arial" w:eastAsia="Arial" w:hAnsi="Arial"/>
                <w:sz w:val="15"/>
                <w:szCs w:val="15"/>
                <w:color w:val="auto"/>
              </w:rPr>
              <w:t>3.3%</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733,814</w:t>
            </w:r>
          </w:p>
        </w:tc>
        <w:tc>
          <w:tcPr>
            <w:tcW w:w="1440" w:type="dxa"/>
            <w:vAlign w:val="bottom"/>
            <w:gridSpan w:val="3"/>
          </w:tcPr>
          <w:p>
            <w:pPr>
              <w:jc w:val="right"/>
              <w:ind w:right="380"/>
              <w:spacing w:after="0"/>
              <w:rPr>
                <w:sz w:val="20"/>
                <w:szCs w:val="20"/>
                <w:color w:val="auto"/>
              </w:rPr>
            </w:pPr>
            <w:r>
              <w:rPr>
                <w:rFonts w:ascii="Arial" w:cs="Arial" w:eastAsia="Arial" w:hAnsi="Arial"/>
                <w:sz w:val="15"/>
                <w:szCs w:val="15"/>
                <w:color w:val="auto"/>
              </w:rPr>
              <w:t>2.3%</w:t>
            </w:r>
          </w:p>
        </w:tc>
      </w:tr>
      <w:tr>
        <w:trPr>
          <w:trHeight w:val="226"/>
        </w:trPr>
        <w:tc>
          <w:tcPr>
            <w:tcW w:w="2700" w:type="dxa"/>
            <w:vAlign w:val="bottom"/>
            <w:gridSpan w:val="3"/>
            <w:shd w:val="clear" w:color="auto" w:fill="CCFFCC"/>
          </w:tcPr>
          <w:p>
            <w:pPr>
              <w:spacing w:after="0" w:line="226" w:lineRule="exact"/>
              <w:rPr>
                <w:sz w:val="20"/>
                <w:szCs w:val="20"/>
                <w:color w:val="auto"/>
              </w:rPr>
            </w:pPr>
            <w:r>
              <w:rPr>
                <w:rFonts w:ascii="Arial" w:cs="Arial" w:eastAsia="Arial" w:hAnsi="Arial"/>
                <w:sz w:val="15"/>
                <w:szCs w:val="15"/>
                <w:color w:val="auto"/>
              </w:rPr>
              <w:t>H. Van Sinclair</w:t>
            </w:r>
            <w:r>
              <w:rPr>
                <w:rFonts w:ascii="Arial" w:cs="Arial" w:eastAsia="Arial" w:hAnsi="Arial"/>
                <w:sz w:val="25"/>
                <w:szCs w:val="25"/>
                <w:color w:val="auto"/>
                <w:vertAlign w:val="superscript"/>
              </w:rPr>
              <w:t>(2)</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171,400</w:t>
            </w:r>
          </w:p>
        </w:tc>
        <w:tc>
          <w:tcPr>
            <w:tcW w:w="700" w:type="dxa"/>
            <w:vAlign w:val="bottom"/>
            <w:gridSpan w:val="3"/>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120,704</w:t>
            </w:r>
          </w:p>
        </w:tc>
        <w:tc>
          <w:tcPr>
            <w:tcW w:w="1440" w:type="dxa"/>
            <w:vAlign w:val="bottom"/>
            <w:gridSpan w:val="3"/>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r>
      <w:tr>
        <w:trPr>
          <w:trHeight w:val="226"/>
        </w:trPr>
        <w:tc>
          <w:tcPr>
            <w:tcW w:w="2700" w:type="dxa"/>
            <w:vAlign w:val="bottom"/>
            <w:gridSpan w:val="3"/>
          </w:tcPr>
          <w:p>
            <w:pPr>
              <w:spacing w:after="0" w:line="226" w:lineRule="exact"/>
              <w:rPr>
                <w:sz w:val="20"/>
                <w:szCs w:val="20"/>
                <w:color w:val="auto"/>
              </w:rPr>
            </w:pPr>
            <w:r>
              <w:rPr>
                <w:rFonts w:ascii="Arial" w:cs="Arial" w:eastAsia="Arial" w:hAnsi="Arial"/>
                <w:sz w:val="15"/>
                <w:szCs w:val="15"/>
                <w:color w:val="auto"/>
              </w:rPr>
              <w:t>Ellen Cohl</w:t>
            </w:r>
            <w:r>
              <w:rPr>
                <w:rFonts w:ascii="Arial" w:cs="Arial" w:eastAsia="Arial" w:hAnsi="Arial"/>
                <w:sz w:val="25"/>
                <w:szCs w:val="25"/>
                <w:color w:val="auto"/>
                <w:vertAlign w:val="superscript"/>
              </w:rPr>
              <w:t>(1)</w:t>
            </w: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231,750</w:t>
            </w:r>
          </w:p>
        </w:tc>
        <w:tc>
          <w:tcPr>
            <w:tcW w:w="70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5"/>
                <w:szCs w:val="15"/>
                <w:color w:val="auto"/>
              </w:rPr>
              <w:t>35,000</w:t>
            </w:r>
          </w:p>
        </w:tc>
        <w:tc>
          <w:tcPr>
            <w:tcW w:w="1440" w:type="dxa"/>
            <w:vAlign w:val="bottom"/>
            <w:gridSpan w:val="3"/>
          </w:tcPr>
          <w:p>
            <w:pPr>
              <w:jc w:val="right"/>
              <w:ind w:right="500"/>
              <w:spacing w:after="0"/>
              <w:rPr>
                <w:sz w:val="20"/>
                <w:szCs w:val="20"/>
                <w:color w:val="auto"/>
              </w:rPr>
            </w:pPr>
            <w:r>
              <w:rPr>
                <w:rFonts w:ascii="Arial" w:cs="Arial" w:eastAsia="Arial" w:hAnsi="Arial"/>
                <w:sz w:val="15"/>
                <w:szCs w:val="15"/>
                <w:color w:val="auto"/>
              </w:rPr>
              <w:t>*</w:t>
            </w:r>
          </w:p>
        </w:tc>
      </w:tr>
      <w:tr>
        <w:trPr>
          <w:trHeight w:val="20"/>
        </w:trPr>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2"/>
        </w:trPr>
        <w:tc>
          <w:tcPr>
            <w:tcW w:w="2700" w:type="dxa"/>
            <w:vAlign w:val="bottom"/>
            <w:gridSpan w:val="3"/>
            <w:shd w:val="clear" w:color="auto" w:fill="CCFFCC"/>
          </w:tcPr>
          <w:p>
            <w:pPr>
              <w:spacing w:after="0"/>
              <w:rPr>
                <w:sz w:val="20"/>
                <w:szCs w:val="20"/>
                <w:color w:val="auto"/>
              </w:rPr>
            </w:pPr>
            <w:r>
              <w:rPr>
                <w:rFonts w:ascii="Arial" w:cs="Arial" w:eastAsia="Arial" w:hAnsi="Arial"/>
                <w:sz w:val="15"/>
                <w:szCs w:val="15"/>
                <w:b w:val="1"/>
                <w:bCs w:val="1"/>
                <w:i w:val="1"/>
                <w:iCs w:val="1"/>
                <w:color w:val="auto"/>
                <w:w w:val="94"/>
              </w:rPr>
              <w:t>All executive officers and directors as a</w:t>
            </w:r>
          </w:p>
        </w:tc>
        <w:tc>
          <w:tcPr>
            <w:tcW w:w="100" w:type="dxa"/>
            <w:vAlign w:val="bottom"/>
            <w:shd w:val="clear" w:color="auto" w:fill="CCFFCC"/>
          </w:tcPr>
          <w:p>
            <w:pPr>
              <w:spacing w:after="0"/>
              <w:rPr>
                <w:sz w:val="14"/>
                <w:szCs w:val="14"/>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13,627,028</w:t>
            </w: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39.9%</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8,636,571</w:t>
            </w:r>
          </w:p>
        </w:tc>
        <w:tc>
          <w:tcPr>
            <w:tcW w:w="1440" w:type="dxa"/>
            <w:vAlign w:val="bottom"/>
            <w:gridSpan w:val="3"/>
            <w:shd w:val="clear" w:color="auto" w:fill="CCFFCC"/>
          </w:tcPr>
          <w:p>
            <w:pPr>
              <w:jc w:val="right"/>
              <w:ind w:right="380"/>
              <w:spacing w:after="0"/>
              <w:rPr>
                <w:sz w:val="20"/>
                <w:szCs w:val="20"/>
                <w:color w:val="auto"/>
              </w:rPr>
            </w:pPr>
            <w:r>
              <w:rPr>
                <w:rFonts w:ascii="Arial" w:cs="Arial" w:eastAsia="Arial" w:hAnsi="Arial"/>
                <w:sz w:val="15"/>
                <w:szCs w:val="15"/>
                <w:color w:val="auto"/>
              </w:rPr>
              <w:t>26.3%</w:t>
            </w:r>
          </w:p>
        </w:tc>
      </w:tr>
      <w:tr>
        <w:trPr>
          <w:trHeight w:val="196"/>
        </w:trPr>
        <w:tc>
          <w:tcPr>
            <w:tcW w:w="2700" w:type="dxa"/>
            <w:vAlign w:val="bottom"/>
            <w:gridSpan w:val="3"/>
            <w:shd w:val="clear" w:color="auto" w:fill="CCFFCC"/>
          </w:tcPr>
          <w:p>
            <w:pPr>
              <w:ind w:left="160"/>
              <w:spacing w:after="0"/>
              <w:rPr>
                <w:sz w:val="20"/>
                <w:szCs w:val="20"/>
                <w:color w:val="auto"/>
              </w:rPr>
            </w:pPr>
            <w:r>
              <w:rPr>
                <w:rFonts w:ascii="Arial" w:cs="Arial" w:eastAsia="Arial" w:hAnsi="Arial"/>
                <w:sz w:val="15"/>
                <w:szCs w:val="15"/>
                <w:b w:val="1"/>
                <w:bCs w:val="1"/>
                <w:i w:val="1"/>
                <w:iCs w:val="1"/>
                <w:color w:val="auto"/>
              </w:rPr>
              <w:t>group (8 persons)</w:t>
            </w: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r>
      <w:tr>
        <w:trPr>
          <w:trHeight w:val="251"/>
        </w:trPr>
        <w:tc>
          <w:tcPr>
            <w:tcW w:w="90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-6062345</wp:posOffset>
            </wp:positionV>
            <wp:extent cx="48374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Does not exceed 1% of the class</w:t>
      </w:r>
    </w:p>
    <w:p>
      <w:pPr>
        <w:spacing w:after="0" w:line="105" w:lineRule="exact"/>
        <w:rPr>
          <w:sz w:val="20"/>
          <w:szCs w:val="20"/>
          <w:color w:val="auto"/>
        </w:rPr>
      </w:pPr>
    </w:p>
    <w:p>
      <w:pPr>
        <w:ind w:left="260" w:hanging="250"/>
        <w:spacing w:after="0"/>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address of each listed stockholder is c/o Vringo Inc., 44 W. 28th Street New York, New York, 10001.</w:t>
      </w:r>
    </w:p>
    <w:p>
      <w:pPr>
        <w:spacing w:after="0" w:line="105"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address of each listed stockholder is c/o Innovate/Protect, Inc., 380 Madison Avenue, 22nd Floor, New York, New York 10017.</w:t>
      </w:r>
    </w:p>
    <w:p>
      <w:pPr>
        <w:spacing w:after="0" w:line="66" w:lineRule="exact"/>
        <w:rPr>
          <w:rFonts w:ascii="Arial" w:cs="Arial" w:eastAsia="Arial" w:hAnsi="Arial"/>
          <w:sz w:val="17"/>
          <w:szCs w:val="17"/>
          <w:color w:val="auto"/>
        </w:rPr>
      </w:pPr>
    </w:p>
    <w:p>
      <w:pPr>
        <w:ind w:left="260" w:right="1239" w:hanging="250"/>
        <w:spacing w:after="0" w:line="267" w:lineRule="auto"/>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Assumes the full exercise of all options and warrants held by the principal stockholders that are exercisable within 60 days of June 20, 2012.</w:t>
      </w:r>
    </w:p>
    <w:p>
      <w:pPr>
        <w:spacing w:after="0" w:line="66" w:lineRule="exact"/>
        <w:rPr>
          <w:rFonts w:ascii="Arial" w:cs="Arial" w:eastAsia="Arial" w:hAnsi="Arial"/>
          <w:sz w:val="17"/>
          <w:szCs w:val="17"/>
          <w:color w:val="auto"/>
        </w:rPr>
      </w:pPr>
    </w:p>
    <w:p>
      <w:pPr>
        <w:ind w:left="260" w:hanging="250"/>
        <w:spacing w:after="0"/>
        <w:tabs>
          <w:tab w:leader="none" w:pos="2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Held by ARB-A Investment Trust, of which Mr. Berger is the trustee.</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82" w:lineRule="auto"/>
        <w:tabs>
          <w:tab w:leader="none" w:pos="2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7" w:lineRule="exact"/>
        <w:rPr>
          <w:rFonts w:ascii="Arial" w:cs="Arial" w:eastAsia="Arial" w:hAnsi="Arial"/>
          <w:sz w:val="15"/>
          <w:szCs w:val="15"/>
          <w:color w:val="auto"/>
        </w:rPr>
      </w:pPr>
    </w:p>
    <w:p>
      <w:pPr>
        <w:jc w:val="both"/>
        <w:ind w:left="260" w:right="1239" w:hanging="250"/>
        <w:spacing w:after="0" w:line="269" w:lineRule="auto"/>
        <w:tabs>
          <w:tab w:leader="none" w:pos="2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65" w:lineRule="exact"/>
        <w:rPr>
          <w:rFonts w:ascii="Arial" w:cs="Arial" w:eastAsia="Arial" w:hAnsi="Arial"/>
          <w:sz w:val="16"/>
          <w:szCs w:val="16"/>
          <w:color w:val="auto"/>
        </w:rPr>
      </w:pPr>
    </w:p>
    <w:p>
      <w:pPr>
        <w:ind w:left="260" w:hanging="250"/>
        <w:spacing w:after="0"/>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Aggregates shares owned by Donald E. Stout and the Donald E. and Mary Stout Trust, which Mr. Stout controls.</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Does not include options, warrants or other convertible securities held by the principal stockholders.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DESCRIPTION OF CAPITAL STOCK</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authorized capital stock of Vringo consists of 28,000,000 shares of common stock, par value $0.01 per share, and 5,000,000 shares of preferred stock, par value $0.01 per share. Vringo is seeking stockholder approval pursuant to this proxy statement/prospectus to (i) effect a reverse stock split of Vringo issued and outstanding common stock, pursuant to which any whole number of outstanding shares between and including two and four would be combined and reclassified into one share of Vringo common stock (with the exact reverse stock split ratio within such range to be determined by Vringo prior to the completion of the Merger) and (ii) amend Vringo’s Certificate to increase the number of authorized shares of Vringo common stock from 28,000,000 to up to a maximum of 150,000,000 shares (with the exact amount to be determined by Innovate/Protect prior to the completion of the Merger).</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Common Stock</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of June 20, 2012, the latest practicable date before the printing of this proxy statement/prospectus, there were 14,244,160 shares of Vringo common stock outstanding and 22 stockholders of record.</w:t>
      </w:r>
    </w:p>
    <w:p>
      <w:pPr>
        <w:spacing w:after="0" w:line="66"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stockholders are entitled to one vote for each share held on matters submitted to a vote of the stockholders and do not have cumulative voting rights. The Vringo stockholders are entitled to receive proportionately any dividends that may be declared by the Vringo board of directors, subject to any preferential dividend rights of Vringo outstanding preferred stock. Upon Vringo’s liquidation, dissolution or winding up, the holders of Vringo’s common stock are entitled to receive proportionately Vringo’s net assets available after the payment of all debts and other liabilities and subject to the prior rights of any outstanding preferred stock. Holders of Vringo common stock have no preemptive, subscription, redemption or conversion rights. Vringo’s outstanding shares of common stock are fully paid and non-assessable. The rights, preferences and privileges of the holders of Vringo common stock are subject to, and may be adversely affected by, the rights of the holders of shares of any series of preferred stock which Vringo has designated and issued or which Vringo may designate and issue in the future.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Preferred Stock</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Vringo board of directors has the authority, without action by the Vringo stockholders, to designate and issue up to 5,000,000 shares of Vringo preferred stock in one or more series and to designate the rights, preferences, and limitations of all such series, any or all of which may be superior to the rights of Vringo common stock. It is not possible to state the actual effect of the issuance of any shares of Vringo preferred stock upon the rights of the holders of Vringo common stock until the Vringo board of directors determines the specific rights of the holders of Vringo preferred stock. However, effects of the issuance of Vringo preferred stock include restricting dividends on Vringo common stock, diluting the voting power of Vringo common stock, impairing the liquidation rights of Vringo common stock, and making it more difficult for a third party to acquire Vringo, which could have the effect of discouraging a third party from acquiring, or deterring a third party from paying a premium to acquire, a majority of Vringo outstanding voting stock. Vringo has no present plans to issue any shares of Vringo preferred stock.</w:t>
      </w:r>
    </w:p>
    <w:p>
      <w:pPr>
        <w:spacing w:after="0" w:line="6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Upon completion of the Merger,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June 20, 2012, shall be initially convertible into an aggregate of 20,136,445 shares of Vringo common stock.</w:t>
      </w:r>
    </w:p>
    <w:p>
      <w:pPr>
        <w:spacing w:after="0" w:line="80"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5"/>
          <w:szCs w:val="15"/>
          <w:u w:val="single" w:color="auto"/>
          <w:color w:val="auto"/>
        </w:rPr>
        <w:t>Annex E</w:t>
      </w:r>
      <w:r>
        <w:rPr>
          <w:rFonts w:ascii="Arial" w:cs="Arial" w:eastAsia="Arial" w:hAnsi="Arial"/>
          <w:sz w:val="15"/>
          <w:szCs w:val="15"/>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 Vringo common stock after such conversion) but shall be non-voting, except as required by law and in certain</w:t>
      </w: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As of May 31,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Warrants</w:t>
      </w:r>
    </w:p>
    <w:p>
      <w:pPr>
        <w:spacing w:after="0" w:line="10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As of June 20, 2012, the latest practicable date before the printing of this proxy statement/prospectus, there were warrants to purchase 7,385,364 of Vringo common stock outstanding at a weighted-average exercise price of $3.87 per share, including 4,784,000 public warrants.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Series 1 and Series 2 Warrants</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In connection with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including Series 1 Warrants and Series 2 Warrants to purchase and aggregate of 442,000 and 408,000 shares of Vringo common stock, respectively. In addition,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56"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Each Series 1 Warrant and Series 2 Warrant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has an exercise price of $1.76 per share and is exercisable at any time after the date of issuance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expiration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t>
      </w:r>
      <w:r>
        <w:rPr>
          <w:rFonts w:ascii="Arial" w:cs="Arial" w:eastAsia="Arial" w:hAnsi="Arial"/>
          <w:sz w:val="16"/>
          <w:szCs w:val="16"/>
          <w:b w:val="1"/>
          <w:bCs w:val="1"/>
          <w:color w:val="auto"/>
        </w:rPr>
        <w:t>Warrant Stock</w:t>
      </w:r>
      <w:r>
        <w:rPr>
          <w:rFonts w:ascii="Arial" w:cs="Arial" w:eastAsia="Arial" w:hAnsi="Arial"/>
          <w:sz w:val="16"/>
          <w:szCs w:val="16"/>
          <w:color w:val="auto"/>
        </w:rPr>
        <w:t>”)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w:t>
      </w:r>
      <w:r>
        <w:rPr>
          <w:rFonts w:ascii="Arial" w:cs="Arial" w:eastAsia="Arial" w:hAnsi="Arial"/>
          <w:sz w:val="16"/>
          <w:szCs w:val="16"/>
          <w:b w:val="1"/>
          <w:bCs w:val="1"/>
          <w:color w:val="auto"/>
        </w:rPr>
        <w:t>Beneficial Ownership Limitation</w:t>
      </w:r>
      <w:r>
        <w:rPr>
          <w:rFonts w:ascii="Arial" w:cs="Arial" w:eastAsia="Arial" w:hAnsi="Arial"/>
          <w:sz w:val="16"/>
          <w:szCs w:val="16"/>
          <w:color w:val="auto"/>
        </w:rPr>
        <w:t>”). The Beneficial Ownership Limitation may be waived by the holder</w:t>
      </w:r>
    </w:p>
    <w:p>
      <w:pPr>
        <w:spacing w:after="0" w:line="200" w:lineRule="exact"/>
        <w:rPr>
          <w:sz w:val="20"/>
          <w:szCs w:val="20"/>
          <w:color w:val="auto"/>
        </w:rPr>
      </w:pPr>
    </w:p>
    <w:p>
      <w:pPr>
        <w:spacing w:after="0" w:line="29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w:t>
      </w:r>
      <w:r>
        <w:rPr>
          <w:rFonts w:ascii="Arial" w:cs="Arial" w:eastAsia="Arial" w:hAnsi="Arial"/>
          <w:sz w:val="15"/>
          <w:szCs w:val="15"/>
          <w:b w:val="1"/>
          <w:bCs w:val="1"/>
          <w:color w:val="auto"/>
        </w:rPr>
        <w:t>Superior Warrant</w:t>
      </w:r>
      <w:r>
        <w:rPr>
          <w:rFonts w:ascii="Arial" w:cs="Arial" w:eastAsia="Arial" w:hAnsi="Arial"/>
          <w:sz w:val="15"/>
          <w:szCs w:val="15"/>
          <w:color w:val="auto"/>
        </w:rPr>
        <w:t xml:space="preserve">”),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 For a complete description of each of the Series 1 Warrant and the Series 2 Warrant, please refer to </w:t>
      </w:r>
      <w:r>
        <w:rPr>
          <w:rFonts w:ascii="Arial" w:cs="Arial" w:eastAsia="Arial" w:hAnsi="Arial"/>
          <w:sz w:val="15"/>
          <w:szCs w:val="15"/>
          <w:u w:val="single" w:color="auto"/>
          <w:color w:val="auto"/>
        </w:rPr>
        <w:t>Annex F</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Annex G</w:t>
      </w:r>
      <w:r>
        <w:rPr>
          <w:rFonts w:ascii="Arial" w:cs="Arial" w:eastAsia="Arial" w:hAnsi="Arial"/>
          <w:sz w:val="15"/>
          <w:szCs w:val="15"/>
          <w:color w:val="auto"/>
        </w:rPr>
        <w:t>, respectively, to this proxy statement/prospectus.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Delaware Statutory Business Combinations Provision</w:t>
      </w:r>
    </w:p>
    <w:p>
      <w:pPr>
        <w:spacing w:after="0" w:line="10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Vringo is subject to the provisions of Section 203 of the DGCL which, subject to certain exceptions, prohibits Vringo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Vringo.</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UNAUDITED PRO FORMA COMBINED FINANCIAL STATEMENTS</w:t>
      </w:r>
    </w:p>
    <w:p>
      <w:pPr>
        <w:spacing w:after="0" w:line="10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following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position and results of operations reported by Vringo and Innovate/Protect. The following should be read in conjunction with the audited historical financial statements of Vringo and Innovate/Protect and the notes thereto beginning on pages F-</w:t>
      </w:r>
      <w:r>
        <w:rPr>
          <w:rFonts w:ascii="Arial" w:cs="Arial" w:eastAsia="Arial" w:hAnsi="Arial"/>
          <w:sz w:val="15"/>
          <w:szCs w:val="15"/>
          <w:u w:val="single" w:color="auto"/>
          <w:color w:val="0000EE"/>
        </w:rPr>
        <w:t>1</w:t>
      </w:r>
      <w:r>
        <w:rPr>
          <w:rFonts w:ascii="Arial" w:cs="Arial" w:eastAsia="Arial" w:hAnsi="Arial"/>
          <w:sz w:val="15"/>
          <w:szCs w:val="15"/>
          <w:color w:val="auto"/>
        </w:rPr>
        <w:t xml:space="preserve"> and F-</w:t>
      </w:r>
      <w:r>
        <w:rPr>
          <w:rFonts w:ascii="Arial" w:cs="Arial" w:eastAsia="Arial" w:hAnsi="Arial"/>
          <w:sz w:val="15"/>
          <w:szCs w:val="15"/>
          <w:u w:val="single" w:color="auto"/>
          <w:color w:val="0000EE"/>
        </w:rPr>
        <w:t>52</w:t>
      </w:r>
      <w:r>
        <w:rPr>
          <w:rFonts w:ascii="Arial" w:cs="Arial" w:eastAsia="Arial" w:hAnsi="Arial"/>
          <w:sz w:val="15"/>
          <w:szCs w:val="15"/>
          <w:color w:val="auto"/>
        </w:rPr>
        <w:t xml:space="preserve">, respectively, the sections entitled “Vringo’s Management’s Discussion and Analysis of Financial Condition and Results of Operations” beginning on page </w:t>
      </w:r>
      <w:r>
        <w:rPr>
          <w:rFonts w:ascii="Arial" w:cs="Arial" w:eastAsia="Arial" w:hAnsi="Arial"/>
          <w:sz w:val="15"/>
          <w:szCs w:val="15"/>
          <w:u w:val="single" w:color="auto"/>
          <w:color w:val="0000EE"/>
        </w:rPr>
        <w:t>129</w:t>
      </w:r>
      <w:r>
        <w:rPr>
          <w:rFonts w:ascii="Arial" w:cs="Arial" w:eastAsia="Arial" w:hAnsi="Arial"/>
          <w:sz w:val="15"/>
          <w:szCs w:val="15"/>
          <w:color w:val="auto"/>
        </w:rPr>
        <w:t xml:space="preserve"> and “Innovate/Protect’s Management’s Discussion and Analysis of Financial Condition and Results of Operations” beginning on page </w:t>
      </w:r>
      <w:r>
        <w:rPr>
          <w:rFonts w:ascii="Arial" w:cs="Arial" w:eastAsia="Arial" w:hAnsi="Arial"/>
          <w:sz w:val="15"/>
          <w:szCs w:val="15"/>
          <w:u w:val="single" w:color="auto"/>
          <w:color w:val="0000EE"/>
        </w:rPr>
        <w:t>156</w:t>
      </w:r>
      <w:r>
        <w:rPr>
          <w:rFonts w:ascii="Arial" w:cs="Arial" w:eastAsia="Arial" w:hAnsi="Arial"/>
          <w:sz w:val="15"/>
          <w:szCs w:val="15"/>
          <w:color w:val="000000"/>
        </w:rPr>
        <w:t>, and the other information contained in this proxy statement/prospectus. The following information does not give effect to the</w:t>
      </w:r>
      <w:r>
        <w:rPr>
          <w:rFonts w:ascii="Arial" w:cs="Arial" w:eastAsia="Arial" w:hAnsi="Arial"/>
          <w:sz w:val="15"/>
          <w:szCs w:val="15"/>
          <w:color w:val="0000EE"/>
        </w:rPr>
        <w:t xml:space="preserve"> </w:t>
      </w:r>
      <w:r>
        <w:rPr>
          <w:rFonts w:ascii="Arial" w:cs="Arial" w:eastAsia="Arial" w:hAnsi="Arial"/>
          <w:sz w:val="15"/>
          <w:szCs w:val="15"/>
          <w:color w:val="000000"/>
        </w:rPr>
        <w:t>proposed reverse stock split of Vringo common stock described in Vringo Proposal No. 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Accounting Treatment of the Merger</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5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40"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The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24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0"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Condensed Combined Financial Statements” beginning on page </w:t>
      </w:r>
      <w:r>
        <w:rPr>
          <w:rFonts w:ascii="Arial" w:cs="Arial" w:eastAsia="Arial" w:hAnsi="Arial"/>
          <w:sz w:val="15"/>
          <w:szCs w:val="15"/>
          <w:u w:val="single" w:color="auto"/>
          <w:color w:val="0000EE"/>
        </w:rPr>
        <w:t>188</w:t>
      </w:r>
      <w:r>
        <w:rPr>
          <w:rFonts w:ascii="Arial" w:cs="Arial" w:eastAsia="Arial" w:hAnsi="Arial"/>
          <w:sz w:val="15"/>
          <w:szCs w:val="15"/>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Preliminary Purchase Price Allocation:</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Pro Forma Unaudited Consolidated Financial Information reflects the allocation of the preliminarily estimated purchase price of $66.0 million to the assets acquired and liabilities assumed of Vringo. The fair value of the consideration issued to former shareholders of Innovate/Protect is based on price of Vringo’s share of common stock on May 25, 2012, as well as the fair value of other outstanding equity instruments. A preliminary determination of the fair values of certain acquired assets and assumed liabilities of Vringo was based on a $3.39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3"/>
          <w:szCs w:val="13"/>
          <w:b w:val="1"/>
          <w:bCs w:val="1"/>
          <w:u w:val="single" w:color="auto"/>
          <w:color w:val="auto"/>
        </w:rPr>
        <w:t>($ — in thousands)</w:t>
      </w:r>
    </w:p>
    <w:p>
      <w:pPr>
        <w:sectPr>
          <w:pgSz w:w="11900" w:h="16838" w:orient="portrait"/>
          <w:cols w:equalWidth="0" w:num="1">
            <w:col w:w="10099"/>
          </w:cols>
          <w:pgMar w:left="360" w:top="746" w:right="1440"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4408170" cy="1270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08170" cy="1270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Long-term deposit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4408170" cy="1270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08170" cy="1270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Technology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4408170" cy="270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408170" cy="2705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Total assets acquired</w:t>
      </w:r>
    </w:p>
    <w:p>
      <w:pPr>
        <w:spacing w:after="0" w:line="18" w:lineRule="exact"/>
        <w:rPr>
          <w:sz w:val="20"/>
          <w:szCs w:val="20"/>
          <w:color w:val="auto"/>
        </w:rPr>
      </w:pPr>
    </w:p>
    <w:p>
      <w:pPr>
        <w:ind w:left="160" w:right="80" w:hanging="166"/>
        <w:spacing w:after="0" w:line="251" w:lineRule="auto"/>
        <w:rPr>
          <w:sz w:val="20"/>
          <w:szCs w:val="20"/>
          <w:color w:val="auto"/>
        </w:rPr>
      </w:pPr>
      <w:r>
        <w:rPr>
          <w:rFonts w:ascii="Arial" w:cs="Arial" w:eastAsia="Arial" w:hAnsi="Arial"/>
          <w:sz w:val="17"/>
          <w:szCs w:val="17"/>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-381000</wp:posOffset>
            </wp:positionV>
            <wp:extent cx="4408170" cy="525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408170" cy="525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2,716</w:t>
      </w:r>
    </w:p>
    <w:p>
      <w:pPr>
        <w:spacing w:after="0" w:line="15"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8</w:t>
      </w:r>
    </w:p>
    <w:p>
      <w:pPr>
        <w:spacing w:after="0" w:line="5"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133</w:t>
      </w:r>
    </w:p>
    <w:p>
      <w:pPr>
        <w:spacing w:after="0" w:line="5" w:lineRule="exact"/>
        <w:rPr>
          <w:sz w:val="20"/>
          <w:szCs w:val="20"/>
          <w:color w:val="auto"/>
        </w:rPr>
      </w:pPr>
    </w:p>
    <w:p>
      <w:pPr>
        <w:jc w:val="right"/>
        <w:ind w:right="3279"/>
        <w:spacing w:after="0"/>
        <w:rPr>
          <w:sz w:val="20"/>
          <w:szCs w:val="20"/>
          <w:color w:val="auto"/>
        </w:rPr>
      </w:pPr>
      <w:r>
        <w:rPr>
          <w:rFonts w:ascii="Arial" w:cs="Arial" w:eastAsia="Arial" w:hAnsi="Arial"/>
          <w:sz w:val="15"/>
          <w:szCs w:val="15"/>
          <w:color w:val="auto"/>
        </w:rPr>
        <w:t>10,906</w:t>
      </w:r>
    </w:p>
    <w:p>
      <w:pPr>
        <w:spacing w:after="0" w:line="28" w:lineRule="exact"/>
        <w:rPr>
          <w:sz w:val="20"/>
          <w:szCs w:val="20"/>
          <w:color w:val="auto"/>
        </w:rPr>
      </w:pPr>
    </w:p>
    <w:p>
      <w:pPr>
        <w:jc w:val="right"/>
        <w:ind w:right="3279"/>
        <w:spacing w:after="0"/>
        <w:rPr>
          <w:sz w:val="20"/>
          <w:szCs w:val="20"/>
          <w:color w:val="auto"/>
        </w:rPr>
      </w:pPr>
      <w:r>
        <w:rPr>
          <w:rFonts w:ascii="Arial" w:cs="Arial" w:eastAsia="Arial" w:hAnsi="Arial"/>
          <w:sz w:val="15"/>
          <w:szCs w:val="15"/>
          <w:color w:val="auto"/>
        </w:rPr>
        <w:t>56,335</w:t>
      </w:r>
    </w:p>
    <w:p>
      <w:pPr>
        <w:spacing w:after="0" w:line="28" w:lineRule="exact"/>
        <w:rPr>
          <w:sz w:val="20"/>
          <w:szCs w:val="20"/>
          <w:color w:val="auto"/>
        </w:rPr>
      </w:pPr>
    </w:p>
    <w:p>
      <w:pPr>
        <w:jc w:val="right"/>
        <w:ind w:right="3279"/>
        <w:spacing w:after="0"/>
        <w:rPr>
          <w:sz w:val="20"/>
          <w:szCs w:val="20"/>
          <w:color w:val="auto"/>
        </w:rPr>
      </w:pPr>
      <w:r>
        <w:rPr>
          <w:rFonts w:ascii="Arial" w:cs="Arial" w:eastAsia="Arial" w:hAnsi="Arial"/>
          <w:sz w:val="15"/>
          <w:szCs w:val="15"/>
          <w:b w:val="1"/>
          <w:bCs w:val="1"/>
          <w:color w:val="auto"/>
        </w:rPr>
        <w:t>70,098</w:t>
      </w:r>
    </w:p>
    <w:p>
      <w:pPr>
        <w:spacing w:after="0" w:line="41"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4,106</w:t>
      </w:r>
    </w:p>
    <w:p>
      <w:pPr>
        <w:spacing w:after="0" w:line="418" w:lineRule="exact"/>
        <w:rPr>
          <w:sz w:val="20"/>
          <w:szCs w:val="20"/>
          <w:color w:val="auto"/>
        </w:rPr>
      </w:pPr>
    </w:p>
    <w:p>
      <w:pPr>
        <w:sectPr>
          <w:pgSz w:w="11900" w:h="16838" w:orient="portrait"/>
          <w:cols w:equalWidth="0" w:num="2">
            <w:col w:w="5640" w:space="720"/>
            <w:col w:w="3739"/>
          </w:cols>
          <w:pgMar w:left="360" w:top="746" w:right="1440"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Total liabilities assumed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408170" cy="516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408170" cy="516890"/>
                    </a:xfrm>
                    <a:prstGeom prst="rect">
                      <a:avLst/>
                    </a:prstGeom>
                    <a:noFill/>
                  </pic:spPr>
                </pic:pic>
              </a:graphicData>
            </a:graphic>
          </wp:anchor>
        </w:drawing>
      </w:r>
    </w:p>
    <w:p>
      <w:pPr>
        <w:ind w:left="160" w:right="600" w:hanging="166"/>
        <w:spacing w:after="0" w:line="251" w:lineRule="auto"/>
        <w:rPr>
          <w:sz w:val="20"/>
          <w:szCs w:val="20"/>
          <w:color w:val="auto"/>
        </w:rPr>
      </w:pPr>
      <w:r>
        <w:rPr>
          <w:rFonts w:ascii="Arial" w:cs="Arial" w:eastAsia="Arial" w:hAnsi="Arial"/>
          <w:sz w:val="17"/>
          <w:szCs w:val="17"/>
          <w:color w:val="auto"/>
        </w:rPr>
        <w:t>Fair value of vested stock options granted to employees, management and consultants, classified as equity in these consolidated pro forma financial statements, see note 1</w:t>
      </w:r>
    </w:p>
    <w:p>
      <w:pPr>
        <w:ind w:left="160" w:right="80" w:hanging="166"/>
        <w:spacing w:after="0" w:line="278" w:lineRule="auto"/>
        <w:rPr>
          <w:sz w:val="20"/>
          <w:szCs w:val="20"/>
          <w:color w:val="auto"/>
        </w:rPr>
      </w:pPr>
      <w:r>
        <w:rPr>
          <w:rFonts w:ascii="Arial" w:cs="Arial" w:eastAsia="Arial" w:hAnsi="Arial"/>
          <w:sz w:val="15"/>
          <w:szCs w:val="15"/>
          <w:color w:val="auto"/>
        </w:rPr>
        <w:t>Fair value of outstanding warrants granted by Vringo prior to the Merger,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4408170" cy="2546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08170" cy="254635"/>
                    </a:xfrm>
                    <a:prstGeom prst="rect">
                      <a:avLst/>
                    </a:prstGeom>
                    <a:noFill/>
                  </pic:spPr>
                </pic:pic>
              </a:graphicData>
            </a:graphic>
          </wp:anchor>
        </w:drawing>
      </w:r>
    </w:p>
    <w:p>
      <w:pPr>
        <w:jc w:val="both"/>
        <w:ind w:left="160" w:right="40" w:hanging="166"/>
        <w:spacing w:after="0" w:line="246" w:lineRule="auto"/>
        <w:rPr>
          <w:sz w:val="20"/>
          <w:szCs w:val="20"/>
          <w:color w:val="auto"/>
        </w:rPr>
      </w:pPr>
      <w:r>
        <w:rPr>
          <w:rFonts w:ascii="Arial" w:cs="Arial" w:eastAsia="Arial" w:hAnsi="Arial"/>
          <w:sz w:val="17"/>
          <w:szCs w:val="17"/>
          <w:color w:val="auto"/>
        </w:rPr>
        <w:t>Fair value of Vringo common stock shares and $0.01 options granted to employees, management and consultants, classified as equity in these consolidated pro forma financial statements</w:t>
      </w:r>
    </w:p>
    <w:p>
      <w:pPr>
        <w:spacing w:after="0"/>
        <w:rPr>
          <w:sz w:val="20"/>
          <w:szCs w:val="20"/>
          <w:color w:val="auto"/>
        </w:rPr>
      </w:pPr>
      <w:r>
        <w:rPr>
          <w:rFonts w:ascii="Arial" w:cs="Arial" w:eastAsia="Arial" w:hAnsi="Arial"/>
          <w:sz w:val="17"/>
          <w:szCs w:val="17"/>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4408170" cy="135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08170"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3279"/>
        <w:spacing w:after="0"/>
        <w:rPr>
          <w:sz w:val="20"/>
          <w:szCs w:val="20"/>
          <w:color w:val="auto"/>
        </w:rPr>
      </w:pPr>
      <w:r>
        <w:rPr>
          <w:rFonts w:ascii="Arial" w:cs="Arial" w:eastAsia="Arial" w:hAnsi="Arial"/>
          <w:sz w:val="17"/>
          <w:szCs w:val="17"/>
          <w:b w:val="1"/>
          <w:bCs w:val="1"/>
          <w:color w:val="auto"/>
        </w:rPr>
        <w:t>4,106</w:t>
      </w:r>
    </w:p>
    <w:p>
      <w:pPr>
        <w:spacing w:after="0" w:line="18" w:lineRule="exact"/>
        <w:rPr>
          <w:sz w:val="20"/>
          <w:szCs w:val="20"/>
          <w:color w:val="auto"/>
        </w:rPr>
      </w:pPr>
    </w:p>
    <w:p>
      <w:pPr>
        <w:jc w:val="right"/>
        <w:ind w:right="3279"/>
        <w:spacing w:after="0"/>
        <w:rPr>
          <w:sz w:val="20"/>
          <w:szCs w:val="20"/>
          <w:color w:val="auto"/>
        </w:rPr>
      </w:pPr>
      <w:r>
        <w:rPr>
          <w:rFonts w:ascii="Arial" w:cs="Arial" w:eastAsia="Arial" w:hAnsi="Arial"/>
          <w:sz w:val="15"/>
          <w:szCs w:val="15"/>
          <w:b w:val="1"/>
          <w:bCs w:val="1"/>
          <w:color w:val="auto"/>
        </w:rPr>
        <w:t>65,992</w:t>
      </w:r>
    </w:p>
    <w:p>
      <w:pPr>
        <w:spacing w:after="0" w:line="41" w:lineRule="exact"/>
        <w:rPr>
          <w:sz w:val="20"/>
          <w:szCs w:val="20"/>
          <w:color w:val="auto"/>
        </w:rPr>
      </w:pPr>
    </w:p>
    <w:p>
      <w:pPr>
        <w:jc w:val="right"/>
        <w:ind w:right="3279"/>
        <w:spacing w:after="0"/>
        <w:rPr>
          <w:sz w:val="20"/>
          <w:szCs w:val="20"/>
          <w:color w:val="auto"/>
        </w:rPr>
      </w:pPr>
      <w:r>
        <w:rPr>
          <w:rFonts w:ascii="Arial" w:cs="Arial" w:eastAsia="Arial" w:hAnsi="Arial"/>
          <w:sz w:val="17"/>
          <w:szCs w:val="17"/>
          <w:color w:val="auto"/>
        </w:rPr>
        <w:t>6,734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10,132</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49,126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65,992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-106680</wp:posOffset>
            </wp:positionV>
            <wp:extent cx="6286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5640" w:space="720"/>
            <w:col w:w="3739"/>
          </w:cols>
          <w:pgMar w:left="360" w:top="746" w:right="1440" w:bottom="1440" w:gutter="0" w:footer="0" w:header="0"/>
          <w:type w:val="continuous"/>
        </w:sectPr>
      </w:pPr>
    </w:p>
    <w:p>
      <w:pPr>
        <w:spacing w:after="0" w:line="344" w:lineRule="exact"/>
        <w:rPr>
          <w:sz w:val="20"/>
          <w:szCs w:val="20"/>
          <w:color w:val="auto"/>
        </w:rPr>
      </w:pPr>
    </w:p>
    <w:p>
      <w:pPr>
        <w:ind w:left="4200"/>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115570</wp:posOffset>
            </wp:positionV>
            <wp:extent cx="5674360" cy="571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199" w:name="page200"/>
    <w:bookmarkEnd w:id="1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As mentioned above, the final fair value of the consideration, as well as certain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Possible changes due to fluctuations in our share price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4081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3"/>
                <w:szCs w:val="13"/>
                <w:b w:val="1"/>
                <w:bCs w:val="1"/>
                <w:color w:val="auto"/>
              </w:rPr>
              <w:t>($ — in thousands)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r>
      <w:tr>
        <w:trPr>
          <w:trHeight w:val="193"/>
        </w:trPr>
        <w:tc>
          <w:tcPr>
            <w:tcW w:w="39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Vringo share price:</w:t>
            </w:r>
          </w:p>
        </w:tc>
        <w:tc>
          <w:tcPr>
            <w:tcW w:w="1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6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400" w:type="dxa"/>
            <w:vAlign w:val="bottom"/>
            <w:tcBorders>
              <w:left w:val="single" w:sz="8" w:color="CCFFCC"/>
            </w:tcBorders>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4.0</w:t>
            </w:r>
          </w:p>
        </w:tc>
        <w:tc>
          <w:tcPr>
            <w:tcW w:w="220" w:type="dxa"/>
            <w:vAlign w:val="bottom"/>
            <w:shd w:val="clear" w:color="auto" w:fill="CCFFCC"/>
          </w:tcPr>
          <w:p>
            <w:pPr>
              <w:jc w:val="right"/>
              <w:ind w:right="36"/>
              <w:spacing w:after="0" w:line="193" w:lineRule="exact"/>
              <w:rPr>
                <w:sz w:val="20"/>
                <w:szCs w:val="20"/>
                <w:color w:val="auto"/>
              </w:rPr>
            </w:pPr>
            <w:r>
              <w:rPr>
                <w:rFonts w:ascii="Arial" w:cs="Arial" w:eastAsia="Arial" w:hAnsi="Arial"/>
                <w:sz w:val="17"/>
                <w:szCs w:val="17"/>
                <w:b w:val="1"/>
                <w:bCs w:val="1"/>
                <w:color w:val="auto"/>
                <w:w w:val="84"/>
              </w:rPr>
              <w:t>$</w:t>
            </w:r>
          </w:p>
        </w:tc>
        <w:tc>
          <w:tcPr>
            <w:tcW w:w="76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5.0</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tcPr>
          <w:p>
            <w:pPr>
              <w:spacing w:after="0" w:line="193" w:lineRule="exact"/>
              <w:rPr>
                <w:sz w:val="20"/>
                <w:szCs w:val="20"/>
                <w:color w:val="auto"/>
              </w:rPr>
            </w:pPr>
            <w:r>
              <w:rPr>
                <w:rFonts w:ascii="Arial" w:cs="Arial" w:eastAsia="Arial" w:hAnsi="Arial"/>
                <w:sz w:val="17"/>
                <w:szCs w:val="17"/>
                <w:color w:val="auto"/>
              </w:rPr>
              <w:t>Current assets, net of current liabilities</w:t>
            </w:r>
          </w:p>
        </w:tc>
        <w:tc>
          <w:tcPr>
            <w:tcW w:w="1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7"/>
                <w:szCs w:val="17"/>
                <w:color w:val="auto"/>
              </w:rPr>
              <w:t>2,716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2,716</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2,716</w:t>
            </w:r>
          </w:p>
        </w:tc>
        <w:tc>
          <w:tcPr>
            <w:tcW w:w="3100" w:type="dxa"/>
            <w:vAlign w:val="bottom"/>
          </w:tcPr>
          <w:p>
            <w:pPr>
              <w:spacing w:after="0"/>
              <w:rPr>
                <w:sz w:val="16"/>
                <w:szCs w:val="16"/>
                <w:color w:val="auto"/>
              </w:rPr>
            </w:pPr>
          </w:p>
        </w:tc>
      </w:tr>
      <w:tr>
        <w:trPr>
          <w:trHeight w:val="200"/>
        </w:trPr>
        <w:tc>
          <w:tcPr>
            <w:tcW w:w="39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8</w:t>
            </w:r>
          </w:p>
        </w:tc>
        <w:tc>
          <w:tcPr>
            <w:tcW w:w="3100" w:type="dxa"/>
            <w:vAlign w:val="bottom"/>
          </w:tcPr>
          <w:p>
            <w:pPr>
              <w:spacing w:after="0"/>
              <w:rPr>
                <w:sz w:val="17"/>
                <w:szCs w:val="17"/>
                <w:color w:val="auto"/>
              </w:rPr>
            </w:pPr>
          </w:p>
        </w:tc>
      </w:tr>
      <w:tr>
        <w:trPr>
          <w:trHeight w:val="200"/>
        </w:trPr>
        <w:tc>
          <w:tcPr>
            <w:tcW w:w="39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133</w:t>
            </w:r>
          </w:p>
        </w:tc>
        <w:tc>
          <w:tcPr>
            <w:tcW w:w="3100" w:type="dxa"/>
            <w:vAlign w:val="bottom"/>
          </w:tcPr>
          <w:p>
            <w:pPr>
              <w:spacing w:after="0"/>
              <w:rPr>
                <w:sz w:val="17"/>
                <w:szCs w:val="17"/>
                <w:color w:val="auto"/>
              </w:rPr>
            </w:pPr>
          </w:p>
        </w:tc>
      </w:tr>
      <w:tr>
        <w:trPr>
          <w:trHeight w:val="200"/>
        </w:trPr>
        <w:tc>
          <w:tcPr>
            <w:tcW w:w="39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10,906</w:t>
            </w: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10,906</w:t>
            </w:r>
          </w:p>
        </w:tc>
        <w:tc>
          <w:tcPr>
            <w:tcW w:w="22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10,906</w:t>
            </w:r>
          </w:p>
        </w:tc>
        <w:tc>
          <w:tcPr>
            <w:tcW w:w="3100" w:type="dxa"/>
            <w:vAlign w:val="bottom"/>
          </w:tcPr>
          <w:p>
            <w:pPr>
              <w:spacing w:after="0"/>
              <w:rPr>
                <w:sz w:val="17"/>
                <w:szCs w:val="17"/>
                <w:color w:val="auto"/>
              </w:rPr>
            </w:pPr>
          </w:p>
        </w:tc>
      </w:tr>
      <w:tr>
        <w:trPr>
          <w:trHeight w:val="200"/>
        </w:trPr>
        <w:tc>
          <w:tcPr>
            <w:tcW w:w="396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25,183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69,804</w:t>
            </w:r>
          </w:p>
        </w:tc>
        <w:tc>
          <w:tcPr>
            <w:tcW w:w="22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92,892</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 acquired:</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38,946</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83,567</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106,655</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81"/>
        </w:trPr>
        <w:tc>
          <w:tcPr>
            <w:tcW w:w="3960" w:type="dxa"/>
            <w:vAlign w:val="bottom"/>
            <w:gridSpan w:val="2"/>
          </w:tcPr>
          <w:p>
            <w:pPr>
              <w:spacing w:after="0" w:line="180" w:lineRule="exact"/>
              <w:rPr>
                <w:sz w:val="20"/>
                <w:szCs w:val="20"/>
                <w:color w:val="auto"/>
              </w:rPr>
            </w:pPr>
            <w:r>
              <w:rPr>
                <w:rFonts w:ascii="Arial" w:cs="Arial" w:eastAsia="Arial" w:hAnsi="Arial"/>
                <w:sz w:val="17"/>
                <w:szCs w:val="17"/>
                <w:color w:val="auto"/>
                <w:w w:val="99"/>
              </w:rPr>
              <w:t>Fair value of outstanding warrants granted by Vringo</w:t>
            </w:r>
          </w:p>
        </w:tc>
        <w:tc>
          <w:tcPr>
            <w:tcW w:w="16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Arial" w:cs="Arial" w:eastAsia="Arial" w:hAnsi="Arial"/>
                <w:sz w:val="17"/>
                <w:szCs w:val="17"/>
                <w:color w:val="auto"/>
              </w:rPr>
              <w:t>1,936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5,183</w:t>
            </w:r>
          </w:p>
        </w:tc>
        <w:tc>
          <w:tcPr>
            <w:tcW w:w="220" w:type="dxa"/>
            <w:vAlign w:val="bottom"/>
          </w:tcPr>
          <w:p>
            <w:pPr>
              <w:spacing w:after="0"/>
              <w:rPr>
                <w:sz w:val="15"/>
                <w:szCs w:val="15"/>
                <w:color w:val="auto"/>
              </w:rPr>
            </w:pPr>
          </w:p>
        </w:tc>
        <w:tc>
          <w:tcPr>
            <w:tcW w:w="760" w:type="dxa"/>
            <w:vAlign w:val="bottom"/>
            <w:gridSpan w:val="2"/>
          </w:tcPr>
          <w:p>
            <w:pPr>
              <w:jc w:val="right"/>
              <w:ind w:right="80"/>
              <w:spacing w:after="0" w:line="180" w:lineRule="exact"/>
              <w:rPr>
                <w:sz w:val="20"/>
                <w:szCs w:val="20"/>
                <w:color w:val="auto"/>
              </w:rPr>
            </w:pPr>
            <w:r>
              <w:rPr>
                <w:rFonts w:ascii="Arial" w:cs="Arial" w:eastAsia="Arial" w:hAnsi="Arial"/>
                <w:sz w:val="17"/>
                <w:szCs w:val="17"/>
                <w:color w:val="auto"/>
              </w:rPr>
              <w:t>6,990</w:t>
            </w:r>
          </w:p>
        </w:tc>
        <w:tc>
          <w:tcPr>
            <w:tcW w:w="3100" w:type="dxa"/>
            <w:vAlign w:val="bottom"/>
          </w:tcPr>
          <w:p>
            <w:pPr>
              <w:spacing w:after="0"/>
              <w:rPr>
                <w:sz w:val="15"/>
                <w:szCs w:val="15"/>
                <w:color w:val="auto"/>
              </w:rPr>
            </w:pPr>
          </w:p>
        </w:tc>
      </w:tr>
      <w:tr>
        <w:trPr>
          <w:trHeight w:val="200"/>
        </w:trPr>
        <w:tc>
          <w:tcPr>
            <w:tcW w:w="3960" w:type="dxa"/>
            <w:vAlign w:val="bottom"/>
            <w:gridSpan w:val="2"/>
          </w:tcPr>
          <w:p>
            <w:pPr>
              <w:ind w:left="160"/>
              <w:spacing w:after="0"/>
              <w:rPr>
                <w:sz w:val="20"/>
                <w:szCs w:val="20"/>
                <w:color w:val="auto"/>
              </w:rPr>
            </w:pPr>
            <w:r>
              <w:rPr>
                <w:rFonts w:ascii="Arial" w:cs="Arial" w:eastAsia="Arial" w:hAnsi="Arial"/>
                <w:sz w:val="17"/>
                <w:szCs w:val="17"/>
                <w:color w:val="auto"/>
                <w:w w:val="92"/>
              </w:rPr>
              <w:t>prior to the Merger, classified as a long-term derivative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liability</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96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Total liabilities assumed:</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b w:val="1"/>
                <w:bCs w:val="1"/>
                <w:color w:val="auto"/>
              </w:rPr>
              <w:t>1,936</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94" w:lineRule="exact"/>
              <w:rPr>
                <w:sz w:val="20"/>
                <w:szCs w:val="20"/>
                <w:color w:val="auto"/>
              </w:rPr>
            </w:pPr>
            <w:r>
              <w:rPr>
                <w:rFonts w:ascii="Arial" w:cs="Arial" w:eastAsia="Arial" w:hAnsi="Arial"/>
                <w:sz w:val="17"/>
                <w:szCs w:val="17"/>
                <w:b w:val="1"/>
                <w:bCs w:val="1"/>
                <w:color w:val="auto"/>
              </w:rPr>
              <w:t>5,183</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6,990</w:t>
            </w:r>
          </w:p>
        </w:tc>
        <w:tc>
          <w:tcPr>
            <w:tcW w:w="310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9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estimated purchase price:</w:t>
            </w:r>
          </w:p>
        </w:tc>
        <w:tc>
          <w:tcPr>
            <w:tcW w:w="1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37,010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78,384</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99,665</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81"/>
        </w:trPr>
        <w:tc>
          <w:tcPr>
            <w:tcW w:w="3960" w:type="dxa"/>
            <w:vAlign w:val="bottom"/>
            <w:gridSpan w:val="2"/>
            <w:shd w:val="clear" w:color="auto" w:fill="CCFFCC"/>
          </w:tcPr>
          <w:p>
            <w:pPr>
              <w:spacing w:after="0" w:line="180" w:lineRule="exact"/>
              <w:rPr>
                <w:sz w:val="20"/>
                <w:szCs w:val="20"/>
                <w:color w:val="auto"/>
              </w:rPr>
            </w:pPr>
            <w:r>
              <w:rPr>
                <w:rFonts w:ascii="Arial" w:cs="Arial" w:eastAsia="Arial" w:hAnsi="Arial"/>
                <w:sz w:val="17"/>
                <w:szCs w:val="17"/>
                <w:color w:val="auto"/>
              </w:rPr>
              <w:t>Fair value of stock options granted to employees,</w:t>
            </w:r>
          </w:p>
        </w:tc>
        <w:tc>
          <w:tcPr>
            <w:tcW w:w="160" w:type="dxa"/>
            <w:vAlign w:val="bottom"/>
            <w:shd w:val="clear" w:color="auto" w:fill="CCFFCC"/>
          </w:tcPr>
          <w:p>
            <w:pPr>
              <w:spacing w:after="0"/>
              <w:rPr>
                <w:sz w:val="15"/>
                <w:szCs w:val="15"/>
                <w:color w:val="auto"/>
              </w:rPr>
            </w:pPr>
          </w:p>
        </w:tc>
        <w:tc>
          <w:tcPr>
            <w:tcW w:w="680" w:type="dxa"/>
            <w:vAlign w:val="bottom"/>
            <w:shd w:val="clear" w:color="auto" w:fill="CCFFCC"/>
          </w:tcPr>
          <w:p>
            <w:pPr>
              <w:jc w:val="right"/>
              <w:spacing w:after="0" w:line="180" w:lineRule="exact"/>
              <w:rPr>
                <w:sz w:val="20"/>
                <w:szCs w:val="20"/>
                <w:color w:val="auto"/>
              </w:rPr>
            </w:pPr>
            <w:r>
              <w:rPr>
                <w:rFonts w:ascii="Arial" w:cs="Arial" w:eastAsia="Arial" w:hAnsi="Arial"/>
                <w:sz w:val="17"/>
                <w:szCs w:val="17"/>
                <w:color w:val="auto"/>
              </w:rPr>
              <w:t>3,051</w:t>
            </w:r>
          </w:p>
        </w:tc>
        <w:tc>
          <w:tcPr>
            <w:tcW w:w="160" w:type="dxa"/>
            <w:vAlign w:val="bottom"/>
            <w:tcBorders>
              <w:left w:val="single" w:sz="8" w:color="CCFFCC"/>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140"/>
              <w:spacing w:after="0" w:line="180" w:lineRule="exact"/>
              <w:rPr>
                <w:sz w:val="20"/>
                <w:szCs w:val="20"/>
                <w:color w:val="auto"/>
              </w:rPr>
            </w:pPr>
            <w:r>
              <w:rPr>
                <w:rFonts w:ascii="Arial" w:cs="Arial" w:eastAsia="Arial" w:hAnsi="Arial"/>
                <w:sz w:val="17"/>
                <w:szCs w:val="17"/>
                <w:color w:val="auto"/>
              </w:rPr>
              <w:t>7,257</w:t>
            </w:r>
          </w:p>
        </w:tc>
        <w:tc>
          <w:tcPr>
            <w:tcW w:w="220" w:type="dxa"/>
            <w:vAlign w:val="bottom"/>
            <w:shd w:val="clear" w:color="auto" w:fill="CCFFCC"/>
          </w:tcPr>
          <w:p>
            <w:pPr>
              <w:spacing w:after="0"/>
              <w:rPr>
                <w:sz w:val="15"/>
                <w:szCs w:val="15"/>
                <w:color w:val="auto"/>
              </w:rPr>
            </w:pPr>
          </w:p>
        </w:tc>
        <w:tc>
          <w:tcPr>
            <w:tcW w:w="760" w:type="dxa"/>
            <w:vAlign w:val="bottom"/>
            <w:gridSpan w:val="2"/>
            <w:shd w:val="clear" w:color="auto" w:fill="CCFFCC"/>
          </w:tcPr>
          <w:p>
            <w:pPr>
              <w:jc w:val="right"/>
              <w:ind w:right="80"/>
              <w:spacing w:after="0" w:line="180" w:lineRule="exact"/>
              <w:rPr>
                <w:sz w:val="20"/>
                <w:szCs w:val="20"/>
                <w:color w:val="auto"/>
              </w:rPr>
            </w:pPr>
            <w:r>
              <w:rPr>
                <w:rFonts w:ascii="Arial" w:cs="Arial" w:eastAsia="Arial" w:hAnsi="Arial"/>
                <w:sz w:val="17"/>
                <w:szCs w:val="17"/>
                <w:color w:val="auto"/>
              </w:rPr>
              <w:t>9,502</w:t>
            </w:r>
          </w:p>
        </w:tc>
        <w:tc>
          <w:tcPr>
            <w:tcW w:w="3100" w:type="dxa"/>
            <w:vAlign w:val="bottom"/>
          </w:tcPr>
          <w:p>
            <w:pPr>
              <w:spacing w:after="0"/>
              <w:rPr>
                <w:sz w:val="15"/>
                <w:szCs w:val="15"/>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6"/>
              </w:rPr>
              <w:t>management and consultants, classified as equity in</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these consolidated pro forma financial statements</w:t>
            </w: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960" w:type="dxa"/>
            <w:vAlign w:val="bottom"/>
            <w:gridSpan w:val="2"/>
          </w:tcPr>
          <w:p>
            <w:pPr>
              <w:spacing w:after="0" w:line="188" w:lineRule="exact"/>
              <w:rPr>
                <w:sz w:val="20"/>
                <w:szCs w:val="20"/>
                <w:color w:val="auto"/>
              </w:rPr>
            </w:pPr>
            <w:r>
              <w:rPr>
                <w:rFonts w:ascii="Arial" w:cs="Arial" w:eastAsia="Arial" w:hAnsi="Arial"/>
                <w:sz w:val="17"/>
                <w:szCs w:val="17"/>
                <w:color w:val="auto"/>
                <w:w w:val="99"/>
              </w:rPr>
              <w:t>Fair value of outstanding warrants granted by Vringo</w:t>
            </w:r>
          </w:p>
        </w:tc>
        <w:tc>
          <w:tcPr>
            <w:tcW w:w="16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Arial" w:cs="Arial" w:eastAsia="Arial" w:hAnsi="Arial"/>
                <w:sz w:val="17"/>
                <w:szCs w:val="17"/>
                <w:color w:val="auto"/>
              </w:rPr>
              <w:t>4,740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12,689</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17,115</w:t>
            </w:r>
          </w:p>
        </w:tc>
        <w:tc>
          <w:tcPr>
            <w:tcW w:w="3100" w:type="dxa"/>
            <w:vAlign w:val="bottom"/>
          </w:tcPr>
          <w:p>
            <w:pPr>
              <w:spacing w:after="0"/>
              <w:rPr>
                <w:sz w:val="16"/>
                <w:szCs w:val="16"/>
                <w:color w:val="auto"/>
              </w:rPr>
            </w:pPr>
          </w:p>
        </w:tc>
      </w:tr>
      <w:tr>
        <w:trPr>
          <w:trHeight w:val="200"/>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prior to the Merger, classified as equity, in these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gridSpan w:val="2"/>
          </w:tcPr>
          <w:p>
            <w:pPr>
              <w:ind w:left="160"/>
              <w:spacing w:after="0"/>
              <w:rPr>
                <w:sz w:val="20"/>
                <w:szCs w:val="20"/>
                <w:color w:val="auto"/>
              </w:rPr>
            </w:pPr>
            <w:r>
              <w:rPr>
                <w:rFonts w:ascii="Arial" w:cs="Arial" w:eastAsia="Arial" w:hAnsi="Arial"/>
                <w:sz w:val="17"/>
                <w:szCs w:val="17"/>
                <w:color w:val="auto"/>
              </w:rPr>
              <w:t>consolidated pro forma financial statements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9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9"/>
              </w:rPr>
              <w:t>Fair value of Vringo common stock shares and $0.01</w:t>
            </w:r>
          </w:p>
        </w:tc>
        <w:tc>
          <w:tcPr>
            <w:tcW w:w="160" w:type="dxa"/>
            <w:vAlign w:val="bottom"/>
            <w:shd w:val="clear" w:color="auto" w:fill="CCFFCC"/>
          </w:tcPr>
          <w:p>
            <w:pPr>
              <w:spacing w:after="0"/>
              <w:rPr>
                <w:sz w:val="16"/>
                <w:szCs w:val="16"/>
                <w:color w:val="auto"/>
              </w:rPr>
            </w:pPr>
          </w:p>
        </w:tc>
        <w:tc>
          <w:tcPr>
            <w:tcW w:w="68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color w:val="auto"/>
              </w:rPr>
              <w:t>29,219</w:t>
            </w:r>
          </w:p>
        </w:tc>
        <w:tc>
          <w:tcPr>
            <w:tcW w:w="16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58,438</w:t>
            </w:r>
          </w:p>
        </w:tc>
        <w:tc>
          <w:tcPr>
            <w:tcW w:w="22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73,048</w:t>
            </w:r>
          </w:p>
        </w:tc>
        <w:tc>
          <w:tcPr>
            <w:tcW w:w="3100" w:type="dxa"/>
            <w:vAlign w:val="bottom"/>
          </w:tcPr>
          <w:p>
            <w:pPr>
              <w:spacing w:after="0"/>
              <w:rPr>
                <w:sz w:val="16"/>
                <w:szCs w:val="16"/>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options granted to employees, management and</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39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3"/>
              </w:rPr>
              <w:t>consultants, classified as equity in these consolidated</w:t>
            </w:r>
          </w:p>
        </w:tc>
        <w:tc>
          <w:tcPr>
            <w:tcW w:w="16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9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pro forma financial statements</w:t>
            </w:r>
          </w:p>
        </w:tc>
        <w:tc>
          <w:tcPr>
            <w:tcW w:w="16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60" w:type="dxa"/>
            <w:vAlign w:val="bottom"/>
            <w:tcBorders>
              <w:left w:val="single" w:sz="8" w:color="CCFFCC"/>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96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Total estimated purchase price:</w:t>
            </w:r>
          </w:p>
        </w:tc>
        <w:tc>
          <w:tcPr>
            <w:tcW w:w="1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37,010</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140"/>
              <w:spacing w:after="0" w:line="194" w:lineRule="exact"/>
              <w:rPr>
                <w:sz w:val="20"/>
                <w:szCs w:val="20"/>
                <w:color w:val="auto"/>
              </w:rPr>
            </w:pPr>
            <w:r>
              <w:rPr>
                <w:rFonts w:ascii="Arial" w:cs="Arial" w:eastAsia="Arial" w:hAnsi="Arial"/>
                <w:sz w:val="17"/>
                <w:szCs w:val="17"/>
                <w:b w:val="1"/>
                <w:bCs w:val="1"/>
                <w:color w:val="auto"/>
              </w:rPr>
              <w:t>78,384</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99,665</w:t>
            </w:r>
          </w:p>
        </w:tc>
        <w:tc>
          <w:tcPr>
            <w:tcW w:w="3100" w:type="dxa"/>
            <w:vAlign w:val="bottom"/>
          </w:tcPr>
          <w:p>
            <w:pPr>
              <w:spacing w:after="0"/>
              <w:rPr>
                <w:sz w:val="16"/>
                <w:szCs w:val="16"/>
                <w:color w:val="auto"/>
              </w:rPr>
            </w:pPr>
          </w:p>
        </w:tc>
      </w:tr>
      <w:tr>
        <w:trPr>
          <w:trHeight w:val="707"/>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276"/>
              <w:spacing w:after="0"/>
              <w:rPr>
                <w:sz w:val="20"/>
                <w:szCs w:val="20"/>
                <w:color w:val="auto"/>
              </w:rPr>
            </w:pPr>
            <w:r>
              <w:rPr>
                <w:rFonts w:ascii="Arial" w:cs="Arial" w:eastAsia="Arial" w:hAnsi="Arial"/>
                <w:sz w:val="17"/>
                <w:szCs w:val="17"/>
                <w:color w:val="auto"/>
              </w:rPr>
              <w:t>190</w:t>
            </w:r>
          </w:p>
        </w:tc>
        <w:tc>
          <w:tcPr>
            <w:tcW w:w="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-3444875</wp:posOffset>
            </wp:positionV>
            <wp:extent cx="4408170" cy="135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-2665095</wp:posOffset>
            </wp:positionV>
            <wp:extent cx="4408170" cy="398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08170" cy="398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-2139950</wp:posOffset>
            </wp:positionV>
            <wp:extent cx="4408170" cy="143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0817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-723265</wp:posOffset>
            </wp:positionV>
            <wp:extent cx="4408170" cy="143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08170" cy="14351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0" w:name="page201"/>
    <w:bookmarkEnd w:id="2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Statement of Operations,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9331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9331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100" w:type="dxa"/>
            <w:vAlign w:val="bottom"/>
          </w:tcPr>
          <w:p>
            <w:pPr>
              <w:spacing w:after="0"/>
              <w:rPr>
                <w:sz w:val="12"/>
                <w:szCs w:val="12"/>
                <w:color w:val="auto"/>
              </w:rPr>
            </w:pPr>
          </w:p>
        </w:tc>
        <w:tc>
          <w:tcPr>
            <w:tcW w:w="800" w:type="dxa"/>
            <w:vAlign w:val="bottom"/>
          </w:tcPr>
          <w:p>
            <w:pPr>
              <w:ind w:left="24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40" w:type="dxa"/>
            <w:vAlign w:val="bottom"/>
          </w:tcPr>
          <w:p>
            <w:pPr>
              <w:spacing w:after="0"/>
              <w:rPr>
                <w:sz w:val="12"/>
                <w:szCs w:val="12"/>
                <w:color w:val="auto"/>
              </w:rPr>
            </w:pPr>
          </w:p>
        </w:tc>
        <w:tc>
          <w:tcPr>
            <w:tcW w:w="52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rPr>
              <w:t>Notes</w:t>
            </w:r>
          </w:p>
        </w:tc>
        <w:tc>
          <w:tcPr>
            <w:tcW w:w="8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234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adjustments</w:t>
            </w:r>
          </w:p>
        </w:tc>
        <w:tc>
          <w:tcPr>
            <w:tcW w:w="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consolidated</w:t>
            </w:r>
          </w:p>
        </w:tc>
        <w:tc>
          <w:tcPr>
            <w:tcW w:w="234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40" w:type="dxa"/>
            <w:vAlign w:val="bottom"/>
            <w:gridSpan w:val="9"/>
          </w:tcPr>
          <w:p>
            <w:pPr>
              <w:ind w:left="56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234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454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485</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1,172</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378</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(378)</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(156)</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512</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Marketing</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759</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162</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1,460</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534</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2,156</w:t>
            </w:r>
          </w:p>
        </w:tc>
        <w:tc>
          <w:tcPr>
            <w:tcW w:w="2340" w:type="dxa"/>
            <w:vAlign w:val="bottom"/>
            <w:tcBorders>
              <w:left w:val="single" w:sz="8" w:color="CCFFCC"/>
            </w:tcBorders>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5,084</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(1,868)</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88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(4,978)</w:t>
            </w:r>
          </w:p>
        </w:tc>
        <w:tc>
          <w:tcPr>
            <w:tcW w:w="234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2340" w:type="dxa"/>
            <w:vAlign w:val="bottom"/>
          </w:tcPr>
          <w:p>
            <w:pPr>
              <w:spacing w:after="0"/>
              <w:rPr>
                <w:sz w:val="16"/>
                <w:szCs w:val="16"/>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(1,091)</w:t>
            </w:r>
          </w:p>
        </w:tc>
        <w:tc>
          <w:tcPr>
            <w:tcW w:w="2340" w:type="dxa"/>
            <w:vAlign w:val="bottom"/>
            <w:tcBorders>
              <w:left w:val="single" w:sz="8" w:color="CCFFCC"/>
            </w:tcBorders>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(411)</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234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100" w:type="dxa"/>
            <w:vAlign w:val="bottom"/>
            <w:tcBorders>
              <w:left w:val="single" w:sz="8" w:color="CCFFCC"/>
            </w:tcBorders>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7"/>
                <w:szCs w:val="17"/>
                <w:color w:val="auto"/>
              </w:rPr>
            </w:pPr>
          </w:p>
        </w:tc>
        <w:tc>
          <w:tcPr>
            <w:tcW w:w="520" w:type="dxa"/>
            <w:vAlign w:val="bottom"/>
            <w:tcBorders>
              <w:right w:val="single" w:sz="8" w:color="CCFFCC"/>
            </w:tcBorders>
            <w:shd w:val="clear" w:color="auto" w:fill="CCFFCC"/>
          </w:tcPr>
          <w:p>
            <w:pPr>
              <w:spacing w:after="0"/>
              <w:rPr>
                <w:sz w:val="17"/>
                <w:szCs w:val="17"/>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2340" w:type="dxa"/>
            <w:vAlign w:val="bottom"/>
            <w:tcBorders>
              <w:left w:val="single" w:sz="8" w:color="CCFFCC"/>
            </w:tcBorders>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(7,950)</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00" w:type="dxa"/>
            <w:vAlign w:val="bottom"/>
            <w:tcBorders>
              <w:lef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0" w:type="dxa"/>
            <w:vAlign w:val="bottom"/>
            <w:tcBorders>
              <w:left w:val="single" w:sz="8" w:color="CCFFCC"/>
            </w:tcBorders>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FFCC"/>
          </w:tcPr>
          <w:p>
            <w:pPr>
              <w:spacing w:after="0"/>
              <w:rPr>
                <w:sz w:val="16"/>
                <w:szCs w:val="16"/>
                <w:color w:val="auto"/>
              </w:rPr>
            </w:pPr>
          </w:p>
        </w:tc>
        <w:tc>
          <w:tcPr>
            <w:tcW w:w="520" w:type="dxa"/>
            <w:vAlign w:val="bottom"/>
            <w:tcBorders>
              <w:right w:val="single" w:sz="8" w:color="CCFFCC"/>
            </w:tcBorders>
            <w:shd w:val="clear" w:color="auto" w:fill="CCFFCC"/>
          </w:tcPr>
          <w:p>
            <w:pPr>
              <w:spacing w:after="0"/>
              <w:rPr>
                <w:sz w:val="16"/>
                <w:szCs w:val="16"/>
                <w:color w:val="auto"/>
              </w:rPr>
            </w:pP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234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520" w:type="dxa"/>
            <w:vAlign w:val="bottom"/>
            <w:tcBorders>
              <w:righ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(1,872)</w:t>
            </w:r>
          </w:p>
        </w:tc>
        <w:tc>
          <w:tcPr>
            <w:tcW w:w="10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880" w:type="dxa"/>
            <w:vAlign w:val="bottom"/>
            <w:gridSpan w:val="3"/>
          </w:tcPr>
          <w:p>
            <w:pPr>
              <w:jc w:val="right"/>
              <w:ind w:right="100"/>
              <w:spacing w:after="0" w:line="193" w:lineRule="exact"/>
              <w:rPr>
                <w:sz w:val="20"/>
                <w:szCs w:val="20"/>
                <w:color w:val="auto"/>
              </w:rPr>
            </w:pPr>
            <w:r>
              <w:rPr>
                <w:rFonts w:ascii="Arial" w:cs="Arial" w:eastAsia="Arial" w:hAnsi="Arial"/>
                <w:sz w:val="17"/>
                <w:szCs w:val="17"/>
                <w:b w:val="1"/>
                <w:bCs w:val="1"/>
                <w:color w:val="auto"/>
              </w:rPr>
              <w:t>(454)</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(7,970)</w:t>
            </w:r>
          </w:p>
        </w:tc>
        <w:tc>
          <w:tcPr>
            <w:tcW w:w="234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(0.43)</w:t>
            </w:r>
          </w:p>
        </w:tc>
        <w:tc>
          <w:tcPr>
            <w:tcW w:w="100" w:type="dxa"/>
            <w:vAlign w:val="bottom"/>
            <w:tcBorders>
              <w:left w:val="single" w:sz="8" w:color="CCFFCC"/>
            </w:tcBorders>
            <w:shd w:val="clear" w:color="auto" w:fill="CCFFCC"/>
          </w:tcPr>
          <w:p>
            <w:pPr>
              <w:spacing w:after="0"/>
              <w:rPr>
                <w:sz w:val="18"/>
                <w:szCs w:val="18"/>
                <w:color w:val="auto"/>
              </w:rPr>
            </w:pP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0" w:type="dxa"/>
            <w:vAlign w:val="bottom"/>
            <w:tcBorders>
              <w:left w:val="single" w:sz="8" w:color="CCFFCC"/>
            </w:tcBorders>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Borders>
              <w:right w:val="single" w:sz="8" w:color="CCFFCC"/>
            </w:tcBorders>
            <w:gridSpan w:val="2"/>
            <w:shd w:val="clear" w:color="auto" w:fill="CCFFCC"/>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0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(0.26)</w:t>
            </w:r>
          </w:p>
        </w:tc>
        <w:tc>
          <w:tcPr>
            <w:tcW w:w="2340" w:type="dxa"/>
            <w:vAlign w:val="bottom"/>
            <w:tcBorders>
              <w:left w:val="single" w:sz="8" w:color="CCFFCC"/>
            </w:tcBorders>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340" w:type="dxa"/>
            <w:vAlign w:val="bottom"/>
            <w:tcBorders>
              <w:left w:val="single" w:sz="8" w:color="CCFFCC"/>
            </w:tcBorders>
          </w:tcPr>
          <w:p>
            <w:pPr>
              <w:spacing w:after="0" w:line="20" w:lineRule="exact"/>
              <w:rPr>
                <w:sz w:val="1"/>
                <w:szCs w:val="1"/>
                <w:color w:val="auto"/>
              </w:rPr>
            </w:pPr>
          </w:p>
        </w:tc>
      </w:tr>
      <w:tr>
        <w:trPr>
          <w:trHeight w:val="178"/>
        </w:trPr>
        <w:tc>
          <w:tcPr>
            <w:tcW w:w="3660" w:type="dxa"/>
            <w:vAlign w:val="bottom"/>
            <w:gridSpan w:val="2"/>
          </w:tcPr>
          <w:p>
            <w:pPr>
              <w:spacing w:after="0" w:line="178" w:lineRule="exact"/>
              <w:rPr>
                <w:sz w:val="20"/>
                <w:szCs w:val="20"/>
                <w:color w:val="auto"/>
              </w:rPr>
            </w:pPr>
            <w:r>
              <w:rPr>
                <w:rFonts w:ascii="Arial" w:cs="Arial" w:eastAsia="Arial" w:hAnsi="Arial"/>
                <w:sz w:val="17"/>
                <w:szCs w:val="17"/>
                <w:color w:val="auto"/>
                <w:w w:val="87"/>
              </w:rPr>
              <w:t>Weighted average shares used in computing basic and</w:t>
            </w:r>
          </w:p>
        </w:tc>
        <w:tc>
          <w:tcPr>
            <w:tcW w:w="9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rPr>
              <w:t>4,635,117</w:t>
            </w:r>
          </w:p>
        </w:tc>
        <w:tc>
          <w:tcPr>
            <w:tcW w:w="10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3"/>
              </w:rPr>
              <w:t>12,371,472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00" w:type="dxa"/>
            <w:vAlign w:val="bottom"/>
          </w:tcPr>
          <w:p>
            <w:pPr>
              <w:jc w:val="right"/>
              <w:spacing w:after="0" w:line="178" w:lineRule="exact"/>
              <w:rPr>
                <w:sz w:val="20"/>
                <w:szCs w:val="20"/>
                <w:color w:val="auto"/>
              </w:rPr>
            </w:pPr>
            <w:r>
              <w:rPr>
                <w:rFonts w:ascii="Arial" w:cs="Arial" w:eastAsia="Arial" w:hAnsi="Arial"/>
                <w:sz w:val="17"/>
                <w:szCs w:val="17"/>
                <w:b w:val="1"/>
                <w:bCs w:val="1"/>
                <w:color w:val="auto"/>
                <w:w w:val="91"/>
              </w:rPr>
              <w:t>30,484,641</w:t>
            </w:r>
          </w:p>
        </w:tc>
        <w:tc>
          <w:tcPr>
            <w:tcW w:w="2340" w:type="dxa"/>
            <w:vAlign w:val="bottom"/>
          </w:tcPr>
          <w:p>
            <w:pPr>
              <w:spacing w:after="0"/>
              <w:rPr>
                <w:sz w:val="15"/>
                <w:szCs w:val="15"/>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diluted net loss per common share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34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-2259330</wp:posOffset>
            </wp:positionV>
            <wp:extent cx="4925060" cy="143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92506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-1988820</wp:posOffset>
            </wp:positionV>
            <wp:extent cx="4925060" cy="135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92506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-1471295</wp:posOffset>
            </wp:positionV>
            <wp:extent cx="4925060" cy="143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2506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-1200785</wp:posOffset>
            </wp:positionV>
            <wp:extent cx="4925060" cy="1670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2506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-906145</wp:posOffset>
            </wp:positionV>
            <wp:extent cx="4925060" cy="3181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25060" cy="31813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Balance Sheets,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3"/>
                <w:szCs w:val="13"/>
                <w:b w:val="1"/>
                <w:bCs w:val="1"/>
                <w:color w:val="auto"/>
              </w:rPr>
              <w:t>Historical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9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w w:val="92"/>
              </w:rPr>
              <w:t>Innovate/Protect</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Vringo</w:t>
            </w: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2"/>
                <w:szCs w:val="12"/>
                <w:color w:val="auto"/>
              </w:rPr>
            </w:pPr>
          </w:p>
        </w:tc>
        <w:tc>
          <w:tcPr>
            <w:tcW w:w="50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Notes</w:t>
            </w: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Pro Forma</w:t>
            </w:r>
          </w:p>
        </w:tc>
      </w:tr>
      <w:tr>
        <w:trPr>
          <w:trHeight w:val="158"/>
        </w:trPr>
        <w:tc>
          <w:tcPr>
            <w:tcW w:w="9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adjustments</w:t>
            </w: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94"/>
              </w:rPr>
              <w:t>consolidated</w:t>
            </w:r>
          </w:p>
        </w:tc>
      </w:tr>
      <w:tr>
        <w:trPr>
          <w:trHeight w:val="188"/>
        </w:trPr>
        <w:tc>
          <w:tcPr>
            <w:tcW w:w="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 — in thousands)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3,980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3,630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7,610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receivable</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152</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144</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184</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4,020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3,926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7,946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Long-term deposit</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8</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145</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Intangible assets, net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2,912</w:t>
            </w: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10,906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10,906</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Goodwill</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56,335</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56,335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366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60" w:type="dxa"/>
            <w:vAlign w:val="bottom"/>
            <w:shd w:val="clear" w:color="auto" w:fill="CCFFCC"/>
          </w:tcPr>
          <w:p>
            <w:pPr>
              <w:spacing w:after="0"/>
              <w:rPr>
                <w:sz w:val="16"/>
                <w:szCs w:val="16"/>
                <w:color w:val="auto"/>
              </w:rPr>
            </w:pP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right w:val="single" w:sz="8" w:color="CCFFCC"/>
            </w:tcBorders>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Deferred tax liabilities, net – short-term</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Accounts payable and accrued expenses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525</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1,994</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Accrued severance pay</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233</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233</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Accrued employee compensation</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341</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357</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698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portion, note payable – related party</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1,210</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852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4,928</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Long-term liabilities</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Note payable – related party</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1,200</w:t>
            </w: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Derivative liabilities on account of warrants</w:t>
            </w:r>
          </w:p>
        </w:tc>
        <w:tc>
          <w:tcPr>
            <w:tcW w:w="10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1,836</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21,733</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25,839</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4,106</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(1,836)</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1,200</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1,836</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24,003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27,039</w:t>
            </w: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5"/>
              </w:rPr>
              <w:t>Preferred stock, Series A Convertible, $0.0001 par</w:t>
            </w:r>
          </w:p>
        </w:tc>
        <w:tc>
          <w:tcPr>
            <w:tcW w:w="86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(1,761)</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6,968 authorized and issued and 6,818</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 (deficit)</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366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Preferred stock, Series A Convertible, $0.01 par</w:t>
            </w:r>
          </w:p>
        </w:tc>
        <w:tc>
          <w:tcPr>
            <w:tcW w:w="1000" w:type="dxa"/>
            <w:vAlign w:val="bottom"/>
            <w:tcBorders>
              <w:right w:val="single" w:sz="8" w:color="CCFFCC"/>
            </w:tcBorders>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CCFFCC"/>
            </w:tcBorders>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620" w:type="dxa"/>
            <w:vAlign w:val="bottom"/>
            <w:tcBorders>
              <w:left w:val="single" w:sz="8" w:color="CCFFCC"/>
              <w:right w:val="single" w:sz="8" w:color="CCFFCC"/>
            </w:tcBorders>
            <w:gridSpan w:val="2"/>
            <w:shd w:val="clear" w:color="auto" w:fill="CCFFCC"/>
          </w:tcPr>
          <w:p>
            <w:pPr>
              <w:jc w:val="right"/>
              <w:ind w:right="53"/>
              <w:spacing w:after="0" w:line="188" w:lineRule="exact"/>
              <w:rPr>
                <w:sz w:val="20"/>
                <w:szCs w:val="20"/>
                <w:color w:val="auto"/>
              </w:rPr>
            </w:pPr>
            <w:r>
              <w:rPr>
                <w:rFonts w:ascii="Arial" w:cs="Arial" w:eastAsia="Arial" w:hAnsi="Arial"/>
                <w:sz w:val="17"/>
                <w:szCs w:val="17"/>
                <w:color w:val="auto"/>
              </w:rPr>
              <w:t>6</w:t>
            </w:r>
          </w:p>
        </w:tc>
        <w:tc>
          <w:tcPr>
            <w:tcW w:w="82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r>
      <w:tr>
        <w:trPr>
          <w:trHeight w:val="200"/>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value per share; 6,818 authorized, issued and</w:t>
            </w: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left w:val="single" w:sz="8" w:color="CCFFCC"/>
            </w:tcBorders>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13"/>
        </w:trPr>
        <w:tc>
          <w:tcPr>
            <w:tcW w:w="366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188"/>
        </w:trPr>
        <w:tc>
          <w:tcPr>
            <w:tcW w:w="3660" w:type="dxa"/>
            <w:vAlign w:val="bottom"/>
            <w:gridSpan w:val="2"/>
          </w:tcPr>
          <w:p>
            <w:pPr>
              <w:spacing w:after="0" w:line="188" w:lineRule="exact"/>
              <w:rPr>
                <w:sz w:val="20"/>
                <w:szCs w:val="20"/>
                <w:color w:val="auto"/>
              </w:rPr>
            </w:pPr>
            <w:r>
              <w:rPr>
                <w:rFonts w:ascii="Arial" w:cs="Arial" w:eastAsia="Arial" w:hAnsi="Arial"/>
                <w:sz w:val="17"/>
                <w:szCs w:val="17"/>
                <w:color w:val="auto"/>
              </w:rPr>
              <w:t>Common stock, $0.01 par value per share,</w:t>
            </w:r>
          </w:p>
        </w:tc>
        <w:tc>
          <w:tcPr>
            <w:tcW w:w="86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139</w:t>
            </w:r>
          </w:p>
        </w:tc>
        <w:tc>
          <w:tcPr>
            <w:tcW w:w="70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w:t>
            </w:r>
          </w:p>
        </w:tc>
        <w:tc>
          <w:tcPr>
            <w:tcW w:w="620" w:type="dxa"/>
            <w:vAlign w:val="bottom"/>
            <w:gridSpan w:val="2"/>
          </w:tcPr>
          <w:p>
            <w:pPr>
              <w:jc w:val="right"/>
              <w:ind w:right="53"/>
              <w:spacing w:after="0" w:line="188" w:lineRule="exact"/>
              <w:rPr>
                <w:sz w:val="20"/>
                <w:szCs w:val="20"/>
                <w:color w:val="auto"/>
              </w:rPr>
            </w:pPr>
            <w:r>
              <w:rPr>
                <w:rFonts w:ascii="Arial" w:cs="Arial" w:eastAsia="Arial" w:hAnsi="Arial"/>
                <w:sz w:val="17"/>
                <w:szCs w:val="17"/>
                <w:color w:val="auto"/>
              </w:rPr>
              <w:t>7</w:t>
            </w:r>
          </w:p>
        </w:tc>
        <w:tc>
          <w:tcPr>
            <w:tcW w:w="82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320</w:t>
            </w:r>
          </w:p>
        </w:tc>
      </w:tr>
      <w:tr>
        <w:trPr>
          <w:trHeight w:val="200"/>
        </w:trPr>
        <w:tc>
          <w:tcPr>
            <w:tcW w:w="3660" w:type="dxa"/>
            <w:vAlign w:val="bottom"/>
            <w:gridSpan w:val="2"/>
          </w:tcPr>
          <w:p>
            <w:pPr>
              <w:ind w:left="160"/>
              <w:spacing w:after="0"/>
              <w:rPr>
                <w:sz w:val="20"/>
                <w:szCs w:val="20"/>
                <w:color w:val="auto"/>
              </w:rPr>
            </w:pPr>
            <w:r>
              <w:rPr>
                <w:rFonts w:ascii="Arial" w:cs="Arial" w:eastAsia="Arial" w:hAnsi="Arial"/>
                <w:sz w:val="17"/>
                <w:szCs w:val="17"/>
                <w:color w:val="auto"/>
                <w:w w:val="93"/>
              </w:rPr>
              <w:t>150,000,000** authorized, 31,979,592 issued and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3660" w:type="dxa"/>
            <w:vAlign w:val="bottom"/>
            <w:gridSpan w:val="2"/>
          </w:tcPr>
          <w:p>
            <w:pPr>
              <w:ind w:left="160"/>
              <w:spacing w:after="0"/>
              <w:rPr>
                <w:sz w:val="20"/>
                <w:szCs w:val="20"/>
                <w:color w:val="auto"/>
              </w:rPr>
            </w:pPr>
            <w:r>
              <w:rPr>
                <w:rFonts w:ascii="Arial" w:cs="Arial" w:eastAsia="Arial" w:hAnsi="Arial"/>
                <w:sz w:val="17"/>
                <w:szCs w:val="17"/>
                <w:color w:val="auto"/>
              </w:rPr>
              <w:t>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181</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7</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5,742</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44,072</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(15,237)</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51,443</w:t>
            </w:r>
          </w:p>
        </w:tc>
      </w:tr>
      <w:tr>
        <w:trPr>
          <w:trHeight w:val="200"/>
        </w:trPr>
        <w:tc>
          <w:tcPr>
            <w:tcW w:w="900" w:type="dxa"/>
            <w:vAlign w:val="bottom"/>
            <w:shd w:val="clear" w:color="auto" w:fill="CCFFCC"/>
          </w:tcPr>
          <w:p>
            <w:pPr>
              <w:spacing w:after="0"/>
              <w:rPr>
                <w:sz w:val="17"/>
                <w:szCs w:val="17"/>
                <w:color w:val="auto"/>
              </w:rPr>
            </w:pPr>
          </w:p>
        </w:tc>
        <w:tc>
          <w:tcPr>
            <w:tcW w:w="27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6,734</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10,132</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Accumulated deficit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(4,626)</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(43,190)</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(852)</w:t>
            </w:r>
          </w:p>
        </w:tc>
        <w:tc>
          <w:tcPr>
            <w:tcW w:w="620" w:type="dxa"/>
            <w:vAlign w:val="bottom"/>
            <w:tcBorders>
              <w:left w:val="single" w:sz="8" w:color="CCFFCC"/>
              <w:right w:val="single" w:sz="8" w:color="CCFFCC"/>
            </w:tcBorders>
            <w:gridSpan w:val="2"/>
            <w:shd w:val="clear" w:color="auto" w:fill="CCFFCC"/>
          </w:tcPr>
          <w:p>
            <w:pPr>
              <w:jc w:val="right"/>
              <w:ind w:right="53"/>
              <w:spacing w:after="0"/>
              <w:rPr>
                <w:sz w:val="20"/>
                <w:szCs w:val="20"/>
                <w:color w:val="auto"/>
              </w:rPr>
            </w:pPr>
            <w:r>
              <w:rPr>
                <w:rFonts w:ascii="Arial" w:cs="Arial" w:eastAsia="Arial" w:hAnsi="Arial"/>
                <w:sz w:val="17"/>
                <w:szCs w:val="17"/>
                <w:color w:val="auto"/>
              </w:rPr>
              <w:t>4</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(5,478)</w:t>
            </w:r>
          </w:p>
        </w:tc>
      </w:tr>
      <w:tr>
        <w:trPr>
          <w:trHeight w:val="200"/>
        </w:trPr>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43,190</w:t>
            </w:r>
          </w:p>
        </w:tc>
        <w:tc>
          <w:tcPr>
            <w:tcW w:w="620" w:type="dxa"/>
            <w:vAlign w:val="bottom"/>
            <w:gridSpan w:val="2"/>
          </w:tcPr>
          <w:p>
            <w:pPr>
              <w:jc w:val="right"/>
              <w:ind w:right="53"/>
              <w:spacing w:after="0"/>
              <w:rPr>
                <w:sz w:val="20"/>
                <w:szCs w:val="20"/>
                <w:color w:val="auto"/>
              </w:rPr>
            </w:pPr>
            <w:r>
              <w:rPr>
                <w:rFonts w:ascii="Arial" w:cs="Arial" w:eastAsia="Arial" w:hAnsi="Arial"/>
                <w:sz w:val="17"/>
                <w:szCs w:val="17"/>
                <w:color w:val="auto"/>
              </w:rPr>
              <w:t>8</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1,117</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20" w:type="dxa"/>
            <w:vAlign w:val="bottom"/>
            <w:tcBorders>
              <w:right w:val="single" w:sz="8" w:color="CCFFCC"/>
            </w:tcBorders>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1,021</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44,147</w:t>
            </w:r>
          </w:p>
        </w:tc>
        <w:tc>
          <w:tcPr>
            <w:tcW w:w="120" w:type="dxa"/>
            <w:vAlign w:val="bottom"/>
            <w:tcBorders>
              <w:left w:val="single" w:sz="8" w:color="CCFFCC"/>
            </w:tcBorders>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46,285</w:t>
            </w:r>
          </w:p>
        </w:tc>
      </w:tr>
      <w:tr>
        <w:trPr>
          <w:trHeight w:val="20"/>
        </w:trPr>
        <w:tc>
          <w:tcPr>
            <w:tcW w:w="900" w:type="dxa"/>
            <w:vAlign w:val="bottom"/>
            <w:shd w:val="clear" w:color="auto" w:fill="CCFFCC"/>
          </w:tcPr>
          <w:p>
            <w:pPr>
              <w:spacing w:after="0" w:line="20" w:lineRule="exact"/>
              <w:rPr>
                <w:sz w:val="1"/>
                <w:szCs w:val="1"/>
                <w:color w:val="auto"/>
              </w:rPr>
            </w:pPr>
          </w:p>
        </w:tc>
        <w:tc>
          <w:tcPr>
            <w:tcW w:w="27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6,944</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4,067</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67,241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78,252</w:t>
            </w:r>
          </w:p>
        </w:tc>
      </w:tr>
      <w:tr>
        <w:trPr>
          <w:trHeight w:val="20"/>
        </w:trPr>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-5243195</wp:posOffset>
            </wp:positionV>
            <wp:extent cx="4837430" cy="135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-4471035</wp:posOffset>
            </wp:positionV>
            <wp:extent cx="4837430" cy="1670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-3413125</wp:posOffset>
            </wp:positionV>
            <wp:extent cx="4837430" cy="135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-2640965</wp:posOffset>
            </wp:positionV>
            <wp:extent cx="4837430" cy="135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-333375</wp:posOffset>
            </wp:positionV>
            <wp:extent cx="4837430" cy="167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25" w:lineRule="exact"/>
        <w:rPr>
          <w:sz w:val="20"/>
          <w:szCs w:val="20"/>
          <w:color w:val="auto"/>
        </w:rPr>
      </w:pPr>
    </w:p>
    <w:p>
      <w:pPr>
        <w:ind w:left="260" w:hanging="250"/>
        <w:spacing w:after="0"/>
        <w:tabs>
          <w:tab w:leader="none" w:pos="2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Refer to preliminary Purchase Price Allocation table on page </w:t>
      </w:r>
      <w:r>
        <w:rPr>
          <w:rFonts w:ascii="Arial" w:cs="Arial" w:eastAsia="Arial" w:hAnsi="Arial"/>
          <w:sz w:val="13"/>
          <w:szCs w:val="13"/>
          <w:u w:val="single" w:color="auto"/>
          <w:color w:val="0000EE"/>
        </w:rPr>
        <w:t>189</w:t>
      </w:r>
      <w:r>
        <w:rPr>
          <w:rFonts w:ascii="Arial" w:cs="Arial" w:eastAsia="Arial" w:hAnsi="Arial"/>
          <w:sz w:val="13"/>
          <w:szCs w:val="13"/>
          <w:color w:val="auto"/>
        </w:rPr>
        <w:t>.</w:t>
      </w:r>
    </w:p>
    <w:p>
      <w:pPr>
        <w:spacing w:after="0" w:line="114" w:lineRule="exact"/>
        <w:rPr>
          <w:sz w:val="20"/>
          <w:szCs w:val="20"/>
          <w:color w:val="auto"/>
        </w:rPr>
      </w:pPr>
    </w:p>
    <w:p>
      <w:pPr>
        <w:ind w:left="260" w:right="1239" w:hanging="250"/>
        <w:spacing w:after="0" w:line="296" w:lineRule="auto"/>
        <w:tabs>
          <w:tab w:leader="none" w:pos="2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Notes to the Unaudited Pro Forma Consolidated Statements of Operations and Balance Sheet:</w:t>
      </w:r>
    </w:p>
    <w:p>
      <w:pPr>
        <w:spacing w:after="0" w:line="109" w:lineRule="exact"/>
        <w:rPr>
          <w:sz w:val="20"/>
          <w:szCs w:val="20"/>
          <w:color w:val="auto"/>
        </w:rPr>
      </w:pPr>
    </w:p>
    <w:p>
      <w:pPr>
        <w:ind w:left="260" w:right="1239" w:hanging="259"/>
        <w:spacing w:after="0" w:line="264" w:lineRule="auto"/>
        <w:tabs>
          <w:tab w:leader="none" w:pos="240" w:val="left"/>
        </w:tabs>
        <w:rPr>
          <w:sz w:val="20"/>
          <w:szCs w:val="20"/>
          <w:color w:val="auto"/>
        </w:rPr>
      </w:pPr>
      <w:r>
        <w:rPr>
          <w:rFonts w:ascii="Arial" w:cs="Arial" w:eastAsia="Arial" w:hAnsi="Arial"/>
          <w:sz w:val="17"/>
          <w:szCs w:val="17"/>
          <w:color w:val="auto"/>
        </w:rPr>
        <w:t>1.</w:t>
        <w:tab/>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742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w w:val="93"/>
              </w:rPr>
              <w:t>Gross carrying amount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17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83"/>
        </w:trPr>
        <w:tc>
          <w:tcPr>
            <w:tcW w:w="33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60" w:type="dxa"/>
            <w:vAlign w:val="bottom"/>
          </w:tcPr>
          <w:p>
            <w:pPr>
              <w:spacing w:after="0"/>
              <w:rPr>
                <w:sz w:val="15"/>
                <w:szCs w:val="15"/>
                <w:color w:val="auto"/>
              </w:rPr>
            </w:pPr>
          </w:p>
        </w:tc>
        <w:tc>
          <w:tcPr>
            <w:tcW w:w="1440" w:type="dxa"/>
            <w:vAlign w:val="bottom"/>
            <w:gridSpan w:val="3"/>
          </w:tcPr>
          <w:p>
            <w:pPr>
              <w:ind w:left="200"/>
              <w:spacing w:after="0"/>
              <w:rPr>
                <w:sz w:val="20"/>
                <w:szCs w:val="20"/>
                <w:color w:val="auto"/>
              </w:rPr>
            </w:pPr>
            <w:r>
              <w:rPr>
                <w:rFonts w:ascii="Arial" w:cs="Arial" w:eastAsia="Arial" w:hAnsi="Arial"/>
                <w:sz w:val="13"/>
                <w:szCs w:val="13"/>
                <w:b w:val="1"/>
                <w:bCs w:val="1"/>
                <w:color w:val="auto"/>
              </w:rPr>
              <w:t>($ — 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160" w:type="dxa"/>
            <w:vAlign w:val="bottom"/>
          </w:tcPr>
          <w:p>
            <w:pPr>
              <w:spacing w:after="0"/>
              <w:rPr>
                <w:sz w:val="15"/>
                <w:szCs w:val="15"/>
                <w:color w:val="auto"/>
              </w:rPr>
            </w:pPr>
          </w:p>
        </w:tc>
        <w:tc>
          <w:tcPr>
            <w:tcW w:w="1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CCFFCC"/>
            </w:tcBorders>
            <w:shd w:val="clear" w:color="auto" w:fill="CCFFCC"/>
          </w:tcPr>
          <w:p>
            <w:pPr>
              <w:spacing w:after="0"/>
              <w:rPr>
                <w:sz w:val="17"/>
                <w:szCs w:val="17"/>
                <w:color w:val="auto"/>
              </w:rPr>
            </w:pPr>
          </w:p>
        </w:tc>
        <w:tc>
          <w:tcPr>
            <w:tcW w:w="700" w:type="dxa"/>
            <w:vAlign w:val="bottom"/>
            <w:tcBorders>
              <w:bottom w:val="single" w:sz="8" w:color="CCFFCC"/>
            </w:tcBorders>
            <w:gridSpan w:val="2"/>
            <w:shd w:val="clear" w:color="auto" w:fill="CCFFCC"/>
          </w:tcPr>
          <w:p>
            <w:pPr>
              <w:jc w:val="right"/>
              <w:ind w:right="17"/>
              <w:spacing w:after="0"/>
              <w:rPr>
                <w:sz w:val="20"/>
                <w:szCs w:val="20"/>
                <w:color w:val="auto"/>
              </w:rPr>
            </w:pPr>
            <w:r>
              <w:rPr>
                <w:rFonts w:ascii="Arial" w:cs="Arial" w:eastAsia="Arial" w:hAnsi="Arial"/>
                <w:sz w:val="17"/>
                <w:szCs w:val="17"/>
                <w:color w:val="auto"/>
              </w:rPr>
              <w:t>10,906</w:t>
            </w:r>
          </w:p>
        </w:tc>
        <w:tc>
          <w:tcPr>
            <w:tcW w:w="800" w:type="dxa"/>
            <w:vAlign w:val="bottom"/>
            <w:tcBorders>
              <w:bottom w:val="single" w:sz="8" w:color="CCFFCC"/>
            </w:tcBorders>
            <w:gridSpan w:val="3"/>
            <w:shd w:val="clear" w:color="auto" w:fill="CCFFCC"/>
          </w:tcPr>
          <w:p>
            <w:pPr>
              <w:jc w:val="right"/>
              <w:ind w:right="113"/>
              <w:spacing w:after="0"/>
              <w:rPr>
                <w:sz w:val="20"/>
                <w:szCs w:val="20"/>
                <w:color w:val="auto"/>
              </w:rPr>
            </w:pPr>
            <w:r>
              <w:rPr>
                <w:rFonts w:ascii="Arial" w:cs="Arial" w:eastAsia="Arial" w:hAnsi="Arial"/>
                <w:sz w:val="17"/>
                <w:szCs w:val="17"/>
                <w:color w:val="auto"/>
              </w:rPr>
              <w:t>6</w:t>
            </w:r>
          </w:p>
        </w:tc>
        <w:tc>
          <w:tcPr>
            <w:tcW w:w="16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454</w:t>
            </w:r>
          </w:p>
        </w:tc>
        <w:tc>
          <w:tcPr>
            <w:tcW w:w="3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90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w w:val="92"/>
              </w:rPr>
              <w:t>Gross carrying</w:t>
            </w:r>
          </w:p>
        </w:tc>
        <w:tc>
          <w:tcPr>
            <w:tcW w:w="160" w:type="dxa"/>
            <w:vAlign w:val="bottom"/>
          </w:tcPr>
          <w:p>
            <w:pPr>
              <w:spacing w:after="0"/>
              <w:rPr>
                <w:sz w:val="12"/>
                <w:szCs w:val="12"/>
                <w:color w:val="auto"/>
              </w:rPr>
            </w:pPr>
          </w:p>
        </w:tc>
        <w:tc>
          <w:tcPr>
            <w:tcW w:w="3260" w:type="dxa"/>
            <w:vAlign w:val="bottom"/>
            <w:gridSpan w:val="7"/>
          </w:tcPr>
          <w:p>
            <w:pPr>
              <w:ind w:left="280"/>
              <w:spacing w:after="0" w:line="148" w:lineRule="exact"/>
              <w:rPr>
                <w:sz w:val="20"/>
                <w:szCs w:val="20"/>
                <w:color w:val="auto"/>
              </w:rPr>
            </w:pPr>
            <w:r>
              <w:rPr>
                <w:rFonts w:ascii="Arial" w:cs="Arial" w:eastAsia="Arial" w:hAnsi="Arial"/>
                <w:sz w:val="13"/>
                <w:szCs w:val="13"/>
                <w:b w:val="1"/>
                <w:bCs w:val="1"/>
                <w:color w:val="auto"/>
              </w:rPr>
              <w:t>Amortization of intangible assets and liabilities</w:t>
            </w: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20" w:type="dxa"/>
            <w:vAlign w:val="bottom"/>
            <w:gridSpan w:val="6"/>
          </w:tcPr>
          <w:p>
            <w:pPr>
              <w:jc w:val="center"/>
              <w:ind w:right="1600"/>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Goodwill</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56,335</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8"/>
              </w:rPr>
              <w:t>Goodwill is reviewed for impairment at least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annually in accordance with the provisions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ACS 350 “Intangibles, Goodwill and Other”</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8"/>
              </w:rPr>
              <w:t>Fair value of vested stock options granted to</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6,734</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(which also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employees, management and consultants,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reflects the impact of partial acceleration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7"/>
              </w:rPr>
              <w:t>classified as equity in these consolidated pro</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vesting of outstanding options granted to</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forma financial 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employees, management and consultants of</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3"/>
              </w:rPr>
              <w:t>Vringo triggered directly by the Merger)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1"/>
              </w:rPr>
              <w:t>adjusted for options exercised. This adjustment</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6"/>
              </w:rPr>
              <w:t>will be recorded as internal reclassification in</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additional paid-in capital.</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9"/>
              </w:rPr>
              <w:t>4,106</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4"/>
              </w:rPr>
              <w:t>Vringo prior to the Merger, classified as a long</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classified as a derivative liability will be</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term derivative liability, as these warrants bear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7"/>
              </w:rPr>
              <w:t>adjusted at the end of each reporting period.</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certain down-round protection clauses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6"/>
              </w:rPr>
              <w:t>Fair value of outstanding warrants granted by</w:t>
            </w:r>
          </w:p>
        </w:tc>
        <w:tc>
          <w:tcPr>
            <w:tcW w:w="900" w:type="dxa"/>
            <w:vAlign w:val="bottom"/>
            <w:gridSpan w:val="2"/>
          </w:tcPr>
          <w:p>
            <w:pPr>
              <w:jc w:val="center"/>
              <w:spacing w:after="0"/>
              <w:rPr>
                <w:sz w:val="20"/>
                <w:szCs w:val="20"/>
                <w:color w:val="auto"/>
              </w:rPr>
            </w:pPr>
            <w:r>
              <w:rPr>
                <w:rFonts w:ascii="Arial" w:cs="Arial" w:eastAsia="Arial" w:hAnsi="Arial"/>
                <w:sz w:val="17"/>
                <w:szCs w:val="17"/>
                <w:color w:val="auto"/>
                <w:w w:val="88"/>
              </w:rPr>
              <w:t>10,132</w:t>
            </w: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Originally allocated fair value to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w w:val="93"/>
              </w:rPr>
              <w:t>Vringo prior to the Merger, classified as equity,</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0"/>
              </w:rPr>
              <w:t>classified as equity will be adjusted for warrants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in these consolidated pro forma financial</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w w:val="92"/>
              </w:rPr>
              <w:t>exercised. This adjustment will be recorded as</w:t>
            </w:r>
          </w:p>
        </w:tc>
        <w:tc>
          <w:tcPr>
            <w:tcW w:w="0" w:type="dxa"/>
            <w:vAlign w:val="bottom"/>
          </w:tcPr>
          <w:p>
            <w:pPr>
              <w:spacing w:after="0"/>
              <w:rPr>
                <w:sz w:val="1"/>
                <w:szCs w:val="1"/>
                <w:color w:val="auto"/>
              </w:rPr>
            </w:pPr>
          </w:p>
        </w:tc>
      </w:tr>
      <w:tr>
        <w:trPr>
          <w:trHeight w:val="200"/>
        </w:trPr>
        <w:tc>
          <w:tcPr>
            <w:tcW w:w="3300" w:type="dxa"/>
            <w:vAlign w:val="bottom"/>
          </w:tcPr>
          <w:p>
            <w:pPr>
              <w:spacing w:after="0"/>
              <w:rPr>
                <w:sz w:val="20"/>
                <w:szCs w:val="20"/>
                <w:color w:val="auto"/>
              </w:rPr>
            </w:pPr>
            <w:r>
              <w:rPr>
                <w:rFonts w:ascii="Arial" w:cs="Arial" w:eastAsia="Arial" w:hAnsi="Arial"/>
                <w:sz w:val="17"/>
                <w:szCs w:val="17"/>
                <w:color w:val="auto"/>
              </w:rPr>
              <w:t>statements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gridSpan w:val="7"/>
          </w:tcPr>
          <w:p>
            <w:pPr>
              <w:spacing w:after="0"/>
              <w:rPr>
                <w:sz w:val="20"/>
                <w:szCs w:val="20"/>
                <w:color w:val="auto"/>
              </w:rPr>
            </w:pPr>
            <w:r>
              <w:rPr>
                <w:rFonts w:ascii="Arial" w:cs="Arial" w:eastAsia="Arial" w:hAnsi="Arial"/>
                <w:sz w:val="17"/>
                <w:szCs w:val="17"/>
                <w:color w:val="auto"/>
              </w:rPr>
              <w:t>internal reclassification in additional paid-in</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7"/>
                <w:szCs w:val="17"/>
                <w:color w:val="auto"/>
                <w:w w:val="96"/>
              </w:rPr>
              <w:t>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-3022600</wp:posOffset>
            </wp:positionV>
            <wp:extent cx="4837430" cy="143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2.  Amortization and depreciation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Three month period ended</w:t>
            </w:r>
          </w:p>
        </w:tc>
        <w:tc>
          <w:tcPr>
            <w:tcW w:w="310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3100" w:type="dxa"/>
            <w:vAlign w:val="bottom"/>
          </w:tcPr>
          <w:p>
            <w:pPr>
              <w:spacing w:after="0"/>
              <w:rPr>
                <w:sz w:val="13"/>
                <w:szCs w:val="13"/>
                <w:color w:val="auto"/>
              </w:rPr>
            </w:pPr>
          </w:p>
        </w:tc>
      </w:tr>
      <w:tr>
        <w:trPr>
          <w:trHeight w:val="181"/>
        </w:trPr>
        <w:tc>
          <w:tcPr>
            <w:tcW w:w="1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3100" w:type="dxa"/>
            <w:vAlign w:val="bottom"/>
          </w:tcPr>
          <w:p>
            <w:pPr>
              <w:spacing w:after="0"/>
              <w:rPr>
                <w:sz w:val="15"/>
                <w:szCs w:val="15"/>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3820" w:type="dxa"/>
            <w:vAlign w:val="bottom"/>
            <w:gridSpan w:val="3"/>
          </w:tcPr>
          <w:p>
            <w:pPr>
              <w:jc w:val="right"/>
              <w:ind w:right="380"/>
              <w:spacing w:after="0"/>
              <w:rPr>
                <w:sz w:val="20"/>
                <w:szCs w:val="20"/>
                <w:color w:val="auto"/>
              </w:rPr>
            </w:pPr>
            <w:r>
              <w:rPr>
                <w:rFonts w:ascii="Arial" w:cs="Arial" w:eastAsia="Arial" w:hAnsi="Arial"/>
                <w:sz w:val="17"/>
                <w:szCs w:val="17"/>
                <w:color w:val="auto"/>
              </w:rPr>
              <w:t>534</w:t>
            </w:r>
          </w:p>
        </w:tc>
        <w:tc>
          <w:tcPr>
            <w:tcW w:w="3100" w:type="dxa"/>
            <w:vAlign w:val="bottom"/>
          </w:tcPr>
          <w:p>
            <w:pPr>
              <w:spacing w:after="0"/>
              <w:rPr>
                <w:sz w:val="18"/>
                <w:szCs w:val="18"/>
                <w:color w:val="auto"/>
              </w:rPr>
            </w:pPr>
          </w:p>
        </w:tc>
      </w:tr>
      <w:tr>
        <w:trPr>
          <w:trHeight w:val="201"/>
        </w:trPr>
        <w:tc>
          <w:tcPr>
            <w:tcW w:w="31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382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(378)</w:t>
            </w:r>
          </w:p>
        </w:tc>
        <w:tc>
          <w:tcPr>
            <w:tcW w:w="3100" w:type="dxa"/>
            <w:vAlign w:val="bottom"/>
          </w:tcPr>
          <w:p>
            <w:pPr>
              <w:spacing w:after="0"/>
              <w:rPr>
                <w:sz w:val="17"/>
                <w:szCs w:val="17"/>
                <w:color w:val="auto"/>
              </w:rPr>
            </w:pPr>
          </w:p>
        </w:tc>
      </w:tr>
      <w:tr>
        <w:trPr>
          <w:trHeight w:val="200"/>
        </w:trPr>
        <w:tc>
          <w:tcPr>
            <w:tcW w:w="312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2200" w:type="dxa"/>
            <w:vAlign w:val="bottom"/>
          </w:tcPr>
          <w:p>
            <w:pPr>
              <w:spacing w:after="0"/>
              <w:rPr>
                <w:sz w:val="17"/>
                <w:szCs w:val="17"/>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7"/>
                <w:szCs w:val="17"/>
                <w:color w:val="auto"/>
              </w:rPr>
              <w:t>(156)</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1980" w:type="dxa"/>
            <w:vAlign w:val="bottom"/>
            <w:shd w:val="clear" w:color="auto" w:fill="CCFFCC"/>
          </w:tcPr>
          <w:p>
            <w:pPr>
              <w:spacing w:after="0"/>
              <w:rPr>
                <w:sz w:val="16"/>
                <w:szCs w:val="16"/>
                <w:color w:val="auto"/>
              </w:rPr>
            </w:pPr>
          </w:p>
        </w:tc>
        <w:tc>
          <w:tcPr>
            <w:tcW w:w="220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380"/>
              <w:spacing w:after="0" w:line="193" w:lineRule="exact"/>
              <w:rPr>
                <w:sz w:val="20"/>
                <w:szCs w:val="20"/>
                <w:color w:val="auto"/>
              </w:rPr>
            </w:pPr>
            <w:r>
              <w:rPr>
                <w:rFonts w:ascii="Arial" w:cs="Arial" w:eastAsia="Arial" w:hAnsi="Arial"/>
                <w:sz w:val="17"/>
                <w:szCs w:val="17"/>
                <w:color w:val="auto"/>
              </w:rPr>
              <w:t>—</w:t>
            </w:r>
          </w:p>
        </w:tc>
        <w:tc>
          <w:tcPr>
            <w:tcW w:w="3100" w:type="dxa"/>
            <w:vAlign w:val="bottom"/>
          </w:tcPr>
          <w:p>
            <w:pPr>
              <w:spacing w:after="0"/>
              <w:rPr>
                <w:sz w:val="16"/>
                <w:szCs w:val="16"/>
                <w:color w:val="auto"/>
              </w:rPr>
            </w:pPr>
          </w:p>
        </w:tc>
      </w:tr>
      <w:tr>
        <w:trPr>
          <w:trHeight w:val="719"/>
        </w:trPr>
        <w:tc>
          <w:tcPr>
            <w:tcW w:w="1140" w:type="dxa"/>
            <w:vAlign w:val="bottom"/>
            <w:tcBorders>
              <w:top w:val="single" w:sz="8" w:color="CCFFCC"/>
            </w:tcBorders>
          </w:tcPr>
          <w:p>
            <w:pPr>
              <w:spacing w:after="0"/>
              <w:rPr>
                <w:sz w:val="24"/>
                <w:szCs w:val="24"/>
                <w:color w:val="auto"/>
              </w:rPr>
            </w:pPr>
          </w:p>
        </w:tc>
        <w:tc>
          <w:tcPr>
            <w:tcW w:w="1980" w:type="dxa"/>
            <w:vAlign w:val="bottom"/>
            <w:tcBorders>
              <w:top w:val="single" w:sz="8" w:color="CCFFCC"/>
            </w:tcBorders>
          </w:tcPr>
          <w:p>
            <w:pPr>
              <w:spacing w:after="0"/>
              <w:rPr>
                <w:sz w:val="24"/>
                <w:szCs w:val="24"/>
                <w:color w:val="auto"/>
              </w:rPr>
            </w:pPr>
          </w:p>
        </w:tc>
        <w:tc>
          <w:tcPr>
            <w:tcW w:w="2200" w:type="dxa"/>
            <w:vAlign w:val="bottom"/>
            <w:tcBorders>
              <w:top w:val="single" w:sz="8" w:color="CCFFCC"/>
            </w:tcBorders>
          </w:tcPr>
          <w:p>
            <w:pPr>
              <w:jc w:val="right"/>
              <w:ind w:right="796"/>
              <w:spacing w:after="0"/>
              <w:rPr>
                <w:sz w:val="20"/>
                <w:szCs w:val="20"/>
                <w:color w:val="auto"/>
              </w:rPr>
            </w:pPr>
            <w:r>
              <w:rPr>
                <w:rFonts w:ascii="Arial" w:cs="Arial" w:eastAsia="Arial" w:hAnsi="Arial"/>
                <w:sz w:val="17"/>
                <w:szCs w:val="17"/>
                <w:color w:val="auto"/>
              </w:rPr>
              <w:t>193</w:t>
            </w: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980" w:type="dxa"/>
            <w:vAlign w:val="bottom"/>
            <w:tcBorders>
              <w:bottom w:val="single" w:sz="8" w:color="9A9A9A"/>
            </w:tcBorders>
          </w:tcPr>
          <w:p>
            <w:pPr>
              <w:spacing w:after="0"/>
              <w:rPr>
                <w:sz w:val="13"/>
                <w:szCs w:val="13"/>
                <w:color w:val="auto"/>
              </w:rPr>
            </w:pPr>
          </w:p>
        </w:tc>
        <w:tc>
          <w:tcPr>
            <w:tcW w:w="2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22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-596265</wp:posOffset>
            </wp:positionV>
            <wp:extent cx="44081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408170" cy="825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85" w:lineRule="auto"/>
        <w:tabs>
          <w:tab w:leader="none" w:pos="2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6000" w:type="dxa"/>
            <w:vAlign w:val="bottom"/>
          </w:tcPr>
          <w:p>
            <w:pPr>
              <w:spacing w:after="0"/>
              <w:rPr>
                <w:sz w:val="12"/>
                <w:szCs w:val="12"/>
                <w:color w:val="auto"/>
              </w:rPr>
            </w:pPr>
          </w:p>
        </w:tc>
        <w:tc>
          <w:tcPr>
            <w:tcW w:w="16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2"/>
              </w:rPr>
              <w:t>Three month period ended</w:t>
            </w: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5"/>
              </w:rPr>
              <w:t>March 31, 2012</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0" w:type="dxa"/>
            <w:vAlign w:val="bottom"/>
          </w:tcPr>
          <w:p>
            <w:pPr>
              <w:spacing w:after="0"/>
              <w:rPr>
                <w:sz w:val="1"/>
                <w:szCs w:val="1"/>
                <w:color w:val="auto"/>
              </w:rPr>
            </w:pPr>
          </w:p>
        </w:tc>
      </w:tr>
      <w:tr>
        <w:trPr>
          <w:trHeight w:val="185"/>
        </w:trPr>
        <w:tc>
          <w:tcPr>
            <w:tcW w:w="60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(7,970)</w:t>
            </w:r>
          </w:p>
        </w:tc>
        <w:tc>
          <w:tcPr>
            <w:tcW w:w="0" w:type="dxa"/>
            <w:vAlign w:val="bottom"/>
          </w:tcPr>
          <w:p>
            <w:pPr>
              <w:spacing w:after="0"/>
              <w:rPr>
                <w:sz w:val="1"/>
                <w:szCs w:val="1"/>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12,371,472</w:t>
            </w:r>
          </w:p>
        </w:tc>
        <w:tc>
          <w:tcPr>
            <w:tcW w:w="0" w:type="dxa"/>
            <w:vAlign w:val="bottom"/>
          </w:tcPr>
          <w:p>
            <w:pPr>
              <w:spacing w:after="0"/>
              <w:rPr>
                <w:sz w:val="1"/>
                <w:szCs w:val="1"/>
                <w:color w:val="auto"/>
              </w:rPr>
            </w:pPr>
          </w:p>
        </w:tc>
      </w:tr>
      <w:tr>
        <w:trPr>
          <w:trHeight w:val="188"/>
        </w:trPr>
        <w:tc>
          <w:tcPr>
            <w:tcW w:w="6000" w:type="dxa"/>
            <w:vAlign w:val="bottom"/>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0" w:type="dxa"/>
            <w:vAlign w:val="bottom"/>
          </w:tcPr>
          <w:p>
            <w:pPr>
              <w:spacing w:after="0"/>
              <w:rPr>
                <w:sz w:val="1"/>
                <w:szCs w:val="1"/>
                <w:color w:val="auto"/>
              </w:rPr>
            </w:pPr>
          </w:p>
        </w:tc>
      </w:tr>
      <w:tr>
        <w:trPr>
          <w:trHeight w:val="213"/>
        </w:trPr>
        <w:tc>
          <w:tcPr>
            <w:tcW w:w="6000" w:type="dxa"/>
            <w:vAlign w:val="bottom"/>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30,484,641</w:t>
            </w:r>
          </w:p>
        </w:tc>
        <w:tc>
          <w:tcPr>
            <w:tcW w:w="0" w:type="dxa"/>
            <w:vAlign w:val="bottom"/>
          </w:tcPr>
          <w:p>
            <w:pPr>
              <w:spacing w:after="0"/>
              <w:rPr>
                <w:sz w:val="1"/>
                <w:szCs w:val="1"/>
                <w:color w:val="auto"/>
              </w:rPr>
            </w:pPr>
          </w:p>
        </w:tc>
      </w:tr>
      <w:tr>
        <w:trPr>
          <w:trHeight w:val="20"/>
        </w:trPr>
        <w:tc>
          <w:tcPr>
            <w:tcW w:w="600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(0.26)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837430" cy="143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ind w:left="260" w:right="1239" w:hanging="250"/>
        <w:spacing w:after="0" w:line="267" w:lineRule="auto"/>
        <w:tabs>
          <w:tab w:leader="none" w:pos="2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This adjustment represents direct, incremental costs of this Merger, which were not yet reflected in the historical financial statements of either company. These costs include mainly legal, accounting and filing fees.</w:t>
      </w:r>
    </w:p>
    <w:p>
      <w:pPr>
        <w:spacing w:after="0" w:line="66" w:lineRule="exact"/>
        <w:rPr>
          <w:rFonts w:ascii="Arial" w:cs="Arial" w:eastAsia="Arial" w:hAnsi="Arial"/>
          <w:sz w:val="17"/>
          <w:szCs w:val="17"/>
          <w:color w:val="auto"/>
        </w:rPr>
      </w:pPr>
    </w:p>
    <w:p>
      <w:pPr>
        <w:jc w:val="both"/>
        <w:ind w:left="260" w:right="1239" w:hanging="250"/>
        <w:spacing w:after="0" w:line="285" w:lineRule="auto"/>
        <w:tabs>
          <w:tab w:leader="none" w:pos="2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61" w:lineRule="exact"/>
        <w:rPr>
          <w:rFonts w:ascii="Arial" w:cs="Arial" w:eastAsia="Arial" w:hAnsi="Arial"/>
          <w:sz w:val="15"/>
          <w:szCs w:val="15"/>
          <w:color w:val="auto"/>
        </w:rPr>
      </w:pPr>
    </w:p>
    <w:p>
      <w:pPr>
        <w:jc w:val="both"/>
        <w:ind w:left="260" w:right="1239" w:hanging="250"/>
        <w:spacing w:after="0" w:line="251" w:lineRule="auto"/>
        <w:tabs>
          <w:tab w:leader="none" w:pos="2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hanging="250"/>
        <w:spacing w:after="0" w:line="256" w:lineRule="auto"/>
        <w:tabs>
          <w:tab w:leader="none" w:pos="2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4081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1620" w:type="dxa"/>
            <w:vAlign w:val="bottom"/>
            <w:gridSpan w:val="2"/>
          </w:tcPr>
          <w:p>
            <w:pPr>
              <w:jc w:val="right"/>
              <w:ind w:right="660"/>
              <w:spacing w:after="0" w:line="144" w:lineRule="exact"/>
              <w:rPr>
                <w:sz w:val="20"/>
                <w:szCs w:val="20"/>
                <w:color w:val="auto"/>
              </w:rPr>
            </w:pPr>
            <w:r>
              <w:rPr>
                <w:rFonts w:ascii="Arial" w:cs="Arial" w:eastAsia="Arial" w:hAnsi="Arial"/>
                <w:sz w:val="13"/>
                <w:szCs w:val="13"/>
                <w:b w:val="1"/>
                <w:bCs w:val="1"/>
                <w:color w:val="auto"/>
              </w:rPr>
              <w:t>As of</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March 31, 2012</w:t>
            </w: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Vringo common stock outstanding as of March 31, 2012</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13,866,423</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Vringo common stock issued to former Innovate/Protect stockholders</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18,113,169</w:t>
            </w:r>
          </w:p>
        </w:tc>
      </w:tr>
      <w:tr>
        <w:trPr>
          <w:trHeight w:val="20"/>
        </w:trPr>
        <w:tc>
          <w:tcPr>
            <w:tcW w:w="53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532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common stock outstanding, pursuant to the Merger</w:t>
            </w:r>
          </w:p>
        </w:tc>
        <w:tc>
          <w:tcPr>
            <w:tcW w:w="16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31,979,592</w:t>
            </w:r>
          </w:p>
        </w:tc>
      </w:tr>
      <w:tr>
        <w:trPr>
          <w:trHeight w:val="20"/>
        </w:trPr>
        <w:tc>
          <w:tcPr>
            <w:tcW w:w="532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4081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260" w:right="1239" w:hanging="250"/>
        <w:spacing w:after="0" w:line="267" w:lineRule="auto"/>
        <w:tabs>
          <w:tab w:leader="none" w:pos="2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Innovate/Protect)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056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4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tcPr>
          <w:p>
            <w:pPr>
              <w:spacing w:after="0" w:line="148" w:lineRule="exact"/>
              <w:rPr>
                <w:sz w:val="20"/>
                <w:szCs w:val="20"/>
                <w:color w:val="auto"/>
              </w:rPr>
            </w:pPr>
            <w:r>
              <w:rPr>
                <w:rFonts w:ascii="Arial" w:cs="Arial" w:eastAsia="Arial" w:hAnsi="Arial"/>
                <w:sz w:val="13"/>
                <w:szCs w:val="13"/>
                <w:b w:val="1"/>
                <w:bCs w:val="1"/>
                <w:color w:val="auto"/>
                <w:w w:val="84"/>
              </w:rPr>
              <w:t>Innovate/Protect</w:t>
            </w:r>
          </w:p>
        </w:tc>
        <w:tc>
          <w:tcPr>
            <w:tcW w:w="12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b w:val="1"/>
                <w:bCs w:val="1"/>
                <w:color w:val="auto"/>
              </w:rPr>
              <w:t>Vringo</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2"/>
                <w:szCs w:val="12"/>
                <w:color w:val="auto"/>
              </w:rPr>
            </w:pPr>
          </w:p>
        </w:tc>
        <w:tc>
          <w:tcPr>
            <w:tcW w:w="500" w:type="dxa"/>
            <w:vAlign w:val="bottom"/>
          </w:tcPr>
          <w:p>
            <w:pPr>
              <w:jc w:val="right"/>
              <w:ind w:right="53"/>
              <w:spacing w:after="0" w:line="148" w:lineRule="exact"/>
              <w:rPr>
                <w:sz w:val="20"/>
                <w:szCs w:val="20"/>
                <w:color w:val="auto"/>
              </w:rPr>
            </w:pPr>
            <w:r>
              <w:rPr>
                <w:rFonts w:ascii="Arial" w:cs="Arial" w:eastAsia="Arial" w:hAnsi="Arial"/>
                <w:sz w:val="13"/>
                <w:szCs w:val="13"/>
                <w:b w:val="1"/>
                <w:bCs w:val="1"/>
                <w:color w:val="auto"/>
                <w:w w:val="99"/>
              </w:rPr>
              <w:t>Notes</w:t>
            </w: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Pro Forma</w:t>
            </w:r>
          </w:p>
        </w:tc>
        <w:tc>
          <w:tcPr>
            <w:tcW w:w="248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adjustments</w:t>
            </w: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consolidated</w:t>
            </w:r>
          </w:p>
        </w:tc>
        <w:tc>
          <w:tcPr>
            <w:tcW w:w="248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80" w:type="dxa"/>
            <w:vAlign w:val="bottom"/>
            <w:gridSpan w:val="9"/>
          </w:tcPr>
          <w:p>
            <w:pPr>
              <w:ind w:left="540"/>
              <w:spacing w:after="0"/>
              <w:rPr>
                <w:sz w:val="20"/>
                <w:szCs w:val="20"/>
                <w:color w:val="auto"/>
              </w:rPr>
            </w:pPr>
            <w:r>
              <w:rPr>
                <w:rFonts w:ascii="Arial" w:cs="Arial" w:eastAsia="Arial" w:hAnsi="Arial"/>
                <w:sz w:val="13"/>
                <w:szCs w:val="13"/>
                <w:b w:val="1"/>
                <w:bCs w:val="1"/>
                <w:color w:val="auto"/>
              </w:rPr>
              <w:t>($ — in thousands, except share and per share data)</w:t>
            </w:r>
          </w:p>
        </w:tc>
        <w:tc>
          <w:tcPr>
            <w:tcW w:w="2480" w:type="dxa"/>
            <w:vAlign w:val="bottom"/>
          </w:tcPr>
          <w:p>
            <w:pPr>
              <w:spacing w:after="0"/>
              <w:rPr>
                <w:sz w:val="16"/>
                <w:szCs w:val="16"/>
                <w:color w:val="auto"/>
              </w:rPr>
            </w:pPr>
          </w:p>
        </w:tc>
      </w:tr>
      <w:tr>
        <w:trPr>
          <w:trHeight w:val="206"/>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415</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1,026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1,132</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legal costs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1,102</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Compensation</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997</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(997)</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Amortization and depreciation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328</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(328)</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106</w:t>
            </w:r>
          </w:p>
        </w:tc>
        <w:tc>
          <w:tcPr>
            <w:tcW w:w="120" w:type="dxa"/>
            <w:vAlign w:val="bottom"/>
            <w:tcBorders>
              <w:left w:val="single" w:sz="8" w:color="CCFFCC"/>
            </w:tcBorders>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(106)</w:t>
            </w:r>
          </w:p>
        </w:tc>
        <w:tc>
          <w:tcPr>
            <w:tcW w:w="560" w:type="dxa"/>
            <w:vAlign w:val="bottom"/>
            <w:tcBorders>
              <w:right w:val="single" w:sz="8" w:color="CCFFCC"/>
            </w:tcBorders>
            <w:gridSpan w:val="2"/>
            <w:shd w:val="clear" w:color="auto" w:fill="CCFFCC"/>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1,171</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1,171</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1,084</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1,610</w:t>
            </w:r>
          </w:p>
        </w:tc>
        <w:tc>
          <w:tcPr>
            <w:tcW w:w="8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1,431</w:t>
            </w:r>
          </w:p>
        </w:tc>
        <w:tc>
          <w:tcPr>
            <w:tcW w:w="560" w:type="dxa"/>
            <w:vAlign w:val="bottom"/>
            <w:gridSpan w:val="2"/>
          </w:tcPr>
          <w:p>
            <w:pPr>
              <w:jc w:val="right"/>
              <w:ind w:right="153"/>
              <w:spacing w:after="0"/>
              <w:rPr>
                <w:sz w:val="20"/>
                <w:szCs w:val="20"/>
                <w:color w:val="auto"/>
              </w:rPr>
            </w:pPr>
            <w:r>
              <w:rPr>
                <w:rFonts w:ascii="Arial" w:cs="Arial" w:eastAsia="Arial" w:hAnsi="Arial"/>
                <w:sz w:val="17"/>
                <w:szCs w:val="17"/>
                <w:color w:val="auto"/>
              </w:rPr>
              <w:t>2</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3,254</w:t>
            </w:r>
          </w:p>
        </w:tc>
        <w:tc>
          <w:tcPr>
            <w:tcW w:w="24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3,971</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7,743</w:t>
            </w:r>
          </w:p>
        </w:tc>
        <w:tc>
          <w:tcPr>
            <w:tcW w:w="248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(2,746)</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(3,556)</w:t>
            </w:r>
          </w:p>
        </w:tc>
        <w:tc>
          <w:tcPr>
            <w:tcW w:w="860" w:type="dxa"/>
            <w:vAlign w:val="bottom"/>
            <w:gridSpan w:val="3"/>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(7,328)</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 (expense)</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0" w:type="dxa"/>
            <w:vAlign w:val="bottom"/>
            <w:tcBorders>
              <w:left w:val="single" w:sz="8" w:color="CCFFCC"/>
            </w:tcBorders>
            <w:shd w:val="clear" w:color="auto" w:fill="CCFFCC"/>
          </w:tcPr>
          <w:p>
            <w:pPr>
              <w:spacing w:after="0"/>
              <w:rPr>
                <w:sz w:val="16"/>
                <w:szCs w:val="16"/>
                <w:color w:val="auto"/>
              </w:rPr>
            </w:pPr>
          </w:p>
        </w:tc>
        <w:tc>
          <w:tcPr>
            <w:tcW w:w="7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w:t>
            </w:r>
          </w:p>
        </w:tc>
        <w:tc>
          <w:tcPr>
            <w:tcW w:w="2480" w:type="dxa"/>
            <w:vAlign w:val="bottom"/>
            <w:tcBorders>
              <w:left w:val="single" w:sz="8" w:color="CCFFCC"/>
            </w:tcBorders>
          </w:tcPr>
          <w:p>
            <w:pPr>
              <w:spacing w:after="0"/>
              <w:rPr>
                <w:sz w:val="16"/>
                <w:szCs w:val="16"/>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w w:val="93"/>
              </w:rPr>
              <w:t>Interest and amortization of debt discount expense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(1,324)</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(1,324)</w:t>
            </w:r>
          </w:p>
        </w:tc>
        <w:tc>
          <w:tcPr>
            <w:tcW w:w="2480" w:type="dxa"/>
            <w:vAlign w:val="bottom"/>
          </w:tcPr>
          <w:p>
            <w:pPr>
              <w:spacing w:after="0"/>
              <w:rPr>
                <w:sz w:val="17"/>
                <w:szCs w:val="17"/>
                <w:color w:val="auto"/>
              </w:rPr>
            </w:pPr>
          </w:p>
        </w:tc>
      </w:tr>
      <w:tr>
        <w:trPr>
          <w:trHeight w:val="200"/>
        </w:trPr>
        <w:tc>
          <w:tcPr>
            <w:tcW w:w="35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Loss on revaluation of warrants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100" w:type="dxa"/>
            <w:vAlign w:val="bottom"/>
            <w:tcBorders>
              <w:left w:val="single" w:sz="8" w:color="CCFFCC"/>
            </w:tcBorders>
            <w:shd w:val="clear" w:color="auto" w:fill="CCFFCC"/>
          </w:tcPr>
          <w:p>
            <w:pPr>
              <w:spacing w:after="0"/>
              <w:rPr>
                <w:sz w:val="17"/>
                <w:szCs w:val="17"/>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FFCC"/>
          </w:tcPr>
          <w:p>
            <w:pPr>
              <w:spacing w:after="0"/>
              <w:rPr>
                <w:sz w:val="17"/>
                <w:szCs w:val="17"/>
                <w:color w:val="auto"/>
              </w:rPr>
            </w:pPr>
          </w:p>
        </w:tc>
        <w:tc>
          <w:tcPr>
            <w:tcW w:w="500" w:type="dxa"/>
            <w:vAlign w:val="bottom"/>
            <w:tcBorders>
              <w:righ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(934)</w:t>
            </w:r>
          </w:p>
        </w:tc>
        <w:tc>
          <w:tcPr>
            <w:tcW w:w="2480" w:type="dxa"/>
            <w:vAlign w:val="bottom"/>
            <w:tcBorders>
              <w:left w:val="single" w:sz="8" w:color="CCFFCC"/>
            </w:tcBorders>
          </w:tcPr>
          <w:p>
            <w:pPr>
              <w:spacing w:after="0"/>
              <w:rPr>
                <w:sz w:val="17"/>
                <w:szCs w:val="17"/>
                <w:color w:val="auto"/>
              </w:rPr>
            </w:pPr>
          </w:p>
        </w:tc>
      </w:tr>
      <w:tr>
        <w:trPr>
          <w:trHeight w:val="200"/>
        </w:trPr>
        <w:tc>
          <w:tcPr>
            <w:tcW w:w="3580" w:type="dxa"/>
            <w:vAlign w:val="bottom"/>
            <w:gridSpan w:val="2"/>
          </w:tcPr>
          <w:p>
            <w:pPr>
              <w:spacing w:after="0"/>
              <w:rPr>
                <w:sz w:val="20"/>
                <w:szCs w:val="20"/>
                <w:color w:val="auto"/>
              </w:rPr>
            </w:pPr>
            <w:r>
              <w:rPr>
                <w:rFonts w:ascii="Arial" w:cs="Arial" w:eastAsia="Arial" w:hAnsi="Arial"/>
                <w:sz w:val="17"/>
                <w:szCs w:val="17"/>
                <w:color w:val="auto"/>
              </w:rPr>
              <w:t>Gain on restructuring of venture loan</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963</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963</w:t>
            </w:r>
          </w:p>
        </w:tc>
        <w:tc>
          <w:tcPr>
            <w:tcW w:w="24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income taxes: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(4,838)</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6"/>
                <w:szCs w:val="16"/>
                <w:color w:val="auto"/>
              </w:rPr>
            </w:pPr>
          </w:p>
        </w:tc>
        <w:tc>
          <w:tcPr>
            <w:tcW w:w="500" w:type="dxa"/>
            <w:vAlign w:val="bottom"/>
            <w:tcBorders>
              <w:right w:val="single" w:sz="8" w:color="CCFFCC"/>
            </w:tcBorders>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(8,618)</w:t>
            </w:r>
          </w:p>
        </w:tc>
        <w:tc>
          <w:tcPr>
            <w:tcW w:w="2480" w:type="dxa"/>
            <w:vAlign w:val="bottom"/>
            <w:tcBorders>
              <w:left w:val="single" w:sz="8" w:color="CCFFCC"/>
            </w:tcBorders>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4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00" w:type="dxa"/>
            <w:vAlign w:val="bottom"/>
            <w:tcBorders>
              <w:righ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7"/>
                <w:szCs w:val="17"/>
                <w:color w:val="auto"/>
              </w:rPr>
              <w:t>Income taxes</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(61)</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3"/>
        </w:trPr>
        <w:tc>
          <w:tcPr>
            <w:tcW w:w="358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(2,754)</w:t>
            </w:r>
          </w:p>
        </w:tc>
        <w:tc>
          <w:tcPr>
            <w:tcW w:w="84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(4,899)</w:t>
            </w:r>
          </w:p>
        </w:tc>
        <w:tc>
          <w:tcPr>
            <w:tcW w:w="860" w:type="dxa"/>
            <w:vAlign w:val="bottom"/>
            <w:tcBorders>
              <w:left w:val="single" w:sz="8" w:color="CCFFCC"/>
            </w:tcBorders>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(1,026)</w:t>
            </w:r>
          </w:p>
        </w:tc>
        <w:tc>
          <w:tcPr>
            <w:tcW w:w="60" w:type="dxa"/>
            <w:vAlign w:val="bottom"/>
            <w:shd w:val="clear" w:color="auto" w:fill="CCFFCC"/>
          </w:tcPr>
          <w:p>
            <w:pPr>
              <w:spacing w:after="0"/>
              <w:rPr>
                <w:sz w:val="18"/>
                <w:szCs w:val="18"/>
                <w:color w:val="auto"/>
              </w:rPr>
            </w:pPr>
          </w:p>
        </w:tc>
        <w:tc>
          <w:tcPr>
            <w:tcW w:w="500" w:type="dxa"/>
            <w:vAlign w:val="bottom"/>
            <w:tcBorders>
              <w:right w:val="single" w:sz="8" w:color="CCFFCC"/>
            </w:tcBorders>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(8,679)</w:t>
            </w:r>
          </w:p>
        </w:tc>
        <w:tc>
          <w:tcPr>
            <w:tcW w:w="2480" w:type="dxa"/>
            <w:vAlign w:val="bottom"/>
            <w:tcBorders>
              <w:left w:val="single" w:sz="8" w:color="CCFFCC"/>
            </w:tcBorders>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80" w:type="dxa"/>
            <w:vAlign w:val="bottom"/>
            <w:tcBorders>
              <w:left w:val="single" w:sz="8" w:color="CCFFCC"/>
            </w:tcBorders>
          </w:tcPr>
          <w:p>
            <w:pPr>
              <w:spacing w:after="0" w:line="20" w:lineRule="exact"/>
              <w:rPr>
                <w:sz w:val="1"/>
                <w:szCs w:val="1"/>
                <w:color w:val="auto"/>
              </w:rPr>
            </w:pPr>
          </w:p>
        </w:tc>
      </w:tr>
      <w:tr>
        <w:trPr>
          <w:trHeight w:val="191"/>
        </w:trPr>
        <w:tc>
          <w:tcPr>
            <w:tcW w:w="358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90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(0.98)</w:t>
            </w:r>
          </w:p>
        </w:tc>
        <w:tc>
          <w:tcPr>
            <w:tcW w:w="840" w:type="dxa"/>
            <w:vAlign w:val="bottom"/>
            <w:gridSpan w:val="2"/>
          </w:tcPr>
          <w:p>
            <w:pPr>
              <w:jc w:val="right"/>
              <w:spacing w:after="0" w:line="191" w:lineRule="exact"/>
              <w:rPr>
                <w:sz w:val="20"/>
                <w:szCs w:val="20"/>
                <w:color w:val="auto"/>
              </w:rPr>
            </w:pPr>
            <w:r>
              <w:rPr>
                <w:rFonts w:ascii="Arial" w:cs="Arial" w:eastAsia="Arial" w:hAnsi="Arial"/>
                <w:sz w:val="17"/>
                <w:szCs w:val="17"/>
                <w:b w:val="1"/>
                <w:bCs w:val="1"/>
                <w:color w:val="auto"/>
              </w:rPr>
              <w:t>(0.</w:t>
            </w:r>
            <w:r>
              <w:rPr>
                <w:rFonts w:ascii="Arial" w:cs="Arial" w:eastAsia="Arial" w:hAnsi="Arial"/>
                <w:sz w:val="17"/>
                <w:szCs w:val="17"/>
                <w:b w:val="1"/>
                <w:bCs w:val="1"/>
                <w:u w:val="single" w:color="auto"/>
                <w:color w:val="auto"/>
              </w:rPr>
              <w:t>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53"/>
              <w:spacing w:after="0" w:line="191" w:lineRule="exact"/>
              <w:rPr>
                <w:sz w:val="20"/>
                <w:szCs w:val="20"/>
                <w:color w:val="auto"/>
              </w:rPr>
            </w:pPr>
            <w:r>
              <w:rPr>
                <w:rFonts w:ascii="Arial" w:cs="Arial" w:eastAsia="Arial" w:hAnsi="Arial"/>
                <w:sz w:val="17"/>
                <w:szCs w:val="17"/>
                <w:color w:val="auto"/>
              </w:rPr>
              <w:t>3</w:t>
            </w: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(0.35)</w:t>
            </w:r>
          </w:p>
        </w:tc>
        <w:tc>
          <w:tcPr>
            <w:tcW w:w="248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8"/>
        </w:trPr>
        <w:tc>
          <w:tcPr>
            <w:tcW w:w="358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shares used in computing basic</w:t>
            </w:r>
          </w:p>
        </w:tc>
        <w:tc>
          <w:tcPr>
            <w:tcW w:w="90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2,802,100</w:t>
            </w:r>
          </w:p>
        </w:tc>
        <w:tc>
          <w:tcPr>
            <w:tcW w:w="840" w:type="dxa"/>
            <w:vAlign w:val="bottom"/>
            <w:tcBorders>
              <w:left w:val="single" w:sz="8" w:color="CCFFCC"/>
            </w:tcBorders>
            <w:gridSpan w:val="2"/>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rPr>
              <w:t>6,965,927</w:t>
            </w:r>
          </w:p>
        </w:tc>
        <w:tc>
          <w:tcPr>
            <w:tcW w:w="100" w:type="dxa"/>
            <w:vAlign w:val="bottom"/>
            <w:tcBorders>
              <w:left w:val="single" w:sz="8" w:color="CCFFCC"/>
            </w:tcBorders>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560" w:type="dxa"/>
            <w:vAlign w:val="bottom"/>
            <w:tcBorders>
              <w:right w:val="single" w:sz="8" w:color="CCFFCC"/>
            </w:tcBorders>
            <w:gridSpan w:val="2"/>
            <w:shd w:val="clear" w:color="auto" w:fill="CCFFCC"/>
          </w:tcPr>
          <w:p>
            <w:pPr>
              <w:jc w:val="right"/>
              <w:ind w:right="153"/>
              <w:spacing w:after="0" w:line="178" w:lineRule="exact"/>
              <w:rPr>
                <w:sz w:val="20"/>
                <w:szCs w:val="20"/>
                <w:color w:val="auto"/>
              </w:rPr>
            </w:pPr>
            <w:r>
              <w:rPr>
                <w:rFonts w:ascii="Arial" w:cs="Arial" w:eastAsia="Arial" w:hAnsi="Arial"/>
                <w:sz w:val="17"/>
                <w:szCs w:val="17"/>
                <w:color w:val="auto"/>
              </w:rPr>
              <w:t>3</w:t>
            </w: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3"/>
              </w:rPr>
              <w:t>25,079,096</w:t>
            </w:r>
          </w:p>
        </w:tc>
        <w:tc>
          <w:tcPr>
            <w:tcW w:w="2480" w:type="dxa"/>
            <w:vAlign w:val="bottom"/>
            <w:tcBorders>
              <w:left w:val="single" w:sz="8" w:color="CCFFCC"/>
            </w:tcBorders>
          </w:tcPr>
          <w:p>
            <w:pPr>
              <w:spacing w:after="0"/>
              <w:rPr>
                <w:sz w:val="15"/>
                <w:szCs w:val="15"/>
                <w:color w:val="auto"/>
              </w:rPr>
            </w:pPr>
          </w:p>
        </w:tc>
      </w:tr>
      <w:tr>
        <w:trPr>
          <w:trHeight w:val="253"/>
        </w:trPr>
        <w:tc>
          <w:tcPr>
            <w:tcW w:w="35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and diluted net loss per common share</w:t>
            </w:r>
          </w:p>
        </w:tc>
        <w:tc>
          <w:tcPr>
            <w:tcW w:w="9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left w:val="single" w:sz="8" w:color="CCFFCC"/>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right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2480" w:type="dxa"/>
            <w:vAlign w:val="bottom"/>
            <w:tcBorders>
              <w:left w:val="single" w:sz="8" w:color="CCFFCC"/>
            </w:tcBorders>
          </w:tcPr>
          <w:p>
            <w:pPr>
              <w:spacing w:after="0"/>
              <w:rPr>
                <w:sz w:val="21"/>
                <w:szCs w:val="21"/>
                <w:color w:val="auto"/>
              </w:rPr>
            </w:pPr>
          </w:p>
        </w:tc>
      </w:tr>
      <w:tr>
        <w:trPr>
          <w:trHeight w:val="717"/>
        </w:trPr>
        <w:tc>
          <w:tcPr>
            <w:tcW w:w="1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Arial" w:cs="Arial" w:eastAsia="Arial" w:hAnsi="Arial"/>
                <w:sz w:val="17"/>
                <w:szCs w:val="17"/>
                <w:color w:val="auto"/>
                <w:w w:val="84"/>
              </w:rPr>
              <w:t>195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8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-2124075</wp:posOffset>
            </wp:positionV>
            <wp:extent cx="4837430" cy="143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-1336040</wp:posOffset>
            </wp:positionV>
            <wp:extent cx="4837430" cy="143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-1065530</wp:posOffset>
            </wp:positionV>
            <wp:extent cx="4837430" cy="1911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-619760</wp:posOffset>
            </wp:positionV>
            <wp:extent cx="4837430" cy="317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5" w:name="page206"/>
    <w:bookmarkEnd w:id="2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Notes to the Unaudited Pro Forma Consolidated Statements of Operations:</w:t>
      </w:r>
    </w:p>
    <w:p>
      <w:pPr>
        <w:spacing w:after="0" w:line="109" w:lineRule="exact"/>
        <w:rPr>
          <w:sz w:val="20"/>
          <w:szCs w:val="20"/>
          <w:color w:val="auto"/>
        </w:rPr>
      </w:pPr>
    </w:p>
    <w:p>
      <w:pPr>
        <w:ind w:left="260" w:right="1239" w:hanging="259"/>
        <w:spacing w:after="0" w:line="264" w:lineRule="auto"/>
        <w:tabs>
          <w:tab w:leader="none" w:pos="240" w:val="left"/>
        </w:tabs>
        <w:rPr>
          <w:sz w:val="20"/>
          <w:szCs w:val="20"/>
          <w:color w:val="auto"/>
        </w:rPr>
      </w:pPr>
      <w:r>
        <w:rPr>
          <w:rFonts w:ascii="Arial" w:cs="Arial" w:eastAsia="Arial" w:hAnsi="Arial"/>
          <w:sz w:val="17"/>
          <w:szCs w:val="17"/>
          <w:color w:val="auto"/>
        </w:rPr>
        <w:t>1.</w:t>
        <w:tab/>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3600" w:type="dxa"/>
            <w:vAlign w:val="bottom"/>
          </w:tcPr>
          <w:p>
            <w:pPr>
              <w:spacing w:after="0"/>
              <w:rPr>
                <w:sz w:val="12"/>
                <w:szCs w:val="12"/>
                <w:color w:val="auto"/>
              </w:rPr>
            </w:pPr>
          </w:p>
        </w:tc>
        <w:tc>
          <w:tcPr>
            <w:tcW w:w="15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2"/>
              </w:rPr>
              <w:t>Gross carrying amount</w:t>
            </w:r>
          </w:p>
        </w:tc>
        <w:tc>
          <w:tcPr>
            <w:tcW w:w="160" w:type="dxa"/>
            <w:vAlign w:val="bottom"/>
          </w:tcPr>
          <w:p>
            <w:pPr>
              <w:spacing w:after="0"/>
              <w:rPr>
                <w:sz w:val="12"/>
                <w:szCs w:val="12"/>
                <w:color w:val="auto"/>
              </w:rPr>
            </w:pPr>
          </w:p>
        </w:tc>
        <w:tc>
          <w:tcPr>
            <w:tcW w:w="6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Life</w:t>
            </w:r>
          </w:p>
        </w:tc>
        <w:tc>
          <w:tcPr>
            <w:tcW w:w="140" w:type="dxa"/>
            <w:vAlign w:val="bottom"/>
          </w:tcPr>
          <w:p>
            <w:pPr>
              <w:spacing w:after="0"/>
              <w:rPr>
                <w:sz w:val="12"/>
                <w:szCs w:val="12"/>
                <w:color w:val="auto"/>
              </w:rPr>
            </w:pPr>
          </w:p>
        </w:tc>
        <w:tc>
          <w:tcPr>
            <w:tcW w:w="16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3"/>
              </w:rPr>
              <w:t>Period from June 8,</w:t>
            </w: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2011 through</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183"/>
        </w:trPr>
        <w:tc>
          <w:tcPr>
            <w:tcW w:w="3600" w:type="dxa"/>
            <w:vAlign w:val="bottom"/>
            <w:vMerge w:val="restart"/>
          </w:tcPr>
          <w:p>
            <w:pPr>
              <w:spacing w:after="0"/>
              <w:rPr>
                <w:sz w:val="20"/>
                <w:szCs w:val="20"/>
                <w:color w:val="auto"/>
              </w:rPr>
            </w:pPr>
            <w:r>
              <w:rPr>
                <w:rFonts w:ascii="Arial" w:cs="Arial" w:eastAsia="Arial" w:hAnsi="Arial"/>
                <w:sz w:val="17"/>
                <w:szCs w:val="17"/>
                <w:b w:val="1"/>
                <w:bCs w:val="1"/>
                <w:color w:val="auto"/>
              </w:rPr>
              <w:t>Cost of revenue:</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c>
          <w:tcPr>
            <w:tcW w:w="14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c>
          <w:tcPr>
            <w:tcW w:w="0" w:type="dxa"/>
            <w:vAlign w:val="bottom"/>
          </w:tcPr>
          <w:p>
            <w:pPr>
              <w:spacing w:after="0"/>
              <w:rPr>
                <w:sz w:val="1"/>
                <w:szCs w:val="1"/>
                <w:color w:val="auto"/>
              </w:rPr>
            </w:pPr>
          </w:p>
        </w:tc>
      </w:tr>
      <w:tr>
        <w:trPr>
          <w:trHeight w:val="211"/>
        </w:trPr>
        <w:tc>
          <w:tcPr>
            <w:tcW w:w="36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Technology</w:t>
            </w:r>
          </w:p>
        </w:tc>
        <w:tc>
          <w:tcPr>
            <w:tcW w:w="150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7"/>
                <w:szCs w:val="17"/>
                <w:color w:val="auto"/>
              </w:rPr>
              <w:t>10,906</w:t>
            </w:r>
          </w:p>
        </w:tc>
        <w:tc>
          <w:tcPr>
            <w:tcW w:w="760" w:type="dxa"/>
            <w:vAlign w:val="bottom"/>
            <w:tcBorders>
              <w:bottom w:val="single" w:sz="8" w:color="CCFFCC"/>
            </w:tcBorders>
            <w:gridSpan w:val="2"/>
            <w:shd w:val="clear" w:color="auto" w:fill="CCFFCC"/>
          </w:tcPr>
          <w:p>
            <w:pPr>
              <w:jc w:val="right"/>
              <w:ind w:right="133"/>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FFCC"/>
            </w:tcBorders>
            <w:shd w:val="clear" w:color="auto" w:fill="CCFFCC"/>
          </w:tcPr>
          <w:p>
            <w:pPr>
              <w:spacing w:after="0"/>
              <w:rPr>
                <w:sz w:val="17"/>
                <w:szCs w:val="17"/>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1,026</w:t>
            </w:r>
          </w:p>
        </w:tc>
        <w:tc>
          <w:tcPr>
            <w:tcW w:w="2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1,026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837430" cy="143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37430" cy="14351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2.  Amortization and depreciation, startup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Period from June 8, 2011</w:t>
            </w:r>
          </w:p>
        </w:tc>
      </w:tr>
      <w:tr>
        <w:trPr>
          <w:trHeight w:val="158"/>
        </w:trPr>
        <w:tc>
          <w:tcPr>
            <w:tcW w:w="5320" w:type="dxa"/>
            <w:vAlign w:val="bottom"/>
          </w:tcPr>
          <w:p>
            <w:pPr>
              <w:spacing w:after="0"/>
              <w:rPr>
                <w:sz w:val="13"/>
                <w:szCs w:val="13"/>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through December 31, 2011</w:t>
            </w:r>
          </w:p>
        </w:tc>
      </w:tr>
      <w:tr>
        <w:trPr>
          <w:trHeight w:val="181"/>
        </w:trPr>
        <w:tc>
          <w:tcPr>
            <w:tcW w:w="53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 — in thousands)</w:t>
            </w:r>
          </w:p>
        </w:tc>
      </w:tr>
      <w:tr>
        <w:trPr>
          <w:trHeight w:val="213"/>
        </w:trPr>
        <w:tc>
          <w:tcPr>
            <w:tcW w:w="5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280" w:type="dxa"/>
            <w:vAlign w:val="bottom"/>
          </w:tcPr>
          <w:p>
            <w:pPr>
              <w:jc w:val="right"/>
              <w:spacing w:after="0"/>
              <w:rPr>
                <w:sz w:val="20"/>
                <w:szCs w:val="20"/>
                <w:color w:val="auto"/>
              </w:rPr>
            </w:pPr>
            <w:r>
              <w:rPr>
                <w:rFonts w:ascii="Arial" w:cs="Arial" w:eastAsia="Arial" w:hAnsi="Arial"/>
                <w:sz w:val="17"/>
                <w:szCs w:val="17"/>
                <w:color w:val="auto"/>
              </w:rPr>
              <w:t>1,431</w:t>
            </w:r>
          </w:p>
        </w:tc>
        <w:tc>
          <w:tcPr>
            <w:tcW w:w="340" w:type="dxa"/>
            <w:vAlign w:val="bottom"/>
          </w:tcPr>
          <w:p>
            <w:pPr>
              <w:spacing w:after="0"/>
              <w:rPr>
                <w:sz w:val="18"/>
                <w:szCs w:val="18"/>
                <w:color w:val="auto"/>
              </w:rPr>
            </w:pPr>
          </w:p>
        </w:tc>
      </w:tr>
      <w:tr>
        <w:trPr>
          <w:trHeight w:val="201"/>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Compensation</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(997)</w:t>
            </w:r>
          </w:p>
        </w:tc>
      </w:tr>
      <w:tr>
        <w:trPr>
          <w:trHeight w:val="200"/>
        </w:trPr>
        <w:tc>
          <w:tcPr>
            <w:tcW w:w="5320" w:type="dxa"/>
            <w:vAlign w:val="bottom"/>
          </w:tcPr>
          <w:p>
            <w:pPr>
              <w:spacing w:after="0"/>
              <w:rPr>
                <w:sz w:val="20"/>
                <w:szCs w:val="20"/>
                <w:color w:val="auto"/>
              </w:rPr>
            </w:pPr>
            <w:r>
              <w:rPr>
                <w:rFonts w:ascii="Arial" w:cs="Arial" w:eastAsia="Arial" w:hAnsi="Arial"/>
                <w:sz w:val="17"/>
                <w:szCs w:val="17"/>
                <w:color w:val="auto"/>
              </w:rPr>
              <w:t>Amortization and depreciation</w:t>
            </w:r>
          </w:p>
        </w:tc>
        <w:tc>
          <w:tcPr>
            <w:tcW w:w="1620" w:type="dxa"/>
            <w:vAlign w:val="bottom"/>
            <w:gridSpan w:val="2"/>
          </w:tcPr>
          <w:p>
            <w:pPr>
              <w:jc w:val="right"/>
              <w:ind w:right="280"/>
              <w:spacing w:after="0"/>
              <w:rPr>
                <w:sz w:val="20"/>
                <w:szCs w:val="20"/>
                <w:color w:val="auto"/>
              </w:rPr>
            </w:pPr>
            <w:r>
              <w:rPr>
                <w:rFonts w:ascii="Arial" w:cs="Arial" w:eastAsia="Arial" w:hAnsi="Arial"/>
                <w:sz w:val="17"/>
                <w:szCs w:val="17"/>
                <w:color w:val="auto"/>
              </w:rPr>
              <w:t>(328)</w:t>
            </w:r>
          </w:p>
        </w:tc>
      </w:tr>
      <w:tr>
        <w:trPr>
          <w:trHeight w:val="200"/>
        </w:trPr>
        <w:tc>
          <w:tcPr>
            <w:tcW w:w="5320" w:type="dxa"/>
            <w:vAlign w:val="bottom"/>
            <w:shd w:val="clear" w:color="auto" w:fill="CCFFCC"/>
          </w:tcPr>
          <w:p>
            <w:pPr>
              <w:spacing w:after="0"/>
              <w:rPr>
                <w:sz w:val="20"/>
                <w:szCs w:val="20"/>
                <w:color w:val="auto"/>
              </w:rPr>
            </w:pPr>
            <w:r>
              <w:rPr>
                <w:rFonts w:ascii="Arial" w:cs="Arial" w:eastAsia="Arial" w:hAnsi="Arial"/>
                <w:sz w:val="17"/>
                <w:szCs w:val="17"/>
                <w:color w:val="auto"/>
              </w:rPr>
              <w:t>Startup and capital acquisition costs</w:t>
            </w:r>
          </w:p>
        </w:tc>
        <w:tc>
          <w:tcPr>
            <w:tcW w:w="162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(106)</w:t>
            </w:r>
          </w:p>
        </w:tc>
      </w:tr>
      <w:tr>
        <w:trPr>
          <w:trHeight w:val="20"/>
        </w:trPr>
        <w:tc>
          <w:tcPr>
            <w:tcW w:w="53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r>
      <w:tr>
        <w:trPr>
          <w:trHeight w:val="193"/>
        </w:trPr>
        <w:tc>
          <w:tcPr>
            <w:tcW w:w="5320" w:type="dxa"/>
            <w:vAlign w:val="bottom"/>
          </w:tcPr>
          <w:p>
            <w:pPr>
              <w:spacing w:after="0"/>
              <w:rPr>
                <w:sz w:val="16"/>
                <w:szCs w:val="16"/>
                <w:color w:val="auto"/>
              </w:rPr>
            </w:pPr>
          </w:p>
        </w:tc>
        <w:tc>
          <w:tcPr>
            <w:tcW w:w="1620" w:type="dxa"/>
            <w:vAlign w:val="bottom"/>
            <w:gridSpan w:val="2"/>
          </w:tcPr>
          <w:p>
            <w:pPr>
              <w:jc w:val="right"/>
              <w:ind w:right="340"/>
              <w:spacing w:after="0" w:line="193" w:lineRule="exact"/>
              <w:rPr>
                <w:sz w:val="20"/>
                <w:szCs w:val="20"/>
                <w:color w:val="auto"/>
              </w:rPr>
            </w:pPr>
            <w:r>
              <w:rPr>
                <w:rFonts w:ascii="Arial" w:cs="Arial" w:eastAsia="Arial" w:hAnsi="Arial"/>
                <w:sz w:val="17"/>
                <w:szCs w:val="17"/>
                <w:color w:val="auto"/>
              </w:rPr>
              <w:t>—</w:t>
            </w:r>
          </w:p>
        </w:tc>
      </w:tr>
      <w:tr>
        <w:trPr>
          <w:trHeight w:val="20"/>
        </w:trPr>
        <w:tc>
          <w:tcPr>
            <w:tcW w:w="5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408170" cy="143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408170" cy="143510"/>
                    </a:xfrm>
                    <a:prstGeom prst="rect">
                      <a:avLst/>
                    </a:prstGeom>
                    <a:noFill/>
                  </pic:spPr>
                </pic:pic>
              </a:graphicData>
            </a:graphic>
          </wp:anchor>
        </w:drawing>
      </w:r>
    </w:p>
    <w:p>
      <w:pPr>
        <w:spacing w:after="0" w:line="68" w:lineRule="exact"/>
        <w:rPr>
          <w:sz w:val="20"/>
          <w:szCs w:val="20"/>
          <w:color w:val="auto"/>
        </w:rPr>
      </w:pPr>
    </w:p>
    <w:p>
      <w:pPr>
        <w:jc w:val="both"/>
        <w:ind w:left="260" w:right="1239" w:hanging="250"/>
        <w:spacing w:after="0" w:line="285" w:lineRule="auto"/>
        <w:tabs>
          <w:tab w:leader="none" w:pos="2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48374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2"/>
              </w:rPr>
              <w:t>Period from June 8, 2011</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1"/>
              </w:rPr>
              <w:t>through December 31, 2011</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 — in thousands, except</w:t>
            </w: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Numerator:</w:t>
            </w:r>
          </w:p>
        </w:tc>
        <w:tc>
          <w:tcPr>
            <w:tcW w:w="1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 and per share data)</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0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attributable to common stock shares (basic and diluted):</w:t>
            </w: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(8,679)</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Denominator:</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Weighted average of Vringo common stock shares, outstanding for the period:</w:t>
            </w: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6,965,927</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00" w:type="dxa"/>
            <w:vAlign w:val="bottom"/>
            <w:gridSpan w:val="2"/>
          </w:tcPr>
          <w:p>
            <w:pPr>
              <w:spacing w:after="0" w:line="188" w:lineRule="exact"/>
              <w:rPr>
                <w:sz w:val="20"/>
                <w:szCs w:val="20"/>
                <w:color w:val="auto"/>
              </w:rPr>
            </w:pPr>
            <w:r>
              <w:rPr>
                <w:rFonts w:ascii="Arial" w:cs="Arial" w:eastAsia="Arial" w:hAnsi="Arial"/>
                <w:sz w:val="17"/>
                <w:szCs w:val="17"/>
                <w:color w:val="auto"/>
                <w:w w:val="94"/>
              </w:rPr>
              <w:t>Weighted average of Vringo common stock shares issued to former Innovate/Protect</w:t>
            </w:r>
          </w:p>
        </w:tc>
        <w:tc>
          <w:tcPr>
            <w:tcW w:w="1620" w:type="dxa"/>
            <w:vAlign w:val="bottom"/>
            <w:gridSpan w:val="2"/>
          </w:tcPr>
          <w:p>
            <w:pPr>
              <w:jc w:val="right"/>
              <w:ind w:right="200"/>
              <w:spacing w:after="0" w:line="188" w:lineRule="exact"/>
              <w:rPr>
                <w:sz w:val="20"/>
                <w:szCs w:val="20"/>
                <w:color w:val="auto"/>
              </w:rPr>
            </w:pPr>
            <w:r>
              <w:rPr>
                <w:rFonts w:ascii="Arial" w:cs="Arial" w:eastAsia="Arial" w:hAnsi="Arial"/>
                <w:sz w:val="17"/>
                <w:szCs w:val="17"/>
                <w:color w:val="auto"/>
              </w:rPr>
              <w:t>18,113,169</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ind w:left="160"/>
              <w:spacing w:after="0"/>
              <w:rPr>
                <w:sz w:val="20"/>
                <w:szCs w:val="20"/>
                <w:color w:val="auto"/>
              </w:rPr>
            </w:pPr>
            <w:r>
              <w:rPr>
                <w:rFonts w:ascii="Arial" w:cs="Arial" w:eastAsia="Arial" w:hAnsi="Arial"/>
                <w:sz w:val="17"/>
                <w:szCs w:val="17"/>
                <w:color w:val="auto"/>
              </w:rPr>
              <w:t>stockholders, outstanding for the period:</w:t>
            </w:r>
          </w:p>
        </w:tc>
        <w:tc>
          <w:tcPr>
            <w:tcW w:w="1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Total common stock shares outstanding, after the Merger:</w:t>
            </w:r>
          </w:p>
        </w:tc>
        <w:tc>
          <w:tcPr>
            <w:tcW w:w="1620" w:type="dxa"/>
            <w:vAlign w:val="bottom"/>
            <w:gridSpan w:val="2"/>
            <w:shd w:val="clear" w:color="auto" w:fill="CCFFCC"/>
          </w:tcPr>
          <w:p>
            <w:pPr>
              <w:jc w:val="right"/>
              <w:ind w:right="200"/>
              <w:spacing w:after="0" w:line="194" w:lineRule="exact"/>
              <w:rPr>
                <w:sz w:val="20"/>
                <w:szCs w:val="20"/>
                <w:color w:val="auto"/>
              </w:rPr>
            </w:pPr>
            <w:r>
              <w:rPr>
                <w:rFonts w:ascii="Arial" w:cs="Arial" w:eastAsia="Arial" w:hAnsi="Arial"/>
                <w:sz w:val="17"/>
                <w:szCs w:val="17"/>
                <w:color w:val="auto"/>
              </w:rPr>
              <w:t>25,079,096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486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0" w:type="dxa"/>
            <w:vAlign w:val="bottom"/>
            <w:gridSpan w:val="2"/>
          </w:tcPr>
          <w:p>
            <w:pPr>
              <w:spacing w:after="0" w:line="193" w:lineRule="exact"/>
              <w:rPr>
                <w:sz w:val="20"/>
                <w:szCs w:val="20"/>
                <w:color w:val="auto"/>
              </w:rPr>
            </w:pPr>
            <w:r>
              <w:rPr>
                <w:rFonts w:ascii="Arial" w:cs="Arial" w:eastAsia="Arial" w:hAnsi="Arial"/>
                <w:sz w:val="17"/>
                <w:szCs w:val="17"/>
                <w:color w:val="auto"/>
              </w:rPr>
              <w:t>Basic and diluted net losses per share of common stock:</w:t>
            </w:r>
          </w:p>
        </w:tc>
        <w:tc>
          <w:tcPr>
            <w:tcW w:w="162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(0.35)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9"/>
        </w:trPr>
        <w:tc>
          <w:tcPr>
            <w:tcW w:w="6000" w:type="dxa"/>
            <w:vAlign w:val="bottom"/>
            <w:gridSpan w:val="2"/>
          </w:tcPr>
          <w:p>
            <w:pPr>
              <w:ind w:left="4200"/>
              <w:spacing w:after="0"/>
              <w:rPr>
                <w:sz w:val="20"/>
                <w:szCs w:val="20"/>
                <w:color w:val="auto"/>
              </w:rPr>
            </w:pPr>
            <w:r>
              <w:rPr>
                <w:rFonts w:ascii="Arial" w:cs="Arial" w:eastAsia="Arial" w:hAnsi="Arial"/>
                <w:sz w:val="17"/>
                <w:szCs w:val="17"/>
                <w:color w:val="auto"/>
              </w:rPr>
              <w:t>196</w:t>
            </w:r>
          </w:p>
        </w:tc>
        <w:tc>
          <w:tcPr>
            <w:tcW w:w="1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-731520</wp:posOffset>
            </wp:positionV>
            <wp:extent cx="4837430" cy="143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COMPARISON OF RIGHTS OF</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STOCKHOLDERS AND INNOVATE/PROTECT STOCKHOLDERS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General</w:t>
      </w:r>
    </w:p>
    <w:p>
      <w:pPr>
        <w:spacing w:after="0" w:line="109"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Vringo and Innovate/Protect are both organized under the laws of the State of Delaware and, accordingly, the rights of holders of Vringo stock and Innovate/Protect stock are currently, and will continue to be, governed by the DGCL. Any differences, therefore, in the rights of holders of Vringo stock and Innovate/Protect stock arise primarily from differences in the companies’ respective certificates of incorporation and bylaws. Upon completion of the Merger, holders of Innovate/Protect capital stock and warrants will receive shares of Vringo common stock and preferred stock and warrants in exchange for their respective shares of Innovate/Protect stock and warrants. As a result, upon completion of the Merger, the rights of holders of Innovate/Protect capital stock and warrants who become holders of Vringo common stock and preferred stock and warrants in connection with the Merger will be governed by the DGCL, Vringo’s Certificate and Vringo’s Bylaws.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Certain Differences Between the Rights of Vringo Stockholders and Innovate/Protect Stockholders</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The following is a summary of the material differences between the current rights of Vringo stockholders and the current rights of Innovate/Protect stockholders. Although Vringo and Innovate/Protect believe that this summary covers the material differences between the two companies’ stockholder rights, this summary may not contain all of the information that is important to you. This summary is not intended to be a complete discussion of the respective rights of Vringo stockholders and Innovate/Protect stockholders, and it is qualified in its entirety by reference to the DGCL and the various documents of Vringo and Innovate/Protect referred to in this summary. In addition, the characterization of some of the differences in the rights of Vringo stockholders and Innovate/Protect stockholders as material is not intended to indicate that other differences do not exist or are not important. Vringo and Innovate/Protect urge you to carefully read this entire proxy statement/prospectus, the relevant provisions of the DGCL and the other documents referred to in this proxy statement/prospectus for a more complete understanding of the differences between the rights of a Vringo stockholder and the rights of an Innovate/Protect stockholder. Vringo has filed with the SEC its documents referenced in this comparison of stockholder rights and will send copies of these documents to you, without charge, upon your request. See the section entitled “Where You Can Find Additional Information” beginning on page </w:t>
      </w:r>
      <w:r>
        <w:rPr>
          <w:rFonts w:ascii="Arial" w:cs="Arial" w:eastAsia="Arial" w:hAnsi="Arial"/>
          <w:sz w:val="15"/>
          <w:szCs w:val="15"/>
          <w:u w:val="single" w:color="auto"/>
          <w:color w:val="0000EE"/>
        </w:rPr>
        <w:t>203</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49015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3"/>
                <w:szCs w:val="13"/>
                <w:b w:val="1"/>
                <w:bCs w:val="1"/>
                <w:color w:val="auto"/>
              </w:rPr>
              <w:t>Vringo</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Innovate/Protect</w:t>
            </w:r>
          </w:p>
        </w:tc>
      </w:tr>
      <w:tr>
        <w:trPr>
          <w:trHeight w:val="181"/>
        </w:trPr>
        <w:tc>
          <w:tcPr>
            <w:tcW w:w="200" w:type="dxa"/>
            <w:vAlign w:val="bottom"/>
          </w:tcPr>
          <w:p>
            <w:pPr>
              <w:spacing w:after="0"/>
              <w:rPr>
                <w:sz w:val="15"/>
                <w:szCs w:val="15"/>
                <w:color w:val="auto"/>
              </w:rPr>
            </w:pPr>
          </w:p>
        </w:tc>
        <w:tc>
          <w:tcPr>
            <w:tcW w:w="3660" w:type="dxa"/>
            <w:vAlign w:val="bottom"/>
          </w:tcPr>
          <w:p>
            <w:pPr>
              <w:ind w:left="2740"/>
              <w:spacing w:after="0" w:line="180" w:lineRule="exact"/>
              <w:rPr>
                <w:sz w:val="20"/>
                <w:szCs w:val="20"/>
                <w:color w:val="auto"/>
              </w:rPr>
            </w:pPr>
            <w:r>
              <w:rPr>
                <w:rFonts w:ascii="Arial" w:cs="Arial" w:eastAsia="Arial" w:hAnsi="Arial"/>
                <w:sz w:val="17"/>
                <w:szCs w:val="17"/>
                <w:b w:val="1"/>
                <w:bCs w:val="1"/>
                <w:color w:val="auto"/>
              </w:rPr>
              <w:t>Authorized</w:t>
            </w:r>
          </w:p>
        </w:tc>
        <w:tc>
          <w:tcPr>
            <w:tcW w:w="3860" w:type="dxa"/>
            <w:vAlign w:val="bottom"/>
            <w:gridSpan w:val="3"/>
          </w:tcPr>
          <w:p>
            <w:pPr>
              <w:spacing w:after="0" w:line="180" w:lineRule="exact"/>
              <w:rPr>
                <w:sz w:val="20"/>
                <w:szCs w:val="20"/>
                <w:color w:val="auto"/>
              </w:rPr>
            </w:pPr>
            <w:r>
              <w:rPr>
                <w:rFonts w:ascii="Arial" w:cs="Arial" w:eastAsia="Arial" w:hAnsi="Arial"/>
                <w:sz w:val="17"/>
                <w:szCs w:val="17"/>
                <w:b w:val="1"/>
                <w:bCs w:val="1"/>
                <w:color w:val="auto"/>
              </w:rPr>
              <w:t>Capital Stock</w:t>
            </w:r>
          </w:p>
        </w:tc>
      </w:tr>
      <w:tr>
        <w:trPr>
          <w:trHeight w:val="200"/>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w w:val="95"/>
              </w:rPr>
              <w:t>The Vringo Certificate authorizes Vringo to issue</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520" w:type="dxa"/>
            <w:vAlign w:val="bottom"/>
          </w:tcPr>
          <w:p>
            <w:pPr>
              <w:ind w:left="140"/>
              <w:spacing w:after="0"/>
              <w:rPr>
                <w:sz w:val="20"/>
                <w:szCs w:val="20"/>
                <w:color w:val="auto"/>
              </w:rPr>
            </w:pPr>
            <w:r>
              <w:rPr>
                <w:rFonts w:ascii="Arial" w:cs="Arial" w:eastAsia="Arial" w:hAnsi="Arial"/>
                <w:sz w:val="17"/>
                <w:szCs w:val="17"/>
                <w:color w:val="auto"/>
              </w:rPr>
              <w:t>The Innovate/Protect Certificate authorizes</w:t>
            </w: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4"/>
              </w:rPr>
              <w:t>33,000,000 shares of its capital stock divided into</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7"/>
              </w:rPr>
              <w:t>Innovate/Protect to issue 110,000,000 shares of its</w:t>
            </w: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3"/>
              </w:rPr>
              <w:t>two classes: 28,000,000 shares of common stock,</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capital stock divided into two classes:</w:t>
            </w: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1"/>
              </w:rPr>
              <w:t>par value $0.01 per share and 5,000,000 shares of</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2"/>
              </w:rPr>
              <w:t>100,000,000 shares of common stock, par value</w:t>
            </w: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0"/>
              </w:rPr>
              <w:t>preferred stock, par value $0.01 per share. In order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8"/>
              </w:rPr>
              <w:t>$0.0001 per share, and 10,000,000 shares of</w:t>
            </w:r>
          </w:p>
        </w:tc>
      </w:tr>
      <w:tr>
        <w:trPr>
          <w:trHeight w:val="200"/>
        </w:trPr>
        <w:tc>
          <w:tcPr>
            <w:tcW w:w="20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to complete the Merger, Vringo is seeking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8"/>
              </w:rPr>
              <w:t>preferred stock, par value $0.0001 per share.</w:t>
            </w:r>
          </w:p>
        </w:tc>
      </w:tr>
      <w:tr>
        <w:trPr>
          <w:trHeight w:val="214"/>
        </w:trPr>
        <w:tc>
          <w:tcPr>
            <w:tcW w:w="20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stockholder approval pursuant to this proxy</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520" w:type="dxa"/>
            <w:vAlign w:val="bottom"/>
          </w:tcPr>
          <w:p>
            <w:pPr>
              <w:ind w:left="140"/>
              <w:spacing w:after="0"/>
              <w:rPr>
                <w:sz w:val="20"/>
                <w:szCs w:val="20"/>
                <w:color w:val="auto"/>
              </w:rPr>
            </w:pPr>
            <w:r>
              <w:rPr>
                <w:rFonts w:ascii="Arial" w:cs="Arial" w:eastAsia="Arial" w:hAnsi="Arial"/>
                <w:sz w:val="17"/>
                <w:szCs w:val="17"/>
                <w:color w:val="auto"/>
              </w:rPr>
              <w:t>The Innovate/Protect Certificate also allows</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3720" w:type="dxa"/>
            <w:vAlign w:val="bottom"/>
          </w:tcPr>
          <w:p>
            <w:pPr>
              <w:spacing w:after="0" w:line="186" w:lineRule="exact"/>
              <w:rPr>
                <w:sz w:val="20"/>
                <w:szCs w:val="20"/>
                <w:color w:val="auto"/>
              </w:rPr>
            </w:pPr>
            <w:r>
              <w:rPr>
                <w:rFonts w:ascii="Arial" w:cs="Arial" w:eastAsia="Arial" w:hAnsi="Arial"/>
                <w:sz w:val="17"/>
                <w:szCs w:val="17"/>
                <w:color w:val="auto"/>
              </w:rPr>
              <w:t>statement/prospectus to amend the Vringo</w:t>
            </w:r>
          </w:p>
        </w:tc>
        <w:tc>
          <w:tcPr>
            <w:tcW w:w="3620" w:type="dxa"/>
            <w:vAlign w:val="bottom"/>
            <w:vMerge w:val="restart"/>
          </w:tcPr>
          <w:p>
            <w:pPr>
              <w:ind w:left="280"/>
              <w:spacing w:after="0"/>
              <w:rPr>
                <w:sz w:val="20"/>
                <w:szCs w:val="20"/>
                <w:color w:val="auto"/>
              </w:rPr>
            </w:pPr>
            <w:r>
              <w:rPr>
                <w:rFonts w:ascii="Arial" w:cs="Arial" w:eastAsia="Arial" w:hAnsi="Arial"/>
                <w:sz w:val="17"/>
                <w:szCs w:val="17"/>
                <w:color w:val="auto"/>
                <w:w w:val="88"/>
              </w:rPr>
              <w:t>Innovate/Protect to issue any class of its preferred</w:t>
            </w:r>
          </w:p>
        </w:tc>
        <w:tc>
          <w:tcPr>
            <w:tcW w:w="0" w:type="dxa"/>
            <w:vAlign w:val="bottom"/>
          </w:tcPr>
          <w:p>
            <w:pPr>
              <w:spacing w:after="0"/>
              <w:rPr>
                <w:sz w:val="1"/>
                <w:szCs w:val="1"/>
                <w:color w:val="auto"/>
              </w:rPr>
            </w:pPr>
          </w:p>
        </w:tc>
      </w:tr>
      <w:tr>
        <w:trPr>
          <w:trHeight w:val="100"/>
        </w:trPr>
        <w:tc>
          <w:tcPr>
            <w:tcW w:w="3720" w:type="dxa"/>
            <w:vAlign w:val="bottom"/>
            <w:vMerge w:val="restart"/>
          </w:tcPr>
          <w:p>
            <w:pPr>
              <w:spacing w:after="0"/>
              <w:rPr>
                <w:sz w:val="20"/>
                <w:szCs w:val="20"/>
                <w:color w:val="auto"/>
              </w:rPr>
            </w:pPr>
            <w:r>
              <w:rPr>
                <w:rFonts w:ascii="Arial" w:cs="Arial" w:eastAsia="Arial" w:hAnsi="Arial"/>
                <w:sz w:val="17"/>
                <w:szCs w:val="17"/>
                <w:color w:val="auto"/>
              </w:rPr>
              <w:t>Certificate to implement a reverse stock split of</w:t>
            </w: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720" w:type="dxa"/>
            <w:vAlign w:val="bottom"/>
            <w:vMerge w:val="continue"/>
          </w:tcPr>
          <w:p>
            <w:pPr>
              <w:spacing w:after="0"/>
              <w:rPr>
                <w:sz w:val="8"/>
                <w:szCs w:val="8"/>
                <w:color w:val="auto"/>
              </w:rPr>
            </w:pPr>
          </w:p>
        </w:tc>
        <w:tc>
          <w:tcPr>
            <w:tcW w:w="3620" w:type="dxa"/>
            <w:vAlign w:val="bottom"/>
            <w:vMerge w:val="restart"/>
          </w:tcPr>
          <w:p>
            <w:pPr>
              <w:ind w:left="280"/>
              <w:spacing w:after="0"/>
              <w:rPr>
                <w:sz w:val="20"/>
                <w:szCs w:val="20"/>
                <w:color w:val="auto"/>
              </w:rPr>
            </w:pPr>
            <w:r>
              <w:rPr>
                <w:rFonts w:ascii="Arial" w:cs="Arial" w:eastAsia="Arial" w:hAnsi="Arial"/>
                <w:sz w:val="17"/>
                <w:szCs w:val="17"/>
                <w:color w:val="auto"/>
              </w:rPr>
              <w:t>stock in any series.</w:t>
            </w:r>
          </w:p>
        </w:tc>
        <w:tc>
          <w:tcPr>
            <w:tcW w:w="0" w:type="dxa"/>
            <w:vAlign w:val="bottom"/>
          </w:tcPr>
          <w:p>
            <w:pPr>
              <w:spacing w:after="0"/>
              <w:rPr>
                <w:sz w:val="1"/>
                <w:szCs w:val="1"/>
                <w:color w:val="auto"/>
              </w:rPr>
            </w:pPr>
          </w:p>
        </w:tc>
      </w:tr>
      <w:tr>
        <w:trPr>
          <w:trHeight w:val="113"/>
        </w:trPr>
        <w:tc>
          <w:tcPr>
            <w:tcW w:w="3720" w:type="dxa"/>
            <w:vAlign w:val="bottom"/>
            <w:vMerge w:val="restart"/>
          </w:tcPr>
          <w:p>
            <w:pPr>
              <w:spacing w:after="0"/>
              <w:rPr>
                <w:sz w:val="20"/>
                <w:szCs w:val="20"/>
                <w:color w:val="auto"/>
              </w:rPr>
            </w:pPr>
            <w:r>
              <w:rPr>
                <w:rFonts w:ascii="Arial" w:cs="Arial" w:eastAsia="Arial" w:hAnsi="Arial"/>
                <w:sz w:val="17"/>
                <w:szCs w:val="17"/>
                <w:color w:val="auto"/>
                <w:w w:val="95"/>
              </w:rPr>
              <w:t>Vringo’s outstanding common stock and to increase</w:t>
            </w:r>
          </w:p>
        </w:tc>
        <w:tc>
          <w:tcPr>
            <w:tcW w:w="3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7"/>
                <w:szCs w:val="17"/>
                <w:color w:val="auto"/>
                <w:w w:val="95"/>
              </w:rPr>
              <w:t>the number of authorized shares of Vringo common</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7"/>
                <w:szCs w:val="17"/>
                <w:color w:val="auto"/>
              </w:rPr>
              <w:t>stock from 28,000,000 to up to a maximum of</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7"/>
                <w:szCs w:val="17"/>
                <w:color w:val="auto"/>
              </w:rPr>
              <w:t>150,000,000 shares.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000" w:right="6259" w:hanging="669"/>
        <w:spacing w:after="0" w:line="248"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shares of preferred stock are issued and outstanding. The preferred stock may be issued from time to time in one or more series.</w:t>
      </w:r>
    </w:p>
    <w:p>
      <w:pPr>
        <w:spacing w:after="0" w:line="200" w:lineRule="exact"/>
        <w:rPr>
          <w:sz w:val="20"/>
          <w:szCs w:val="20"/>
          <w:color w:val="auto"/>
        </w:rPr>
      </w:pPr>
    </w:p>
    <w:p>
      <w:pPr>
        <w:spacing w:after="0" w:line="29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49"/>
        </w:trPr>
        <w:tc>
          <w:tcPr>
            <w:tcW w:w="3700" w:type="dxa"/>
            <w:vAlign w:val="bottom"/>
            <w:gridSpan w:val="4"/>
          </w:tcPr>
          <w:p>
            <w:pPr>
              <w:spacing w:after="0"/>
              <w:rPr>
                <w:sz w:val="20"/>
                <w:szCs w:val="20"/>
                <w:color w:val="auto"/>
              </w:rPr>
            </w:pPr>
            <w:r>
              <w:rPr>
                <w:rFonts w:ascii="Arial" w:cs="Arial" w:eastAsia="Arial" w:hAnsi="Arial"/>
                <w:sz w:val="13"/>
                <w:szCs w:val="13"/>
                <w:b w:val="1"/>
                <w:bCs w:val="1"/>
                <w:color w:val="0000EE"/>
              </w:rPr>
              <w:t>TABLE OF CONTENTS</w:t>
            </w:r>
          </w:p>
        </w:tc>
        <w:tc>
          <w:tcPr>
            <w:tcW w:w="1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68"/>
        </w:trPr>
        <w:tc>
          <w:tcPr>
            <w:tcW w:w="700" w:type="dxa"/>
            <w:vAlign w:val="bottom"/>
            <w:tcBorders>
              <w:top w:val="single" w:sz="8" w:color="0000EE"/>
              <w:bottom w:val="single" w:sz="8" w:color="auto"/>
            </w:tcBorders>
          </w:tcPr>
          <w:p>
            <w:pPr>
              <w:spacing w:after="0"/>
              <w:rPr>
                <w:sz w:val="14"/>
                <w:szCs w:val="14"/>
                <w:color w:val="auto"/>
              </w:rPr>
            </w:pPr>
          </w:p>
        </w:tc>
        <w:tc>
          <w:tcPr>
            <w:tcW w:w="440" w:type="dxa"/>
            <w:vAlign w:val="bottom"/>
            <w:tcBorders>
              <w:top w:val="single" w:sz="8" w:color="0000EE"/>
              <w:bottom w:val="single" w:sz="8" w:color="auto"/>
            </w:tcBorders>
          </w:tcPr>
          <w:p>
            <w:pPr>
              <w:spacing w:after="0"/>
              <w:rPr>
                <w:sz w:val="14"/>
                <w:szCs w:val="14"/>
                <w:color w:val="auto"/>
              </w:rPr>
            </w:pPr>
          </w:p>
        </w:tc>
        <w:tc>
          <w:tcPr>
            <w:tcW w:w="280" w:type="dxa"/>
            <w:vAlign w:val="bottom"/>
            <w:tcBorders>
              <w:top w:val="single" w:sz="8" w:color="0000EE"/>
              <w:bottom w:val="single" w:sz="8" w:color="auto"/>
            </w:tcBorders>
          </w:tcPr>
          <w:p>
            <w:pPr>
              <w:spacing w:after="0"/>
              <w:rPr>
                <w:sz w:val="14"/>
                <w:szCs w:val="14"/>
                <w:color w:val="auto"/>
              </w:rPr>
            </w:pPr>
          </w:p>
        </w:tc>
        <w:tc>
          <w:tcPr>
            <w:tcW w:w="22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Vringo</w:t>
            </w:r>
          </w:p>
        </w:tc>
        <w:tc>
          <w:tcPr>
            <w:tcW w:w="160" w:type="dxa"/>
            <w:vAlign w:val="bottom"/>
          </w:tcPr>
          <w:p>
            <w:pPr>
              <w:spacing w:after="0"/>
              <w:rPr>
                <w:sz w:val="14"/>
                <w:szCs w:val="14"/>
                <w:color w:val="auto"/>
              </w:rPr>
            </w:pPr>
          </w:p>
        </w:tc>
        <w:tc>
          <w:tcPr>
            <w:tcW w:w="386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Innovate/Protect</w:t>
            </w:r>
          </w:p>
        </w:tc>
        <w:tc>
          <w:tcPr>
            <w:tcW w:w="2320" w:type="dxa"/>
            <w:vAlign w:val="bottom"/>
          </w:tcPr>
          <w:p>
            <w:pPr>
              <w:spacing w:after="0"/>
              <w:rPr>
                <w:sz w:val="14"/>
                <w:szCs w:val="14"/>
                <w:color w:val="auto"/>
              </w:rPr>
            </w:pPr>
          </w:p>
        </w:tc>
      </w:tr>
      <w:tr>
        <w:trPr>
          <w:trHeight w:val="181"/>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20" w:type="dxa"/>
            <w:vAlign w:val="bottom"/>
            <w:gridSpan w:val="4"/>
          </w:tcPr>
          <w:p>
            <w:pPr>
              <w:jc w:val="center"/>
              <w:ind w:right="3760"/>
              <w:spacing w:after="0" w:line="180" w:lineRule="exact"/>
              <w:rPr>
                <w:sz w:val="20"/>
                <w:szCs w:val="20"/>
                <w:color w:val="auto"/>
              </w:rPr>
            </w:pPr>
            <w:r>
              <w:rPr>
                <w:rFonts w:ascii="Arial" w:cs="Arial" w:eastAsia="Arial" w:hAnsi="Arial"/>
                <w:sz w:val="17"/>
                <w:szCs w:val="17"/>
                <w:b w:val="1"/>
                <w:bCs w:val="1"/>
                <w:color w:val="auto"/>
                <w:w w:val="89"/>
              </w:rPr>
              <w:t>Stockholder Action by Written Consent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The Vringo Bylaws allow stockholders to act by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Bylaws allow Innovate/Protect</w:t>
            </w:r>
          </w:p>
        </w:tc>
      </w:tr>
      <w:tr>
        <w:trPr>
          <w:trHeight w:val="196"/>
        </w:trPr>
        <w:tc>
          <w:tcPr>
            <w:tcW w:w="3700" w:type="dxa"/>
            <w:vAlign w:val="bottom"/>
            <w:gridSpan w:val="4"/>
          </w:tcPr>
          <w:p>
            <w:pPr>
              <w:spacing w:after="0"/>
              <w:rPr>
                <w:sz w:val="20"/>
                <w:szCs w:val="20"/>
                <w:color w:val="auto"/>
              </w:rPr>
            </w:pPr>
            <w:r>
              <w:rPr>
                <w:rFonts w:ascii="Arial" w:cs="Arial" w:eastAsia="Arial" w:hAnsi="Arial"/>
                <w:sz w:val="17"/>
                <w:szCs w:val="17"/>
                <w:color w:val="auto"/>
              </w:rPr>
              <w:t>written consent.</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stockholders to act by written consent.</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8"/>
              </w:rPr>
              <w:t>Dividends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3"/>
              </w:rPr>
              <w:t>The Vringo Certificate sets forth what dividends may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provides that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0"/>
              </w:rPr>
              <w:t>be paid on common stock from legally available funds,</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Innovate/Protect’s board of directors shall have authority</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when and if determined by the Vringo board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to establish and designate series, and to fix the number of</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1"/>
              </w:rPr>
              <w:t>directors and subject to any preferential dividend right</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shares included in each such series and the variations in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3"/>
              </w:rPr>
              <w:t>on any then outstanding preferred stock. The Vringo</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relative rights, preferences and limitations as between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9"/>
              </w:rPr>
              <w:t>Certificate also sets forth that the Vringo board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series, provided that, if the stated dividends and amounts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directors may designate preferred stock and in</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payable on liquidation are not paid in full, the shares of</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4"/>
              </w:rPr>
              <w:t>connection with such designation fix dividend rights.</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all series of the same class shall share ratably in the</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payment of dividends including accumulations, if any, in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accordance with the sums which would be payable on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such shares if all dividends were declared and paid in</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full, and in any distribution of assets other than by way of</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dividends in accordance with the sums which would be</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payable on such distribution if all sums payable were</w:t>
            </w: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discharged in full.</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9"/>
              </w:rPr>
              <w:t>Rights on Liquidation</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2"/>
              </w:rPr>
              <w:t>The Vringo Certificate provides that upon a voluntary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and bylaws do not</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8"/>
              </w:rPr>
              <w:t>or involuntary liquidation or dissolution, holders of</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provide guidelines for liquidation rights.</w:t>
            </w: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9"/>
              </w:rPr>
              <w:t>common stock are entitled to receive all assets of</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Vringo available for distribution subject to any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4"/>
              </w:rPr>
              <w:t>preferential liquidation right on any then outstanding</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w w:val="92"/>
              </w:rPr>
              <w:t>preferred stock. The Vringo Certificate also sets forth</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that the Vringo board of directors may designate</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3700" w:type="dxa"/>
            <w:vAlign w:val="bottom"/>
            <w:gridSpan w:val="4"/>
          </w:tcPr>
          <w:p>
            <w:pPr>
              <w:spacing w:after="0"/>
              <w:rPr>
                <w:sz w:val="20"/>
                <w:szCs w:val="20"/>
                <w:color w:val="auto"/>
              </w:rPr>
            </w:pPr>
            <w:r>
              <w:rPr>
                <w:rFonts w:ascii="Arial" w:cs="Arial" w:eastAsia="Arial" w:hAnsi="Arial"/>
                <w:sz w:val="17"/>
                <w:szCs w:val="17"/>
                <w:color w:val="auto"/>
              </w:rPr>
              <w:t>preferred stock and in connection with such</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196"/>
        </w:trPr>
        <w:tc>
          <w:tcPr>
            <w:tcW w:w="3700" w:type="dxa"/>
            <w:vAlign w:val="bottom"/>
            <w:gridSpan w:val="4"/>
          </w:tcPr>
          <w:p>
            <w:pPr>
              <w:spacing w:after="0"/>
              <w:rPr>
                <w:sz w:val="20"/>
                <w:szCs w:val="20"/>
                <w:color w:val="auto"/>
              </w:rPr>
            </w:pPr>
            <w:r>
              <w:rPr>
                <w:rFonts w:ascii="Arial" w:cs="Arial" w:eastAsia="Arial" w:hAnsi="Arial"/>
                <w:sz w:val="17"/>
                <w:szCs w:val="17"/>
                <w:color w:val="auto"/>
              </w:rPr>
              <w:t>designation fix liquidation rights.</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20" w:type="dxa"/>
            <w:vAlign w:val="bottom"/>
            <w:gridSpan w:val="4"/>
          </w:tcPr>
          <w:p>
            <w:pPr>
              <w:jc w:val="center"/>
              <w:ind w:right="3740"/>
              <w:spacing w:after="0"/>
              <w:rPr>
                <w:sz w:val="20"/>
                <w:szCs w:val="20"/>
                <w:color w:val="auto"/>
              </w:rPr>
            </w:pPr>
            <w:r>
              <w:rPr>
                <w:rFonts w:ascii="Arial" w:cs="Arial" w:eastAsia="Arial" w:hAnsi="Arial"/>
                <w:sz w:val="17"/>
                <w:szCs w:val="17"/>
                <w:b w:val="1"/>
                <w:bCs w:val="1"/>
                <w:color w:val="auto"/>
                <w:w w:val="89"/>
              </w:rPr>
              <w:t>Supermajority Vote Requirements</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2"/>
              </w:rPr>
              <w:t>The Vringo Certificate provides that no</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The Innovate/Protect Certificate and bylaws do not</w:t>
            </w: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0"/>
              </w:rPr>
              <w:t>director (other than directors elected by</w:t>
            </w:r>
          </w:p>
        </w:tc>
        <w:tc>
          <w:tcPr>
            <w:tcW w:w="16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7"/>
                <w:szCs w:val="17"/>
                <w:color w:val="auto"/>
              </w:rPr>
              <w:t>describe any supermajority vote requirements.</w:t>
            </w: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89"/>
              </w:rPr>
              <w:t>one or more series of Vringo’s preferred</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4"/>
              </w:rPr>
              <w:t>stock) may be removed from office by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2"/>
              </w:rPr>
              <w:t>the stockholders except for cause and,</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89"/>
              </w:rPr>
              <w:t>in addition to any other vote required by</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9"/>
              </w:rPr>
              <w:t>law, upon the affirmative vote of not</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9"/>
              </w:rPr>
              <w:t>less than 66 2/3% of the total voting</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7"/>
              </w:rPr>
              <w:t>power of all outstanding securities of</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1"/>
              </w:rPr>
              <w:t>Vringo then entitled to vote generally in</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w w:val="90"/>
              </w:rPr>
              <w:t>the election of directors, voting together</w:t>
            </w:r>
          </w:p>
        </w:tc>
        <w:tc>
          <w:tcPr>
            <w:tcW w:w="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13"/>
        </w:trPr>
        <w:tc>
          <w:tcPr>
            <w:tcW w:w="700" w:type="dxa"/>
            <w:vAlign w:val="bottom"/>
          </w:tcPr>
          <w:p>
            <w:pPr>
              <w:spacing w:after="0"/>
              <w:rPr>
                <w:sz w:val="18"/>
                <w:szCs w:val="18"/>
                <w:color w:val="auto"/>
              </w:rPr>
            </w:pPr>
          </w:p>
        </w:tc>
        <w:tc>
          <w:tcPr>
            <w:tcW w:w="3000" w:type="dxa"/>
            <w:vAlign w:val="bottom"/>
            <w:gridSpan w:val="3"/>
          </w:tcPr>
          <w:p>
            <w:pPr>
              <w:ind w:left="300"/>
              <w:spacing w:after="0"/>
              <w:rPr>
                <w:sz w:val="20"/>
                <w:szCs w:val="20"/>
                <w:color w:val="auto"/>
              </w:rPr>
            </w:pPr>
            <w:r>
              <w:rPr>
                <w:rFonts w:ascii="Arial" w:cs="Arial" w:eastAsia="Arial" w:hAnsi="Arial"/>
                <w:sz w:val="17"/>
                <w:szCs w:val="17"/>
                <w:color w:val="auto"/>
              </w:rPr>
              <w:t>as a single class.</w:t>
            </w: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714"/>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gridSpan w:val="2"/>
          </w:tcPr>
          <w:p>
            <w:pPr>
              <w:jc w:val="right"/>
              <w:ind w:right="3197"/>
              <w:spacing w:after="0"/>
              <w:rPr>
                <w:sz w:val="20"/>
                <w:szCs w:val="20"/>
                <w:color w:val="auto"/>
              </w:rPr>
            </w:pPr>
            <w:r>
              <w:rPr>
                <w:rFonts w:ascii="Arial" w:cs="Arial" w:eastAsia="Arial" w:hAnsi="Arial"/>
                <w:sz w:val="17"/>
                <w:szCs w:val="17"/>
                <w:color w:val="auto"/>
              </w:rPr>
              <w:t>198</w:t>
            </w:r>
          </w:p>
        </w:tc>
        <w:tc>
          <w:tcPr>
            <w:tcW w:w="2320" w:type="dxa"/>
            <w:vAlign w:val="bottom"/>
          </w:tcPr>
          <w:p>
            <w:pPr>
              <w:spacing w:after="0"/>
              <w:rPr>
                <w:sz w:val="24"/>
                <w:szCs w:val="24"/>
                <w:color w:val="auto"/>
              </w:rPr>
            </w:pPr>
          </w:p>
        </w:tc>
      </w:tr>
      <w:tr>
        <w:trPr>
          <w:trHeight w:val="150"/>
        </w:trPr>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860" w:type="dxa"/>
            <w:vAlign w:val="bottom"/>
            <w:tcBorders>
              <w:bottom w:val="single" w:sz="8" w:color="9A9A9A"/>
            </w:tcBorders>
          </w:tcPr>
          <w:p>
            <w:pPr>
              <w:spacing w:after="0"/>
              <w:rPr>
                <w:sz w:val="13"/>
                <w:szCs w:val="13"/>
                <w:color w:val="auto"/>
              </w:rPr>
            </w:pPr>
          </w:p>
        </w:tc>
        <w:tc>
          <w:tcPr>
            <w:tcW w:w="2320" w:type="dxa"/>
            <w:vAlign w:val="bottom"/>
            <w:tcBorders>
              <w:bottom w:val="single" w:sz="8" w:color="9A9A9A"/>
            </w:tcBorders>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-6125845</wp:posOffset>
            </wp:positionV>
            <wp:extent cx="48056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08" w:name="page209"/>
    <w:bookmarkEnd w:id="2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48056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pacing w:after="0" w:line="4" w:lineRule="exact"/>
        <w:rPr>
          <w:sz w:val="20"/>
          <w:szCs w:val="20"/>
          <w:color w:val="auto"/>
        </w:rPr>
      </w:pPr>
    </w:p>
    <w:p>
      <w:pPr>
        <w:ind w:left="1660"/>
        <w:spacing w:after="0"/>
        <w:tabs>
          <w:tab w:leader="none" w:pos="5280" w:val="left"/>
        </w:tabs>
        <w:rPr>
          <w:sz w:val="20"/>
          <w:szCs w:val="20"/>
          <w:color w:val="auto"/>
        </w:rPr>
      </w:pPr>
      <w:r>
        <w:rPr>
          <w:rFonts w:ascii="Arial" w:cs="Arial" w:eastAsia="Arial" w:hAnsi="Arial"/>
          <w:sz w:val="13"/>
          <w:szCs w:val="13"/>
          <w:b w:val="1"/>
          <w:bCs w:val="1"/>
          <w:color w:val="auto"/>
        </w:rPr>
        <w:t>Vringo</w:t>
      </w:r>
      <w:r>
        <w:rPr>
          <w:sz w:val="20"/>
          <w:szCs w:val="20"/>
          <w:color w:val="auto"/>
        </w:rPr>
        <w:tab/>
      </w:r>
      <w:r>
        <w:rPr>
          <w:rFonts w:ascii="Arial" w:cs="Arial" w:eastAsia="Arial" w:hAnsi="Arial"/>
          <w:sz w:val="13"/>
          <w:szCs w:val="13"/>
          <w:b w:val="1"/>
          <w:bCs w:val="1"/>
          <w:color w:val="auto"/>
        </w:rPr>
        <w:t>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490156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p>
      <w:pPr>
        <w:ind w:left="1000" w:right="6419" w:hanging="669"/>
        <w:spacing w:after="0" w:line="279" w:lineRule="auto"/>
        <w:tabs>
          <w:tab w:leader="none" w:pos="10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Vringo Certificate also provides that though Vringo’s board of directors is expressly authorized to make, adopt, amend, alter, rescind or repeal Vringo’s Bylaws, Vringo’s stockholders may adopt, amend, alter, rescind or repeal Vringo’s Bylaws with, in addition to any other vote required by law, the affirmative vote of the holders of not less than 66 2/3% of the total voting power of all outstanding securities of Vringo then entitled to vote generally in the election of directors, voting together as a single class.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2"/>
          </w:tcPr>
          <w:p>
            <w:pPr>
              <w:jc w:val="center"/>
              <w:ind w:left="1976"/>
              <w:spacing w:after="0"/>
              <w:rPr>
                <w:sz w:val="20"/>
                <w:szCs w:val="20"/>
                <w:color w:val="auto"/>
              </w:rPr>
            </w:pPr>
            <w:r>
              <w:rPr>
                <w:rFonts w:ascii="Arial" w:cs="Arial" w:eastAsia="Arial" w:hAnsi="Arial"/>
                <w:sz w:val="17"/>
                <w:szCs w:val="17"/>
                <w:b w:val="1"/>
                <w:bCs w:val="1"/>
                <w:color w:val="auto"/>
                <w:w w:val="87"/>
              </w:rPr>
              <w:t>Conversion Rights</w:t>
            </w:r>
          </w:p>
        </w:tc>
        <w:tc>
          <w:tcPr>
            <w:tcW w:w="5520" w:type="dxa"/>
            <w:vAlign w:val="bottom"/>
          </w:tcPr>
          <w:p>
            <w:pPr>
              <w:spacing w:after="0"/>
              <w:rPr>
                <w:sz w:val="16"/>
                <w:szCs w:val="16"/>
                <w:color w:val="auto"/>
              </w:rPr>
            </w:pP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w w:val="93"/>
              </w:rPr>
              <w:t>The Vringo Certificate sets forth that the Vringo board</w:t>
            </w: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The Innovate/Protect Certificate sets forth that the</w:t>
            </w:r>
          </w:p>
        </w:tc>
      </w:tr>
      <w:tr>
        <w:trPr>
          <w:trHeight w:val="200"/>
        </w:trPr>
        <w:tc>
          <w:tcPr>
            <w:tcW w:w="3780" w:type="dxa"/>
            <w:vAlign w:val="bottom"/>
            <w:gridSpan w:val="3"/>
          </w:tcPr>
          <w:p>
            <w:pPr>
              <w:spacing w:after="0"/>
              <w:rPr>
                <w:sz w:val="20"/>
                <w:szCs w:val="20"/>
                <w:color w:val="auto"/>
              </w:rPr>
            </w:pPr>
            <w:r>
              <w:rPr>
                <w:rFonts w:ascii="Arial" w:cs="Arial" w:eastAsia="Arial" w:hAnsi="Arial"/>
                <w:sz w:val="17"/>
                <w:szCs w:val="17"/>
                <w:color w:val="auto"/>
              </w:rPr>
              <w:t>of directors may designate preferred stock and in</w:t>
            </w: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Innovate/Protect board of directors may designate</w:t>
            </w:r>
          </w:p>
        </w:tc>
      </w:tr>
      <w:tr>
        <w:trPr>
          <w:trHeight w:val="200"/>
        </w:trPr>
        <w:tc>
          <w:tcPr>
            <w:tcW w:w="10040" w:type="dxa"/>
            <w:vAlign w:val="bottom"/>
            <w:gridSpan w:val="5"/>
          </w:tcPr>
          <w:p>
            <w:pPr>
              <w:spacing w:after="0"/>
              <w:rPr>
                <w:sz w:val="20"/>
                <w:szCs w:val="20"/>
                <w:color w:val="auto"/>
              </w:rPr>
            </w:pPr>
            <w:r>
              <w:rPr>
                <w:rFonts w:ascii="Arial" w:cs="Arial" w:eastAsia="Arial" w:hAnsi="Arial"/>
                <w:sz w:val="17"/>
                <w:szCs w:val="17"/>
                <w:color w:val="auto"/>
              </w:rPr>
              <w:t>connection with such designation fix conversion rights.  preferred stock and fix the variations in the relative</w:t>
            </w: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60" w:type="dxa"/>
            <w:vAlign w:val="bottom"/>
            <w:gridSpan w:val="2"/>
          </w:tcPr>
          <w:p>
            <w:pPr>
              <w:ind w:left="80"/>
              <w:spacing w:after="0"/>
              <w:rPr>
                <w:sz w:val="20"/>
                <w:szCs w:val="20"/>
                <w:color w:val="auto"/>
              </w:rPr>
            </w:pPr>
            <w:r>
              <w:rPr>
                <w:rFonts w:ascii="Arial" w:cs="Arial" w:eastAsia="Arial" w:hAnsi="Arial"/>
                <w:sz w:val="17"/>
                <w:szCs w:val="17"/>
                <w:color w:val="auto"/>
              </w:rPr>
              <w:t>rights, preferences and limitations as between series.</w:t>
            </w:r>
          </w:p>
        </w:tc>
      </w:tr>
      <w:tr>
        <w:trPr>
          <w:trHeight w:val="204"/>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00" w:type="dxa"/>
            <w:vAlign w:val="bottom"/>
            <w:gridSpan w:val="3"/>
          </w:tcPr>
          <w:p>
            <w:pPr>
              <w:jc w:val="center"/>
              <w:ind w:right="3376"/>
              <w:spacing w:after="0"/>
              <w:rPr>
                <w:sz w:val="20"/>
                <w:szCs w:val="20"/>
                <w:color w:val="auto"/>
              </w:rPr>
            </w:pPr>
            <w:r>
              <w:rPr>
                <w:rFonts w:ascii="Arial" w:cs="Arial" w:eastAsia="Arial" w:hAnsi="Arial"/>
                <w:sz w:val="17"/>
                <w:szCs w:val="17"/>
                <w:b w:val="1"/>
                <w:bCs w:val="1"/>
                <w:color w:val="auto"/>
                <w:w w:val="88"/>
              </w:rPr>
              <w:t>Number of Directors and Elections</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3"/>
              </w:rPr>
              <w:t>The Vringo Certificate provides that the</w:t>
            </w: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5520" w:type="dxa"/>
            <w:vAlign w:val="bottom"/>
          </w:tcPr>
          <w:p>
            <w:pPr>
              <w:spacing w:after="0"/>
              <w:rPr>
                <w:sz w:val="20"/>
                <w:szCs w:val="20"/>
                <w:color w:val="auto"/>
              </w:rPr>
            </w:pPr>
            <w:r>
              <w:rPr>
                <w:rFonts w:ascii="Arial" w:cs="Arial" w:eastAsia="Arial" w:hAnsi="Arial"/>
                <w:sz w:val="17"/>
                <w:szCs w:val="17"/>
                <w:color w:val="auto"/>
              </w:rPr>
              <w:t>The Innovate/Protect bylaws provide that the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3"/>
              </w:rPr>
              <w:t>board of directors will consist of no less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number of directors constituting the entire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0"/>
              </w:rPr>
              <w:t>than one member with the exact number</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board of directors shall be the number, not less</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to be determined as provided in the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than one nor more than fifteen, fixed from time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5"/>
              </w:rPr>
              <w:t>Vringo bylaws or as set forth from time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to time by a majority of the total number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7"/>
              </w:rPr>
              <w:t>to time by a duly adopted amendment</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 which Innovate/Protect would have,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2"/>
              </w:rPr>
              <w:t>thereto by Vringo’s board of directors or</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prior to any increase or decrease, if there were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stockholders. The Vringo Bylaws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no vacancies, provided, however, that no</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provide that the exact number of</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decrease shall shorten the term of an incumbent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4"/>
              </w:rPr>
              <w:t>members of the board of directors is to</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 The number of directors may be</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be determined by a resolution of the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increased or decreased by the action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Vringo board of directors.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Innovate/Protect’s stockholders or of</w:t>
            </w: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2"/>
              </w:rPr>
              <w:t>The Vringo Certificate provides that any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Innovate/Protect’s directors.</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vacancy of the board of directors of</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9"/>
              </w:rPr>
              <w:t>Vringo will be filled by a majority vote</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of the directors then in office.</w:t>
            </w:r>
          </w:p>
        </w:tc>
        <w:tc>
          <w:tcPr>
            <w:tcW w:w="74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200"/>
        </w:trPr>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The Vringo bylaws provide that</w:t>
            </w:r>
          </w:p>
        </w:tc>
        <w:tc>
          <w:tcPr>
            <w:tcW w:w="740" w:type="dxa"/>
            <w:vAlign w:val="bottom"/>
          </w:tcPr>
          <w:p>
            <w:pPr>
              <w:ind w:left="240"/>
              <w:spacing w:after="0"/>
              <w:rPr>
                <w:sz w:val="20"/>
                <w:szCs w:val="20"/>
                <w:color w:val="auto"/>
              </w:rPr>
            </w:pPr>
            <w:r>
              <w:rPr>
                <w:rFonts w:ascii="Arial" w:cs="Arial" w:eastAsia="Arial" w:hAnsi="Arial"/>
                <w:sz w:val="17"/>
                <w:szCs w:val="17"/>
                <w:color w:val="auto"/>
              </w:rPr>
              <w:t>•</w:t>
            </w:r>
          </w:p>
        </w:tc>
        <w:tc>
          <w:tcPr>
            <w:tcW w:w="5520" w:type="dxa"/>
            <w:vAlign w:val="bottom"/>
          </w:tcPr>
          <w:p>
            <w:pPr>
              <w:spacing w:after="0"/>
              <w:rPr>
                <w:sz w:val="20"/>
                <w:szCs w:val="20"/>
                <w:color w:val="auto"/>
              </w:rPr>
            </w:pPr>
            <w:r>
              <w:rPr>
                <w:rFonts w:ascii="Arial" w:cs="Arial" w:eastAsia="Arial" w:hAnsi="Arial"/>
                <w:sz w:val="17"/>
                <w:szCs w:val="17"/>
                <w:color w:val="auto"/>
              </w:rPr>
              <w:t>The Innovate/Protect Bylaws provide that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5"/>
              </w:rPr>
              <w:t>directors shall be elected by a plurality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 are elected at an annual meeting of</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of the voting power of the shares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stockholders, and directors who are elected in</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present in person or represented by</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the interim to fill vacancies and newly created</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w w:val="91"/>
              </w:rPr>
              <w:t>proxy at the meeting and entitled to vote</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directorships, shall hold office until the next</w:t>
            </w:r>
          </w:p>
        </w:tc>
      </w:tr>
      <w:tr>
        <w:trPr>
          <w:trHeight w:val="200"/>
        </w:trPr>
        <w:tc>
          <w:tcPr>
            <w:tcW w:w="700" w:type="dxa"/>
            <w:vAlign w:val="bottom"/>
          </w:tcPr>
          <w:p>
            <w:pPr>
              <w:spacing w:after="0"/>
              <w:rPr>
                <w:sz w:val="17"/>
                <w:szCs w:val="17"/>
                <w:color w:val="auto"/>
              </w:rPr>
            </w:pPr>
          </w:p>
        </w:tc>
        <w:tc>
          <w:tcPr>
            <w:tcW w:w="3080" w:type="dxa"/>
            <w:vAlign w:val="bottom"/>
            <w:gridSpan w:val="2"/>
          </w:tcPr>
          <w:p>
            <w:pPr>
              <w:ind w:left="300"/>
              <w:spacing w:after="0"/>
              <w:rPr>
                <w:sz w:val="20"/>
                <w:szCs w:val="20"/>
                <w:color w:val="auto"/>
              </w:rPr>
            </w:pPr>
            <w:r>
              <w:rPr>
                <w:rFonts w:ascii="Arial" w:cs="Arial" w:eastAsia="Arial" w:hAnsi="Arial"/>
                <w:sz w:val="17"/>
                <w:szCs w:val="17"/>
                <w:color w:val="auto"/>
              </w:rPr>
              <w:t>on the election of directors.</w:t>
            </w: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annual meeting of stockholders and until their</w:t>
            </w:r>
          </w:p>
        </w:tc>
      </w:tr>
      <w:tr>
        <w:trPr>
          <w:trHeight w:val="200"/>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successors have been elected and qualified or</w:t>
            </w:r>
          </w:p>
        </w:tc>
      </w:tr>
      <w:tr>
        <w:trPr>
          <w:trHeight w:val="213"/>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7"/>
                <w:szCs w:val="17"/>
                <w:color w:val="auto"/>
              </w:rPr>
              <w:t>until their earlier resignation or removal.</w:t>
            </w:r>
          </w:p>
        </w:tc>
      </w:tr>
      <w:tr>
        <w:trPr>
          <w:trHeight w:val="915"/>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Arial" w:cs="Arial" w:eastAsia="Arial" w:hAnsi="Arial"/>
                <w:sz w:val="17"/>
                <w:szCs w:val="17"/>
                <w:color w:val="auto"/>
              </w:rPr>
              <w:t>199</w:t>
            </w:r>
          </w:p>
        </w:tc>
        <w:tc>
          <w:tcPr>
            <w:tcW w:w="5520" w:type="dxa"/>
            <w:vAlign w:val="bottom"/>
          </w:tcPr>
          <w:p>
            <w:pPr>
              <w:spacing w:after="0"/>
              <w:rPr>
                <w:sz w:val="24"/>
                <w:szCs w:val="24"/>
                <w:color w:val="auto"/>
              </w:rPr>
            </w:pPr>
          </w:p>
        </w:tc>
      </w:tr>
      <w:tr>
        <w:trPr>
          <w:trHeight w:val="150"/>
        </w:trPr>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520" w:type="dxa"/>
            <w:vAlign w:val="bottom"/>
            <w:tcBorders>
              <w:bottom w:val="single" w:sz="8" w:color="9A9A9A"/>
            </w:tcBorders>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55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149"/>
        </w:trPr>
        <w:tc>
          <w:tcPr>
            <w:tcW w:w="3860" w:type="dxa"/>
            <w:vAlign w:val="bottom"/>
            <w:gridSpan w:val="2"/>
          </w:tcPr>
          <w:p>
            <w:pPr>
              <w:spacing w:after="0"/>
              <w:rPr>
                <w:sz w:val="20"/>
                <w:szCs w:val="20"/>
                <w:color w:val="auto"/>
              </w:rPr>
            </w:pPr>
            <w:r>
              <w:rPr>
                <w:rFonts w:ascii="Arial" w:cs="Arial" w:eastAsia="Arial" w:hAnsi="Arial"/>
                <w:sz w:val="13"/>
                <w:szCs w:val="13"/>
                <w:b w:val="1"/>
                <w:bCs w:val="1"/>
                <w:color w:val="0000EE"/>
              </w:rPr>
              <w:t>TABLE OF CONTENTS</w:t>
            </w:r>
          </w:p>
        </w:tc>
        <w:tc>
          <w:tcPr>
            <w:tcW w:w="14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68"/>
        </w:trPr>
        <w:tc>
          <w:tcPr>
            <w:tcW w:w="1420" w:type="dxa"/>
            <w:vAlign w:val="bottom"/>
            <w:tcBorders>
              <w:top w:val="single" w:sz="8" w:color="0000EE"/>
              <w:bottom w:val="single" w:sz="8" w:color="auto"/>
            </w:tcBorders>
          </w:tcPr>
          <w:p>
            <w:pPr>
              <w:spacing w:after="0"/>
              <w:rPr>
                <w:sz w:val="14"/>
                <w:szCs w:val="14"/>
                <w:color w:val="auto"/>
              </w:rPr>
            </w:pPr>
          </w:p>
        </w:tc>
        <w:tc>
          <w:tcPr>
            <w:tcW w:w="24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Vringo</w:t>
            </w:r>
          </w:p>
        </w:tc>
        <w:tc>
          <w:tcPr>
            <w:tcW w:w="140" w:type="dxa"/>
            <w:vAlign w:val="bottom"/>
          </w:tcPr>
          <w:p>
            <w:pPr>
              <w:spacing w:after="0"/>
              <w:rPr>
                <w:sz w:val="14"/>
                <w:szCs w:val="14"/>
                <w:color w:val="auto"/>
              </w:rPr>
            </w:pPr>
          </w:p>
        </w:tc>
        <w:tc>
          <w:tcPr>
            <w:tcW w:w="3720" w:type="dxa"/>
            <w:vAlign w:val="bottom"/>
            <w:tcBorders>
              <w:bottom w:val="single" w:sz="8" w:color="auto"/>
            </w:tcBorders>
          </w:tcPr>
          <w:p>
            <w:pPr>
              <w:ind w:left="1380"/>
              <w:spacing w:after="0"/>
              <w:rPr>
                <w:sz w:val="20"/>
                <w:szCs w:val="20"/>
                <w:color w:val="auto"/>
              </w:rPr>
            </w:pPr>
            <w:r>
              <w:rPr>
                <w:rFonts w:ascii="Arial" w:cs="Arial" w:eastAsia="Arial" w:hAnsi="Arial"/>
                <w:sz w:val="13"/>
                <w:szCs w:val="13"/>
                <w:b w:val="1"/>
                <w:bCs w:val="1"/>
                <w:color w:val="auto"/>
              </w:rPr>
              <w:t>Innovate/Protect</w:t>
            </w:r>
          </w:p>
        </w:tc>
      </w:tr>
      <w:tr>
        <w:trPr>
          <w:trHeight w:val="181"/>
        </w:trPr>
        <w:tc>
          <w:tcPr>
            <w:tcW w:w="1420" w:type="dxa"/>
            <w:vAlign w:val="bottom"/>
          </w:tcPr>
          <w:p>
            <w:pPr>
              <w:spacing w:after="0"/>
              <w:rPr>
                <w:sz w:val="15"/>
                <w:szCs w:val="15"/>
                <w:color w:val="auto"/>
              </w:rPr>
            </w:pPr>
          </w:p>
        </w:tc>
        <w:tc>
          <w:tcPr>
            <w:tcW w:w="2440" w:type="dxa"/>
            <w:vAlign w:val="bottom"/>
          </w:tcPr>
          <w:p>
            <w:pPr>
              <w:ind w:left="1940"/>
              <w:spacing w:after="0" w:line="180" w:lineRule="exact"/>
              <w:rPr>
                <w:sz w:val="20"/>
                <w:szCs w:val="20"/>
                <w:color w:val="auto"/>
              </w:rPr>
            </w:pPr>
            <w:r>
              <w:rPr>
                <w:rFonts w:ascii="Arial" w:cs="Arial" w:eastAsia="Arial" w:hAnsi="Arial"/>
                <w:sz w:val="17"/>
                <w:szCs w:val="17"/>
                <w:b w:val="1"/>
                <w:bCs w:val="1"/>
                <w:color w:val="auto"/>
                <w:w w:val="90"/>
              </w:rPr>
              <w:t>Voting</w:t>
            </w:r>
          </w:p>
        </w:tc>
        <w:tc>
          <w:tcPr>
            <w:tcW w:w="3860" w:type="dxa"/>
            <w:vAlign w:val="bottom"/>
            <w:gridSpan w:val="2"/>
          </w:tcPr>
          <w:p>
            <w:pPr>
              <w:ind w:left="20"/>
              <w:spacing w:after="0" w:line="180" w:lineRule="exact"/>
              <w:rPr>
                <w:sz w:val="20"/>
                <w:szCs w:val="20"/>
                <w:color w:val="auto"/>
              </w:rPr>
            </w:pPr>
            <w:r>
              <w:rPr>
                <w:rFonts w:ascii="Arial" w:cs="Arial" w:eastAsia="Arial" w:hAnsi="Arial"/>
                <w:sz w:val="17"/>
                <w:szCs w:val="17"/>
                <w:b w:val="1"/>
                <w:bCs w:val="1"/>
                <w:color w:val="auto"/>
              </w:rPr>
              <w:t>Rights</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rPr>
              <w:t>The Vringo Certificate provides that each holder of</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The Innovate/Protect Certificate provides that the</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0"/>
              </w:rPr>
              <w:t>common stock is entitled to one vote for each share held</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w w:val="98"/>
              </w:rPr>
              <w:t>Vringo board of directors may designate preferred</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5"/>
              </w:rPr>
              <w:t>at all meetings of stockholders. The Vringo Certificate</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stock and in connection with such designation fix</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7"/>
              </w:rPr>
              <w:t>also sets forth that the Vringo board of directors may</w:t>
            </w:r>
          </w:p>
        </w:tc>
        <w:tc>
          <w:tcPr>
            <w:tcW w:w="14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voting rights.</w:t>
            </w:r>
          </w:p>
        </w:tc>
      </w:tr>
      <w:tr>
        <w:trPr>
          <w:trHeight w:val="200"/>
        </w:trPr>
        <w:tc>
          <w:tcPr>
            <w:tcW w:w="3860" w:type="dxa"/>
            <w:vAlign w:val="bottom"/>
            <w:gridSpan w:val="2"/>
          </w:tcPr>
          <w:p>
            <w:pPr>
              <w:spacing w:after="0"/>
              <w:rPr>
                <w:sz w:val="20"/>
                <w:szCs w:val="20"/>
                <w:color w:val="auto"/>
              </w:rPr>
            </w:pPr>
            <w:r>
              <w:rPr>
                <w:rFonts w:ascii="Arial" w:cs="Arial" w:eastAsia="Arial" w:hAnsi="Arial"/>
                <w:sz w:val="17"/>
                <w:szCs w:val="17"/>
                <w:color w:val="auto"/>
                <w:w w:val="94"/>
              </w:rPr>
              <w:t>designate preferred stock and in connection with such</w:t>
            </w: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13"/>
        </w:trPr>
        <w:tc>
          <w:tcPr>
            <w:tcW w:w="3860" w:type="dxa"/>
            <w:vAlign w:val="bottom"/>
            <w:gridSpan w:val="2"/>
          </w:tcPr>
          <w:p>
            <w:pPr>
              <w:spacing w:after="0"/>
              <w:rPr>
                <w:sz w:val="20"/>
                <w:szCs w:val="20"/>
                <w:color w:val="auto"/>
              </w:rPr>
            </w:pPr>
            <w:r>
              <w:rPr>
                <w:rFonts w:ascii="Arial" w:cs="Arial" w:eastAsia="Arial" w:hAnsi="Arial"/>
                <w:sz w:val="17"/>
                <w:szCs w:val="17"/>
                <w:color w:val="auto"/>
              </w:rPr>
              <w:t>designation fix voting rights.</w:t>
            </w: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-1089025</wp:posOffset>
            </wp:positionV>
            <wp:extent cx="49015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p>
      <w:pPr>
        <w:spacing w:after="0" w:line="168"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The Vringo bylaws do not provide guidelines for the</w:t>
      </w:r>
      <w:r>
        <w:rPr>
          <w:sz w:val="20"/>
          <w:szCs w:val="20"/>
          <w:color w:val="auto"/>
        </w:rPr>
        <w:tab/>
      </w:r>
      <w:r>
        <w:rPr>
          <w:rFonts w:ascii="Arial" w:cs="Arial" w:eastAsia="Arial" w:hAnsi="Arial"/>
          <w:sz w:val="15"/>
          <w:szCs w:val="15"/>
          <w:color w:val="auto"/>
        </w:rPr>
        <w:t>The Innovate/Protect bylaws provide that a stockholder</w:t>
      </w:r>
    </w:p>
    <w:p>
      <w:pPr>
        <w:spacing w:after="0" w:line="17"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submission of stockholder nominations and proposals by</w:t>
      </w:r>
      <w:r>
        <w:rPr>
          <w:sz w:val="20"/>
          <w:szCs w:val="20"/>
          <w:color w:val="auto"/>
        </w:rPr>
        <w:tab/>
      </w:r>
      <w:r>
        <w:rPr>
          <w:rFonts w:ascii="Arial" w:cs="Arial" w:eastAsia="Arial" w:hAnsi="Arial"/>
          <w:sz w:val="15"/>
          <w:szCs w:val="15"/>
          <w:color w:val="auto"/>
        </w:rPr>
        <w:t>of Innovate/Protect may bring a matter before a</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Vringo stockholders.</w:t>
      </w:r>
      <w:r>
        <w:rPr>
          <w:sz w:val="20"/>
          <w:szCs w:val="20"/>
          <w:color w:val="auto"/>
        </w:rPr>
        <w:tab/>
      </w:r>
      <w:r>
        <w:rPr>
          <w:rFonts w:ascii="Arial" w:cs="Arial" w:eastAsia="Arial" w:hAnsi="Arial"/>
          <w:sz w:val="15"/>
          <w:szCs w:val="15"/>
          <w:color w:val="auto"/>
        </w:rPr>
        <w:t>meeting of stockholders or for action by written</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consent without a meeting only if such stockholder</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matter is a proper matter for stockholder action and</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such stockholder shall have provided notice in writing</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Innovate/Protect’s board of directors.</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Adjournment of a Stockholder Meeting</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The Vringo Bylaws provide that any meeting of</w:t>
      </w:r>
      <w:r>
        <w:rPr>
          <w:sz w:val="20"/>
          <w:szCs w:val="20"/>
          <w:color w:val="auto"/>
        </w:rPr>
        <w:tab/>
      </w:r>
      <w:r>
        <w:rPr>
          <w:rFonts w:ascii="Arial" w:cs="Arial" w:eastAsia="Arial" w:hAnsi="Arial"/>
          <w:sz w:val="15"/>
          <w:szCs w:val="15"/>
          <w:color w:val="auto"/>
        </w:rPr>
        <w:t>The Innovate/Protect Bylaws provide a meeting of</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stockholders, annual or special, may adjourn from time to</w:t>
      </w:r>
      <w:r>
        <w:rPr>
          <w:sz w:val="20"/>
          <w:szCs w:val="20"/>
          <w:color w:val="auto"/>
        </w:rPr>
        <w:tab/>
      </w:r>
      <w:r>
        <w:rPr>
          <w:rFonts w:ascii="Arial" w:cs="Arial" w:eastAsia="Arial" w:hAnsi="Arial"/>
          <w:sz w:val="15"/>
          <w:szCs w:val="15"/>
          <w:color w:val="auto"/>
        </w:rPr>
        <w:t>stockholders may be adjourned by a majority of</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time to reconvene at the same or some other place, and</w:t>
      </w:r>
      <w:r>
        <w:rPr>
          <w:sz w:val="20"/>
          <w:szCs w:val="20"/>
          <w:color w:val="auto"/>
        </w:rPr>
        <w:tab/>
      </w:r>
      <w:r>
        <w:rPr>
          <w:rFonts w:ascii="Arial" w:cs="Arial" w:eastAsia="Arial" w:hAnsi="Arial"/>
          <w:sz w:val="15"/>
          <w:szCs w:val="15"/>
          <w:color w:val="auto"/>
        </w:rPr>
        <w:t>Innovate/Protect’s stockholders or directors to another</w:t>
      </w:r>
    </w:p>
    <w:p>
      <w:pPr>
        <w:spacing w:after="0" w:line="5"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notice need not be given of the adjourned meeting if the</w:t>
      </w:r>
      <w:r>
        <w:rPr>
          <w:sz w:val="20"/>
          <w:szCs w:val="20"/>
          <w:color w:val="auto"/>
        </w:rPr>
        <w:tab/>
      </w:r>
      <w:r>
        <w:rPr>
          <w:rFonts w:ascii="Arial" w:cs="Arial" w:eastAsia="Arial" w:hAnsi="Arial"/>
          <w:sz w:val="15"/>
          <w:szCs w:val="15"/>
          <w:color w:val="auto"/>
        </w:rPr>
        <w:t>place, date or time.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time, place, if any, thereof, and the means of remote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if any, by which stockholders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proxy holders may be deemed to be present in person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vote at such adjourned meeting are announced at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meeting at which the adjournment is taken. At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Vringo may transact any business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which might have been transacted at the original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meeting. If the adjournment is for more than 30 days, or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if after the adjournment a new record date is fixed for the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a notice of the adjourned meeting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shall be given to each stockholder of record entitled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vote at the meeting.</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Removal of Directors</w:t>
      </w:r>
    </w:p>
    <w:tbl>
      <w:tblPr>
        <w:tblLayout w:type="fixed"/>
        <w:tblInd w:w="0" w:type="dxa"/>
        <w:tblCellMar>
          <w:top w:w="0" w:type="dxa"/>
          <w:left w:w="0" w:type="dxa"/>
          <w:bottom w:w="0" w:type="dxa"/>
          <w:right w:w="0" w:type="dxa"/>
        </w:tblCellMar>
      </w:tblPr>
      <w:tr>
        <w:trPr>
          <w:trHeight w:val="193"/>
        </w:trPr>
        <w:tc>
          <w:tcPr>
            <w:tcW w:w="3900" w:type="dxa"/>
            <w:vAlign w:val="bottom"/>
            <w:gridSpan w:val="2"/>
          </w:tcPr>
          <w:p>
            <w:pPr>
              <w:spacing w:after="0" w:line="194" w:lineRule="exact"/>
              <w:rPr>
                <w:sz w:val="20"/>
                <w:szCs w:val="20"/>
                <w:color w:val="auto"/>
              </w:rPr>
            </w:pPr>
            <w:r>
              <w:rPr>
                <w:rFonts w:ascii="Arial" w:cs="Arial" w:eastAsia="Arial" w:hAnsi="Arial"/>
                <w:sz w:val="17"/>
                <w:szCs w:val="17"/>
                <w:color w:val="auto"/>
                <w:w w:val="96"/>
              </w:rPr>
              <w:t>The Vringo Certificate provides that no director (other</w:t>
            </w:r>
          </w:p>
        </w:tc>
        <w:tc>
          <w:tcPr>
            <w:tcW w:w="6140" w:type="dxa"/>
            <w:vAlign w:val="bottom"/>
          </w:tcPr>
          <w:p>
            <w:pPr>
              <w:ind w:left="100"/>
              <w:spacing w:after="0" w:line="194" w:lineRule="exact"/>
              <w:rPr>
                <w:sz w:val="20"/>
                <w:szCs w:val="20"/>
                <w:color w:val="auto"/>
              </w:rPr>
            </w:pPr>
            <w:r>
              <w:rPr>
                <w:rFonts w:ascii="Arial" w:cs="Arial" w:eastAsia="Arial" w:hAnsi="Arial"/>
                <w:sz w:val="17"/>
                <w:szCs w:val="17"/>
                <w:color w:val="auto"/>
              </w:rPr>
              <w:t>The Innovate/Protect bylaws provide that any or all of</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3"/>
              </w:rPr>
              <w:t>than directors elected by one or more series of Vringo’s</w:t>
            </w:r>
          </w:p>
        </w:tc>
        <w:tc>
          <w:tcPr>
            <w:tcW w:w="6140" w:type="dxa"/>
            <w:vAlign w:val="bottom"/>
          </w:tcPr>
          <w:p>
            <w:pPr>
              <w:ind w:left="100"/>
              <w:spacing w:after="0"/>
              <w:rPr>
                <w:sz w:val="20"/>
                <w:szCs w:val="20"/>
                <w:color w:val="auto"/>
              </w:rPr>
            </w:pPr>
            <w:r>
              <w:rPr>
                <w:rFonts w:ascii="Arial" w:cs="Arial" w:eastAsia="Arial" w:hAnsi="Arial"/>
                <w:sz w:val="17"/>
                <w:szCs w:val="17"/>
                <w:color w:val="auto"/>
              </w:rPr>
              <w:t>the directors may be removed for cause or without</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rPr>
              <w:t>preferred stock) may be removed from office by the</w:t>
            </w:r>
          </w:p>
        </w:tc>
        <w:tc>
          <w:tcPr>
            <w:tcW w:w="6140" w:type="dxa"/>
            <w:vAlign w:val="bottom"/>
          </w:tcPr>
          <w:p>
            <w:pPr>
              <w:ind w:left="100"/>
              <w:spacing w:after="0"/>
              <w:rPr>
                <w:sz w:val="20"/>
                <w:szCs w:val="20"/>
                <w:color w:val="auto"/>
              </w:rPr>
            </w:pPr>
            <w:r>
              <w:rPr>
                <w:rFonts w:ascii="Arial" w:cs="Arial" w:eastAsia="Arial" w:hAnsi="Arial"/>
                <w:sz w:val="17"/>
                <w:szCs w:val="17"/>
                <w:color w:val="auto"/>
              </w:rPr>
              <w:t>cause by the stockholders.</w:t>
            </w: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7"/>
              </w:rPr>
              <w:t>stockholders except for cause and, in addition to any</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4"/>
              </w:rPr>
              <w:t>other vote required by law, upon the affirmative vote of</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9"/>
              </w:rPr>
              <w:t>not less than 66 2/3% of the total voting power of all</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9"/>
              </w:rPr>
              <w:t>outstanding securities of Vringo then entitled to vote</w:t>
            </w:r>
          </w:p>
        </w:tc>
        <w:tc>
          <w:tcPr>
            <w:tcW w:w="6140" w:type="dxa"/>
            <w:vAlign w:val="bottom"/>
          </w:tcPr>
          <w:p>
            <w:pPr>
              <w:spacing w:after="0"/>
              <w:rPr>
                <w:sz w:val="17"/>
                <w:szCs w:val="17"/>
                <w:color w:val="auto"/>
              </w:rPr>
            </w:pPr>
          </w:p>
        </w:tc>
      </w:tr>
      <w:tr>
        <w:trPr>
          <w:trHeight w:val="200"/>
        </w:trPr>
        <w:tc>
          <w:tcPr>
            <w:tcW w:w="3900" w:type="dxa"/>
            <w:vAlign w:val="bottom"/>
            <w:gridSpan w:val="2"/>
          </w:tcPr>
          <w:p>
            <w:pPr>
              <w:spacing w:after="0"/>
              <w:rPr>
                <w:sz w:val="20"/>
                <w:szCs w:val="20"/>
                <w:color w:val="auto"/>
              </w:rPr>
            </w:pPr>
            <w:r>
              <w:rPr>
                <w:rFonts w:ascii="Arial" w:cs="Arial" w:eastAsia="Arial" w:hAnsi="Arial"/>
                <w:sz w:val="17"/>
                <w:szCs w:val="17"/>
                <w:color w:val="auto"/>
                <w:w w:val="91"/>
              </w:rPr>
              <w:t>generally in the election of directors, voting together as a</w:t>
            </w:r>
          </w:p>
        </w:tc>
        <w:tc>
          <w:tcPr>
            <w:tcW w:w="6140" w:type="dxa"/>
            <w:vAlign w:val="bottom"/>
          </w:tcPr>
          <w:p>
            <w:pPr>
              <w:spacing w:after="0"/>
              <w:rPr>
                <w:sz w:val="17"/>
                <w:szCs w:val="17"/>
                <w:color w:val="auto"/>
              </w:rPr>
            </w:pPr>
          </w:p>
        </w:tc>
      </w:tr>
      <w:tr>
        <w:trPr>
          <w:trHeight w:val="213"/>
        </w:trPr>
        <w:tc>
          <w:tcPr>
            <w:tcW w:w="3900" w:type="dxa"/>
            <w:vAlign w:val="bottom"/>
            <w:gridSpan w:val="2"/>
          </w:tcPr>
          <w:p>
            <w:pPr>
              <w:spacing w:after="0"/>
              <w:rPr>
                <w:sz w:val="20"/>
                <w:szCs w:val="20"/>
                <w:color w:val="auto"/>
              </w:rPr>
            </w:pPr>
            <w:r>
              <w:rPr>
                <w:rFonts w:ascii="Arial" w:cs="Arial" w:eastAsia="Arial" w:hAnsi="Arial"/>
                <w:sz w:val="17"/>
                <w:szCs w:val="17"/>
                <w:color w:val="auto"/>
              </w:rPr>
              <w:t>single class.</w:t>
            </w:r>
          </w:p>
        </w:tc>
        <w:tc>
          <w:tcPr>
            <w:tcW w:w="614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140" w:type="dxa"/>
            <w:vAlign w:val="bottom"/>
          </w:tcPr>
          <w:p>
            <w:pPr>
              <w:jc w:val="right"/>
              <w:ind w:right="5516"/>
              <w:spacing w:after="0"/>
              <w:rPr>
                <w:sz w:val="20"/>
                <w:szCs w:val="20"/>
                <w:color w:val="auto"/>
              </w:rPr>
            </w:pPr>
            <w:r>
              <w:rPr>
                <w:rFonts w:ascii="Arial" w:cs="Arial" w:eastAsia="Arial" w:hAnsi="Arial"/>
                <w:sz w:val="17"/>
                <w:szCs w:val="17"/>
                <w:color w:val="auto"/>
              </w:rPr>
              <w:t>200</w:t>
            </w:r>
          </w:p>
        </w:tc>
      </w:tr>
      <w:tr>
        <w:trPr>
          <w:trHeight w:val="150"/>
        </w:trPr>
        <w:tc>
          <w:tcPr>
            <w:tcW w:w="1140" w:type="dxa"/>
            <w:vAlign w:val="bottom"/>
          </w:tcPr>
          <w:p>
            <w:pPr>
              <w:spacing w:after="0"/>
              <w:rPr>
                <w:sz w:val="13"/>
                <w:szCs w:val="13"/>
                <w:color w:val="auto"/>
              </w:rPr>
            </w:pPr>
          </w:p>
        </w:tc>
        <w:tc>
          <w:tcPr>
            <w:tcW w:w="2760" w:type="dxa"/>
            <w:vAlign w:val="bottom"/>
            <w:tcBorders>
              <w:bottom w:val="single" w:sz="8" w:color="9A9A9A"/>
            </w:tcBorders>
          </w:tcPr>
          <w:p>
            <w:pPr>
              <w:spacing w:after="0"/>
              <w:rPr>
                <w:sz w:val="13"/>
                <w:szCs w:val="13"/>
                <w:color w:val="auto"/>
              </w:rPr>
            </w:pPr>
          </w:p>
        </w:tc>
        <w:tc>
          <w:tcPr>
            <w:tcW w:w="614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6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10" w:name="page211"/>
    <w:bookmarkEnd w:id="210"/>
    <w:tbl>
      <w:tblPr>
        <w:tblLayout w:type="fixed"/>
        <w:tblInd w:w="3" w:type="dxa"/>
        <w:tblCellMar>
          <w:top w:w="0" w:type="dxa"/>
          <w:left w:w="0" w:type="dxa"/>
          <w:bottom w:w="0" w:type="dxa"/>
          <w:right w:w="0" w:type="dxa"/>
        </w:tblCellMar>
      </w:tblPr>
      <w:tr>
        <w:trPr>
          <w:trHeight w:val="149"/>
        </w:trPr>
        <w:tc>
          <w:tcPr>
            <w:tcW w:w="386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0" w:type="dxa"/>
            <w:vAlign w:val="bottom"/>
            <w:tcBorders>
              <w:top w:val="single" w:sz="8" w:color="0000EE"/>
              <w:bottom w:val="single" w:sz="8" w:color="auto"/>
            </w:tcBorders>
          </w:tcPr>
          <w:p>
            <w:pPr>
              <w:spacing w:after="0"/>
              <w:rPr>
                <w:sz w:val="14"/>
                <w:szCs w:val="14"/>
                <w:color w:val="auto"/>
              </w:rPr>
            </w:pPr>
          </w:p>
        </w:tc>
        <w:tc>
          <w:tcPr>
            <w:tcW w:w="1220" w:type="dxa"/>
            <w:vAlign w:val="bottom"/>
            <w:tcBorders>
              <w:top w:val="single" w:sz="8" w:color="0000EE"/>
              <w:bottom w:val="single" w:sz="8" w:color="auto"/>
            </w:tcBorders>
          </w:tcPr>
          <w:p>
            <w:pPr>
              <w:spacing w:after="0"/>
              <w:rPr>
                <w:sz w:val="14"/>
                <w:szCs w:val="14"/>
                <w:color w:val="auto"/>
              </w:rPr>
            </w:pPr>
          </w:p>
        </w:tc>
        <w:tc>
          <w:tcPr>
            <w:tcW w:w="24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Vringo</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on</w:t>
            </w:r>
          </w:p>
        </w:tc>
        <w:tc>
          <w:tcPr>
            <w:tcW w:w="2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Innovate/Protect</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40" w:type="dxa"/>
            <w:vAlign w:val="bottom"/>
          </w:tcPr>
          <w:p>
            <w:pPr>
              <w:ind w:left="1540"/>
              <w:spacing w:after="0" w:line="180" w:lineRule="exact"/>
              <w:rPr>
                <w:sz w:val="20"/>
                <w:szCs w:val="20"/>
                <w:color w:val="auto"/>
              </w:rPr>
            </w:pPr>
            <w:r>
              <w:rPr>
                <w:rFonts w:ascii="Arial" w:cs="Arial" w:eastAsia="Arial" w:hAnsi="Arial"/>
                <w:sz w:val="17"/>
                <w:szCs w:val="17"/>
                <w:b w:val="1"/>
                <w:bCs w:val="1"/>
                <w:color w:val="auto"/>
                <w:w w:val="89"/>
              </w:rPr>
              <w:t>Restrictions</w:t>
            </w:r>
          </w:p>
        </w:tc>
        <w:tc>
          <w:tcPr>
            <w:tcW w:w="140" w:type="dxa"/>
            <w:vAlign w:val="bottom"/>
            <w:vMerge w:val="continue"/>
          </w:tcPr>
          <w:p>
            <w:pPr>
              <w:spacing w:after="0"/>
              <w:rPr>
                <w:sz w:val="15"/>
                <w:szCs w:val="15"/>
                <w:color w:val="auto"/>
              </w:rPr>
            </w:pPr>
          </w:p>
        </w:tc>
        <w:tc>
          <w:tcPr>
            <w:tcW w:w="3720" w:type="dxa"/>
            <w:vAlign w:val="bottom"/>
            <w:gridSpan w:val="2"/>
          </w:tcPr>
          <w:p>
            <w:pPr>
              <w:ind w:left="80"/>
              <w:spacing w:after="0" w:line="180" w:lineRule="exact"/>
              <w:rPr>
                <w:sz w:val="20"/>
                <w:szCs w:val="20"/>
                <w:color w:val="auto"/>
              </w:rPr>
            </w:pPr>
            <w:r>
              <w:rPr>
                <w:rFonts w:ascii="Arial" w:cs="Arial" w:eastAsia="Arial" w:hAnsi="Arial"/>
                <w:sz w:val="17"/>
                <w:szCs w:val="17"/>
                <w:b w:val="1"/>
                <w:bCs w:val="1"/>
                <w:color w:val="auto"/>
              </w:rPr>
              <w:t>Transfers</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6"/>
              </w:rPr>
              <w:t>The Vringo bylaws provide that Vringo shall have the</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The Innovate/Protect bylaws provide that upon</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5"/>
              </w:rPr>
              <w:t>power to enter into and perform any lawful agreement</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4"/>
              </w:rPr>
              <w:t>compliance with provisions restricting the transfer or</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8"/>
              </w:rPr>
              <w:t>with any number of stockholders of any one or more</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registration of transfer of shares of stock, if any,</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88"/>
              </w:rPr>
              <w:t>classes of stock of Vringo to restrict the transfer of shares</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7"/>
              </w:rPr>
              <w:t>transfers or registration of transfer of shares of the</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w w:val="91"/>
              </w:rPr>
              <w:t>of stock of Vringo of any one or more classes owned by</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95"/>
              </w:rPr>
              <w:t>stock of Innovate/Protect shall be made only on the</w:t>
            </w:r>
          </w:p>
        </w:tc>
        <w:tc>
          <w:tcPr>
            <w:tcW w:w="0" w:type="dxa"/>
            <w:vAlign w:val="bottom"/>
          </w:tcPr>
          <w:p>
            <w:pPr>
              <w:spacing w:after="0"/>
              <w:rPr>
                <w:sz w:val="1"/>
                <w:szCs w:val="1"/>
                <w:color w:val="auto"/>
              </w:rPr>
            </w:pPr>
          </w:p>
        </w:tc>
      </w:tr>
      <w:tr>
        <w:trPr>
          <w:trHeight w:val="200"/>
        </w:trPr>
        <w:tc>
          <w:tcPr>
            <w:tcW w:w="3860" w:type="dxa"/>
            <w:vAlign w:val="bottom"/>
            <w:gridSpan w:val="3"/>
          </w:tcPr>
          <w:p>
            <w:pPr>
              <w:spacing w:after="0"/>
              <w:rPr>
                <w:sz w:val="20"/>
                <w:szCs w:val="20"/>
                <w:color w:val="auto"/>
              </w:rPr>
            </w:pPr>
            <w:r>
              <w:rPr>
                <w:rFonts w:ascii="Arial" w:cs="Arial" w:eastAsia="Arial" w:hAnsi="Arial"/>
                <w:sz w:val="17"/>
                <w:szCs w:val="17"/>
                <w:color w:val="auto"/>
              </w:rPr>
              <w:t>such stockholders.</w:t>
            </w: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w w:val="89"/>
              </w:rPr>
              <w:t>stock ledger of the corporation by the registered holder</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7"/>
                <w:szCs w:val="17"/>
                <w:color w:val="auto"/>
              </w:rPr>
              <w:t>thereof or an authorized representative.</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300" w:type="dxa"/>
            <w:vAlign w:val="bottom"/>
            <w:gridSpan w:val="4"/>
          </w:tcPr>
          <w:p>
            <w:pPr>
              <w:ind w:left="1160"/>
              <w:spacing w:after="0"/>
              <w:rPr>
                <w:sz w:val="20"/>
                <w:szCs w:val="20"/>
                <w:color w:val="auto"/>
              </w:rPr>
            </w:pPr>
            <w:r>
              <w:rPr>
                <w:rFonts w:ascii="Arial" w:cs="Arial" w:eastAsia="Arial" w:hAnsi="Arial"/>
                <w:sz w:val="17"/>
                <w:szCs w:val="17"/>
                <w:b w:val="1"/>
                <w:bCs w:val="1"/>
                <w:color w:val="auto"/>
              </w:rPr>
              <w:t>Amendment of Charter and Bylaws</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1"/>
              </w:rPr>
              <w:t>The Vringo Certificate provides that Vringo’s board</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3520" w:type="dxa"/>
            <w:vAlign w:val="bottom"/>
          </w:tcPr>
          <w:p>
            <w:pPr>
              <w:ind w:left="140"/>
              <w:spacing w:after="0"/>
              <w:rPr>
                <w:sz w:val="20"/>
                <w:szCs w:val="20"/>
                <w:color w:val="auto"/>
              </w:rPr>
            </w:pPr>
            <w:r>
              <w:rPr>
                <w:rFonts w:ascii="Arial" w:cs="Arial" w:eastAsia="Arial" w:hAnsi="Arial"/>
                <w:sz w:val="17"/>
                <w:szCs w:val="17"/>
                <w:color w:val="auto"/>
              </w:rPr>
              <w:t>The Innovate/Protect bylaws provide that</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1"/>
              </w:rPr>
              <w:t>of directors is expressly authorized to make, adopt,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Innovate/Protect’s bylaws may be amended,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7"/>
              </w:rPr>
              <w:t>amend, alter, rescind or repeal Vringo’s Bylaws.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9"/>
              </w:rPr>
              <w:t>added to, rescinded or repealed at any meeting of</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rPr>
              <w:t>Notwithstanding the foregoing, Vringo’s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Innovate/Protect’s board of directors or</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5"/>
              </w:rPr>
              <w:t>stockholders may adopt, amend, alter, rescind or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89"/>
              </w:rPr>
              <w:t>stockholders, provided that notice of the proposed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rPr>
              <w:t>repeal Vringo’s Bylaws with, in addition to any</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w w:val="96"/>
              </w:rPr>
              <w:t>change was given in the notice of the meeting.</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3660" w:type="dxa"/>
            <w:vAlign w:val="bottom"/>
            <w:gridSpan w:val="2"/>
          </w:tcPr>
          <w:p>
            <w:pPr>
              <w:ind w:left="140"/>
              <w:spacing w:after="0"/>
              <w:rPr>
                <w:sz w:val="20"/>
                <w:szCs w:val="20"/>
                <w:color w:val="auto"/>
              </w:rPr>
            </w:pPr>
            <w:r>
              <w:rPr>
                <w:rFonts w:ascii="Arial" w:cs="Arial" w:eastAsia="Arial" w:hAnsi="Arial"/>
                <w:sz w:val="17"/>
                <w:szCs w:val="17"/>
                <w:color w:val="auto"/>
                <w:w w:val="95"/>
              </w:rPr>
              <w:t>other vote required by law, the affirmative vote of</w:t>
            </w:r>
          </w:p>
        </w:tc>
        <w:tc>
          <w:tcPr>
            <w:tcW w:w="14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auto"/>
              </w:rPr>
              <w:t>•</w:t>
            </w:r>
          </w:p>
        </w:tc>
        <w:tc>
          <w:tcPr>
            <w:tcW w:w="3520" w:type="dxa"/>
            <w:vAlign w:val="bottom"/>
            <w:vMerge w:val="restart"/>
          </w:tcPr>
          <w:p>
            <w:pPr>
              <w:ind w:left="140"/>
              <w:spacing w:after="0"/>
              <w:rPr>
                <w:sz w:val="20"/>
                <w:szCs w:val="20"/>
                <w:color w:val="auto"/>
              </w:rPr>
            </w:pPr>
            <w:r>
              <w:rPr>
                <w:rFonts w:ascii="Arial" w:cs="Arial" w:eastAsia="Arial" w:hAnsi="Arial"/>
                <w:sz w:val="17"/>
                <w:szCs w:val="17"/>
                <w:color w:val="auto"/>
                <w:w w:val="90"/>
              </w:rPr>
              <w:t>The Innovate/Protect Certificate provides that the</w:t>
            </w:r>
          </w:p>
        </w:tc>
        <w:tc>
          <w:tcPr>
            <w:tcW w:w="0" w:type="dxa"/>
            <w:vAlign w:val="bottom"/>
          </w:tcPr>
          <w:p>
            <w:pPr>
              <w:spacing w:after="0"/>
              <w:rPr>
                <w:sz w:val="1"/>
                <w:szCs w:val="1"/>
                <w:color w:val="auto"/>
              </w:rPr>
            </w:pPr>
          </w:p>
        </w:tc>
      </w:tr>
      <w:tr>
        <w:trPr>
          <w:trHeight w:val="127"/>
        </w:trPr>
        <w:tc>
          <w:tcPr>
            <w:tcW w:w="200" w:type="dxa"/>
            <w:vAlign w:val="bottom"/>
          </w:tcPr>
          <w:p>
            <w:pPr>
              <w:spacing w:after="0"/>
              <w:rPr>
                <w:sz w:val="11"/>
                <w:szCs w:val="11"/>
                <w:color w:val="auto"/>
              </w:rPr>
            </w:pPr>
          </w:p>
        </w:tc>
        <w:tc>
          <w:tcPr>
            <w:tcW w:w="3660" w:type="dxa"/>
            <w:vAlign w:val="bottom"/>
            <w:gridSpan w:val="2"/>
          </w:tcPr>
          <w:p>
            <w:pPr>
              <w:ind w:left="140"/>
              <w:spacing w:after="0" w:line="127" w:lineRule="exact"/>
              <w:rPr>
                <w:sz w:val="20"/>
                <w:szCs w:val="20"/>
                <w:color w:val="auto"/>
              </w:rPr>
            </w:pPr>
            <w:r>
              <w:rPr>
                <w:rFonts w:ascii="Arial" w:cs="Arial" w:eastAsia="Arial" w:hAnsi="Arial"/>
                <w:sz w:val="14"/>
                <w:szCs w:val="14"/>
                <w:color w:val="auto"/>
              </w:rPr>
              <w:t>the holders of not less than 66 2/3% of the total</w:t>
            </w:r>
          </w:p>
        </w:tc>
        <w:tc>
          <w:tcPr>
            <w:tcW w:w="1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-2307590</wp:posOffset>
            </wp:positionV>
            <wp:extent cx="490156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01565" cy="8255"/>
                    </a:xfrm>
                    <a:prstGeom prst="rect">
                      <a:avLst/>
                    </a:prstGeom>
                    <a:noFill/>
                  </pic:spPr>
                </pic:pic>
              </a:graphicData>
            </a:graphic>
          </wp:anchor>
        </w:drawing>
      </w:r>
    </w:p>
    <w:tbl>
      <w:tblPr>
        <w:tblLayout w:type="fixed"/>
        <w:tblInd w:w="343" w:type="dxa"/>
        <w:tblCellMar>
          <w:top w:w="0" w:type="dxa"/>
          <w:left w:w="0" w:type="dxa"/>
          <w:bottom w:w="0" w:type="dxa"/>
          <w:right w:w="0" w:type="dxa"/>
        </w:tblCellMar>
      </w:tblPr>
      <w:tr>
        <w:trPr>
          <w:trHeight w:val="186"/>
        </w:trPr>
        <w:tc>
          <w:tcPr>
            <w:tcW w:w="3720" w:type="dxa"/>
            <w:vAlign w:val="bottom"/>
            <w:vMerge w:val="restart"/>
          </w:tcPr>
          <w:p>
            <w:pPr>
              <w:spacing w:after="0"/>
              <w:rPr>
                <w:sz w:val="20"/>
                <w:szCs w:val="20"/>
                <w:color w:val="auto"/>
              </w:rPr>
            </w:pPr>
            <w:r>
              <w:rPr>
                <w:rFonts w:ascii="Arial" w:cs="Arial" w:eastAsia="Arial" w:hAnsi="Arial"/>
                <w:sz w:val="17"/>
                <w:szCs w:val="17"/>
                <w:color w:val="auto"/>
                <w:w w:val="97"/>
              </w:rPr>
              <w:t>voting power of all outstanding securities of Vringo</w:t>
            </w:r>
          </w:p>
        </w:tc>
        <w:tc>
          <w:tcPr>
            <w:tcW w:w="3580" w:type="dxa"/>
            <w:vAlign w:val="bottom"/>
          </w:tcPr>
          <w:p>
            <w:pPr>
              <w:ind w:left="280"/>
              <w:spacing w:after="0" w:line="186" w:lineRule="exact"/>
              <w:rPr>
                <w:sz w:val="20"/>
                <w:szCs w:val="20"/>
                <w:color w:val="auto"/>
              </w:rPr>
            </w:pPr>
            <w:r>
              <w:rPr>
                <w:rFonts w:ascii="Arial" w:cs="Arial" w:eastAsia="Arial" w:hAnsi="Arial"/>
                <w:sz w:val="17"/>
                <w:szCs w:val="17"/>
                <w:color w:val="auto"/>
                <w:w w:val="88"/>
              </w:rPr>
              <w:t>power to make, alter, or repeal the bylaws, and to</w:t>
            </w: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vMerge w:val="restart"/>
          </w:tcPr>
          <w:p>
            <w:pPr>
              <w:ind w:left="280"/>
              <w:spacing w:after="0"/>
              <w:rPr>
                <w:sz w:val="20"/>
                <w:szCs w:val="20"/>
                <w:color w:val="auto"/>
              </w:rPr>
            </w:pPr>
            <w:r>
              <w:rPr>
                <w:rFonts w:ascii="Arial" w:cs="Arial" w:eastAsia="Arial" w:hAnsi="Arial"/>
                <w:sz w:val="17"/>
                <w:szCs w:val="17"/>
                <w:color w:val="auto"/>
              </w:rPr>
              <w:t>adopt any new bylaw, shall be vested in</w:t>
            </w:r>
          </w:p>
        </w:tc>
        <w:tc>
          <w:tcPr>
            <w:tcW w:w="0" w:type="dxa"/>
            <w:vAlign w:val="bottom"/>
          </w:tcPr>
          <w:p>
            <w:pPr>
              <w:spacing w:after="0"/>
              <w:rPr>
                <w:sz w:val="1"/>
                <w:szCs w:val="1"/>
                <w:color w:val="auto"/>
              </w:rPr>
            </w:pPr>
          </w:p>
        </w:tc>
      </w:tr>
      <w:tr>
        <w:trPr>
          <w:trHeight w:val="113"/>
        </w:trPr>
        <w:tc>
          <w:tcPr>
            <w:tcW w:w="3720" w:type="dxa"/>
            <w:vAlign w:val="bottom"/>
            <w:vMerge w:val="restart"/>
          </w:tcPr>
          <w:p>
            <w:pPr>
              <w:spacing w:after="0"/>
              <w:rPr>
                <w:sz w:val="20"/>
                <w:szCs w:val="20"/>
                <w:color w:val="auto"/>
              </w:rPr>
            </w:pPr>
            <w:r>
              <w:rPr>
                <w:rFonts w:ascii="Arial" w:cs="Arial" w:eastAsia="Arial" w:hAnsi="Arial"/>
                <w:sz w:val="17"/>
                <w:szCs w:val="17"/>
                <w:color w:val="auto"/>
              </w:rPr>
              <w:t>then entitled to vote generally in the election of</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vMerge w:val="restart"/>
          </w:tcPr>
          <w:p>
            <w:pPr>
              <w:ind w:left="280"/>
              <w:spacing w:after="0"/>
              <w:rPr>
                <w:sz w:val="20"/>
                <w:szCs w:val="20"/>
                <w:color w:val="auto"/>
              </w:rPr>
            </w:pPr>
            <w:r>
              <w:rPr>
                <w:rFonts w:ascii="Arial" w:cs="Arial" w:eastAsia="Arial" w:hAnsi="Arial"/>
                <w:sz w:val="17"/>
                <w:szCs w:val="17"/>
                <w:color w:val="auto"/>
              </w:rPr>
              <w:t>Innovate/Protect’s board of directors.</w:t>
            </w:r>
          </w:p>
        </w:tc>
        <w:tc>
          <w:tcPr>
            <w:tcW w:w="0" w:type="dxa"/>
            <w:vAlign w:val="bottom"/>
          </w:tcPr>
          <w:p>
            <w:pPr>
              <w:spacing w:after="0"/>
              <w:rPr>
                <w:sz w:val="1"/>
                <w:szCs w:val="1"/>
                <w:color w:val="auto"/>
              </w:rPr>
            </w:pPr>
          </w:p>
        </w:tc>
      </w:tr>
      <w:tr>
        <w:trPr>
          <w:trHeight w:val="125"/>
        </w:trPr>
        <w:tc>
          <w:tcPr>
            <w:tcW w:w="3720" w:type="dxa"/>
            <w:vAlign w:val="bottom"/>
            <w:vMerge w:val="restart"/>
          </w:tcPr>
          <w:p>
            <w:pPr>
              <w:spacing w:after="0"/>
              <w:rPr>
                <w:sz w:val="20"/>
                <w:szCs w:val="20"/>
                <w:color w:val="auto"/>
              </w:rPr>
            </w:pPr>
            <w:r>
              <w:rPr>
                <w:rFonts w:ascii="Arial" w:cs="Arial" w:eastAsia="Arial" w:hAnsi="Arial"/>
                <w:sz w:val="17"/>
                <w:szCs w:val="17"/>
                <w:color w:val="auto"/>
              </w:rPr>
              <w:t>directors, voting together as a single class.</w:t>
            </w: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20" w:type="dxa"/>
            <w:vAlign w:val="bottom"/>
            <w:vMerge w:val="continue"/>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43" w:right="6279" w:hanging="343"/>
        <w:spacing w:after="0" w:line="248" w:lineRule="auto"/>
        <w:tabs>
          <w:tab w:leader="none" w:pos="34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Vringo Certificate may be amended by the affirmative vote of the holders of a majority of the shares of the issued and outstanding stock of Vringo entitled to vote.</w:t>
      </w:r>
    </w:p>
    <w:p>
      <w:pPr>
        <w:spacing w:after="0" w:line="200" w:lineRule="exact"/>
        <w:rPr>
          <w:sz w:val="20"/>
          <w:szCs w:val="20"/>
          <w:color w:val="auto"/>
        </w:rPr>
      </w:pPr>
    </w:p>
    <w:p>
      <w:pPr>
        <w:spacing w:after="0" w:line="295" w:lineRule="exact"/>
        <w:rPr>
          <w:sz w:val="20"/>
          <w:szCs w:val="20"/>
          <w:color w:val="auto"/>
        </w:rPr>
      </w:pPr>
    </w:p>
    <w:p>
      <w:pPr>
        <w:ind w:left="4203"/>
        <w:spacing w:after="0"/>
        <w:rPr>
          <w:sz w:val="20"/>
          <w:szCs w:val="20"/>
          <w:color w:val="auto"/>
        </w:rPr>
      </w:pPr>
      <w:r>
        <w:rPr>
          <w:rFonts w:ascii="Arial" w:cs="Arial" w:eastAsia="Arial" w:hAnsi="Arial"/>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93980</wp:posOffset>
            </wp:positionV>
            <wp:extent cx="5674360" cy="571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102"/>
          </w:cols>
          <w:pgMar w:left="357" w:top="742" w:right="1440"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LEGAL MATTERS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The validity of the shares of common stock offered hereby by Vringo and certain federal income tax consequences of the Merger will be passed upon by Mintz, Levin, Cohn, Ferris, Glovsky and Popeo, P.C., New York, New York.</w:t>
      </w:r>
    </w:p>
    <w:p>
      <w:pPr>
        <w:spacing w:after="0" w:line="13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EXPERTS</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included in this proxy statement/prospectus included herein in reliance upon the report of Somekh Chaikin, a member firm of KPMG International, an independent registered public accounting firm, appearing elsewhere herein, and are included in reliance upon the authority of such firm as experts in accounting and auditing.</w:t>
      </w:r>
    </w:p>
    <w:p>
      <w:pPr>
        <w:spacing w:after="0" w:line="53"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consolidated financial statements of Innovate/Protect, Inc. (a development stage company) as of December 31, 2011 and for the period from June 8, 2011 (inception) to December 31, 2011, included in this proxy statement/prospectus and elsewhere in the registration statement have been so included herein in reliance upon the report of Grant Thornton LLP, an independent registered public accounting firm, upon the authority of such firm as experts in accounting and auditing.</w:t>
      </w:r>
    </w:p>
    <w:p>
      <w:pPr>
        <w:spacing w:after="0" w:line="200" w:lineRule="exact"/>
        <w:rPr>
          <w:sz w:val="20"/>
          <w:szCs w:val="20"/>
          <w:color w:val="auto"/>
        </w:rPr>
      </w:pPr>
    </w:p>
    <w:p>
      <w:pPr>
        <w:spacing w:after="0" w:line="27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FUTURE STOCKHOLDER PROPOSALS</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Stockholder proposals that are intended to be included in the proxy materials for Vringo next annual meeting of stockholders must comply with all of the requirements of Rule 14a-8 of the Exchange. Under this rule, stockholder proposals that are intended to be presented at Vringo next annual meeting of stockholders, but which are not submitted for inclusion in Vringo’s proxy statement for the applicable annual meeting of stockholders, must be received by Vringo on or before March 14, 2013 so that they may be considered by Vringo for inclusion in its proxy statement relating to that meeting. Vringo stockholder proposals must be submitted in writing to the Secretary of Vringo (Attn: Corporate Secretary, Vringo, Inc., 44 W. 28th Street, Suite 1414, New York, New York 10001).</w:t>
      </w:r>
    </w:p>
    <w:p>
      <w:pPr>
        <w:spacing w:after="0" w:line="180"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109"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Vringo files annual, quarterly and current reports, proxy statements and other information with the SEC. You may read and copy any of this information at the SEC’s public reference room at 100 F Street, N.E., Washington, D.C. 20549. Please call the SEC at 1-800-SEC-0330 or 202-942-8090 for further information on the public reference room. Vringo’s SEC filings are also available to the public on the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The reports and other information filed by Vringo with the SEC are also available at Vringo’s website at </w:t>
      </w:r>
      <w:r>
        <w:rPr>
          <w:rFonts w:ascii="Arial" w:cs="Arial" w:eastAsia="Arial" w:hAnsi="Arial"/>
          <w:sz w:val="17"/>
          <w:szCs w:val="17"/>
          <w:i w:val="1"/>
          <w:iCs w:val="1"/>
          <w:color w:val="auto"/>
        </w:rPr>
        <w:t>www.vringo.com</w:t>
      </w:r>
      <w:r>
        <w:rPr>
          <w:rFonts w:ascii="Arial" w:cs="Arial" w:eastAsia="Arial" w:hAnsi="Arial"/>
          <w:sz w:val="17"/>
          <w:szCs w:val="17"/>
          <w:color w:val="auto"/>
        </w:rPr>
        <w:t>. The information contained on the SEC website and the Vringo’s website is specifically not incorporated by reference into this proxy statement/prospectus, and should not be considered to be a part of this proxy statement/prospectus.</w:t>
      </w:r>
    </w:p>
    <w:p>
      <w:pPr>
        <w:spacing w:after="0" w:line="84"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Vringo has filed with the SEC a Registration Statement on Form S-4 of which this proxy statement/prospectus forms a part. The registration statement registers the shares of Vringo common stock to be issued to Innovate/Protect stockholders in connection with the Merger. The registration statement, including the exhibits and annexes attached thereto, contains additional relevant information about the common stock of Vringo. The rules and regulations of the SEC allow Vringo and Innovate/Protect to omit certain information included in the registration statement from this proxy statement/prospectus.</w:t>
      </w:r>
    </w:p>
    <w:p>
      <w:pPr>
        <w:spacing w:after="0" w:line="68"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This document is a prospectus and a proxy statement Vringo for the Vringo annual meeting. You should rely only on the information contained in this proxy statement/prospectus to vote your shares at the Vringo annual meeting. Vringo has not authorized anyone to give any information or make any representation about the Merger or Vringo that is different from, or in addition to, the information or representations contained in this proxy statement/prospectus. Therefore, if anyone does give you information or representations of this sort, you should not rely on it or them. The information contained in this proxy statement/prospectus speaks only as of the date of this document unless the information specifically indicates that another date applies.</w:t>
      </w:r>
    </w:p>
    <w:p>
      <w:pPr>
        <w:spacing w:after="0" w:line="84" w:lineRule="exact"/>
        <w:rPr>
          <w:sz w:val="20"/>
          <w:szCs w:val="20"/>
          <w:color w:val="auto"/>
        </w:rPr>
      </w:pPr>
    </w:p>
    <w:p>
      <w:pPr>
        <w:jc w:val="center"/>
        <w:ind w:right="1219"/>
        <w:spacing w:after="0"/>
        <w:rPr>
          <w:sz w:val="20"/>
          <w:szCs w:val="20"/>
          <w:color w:val="auto"/>
        </w:rPr>
      </w:pPr>
      <w:r>
        <w:rPr>
          <w:rFonts w:ascii="Arial" w:cs="Arial" w:eastAsia="Arial" w:hAnsi="Arial"/>
          <w:sz w:val="16"/>
          <w:szCs w:val="16"/>
          <w:color w:val="auto"/>
        </w:rPr>
        <w:t>You can obtain documents from Vringo by requesting them in writing or by telephone from Vringo at the following address:</w:t>
      </w:r>
    </w:p>
    <w:p>
      <w:pPr>
        <w:spacing w:after="0" w:line="1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Vringo, Inc.</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44 W. 28th Street, Suite 1414</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New York, New York 10001</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Attn: Corporate Secretary</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(646) 525-4319</w:t>
      </w:r>
    </w:p>
    <w:p>
      <w:pPr>
        <w:spacing w:after="0" w:line="93"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If you are a Vringo stockholder, you may also obtain the documents referred to in this proxy statement/prospectus by requesting them in writing or by telephone from Clifford Weinstein, Executive Vice President, Vringo, Inc. at telephone number 646-532-6777 or via email address cliff@vringo.com or Vringo’s proxy solicitor at the address and the telephone number listed below:</w:t>
      </w:r>
    </w:p>
    <w:p>
      <w:pPr>
        <w:spacing w:after="0" w:line="40"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Morrow &amp; Co., LLC</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470 West Avenue</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Stamford, Connecticut 06902</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(203) 658-9400</w:t>
      </w:r>
    </w:p>
    <w:p>
      <w:pPr>
        <w:spacing w:after="0" w:line="9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This proxy statement/prospectus, a form of proxy card and Vringo’s Annual Report to Stockholders for 2011 are available on the Internet at </w:t>
      </w:r>
      <w:r>
        <w:rPr>
          <w:rFonts w:ascii="Arial" w:cs="Arial" w:eastAsia="Arial" w:hAnsi="Arial"/>
          <w:sz w:val="17"/>
          <w:szCs w:val="17"/>
          <w:i w:val="1"/>
          <w:iCs w:val="1"/>
          <w:color w:val="auto"/>
        </w:rPr>
        <w:t>https://materials.proxyvote.com/92911N</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7"/>
          <w:szCs w:val="17"/>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1"/>
                <w:szCs w:val="11"/>
                <w:b w:val="1"/>
                <w:bCs w:val="1"/>
                <w:color w:val="auto"/>
                <w:w w:val="75"/>
              </w:rPr>
              <w:t>Page</w:t>
            </w:r>
          </w:p>
        </w:tc>
        <w:tc>
          <w:tcPr>
            <w:tcW w:w="2420" w:type="dxa"/>
            <w:vAlign w:val="bottom"/>
          </w:tcPr>
          <w:p>
            <w:pPr>
              <w:spacing w:after="0"/>
              <w:rPr>
                <w:sz w:val="14"/>
                <w:szCs w:val="14"/>
                <w:color w:val="auto"/>
              </w:rPr>
            </w:pPr>
          </w:p>
        </w:tc>
      </w:tr>
      <w:tr>
        <w:trPr>
          <w:trHeight w:val="193"/>
        </w:trPr>
        <w:tc>
          <w:tcPr>
            <w:tcW w:w="6700" w:type="dxa"/>
            <w:vAlign w:val="bottom"/>
            <w:gridSpan w:val="13"/>
            <w:shd w:val="clear" w:color="auto" w:fill="CCFFCC"/>
          </w:tcPr>
          <w:p>
            <w:pPr>
              <w:spacing w:after="0" w:line="193" w:lineRule="exact"/>
              <w:rPr>
                <w:sz w:val="20"/>
                <w:szCs w:val="20"/>
                <w:color w:val="auto"/>
              </w:rPr>
            </w:pPr>
            <w:r>
              <w:rPr>
                <w:rFonts w:ascii="Arial" w:cs="Arial" w:eastAsia="Arial" w:hAnsi="Arial"/>
                <w:sz w:val="17"/>
                <w:szCs w:val="17"/>
                <w:color w:val="auto"/>
              </w:rPr>
              <w:t>CONSOLIDATED FINANCIAL STATEMENTS (Unaudited)</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188"/>
        </w:trPr>
        <w:tc>
          <w:tcPr>
            <w:tcW w:w="6700" w:type="dxa"/>
            <w:vAlign w:val="bottom"/>
            <w:gridSpan w:val="13"/>
          </w:tcPr>
          <w:p>
            <w:pPr>
              <w:spacing w:after="0" w:line="188" w:lineRule="exact"/>
              <w:rPr>
                <w:sz w:val="20"/>
                <w:szCs w:val="20"/>
                <w:color w:val="auto"/>
              </w:rPr>
            </w:pPr>
            <w:r>
              <w:rPr>
                <w:rFonts w:ascii="Arial" w:cs="Arial" w:eastAsia="Arial" w:hAnsi="Arial"/>
                <w:sz w:val="17"/>
                <w:szCs w:val="17"/>
                <w:color w:val="auto"/>
              </w:rPr>
              <w:t>AS OF MARCH 31, 2012 AND DECEMBER 31, 2011 AND FOR THE THREE MONTHS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160" w:type="dxa"/>
            <w:vAlign w:val="bottom"/>
          </w:tcPr>
          <w:p>
            <w:pPr>
              <w:spacing w:after="0"/>
              <w:rPr>
                <w:sz w:val="17"/>
                <w:szCs w:val="17"/>
                <w:color w:val="auto"/>
              </w:rPr>
            </w:pPr>
          </w:p>
        </w:tc>
        <w:tc>
          <w:tcPr>
            <w:tcW w:w="6540" w:type="dxa"/>
            <w:vAlign w:val="bottom"/>
            <w:gridSpan w:val="12"/>
          </w:tcPr>
          <w:p>
            <w:pPr>
              <w:spacing w:after="0"/>
              <w:rPr>
                <w:sz w:val="20"/>
                <w:szCs w:val="20"/>
                <w:color w:val="auto"/>
              </w:rPr>
            </w:pPr>
            <w:r>
              <w:rPr>
                <w:rFonts w:ascii="Arial" w:cs="Arial" w:eastAsia="Arial" w:hAnsi="Arial"/>
                <w:sz w:val="17"/>
                <w:szCs w:val="17"/>
                <w:color w:val="auto"/>
              </w:rPr>
              <w:t>ENDED MARCH 31, 2012 AND MARCH 31, 2011 AND FOR THE PERIOD FROM</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160" w:type="dxa"/>
            <w:vAlign w:val="bottom"/>
          </w:tcPr>
          <w:p>
            <w:pPr>
              <w:spacing w:after="0"/>
              <w:rPr>
                <w:sz w:val="18"/>
                <w:szCs w:val="18"/>
                <w:color w:val="auto"/>
              </w:rPr>
            </w:pPr>
          </w:p>
        </w:tc>
        <w:tc>
          <w:tcPr>
            <w:tcW w:w="6540" w:type="dxa"/>
            <w:vAlign w:val="bottom"/>
            <w:gridSpan w:val="12"/>
          </w:tcPr>
          <w:p>
            <w:pPr>
              <w:spacing w:after="0"/>
              <w:rPr>
                <w:sz w:val="20"/>
                <w:szCs w:val="20"/>
                <w:color w:val="auto"/>
              </w:rPr>
            </w:pPr>
            <w:r>
              <w:rPr>
                <w:rFonts w:ascii="Arial" w:cs="Arial" w:eastAsia="Arial" w:hAnsi="Arial"/>
                <w:sz w:val="17"/>
                <w:szCs w:val="17"/>
                <w:color w:val="auto"/>
              </w:rPr>
              <w:t>JANUARY 9, 2006 (INCEPTION) TO MARCH 31, 2012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1"/>
        </w:trPr>
        <w:tc>
          <w:tcPr>
            <w:tcW w:w="160" w:type="dxa"/>
            <w:vAlign w:val="bottom"/>
            <w:tcBorders>
              <w:bottom w:val="single" w:sz="8" w:color="CCFFCC"/>
            </w:tcBorders>
            <w:shd w:val="clear" w:color="auto" w:fill="CCFFCC"/>
          </w:tcPr>
          <w:p>
            <w:pPr>
              <w:spacing w:after="0"/>
              <w:rPr>
                <w:sz w:val="15"/>
                <w:szCs w:val="15"/>
                <w:color w:val="auto"/>
              </w:rPr>
            </w:pPr>
          </w:p>
        </w:tc>
        <w:tc>
          <w:tcPr>
            <w:tcW w:w="1880" w:type="dxa"/>
            <w:vAlign w:val="bottom"/>
            <w:tcBorders>
              <w:bottom w:val="single" w:sz="8" w:color="0000EE"/>
            </w:tcBorders>
            <w:gridSpan w:val="2"/>
            <w:shd w:val="clear" w:color="auto" w:fill="CCFFCC"/>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4660" w:type="dxa"/>
            <w:vAlign w:val="bottom"/>
            <w:tcBorders>
              <w:bottom w:val="single" w:sz="8" w:color="CCFFCC"/>
            </w:tcBorders>
            <w:gridSpan w:val="10"/>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240" w:type="dxa"/>
            <w:vAlign w:val="bottom"/>
            <w:tcBorders>
              <w:bottom w:val="single" w:sz="8" w:color="CCFFCC"/>
              <w:right w:val="single" w:sz="8" w:color="CCFFCC"/>
            </w:tcBorders>
            <w:shd w:val="clear" w:color="auto" w:fill="CCFFCC"/>
          </w:tcPr>
          <w:p>
            <w:pPr>
              <w:spacing w:after="0"/>
              <w:rPr>
                <w:sz w:val="15"/>
                <w:szCs w:val="15"/>
                <w:color w:val="auto"/>
              </w:rPr>
            </w:pPr>
          </w:p>
        </w:tc>
        <w:tc>
          <w:tcPr>
            <w:tcW w:w="160" w:type="dxa"/>
            <w:vAlign w:val="bottom"/>
            <w:tcBorders>
              <w:bottom w:val="single" w:sz="8" w:color="0000EE"/>
            </w:tcBorders>
            <w:shd w:val="clear" w:color="auto" w:fill="CCFFCC"/>
          </w:tcPr>
          <w:p>
            <w:pPr>
              <w:jc w:val="center"/>
              <w:spacing w:after="0" w:line="163" w:lineRule="exact"/>
              <w:rPr>
                <w:sz w:val="20"/>
                <w:szCs w:val="20"/>
                <w:color w:val="auto"/>
              </w:rPr>
            </w:pPr>
            <w:r>
              <w:rPr>
                <w:rFonts w:ascii="Arial" w:cs="Arial" w:eastAsia="Arial" w:hAnsi="Arial"/>
                <w:sz w:val="17"/>
                <w:szCs w:val="17"/>
                <w:color w:val="0000EE"/>
                <w:w w:val="78"/>
              </w:rPr>
              <w:t>F-2</w:t>
            </w:r>
          </w:p>
        </w:tc>
        <w:tc>
          <w:tcPr>
            <w:tcW w:w="360" w:type="dxa"/>
            <w:vAlign w:val="bottom"/>
            <w:tcBorders>
              <w:left w:val="single" w:sz="8" w:color="CCFFCC"/>
              <w:bottom w:val="single" w:sz="8" w:color="CCFFCC"/>
            </w:tcBorders>
            <w:gridSpan w:val="3"/>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172"/>
        </w:trPr>
        <w:tc>
          <w:tcPr>
            <w:tcW w:w="160" w:type="dxa"/>
            <w:vAlign w:val="bottom"/>
          </w:tcPr>
          <w:p>
            <w:pPr>
              <w:spacing w:after="0"/>
              <w:rPr>
                <w:sz w:val="14"/>
                <w:szCs w:val="14"/>
                <w:color w:val="auto"/>
              </w:rPr>
            </w:pPr>
          </w:p>
        </w:tc>
        <w:tc>
          <w:tcPr>
            <w:tcW w:w="2600" w:type="dxa"/>
            <w:vAlign w:val="bottom"/>
            <w:tcBorders>
              <w:bottom w:val="single" w:sz="8" w:color="0000EE"/>
            </w:tcBorders>
            <w:gridSpan w:val="4"/>
          </w:tcPr>
          <w:p>
            <w:pPr>
              <w:spacing w:after="0" w:line="163" w:lineRule="exact"/>
              <w:rPr>
                <w:sz w:val="20"/>
                <w:szCs w:val="20"/>
                <w:color w:val="auto"/>
              </w:rPr>
            </w:pPr>
            <w:r>
              <w:rPr>
                <w:rFonts w:ascii="Arial" w:cs="Arial" w:eastAsia="Arial" w:hAnsi="Arial"/>
                <w:sz w:val="17"/>
                <w:szCs w:val="17"/>
                <w:color w:val="0000EE"/>
                <w:w w:val="88"/>
              </w:rPr>
              <w:t>Consolidated Statement of Operations</w:t>
            </w:r>
          </w:p>
        </w:tc>
        <w:tc>
          <w:tcPr>
            <w:tcW w:w="3940" w:type="dxa"/>
            <w:vAlign w:val="bottom"/>
            <w:gridSpan w:val="8"/>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0000EE"/>
            </w:tcBorders>
          </w:tcPr>
          <w:p>
            <w:pPr>
              <w:jc w:val="center"/>
              <w:spacing w:after="0" w:line="163" w:lineRule="exact"/>
              <w:rPr>
                <w:sz w:val="20"/>
                <w:szCs w:val="20"/>
                <w:color w:val="auto"/>
              </w:rPr>
            </w:pPr>
            <w:r>
              <w:rPr>
                <w:rFonts w:ascii="Arial" w:cs="Arial" w:eastAsia="Arial" w:hAnsi="Arial"/>
                <w:sz w:val="17"/>
                <w:szCs w:val="17"/>
                <w:color w:val="0000EE"/>
                <w:w w:val="78"/>
              </w:rPr>
              <w:t>F-4</w:t>
            </w:r>
          </w:p>
        </w:tc>
        <w:tc>
          <w:tcPr>
            <w:tcW w:w="360" w:type="dxa"/>
            <w:vAlign w:val="bottom"/>
            <w:gridSpan w:val="3"/>
          </w:tcPr>
          <w:p>
            <w:pPr>
              <w:spacing w:after="0"/>
              <w:rPr>
                <w:sz w:val="14"/>
                <w:szCs w:val="14"/>
                <w:color w:val="auto"/>
              </w:rPr>
            </w:pPr>
          </w:p>
        </w:tc>
        <w:tc>
          <w:tcPr>
            <w:tcW w:w="2420" w:type="dxa"/>
            <w:vAlign w:val="bottom"/>
          </w:tcPr>
          <w:p>
            <w:pPr>
              <w:spacing w:after="0"/>
              <w:rPr>
                <w:sz w:val="14"/>
                <w:szCs w:val="14"/>
                <w:color w:val="auto"/>
              </w:rPr>
            </w:pPr>
          </w:p>
        </w:tc>
      </w:tr>
      <w:tr>
        <w:trPr>
          <w:trHeight w:val="189"/>
        </w:trPr>
        <w:tc>
          <w:tcPr>
            <w:tcW w:w="160" w:type="dxa"/>
            <w:vAlign w:val="bottom"/>
            <w:shd w:val="clear" w:color="auto" w:fill="CCFFCC"/>
          </w:tcPr>
          <w:p>
            <w:pPr>
              <w:spacing w:after="0"/>
              <w:rPr>
                <w:sz w:val="16"/>
                <w:szCs w:val="16"/>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Stockholders’ Equity (Deficit)</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520" w:type="dxa"/>
            <w:vAlign w:val="bottom"/>
            <w:gridSpan w:val="4"/>
            <w:shd w:val="clear" w:color="auto" w:fill="CCFFCC"/>
          </w:tcPr>
          <w:p>
            <w:pPr>
              <w:jc w:val="center"/>
              <w:ind w:right="320"/>
              <w:spacing w:after="0" w:line="172" w:lineRule="exact"/>
              <w:rPr>
                <w:sz w:val="20"/>
                <w:szCs w:val="20"/>
                <w:color w:val="auto"/>
              </w:rPr>
            </w:pPr>
            <w:r>
              <w:rPr>
                <w:rFonts w:ascii="Arial" w:cs="Arial" w:eastAsia="Arial" w:hAnsi="Arial"/>
                <w:sz w:val="17"/>
                <w:szCs w:val="17"/>
                <w:color w:val="0000EE"/>
                <w:w w:val="78"/>
              </w:rPr>
              <w:t>F-6</w:t>
            </w:r>
          </w:p>
        </w:tc>
        <w:tc>
          <w:tcPr>
            <w:tcW w:w="2420" w:type="dxa"/>
            <w:vAlign w:val="bottom"/>
          </w:tcPr>
          <w:p>
            <w:pPr>
              <w:spacing w:after="0"/>
              <w:rPr>
                <w:sz w:val="16"/>
                <w:szCs w:val="16"/>
                <w:color w:val="auto"/>
              </w:rPr>
            </w:pPr>
          </w:p>
        </w:tc>
      </w:tr>
      <w:tr>
        <w:trPr>
          <w:trHeight w:val="163"/>
        </w:trPr>
        <w:tc>
          <w:tcPr>
            <w:tcW w:w="160" w:type="dxa"/>
            <w:vAlign w:val="bottom"/>
            <w:tcBorders>
              <w:top w:val="single" w:sz="8" w:color="CCFFCC"/>
            </w:tcBorders>
          </w:tcPr>
          <w:p>
            <w:pPr>
              <w:spacing w:after="0"/>
              <w:rPr>
                <w:sz w:val="14"/>
                <w:szCs w:val="14"/>
                <w:color w:val="auto"/>
              </w:rPr>
            </w:pPr>
          </w:p>
        </w:tc>
        <w:tc>
          <w:tcPr>
            <w:tcW w:w="3840" w:type="dxa"/>
            <w:vAlign w:val="bottom"/>
            <w:tcBorders>
              <w:top w:val="single" w:sz="8" w:color="0000EE"/>
            </w:tcBorders>
            <w:gridSpan w:val="10"/>
          </w:tcPr>
          <w:p>
            <w:pPr>
              <w:spacing w:after="0" w:line="163" w:lineRule="exact"/>
              <w:rPr>
                <w:sz w:val="20"/>
                <w:szCs w:val="20"/>
                <w:color w:val="auto"/>
              </w:rPr>
            </w:pPr>
            <w:r>
              <w:rPr>
                <w:rFonts w:ascii="Arial" w:cs="Arial" w:eastAsia="Arial" w:hAnsi="Arial"/>
                <w:sz w:val="17"/>
                <w:szCs w:val="17"/>
                <w:color w:val="0000EE"/>
              </w:rPr>
              <w:t>Consolidated Statement of Cash Flows</w:t>
            </w:r>
          </w:p>
        </w:tc>
        <w:tc>
          <w:tcPr>
            <w:tcW w:w="2700" w:type="dxa"/>
            <w:vAlign w:val="bottom"/>
            <w:tcBorders>
              <w:top w:val="single" w:sz="8" w:color="CCFFCC"/>
            </w:tcBorders>
            <w:gridSpan w:val="2"/>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60" w:type="dxa"/>
            <w:vAlign w:val="bottom"/>
            <w:tcBorders>
              <w:top w:val="single" w:sz="8" w:color="0000EE"/>
            </w:tcBorders>
          </w:tcPr>
          <w:p>
            <w:pPr>
              <w:jc w:val="center"/>
              <w:spacing w:after="0" w:line="163" w:lineRule="exact"/>
              <w:rPr>
                <w:sz w:val="20"/>
                <w:szCs w:val="20"/>
                <w:color w:val="auto"/>
              </w:rPr>
            </w:pPr>
            <w:r>
              <w:rPr>
                <w:rFonts w:ascii="Arial" w:cs="Arial" w:eastAsia="Arial" w:hAnsi="Arial"/>
                <w:sz w:val="17"/>
                <w:szCs w:val="17"/>
                <w:color w:val="0000EE"/>
                <w:w w:val="78"/>
              </w:rPr>
              <w:t>F-7</w:t>
            </w:r>
          </w:p>
        </w:tc>
        <w:tc>
          <w:tcPr>
            <w:tcW w:w="360" w:type="dxa"/>
            <w:vAlign w:val="bottom"/>
            <w:tcBorders>
              <w:top w:val="single" w:sz="8" w:color="CCFFCC"/>
            </w:tcBorders>
            <w:gridSpan w:val="3"/>
          </w:tcPr>
          <w:p>
            <w:pPr>
              <w:spacing w:after="0"/>
              <w:rPr>
                <w:sz w:val="14"/>
                <w:szCs w:val="14"/>
                <w:color w:val="auto"/>
              </w:rPr>
            </w:pP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9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Notes to Consolidated Financial Statements</w:t>
            </w:r>
          </w:p>
        </w:tc>
        <w:tc>
          <w:tcPr>
            <w:tcW w:w="1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520" w:type="dxa"/>
            <w:vAlign w:val="bottom"/>
            <w:gridSpan w:val="4"/>
            <w:shd w:val="clear" w:color="auto" w:fill="CCFFCC"/>
          </w:tcPr>
          <w:p>
            <w:pPr>
              <w:jc w:val="center"/>
              <w:ind w:right="320"/>
              <w:spacing w:after="0" w:line="172" w:lineRule="exact"/>
              <w:rPr>
                <w:sz w:val="20"/>
                <w:szCs w:val="20"/>
                <w:color w:val="auto"/>
              </w:rPr>
            </w:pPr>
            <w:r>
              <w:rPr>
                <w:rFonts w:ascii="Arial" w:cs="Arial" w:eastAsia="Arial" w:hAnsi="Arial"/>
                <w:sz w:val="17"/>
                <w:szCs w:val="17"/>
                <w:color w:val="0000EE"/>
                <w:w w:val="78"/>
              </w:rPr>
              <w:t>F-9</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6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0000EE"/>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200"/>
        </w:trPr>
        <w:tc>
          <w:tcPr>
            <w:tcW w:w="6700" w:type="dxa"/>
            <w:vAlign w:val="bottom"/>
            <w:gridSpan w:val="13"/>
          </w:tcPr>
          <w:p>
            <w:pPr>
              <w:spacing w:after="0"/>
              <w:rPr>
                <w:sz w:val="20"/>
                <w:szCs w:val="20"/>
                <w:color w:val="auto"/>
              </w:rPr>
            </w:pPr>
            <w:r>
              <w:rPr>
                <w:rFonts w:ascii="Arial" w:cs="Arial" w:eastAsia="Arial" w:hAnsi="Arial"/>
                <w:sz w:val="17"/>
                <w:szCs w:val="17"/>
                <w:color w:val="auto"/>
              </w:rPr>
              <w:t>CONSOLIDATED FINANCIAL STATEMENTS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188"/>
        </w:trPr>
        <w:tc>
          <w:tcPr>
            <w:tcW w:w="6700" w:type="dxa"/>
            <w:vAlign w:val="bottom"/>
            <w:gridSpan w:val="13"/>
            <w:shd w:val="clear" w:color="auto" w:fill="CCFFCC"/>
          </w:tcPr>
          <w:p>
            <w:pPr>
              <w:spacing w:after="0" w:line="188" w:lineRule="exact"/>
              <w:rPr>
                <w:sz w:val="20"/>
                <w:szCs w:val="20"/>
                <w:color w:val="auto"/>
              </w:rPr>
            </w:pPr>
            <w:r>
              <w:rPr>
                <w:rFonts w:ascii="Arial" w:cs="Arial" w:eastAsia="Arial" w:hAnsi="Arial"/>
                <w:sz w:val="17"/>
                <w:szCs w:val="17"/>
                <w:color w:val="auto"/>
                <w:w w:val="95"/>
              </w:rPr>
              <w:t>AS OF DECEMBER 31, 2011 AND 2010 AND FOR THE PERIOD FROM JANUARY 9, 2006</w:t>
            </w:r>
          </w:p>
        </w:tc>
        <w:tc>
          <w:tcPr>
            <w:tcW w:w="1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tcBorders>
              <w:left w:val="single" w:sz="8" w:color="CCFFCC"/>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shd w:val="clear" w:color="auto" w:fill="CCFFCC"/>
          </w:tcPr>
          <w:p>
            <w:pPr>
              <w:spacing w:after="0"/>
              <w:rPr>
                <w:sz w:val="18"/>
                <w:szCs w:val="18"/>
                <w:color w:val="auto"/>
              </w:rPr>
            </w:pPr>
          </w:p>
        </w:tc>
        <w:tc>
          <w:tcPr>
            <w:tcW w:w="6540" w:type="dxa"/>
            <w:vAlign w:val="bottom"/>
            <w:gridSpan w:val="12"/>
            <w:shd w:val="clear" w:color="auto" w:fill="CCFFCC"/>
          </w:tcPr>
          <w:p>
            <w:pPr>
              <w:spacing w:after="0"/>
              <w:rPr>
                <w:sz w:val="20"/>
                <w:szCs w:val="20"/>
                <w:color w:val="auto"/>
              </w:rPr>
            </w:pPr>
            <w:r>
              <w:rPr>
                <w:rFonts w:ascii="Arial" w:cs="Arial" w:eastAsia="Arial" w:hAnsi="Arial"/>
                <w:sz w:val="17"/>
                <w:szCs w:val="17"/>
                <w:color w:val="auto"/>
              </w:rPr>
              <w:t>(INCEPTION) TO DECEMBER 31, 2011</w:t>
            </w:r>
          </w:p>
        </w:tc>
        <w:tc>
          <w:tcPr>
            <w:tcW w:w="16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72"/>
        </w:trPr>
        <w:tc>
          <w:tcPr>
            <w:tcW w:w="160" w:type="dxa"/>
            <w:vAlign w:val="bottom"/>
          </w:tcPr>
          <w:p>
            <w:pPr>
              <w:spacing w:after="0"/>
              <w:rPr>
                <w:sz w:val="14"/>
                <w:szCs w:val="14"/>
                <w:color w:val="auto"/>
              </w:rPr>
            </w:pPr>
          </w:p>
        </w:tc>
        <w:tc>
          <w:tcPr>
            <w:tcW w:w="3920" w:type="dxa"/>
            <w:vAlign w:val="bottom"/>
            <w:tcBorders>
              <w:bottom w:val="single" w:sz="8" w:color="0000EE"/>
            </w:tcBorders>
            <w:gridSpan w:val="11"/>
          </w:tcPr>
          <w:p>
            <w:pPr>
              <w:spacing w:after="0" w:line="163" w:lineRule="exact"/>
              <w:rPr>
                <w:sz w:val="20"/>
                <w:szCs w:val="20"/>
                <w:color w:val="auto"/>
              </w:rPr>
            </w:pPr>
            <w:r>
              <w:rPr>
                <w:rFonts w:ascii="Arial" w:cs="Arial" w:eastAsia="Arial" w:hAnsi="Arial"/>
                <w:sz w:val="17"/>
                <w:szCs w:val="17"/>
                <w:color w:val="0000EE"/>
                <w:w w:val="89"/>
              </w:rPr>
              <w:t>Report of Independent Registered Public Accounting Firm</w:t>
            </w: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jc w:val="center"/>
              <w:spacing w:after="0" w:line="163" w:lineRule="exact"/>
              <w:rPr>
                <w:sz w:val="20"/>
                <w:szCs w:val="20"/>
                <w:color w:val="auto"/>
              </w:rPr>
            </w:pPr>
            <w:r>
              <w:rPr>
                <w:rFonts w:ascii="Arial" w:cs="Arial" w:eastAsia="Arial" w:hAnsi="Arial"/>
                <w:sz w:val="16"/>
                <w:szCs w:val="16"/>
                <w:color w:val="0000EE"/>
                <w:w w:val="72"/>
              </w:rPr>
              <w:t>F-20</w:t>
            </w:r>
          </w:p>
        </w:tc>
        <w:tc>
          <w:tcPr>
            <w:tcW w:w="2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r>
      <w:tr>
        <w:trPr>
          <w:trHeight w:val="172"/>
        </w:trPr>
        <w:tc>
          <w:tcPr>
            <w:tcW w:w="160" w:type="dxa"/>
            <w:vAlign w:val="bottom"/>
            <w:shd w:val="clear" w:color="auto" w:fill="CCFFCC"/>
          </w:tcPr>
          <w:p>
            <w:pPr>
              <w:spacing w:after="0"/>
              <w:rPr>
                <w:sz w:val="14"/>
                <w:szCs w:val="14"/>
                <w:color w:val="auto"/>
              </w:rPr>
            </w:pPr>
          </w:p>
        </w:tc>
        <w:tc>
          <w:tcPr>
            <w:tcW w:w="6540" w:type="dxa"/>
            <w:vAlign w:val="bottom"/>
            <w:gridSpan w:val="12"/>
            <w:shd w:val="clear" w:color="auto" w:fill="CCFFCC"/>
          </w:tcPr>
          <w:p>
            <w:pPr>
              <w:spacing w:after="0" w:line="172" w:lineRule="exact"/>
              <w:rPr>
                <w:sz w:val="20"/>
                <w:szCs w:val="20"/>
                <w:color w:val="auto"/>
              </w:rPr>
            </w:pPr>
            <w:r>
              <w:rPr>
                <w:rFonts w:ascii="Arial" w:cs="Arial" w:eastAsia="Arial" w:hAnsi="Arial"/>
                <w:sz w:val="17"/>
                <w:szCs w:val="17"/>
                <w:color w:val="0000EE"/>
              </w:rPr>
              <w:t>Consolidated Balance Sheets</w:t>
            </w:r>
          </w:p>
        </w:tc>
        <w:tc>
          <w:tcPr>
            <w:tcW w:w="160" w:type="dxa"/>
            <w:vAlign w:val="bottom"/>
            <w:shd w:val="clear" w:color="auto" w:fill="CCFFCC"/>
          </w:tcPr>
          <w:p>
            <w:pPr>
              <w:spacing w:after="0"/>
              <w:rPr>
                <w:sz w:val="14"/>
                <w:szCs w:val="14"/>
                <w:color w:val="auto"/>
              </w:rPr>
            </w:pPr>
          </w:p>
        </w:tc>
        <w:tc>
          <w:tcPr>
            <w:tcW w:w="760" w:type="dxa"/>
            <w:vAlign w:val="bottom"/>
            <w:gridSpan w:val="5"/>
            <w:shd w:val="clear" w:color="auto" w:fill="CCFFCC"/>
          </w:tcPr>
          <w:p>
            <w:pPr>
              <w:jc w:val="center"/>
              <w:ind w:right="120"/>
              <w:spacing w:after="0" w:line="172" w:lineRule="exact"/>
              <w:rPr>
                <w:sz w:val="20"/>
                <w:szCs w:val="20"/>
                <w:color w:val="auto"/>
              </w:rPr>
            </w:pPr>
            <w:r>
              <w:rPr>
                <w:rFonts w:ascii="Arial" w:cs="Arial" w:eastAsia="Arial" w:hAnsi="Arial"/>
                <w:sz w:val="17"/>
                <w:szCs w:val="17"/>
                <w:color w:val="0000EE"/>
                <w:w w:val="91"/>
              </w:rPr>
              <w:t>F-21 – F-</w:t>
            </w:r>
          </w:p>
        </w:tc>
        <w:tc>
          <w:tcPr>
            <w:tcW w:w="2420" w:type="dxa"/>
            <w:vAlign w:val="bottom"/>
          </w:tcPr>
          <w:p>
            <w:pPr>
              <w:spacing w:after="0"/>
              <w:rPr>
                <w:sz w:val="14"/>
                <w:szCs w:val="14"/>
                <w:color w:val="auto"/>
              </w:rPr>
            </w:pPr>
          </w:p>
        </w:tc>
      </w:tr>
      <w:tr>
        <w:trPr>
          <w:trHeight w:val="180"/>
        </w:trPr>
        <w:tc>
          <w:tcPr>
            <w:tcW w:w="160" w:type="dxa"/>
            <w:vAlign w:val="bottom"/>
            <w:tcBorders>
              <w:top w:val="single" w:sz="8" w:color="CCFFCC"/>
            </w:tcBorders>
            <w:shd w:val="clear" w:color="auto" w:fill="CCFFCC"/>
          </w:tcPr>
          <w:p>
            <w:pPr>
              <w:spacing w:after="0"/>
              <w:rPr>
                <w:sz w:val="15"/>
                <w:szCs w:val="15"/>
                <w:color w:val="auto"/>
              </w:rPr>
            </w:pPr>
          </w:p>
        </w:tc>
        <w:tc>
          <w:tcPr>
            <w:tcW w:w="980" w:type="dxa"/>
            <w:vAlign w:val="bottom"/>
            <w:tcBorders>
              <w:top w:val="single" w:sz="8" w:color="0000EE"/>
            </w:tcBorders>
            <w:shd w:val="clear" w:color="auto" w:fill="CCFFCC"/>
          </w:tcPr>
          <w:p>
            <w:pPr>
              <w:spacing w:after="0"/>
              <w:rPr>
                <w:sz w:val="15"/>
                <w:szCs w:val="15"/>
                <w:color w:val="auto"/>
              </w:rPr>
            </w:pPr>
          </w:p>
        </w:tc>
        <w:tc>
          <w:tcPr>
            <w:tcW w:w="900" w:type="dxa"/>
            <w:vAlign w:val="bottom"/>
            <w:tcBorders>
              <w:top w:val="single" w:sz="8" w:color="0000EE"/>
            </w:tcBorders>
            <w:shd w:val="clear" w:color="auto" w:fill="CCFFCC"/>
          </w:tcPr>
          <w:p>
            <w:pPr>
              <w:spacing w:after="0"/>
              <w:rPr>
                <w:sz w:val="15"/>
                <w:szCs w:val="15"/>
                <w:color w:val="auto"/>
              </w:rPr>
            </w:pPr>
          </w:p>
        </w:tc>
        <w:tc>
          <w:tcPr>
            <w:tcW w:w="60" w:type="dxa"/>
            <w:vAlign w:val="bottom"/>
            <w:tcBorders>
              <w:top w:val="single" w:sz="8" w:color="0000EE"/>
            </w:tcBorders>
            <w:shd w:val="clear" w:color="auto" w:fill="CCFFCC"/>
          </w:tcPr>
          <w:p>
            <w:pPr>
              <w:spacing w:after="0"/>
              <w:rPr>
                <w:sz w:val="15"/>
                <w:szCs w:val="15"/>
                <w:color w:val="auto"/>
              </w:rPr>
            </w:pPr>
          </w:p>
        </w:tc>
        <w:tc>
          <w:tcPr>
            <w:tcW w:w="660" w:type="dxa"/>
            <w:vAlign w:val="bottom"/>
            <w:tcBorders>
              <w:top w:val="single" w:sz="8" w:color="CCFFCC"/>
              <w:right w:val="single" w:sz="8" w:color="CCFFCC"/>
            </w:tcBorders>
            <w:shd w:val="clear" w:color="auto" w:fill="CCFFCC"/>
          </w:tcPr>
          <w:p>
            <w:pPr>
              <w:spacing w:after="0"/>
              <w:rPr>
                <w:sz w:val="15"/>
                <w:szCs w:val="15"/>
                <w:color w:val="auto"/>
              </w:rPr>
            </w:pPr>
          </w:p>
        </w:tc>
        <w:tc>
          <w:tcPr>
            <w:tcW w:w="20" w:type="dxa"/>
            <w:vAlign w:val="bottom"/>
            <w:tcBorders>
              <w:top w:val="single" w:sz="8" w:color="CCFFCC"/>
            </w:tcBorders>
            <w:shd w:val="clear" w:color="auto" w:fill="CCFFCC"/>
          </w:tcPr>
          <w:p>
            <w:pPr>
              <w:spacing w:after="0"/>
              <w:rPr>
                <w:sz w:val="15"/>
                <w:szCs w:val="15"/>
                <w:color w:val="auto"/>
              </w:rPr>
            </w:pPr>
          </w:p>
        </w:tc>
        <w:tc>
          <w:tcPr>
            <w:tcW w:w="4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260" w:type="dxa"/>
            <w:vAlign w:val="bottom"/>
            <w:tcBorders>
              <w:top w:val="single" w:sz="8" w:color="CCFFCC"/>
            </w:tcBorders>
            <w:shd w:val="clear" w:color="auto" w:fill="CCFFCC"/>
          </w:tcPr>
          <w:p>
            <w:pPr>
              <w:spacing w:after="0"/>
              <w:rPr>
                <w:sz w:val="15"/>
                <w:szCs w:val="15"/>
                <w:color w:val="auto"/>
              </w:rPr>
            </w:pPr>
          </w:p>
        </w:tc>
        <w:tc>
          <w:tcPr>
            <w:tcW w:w="600" w:type="dxa"/>
            <w:vAlign w:val="bottom"/>
            <w:tcBorders>
              <w:top w:val="single" w:sz="8" w:color="CCFFCC"/>
            </w:tcBorders>
            <w:shd w:val="clear" w:color="auto" w:fill="CCFFCC"/>
          </w:tcPr>
          <w:p>
            <w:pPr>
              <w:spacing w:after="0"/>
              <w:rPr>
                <w:sz w:val="15"/>
                <w:szCs w:val="15"/>
                <w:color w:val="auto"/>
              </w:rPr>
            </w:pPr>
          </w:p>
        </w:tc>
        <w:tc>
          <w:tcPr>
            <w:tcW w:w="60" w:type="dxa"/>
            <w:vAlign w:val="bottom"/>
            <w:tcBorders>
              <w:top w:val="single" w:sz="8" w:color="CCFFCC"/>
            </w:tcBorders>
            <w:shd w:val="clear" w:color="auto" w:fill="CCFFCC"/>
          </w:tcPr>
          <w:p>
            <w:pPr>
              <w:spacing w:after="0"/>
              <w:rPr>
                <w:sz w:val="15"/>
                <w:szCs w:val="15"/>
                <w:color w:val="auto"/>
              </w:rPr>
            </w:pPr>
          </w:p>
        </w:tc>
        <w:tc>
          <w:tcPr>
            <w:tcW w:w="80" w:type="dxa"/>
            <w:vAlign w:val="bottom"/>
            <w:tcBorders>
              <w:top w:val="single" w:sz="8" w:color="CCFFCC"/>
            </w:tcBorders>
            <w:shd w:val="clear" w:color="auto" w:fill="CCFFCC"/>
          </w:tcPr>
          <w:p>
            <w:pPr>
              <w:spacing w:after="0"/>
              <w:rPr>
                <w:sz w:val="15"/>
                <w:szCs w:val="15"/>
                <w:color w:val="auto"/>
              </w:rPr>
            </w:pPr>
          </w:p>
        </w:tc>
        <w:tc>
          <w:tcPr>
            <w:tcW w:w="2620" w:type="dxa"/>
            <w:vAlign w:val="bottom"/>
            <w:tcBorders>
              <w:top w:val="single" w:sz="8" w:color="CCFFCC"/>
            </w:tcBorders>
            <w:shd w:val="clear" w:color="auto" w:fill="CCFFCC"/>
          </w:tcPr>
          <w:p>
            <w:pPr>
              <w:spacing w:after="0"/>
              <w:rPr>
                <w:sz w:val="15"/>
                <w:szCs w:val="15"/>
                <w:color w:val="auto"/>
              </w:rPr>
            </w:pPr>
          </w:p>
        </w:tc>
        <w:tc>
          <w:tcPr>
            <w:tcW w:w="160" w:type="dxa"/>
            <w:vAlign w:val="bottom"/>
            <w:tcBorders>
              <w:top w:val="single" w:sz="8" w:color="CCFFCC"/>
            </w:tcBorders>
            <w:shd w:val="clear" w:color="auto" w:fill="CCFFCC"/>
          </w:tcPr>
          <w:p>
            <w:pPr>
              <w:spacing w:after="0"/>
              <w:rPr>
                <w:sz w:val="15"/>
                <w:szCs w:val="15"/>
                <w:color w:val="auto"/>
              </w:rPr>
            </w:pPr>
          </w:p>
        </w:tc>
        <w:tc>
          <w:tcPr>
            <w:tcW w:w="400" w:type="dxa"/>
            <w:vAlign w:val="bottom"/>
            <w:tcBorders>
              <w:top w:val="single" w:sz="8" w:color="0000EE"/>
            </w:tcBorders>
            <w:gridSpan w:val="2"/>
            <w:shd w:val="clear" w:color="auto" w:fill="CCFFCC"/>
          </w:tcPr>
          <w:p>
            <w:pPr>
              <w:jc w:val="center"/>
              <w:ind w:left="156"/>
              <w:spacing w:after="0" w:line="180" w:lineRule="exact"/>
              <w:rPr>
                <w:sz w:val="20"/>
                <w:szCs w:val="20"/>
                <w:color w:val="auto"/>
              </w:rPr>
            </w:pPr>
            <w:r>
              <w:rPr>
                <w:rFonts w:ascii="Arial" w:cs="Arial" w:eastAsia="Arial" w:hAnsi="Arial"/>
                <w:sz w:val="17"/>
                <w:szCs w:val="17"/>
                <w:color w:val="0000EE"/>
                <w:w w:val="84"/>
              </w:rPr>
              <w:t>22</w:t>
            </w:r>
          </w:p>
        </w:tc>
        <w:tc>
          <w:tcPr>
            <w:tcW w:w="80" w:type="dxa"/>
            <w:vAlign w:val="bottom"/>
            <w:tcBorders>
              <w:top w:val="single" w:sz="8" w:color="0000EE"/>
              <w:left w:val="single" w:sz="8" w:color="CCFFCC"/>
            </w:tcBorders>
            <w:shd w:val="clear" w:color="auto" w:fill="CCFFCC"/>
          </w:tcPr>
          <w:p>
            <w:pPr>
              <w:spacing w:after="0"/>
              <w:rPr>
                <w:sz w:val="15"/>
                <w:szCs w:val="15"/>
                <w:color w:val="auto"/>
              </w:rPr>
            </w:pPr>
          </w:p>
        </w:tc>
        <w:tc>
          <w:tcPr>
            <w:tcW w:w="160" w:type="dxa"/>
            <w:vAlign w:val="bottom"/>
            <w:tcBorders>
              <w:top w:val="single" w:sz="8" w:color="0000EE"/>
            </w:tcBorders>
            <w:shd w:val="clear" w:color="auto" w:fill="CCFFCC"/>
          </w:tcPr>
          <w:p>
            <w:pPr>
              <w:spacing w:after="0"/>
              <w:rPr>
                <w:sz w:val="15"/>
                <w:szCs w:val="15"/>
                <w:color w:val="auto"/>
              </w:rPr>
            </w:pPr>
          </w:p>
        </w:tc>
        <w:tc>
          <w:tcPr>
            <w:tcW w:w="120" w:type="dxa"/>
            <w:vAlign w:val="bottom"/>
            <w:tcBorders>
              <w:top w:val="single" w:sz="8" w:color="CCFFCC"/>
            </w:tcBorders>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66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72"/>
        </w:trPr>
        <w:tc>
          <w:tcPr>
            <w:tcW w:w="160" w:type="dxa"/>
            <w:vAlign w:val="bottom"/>
          </w:tcPr>
          <w:p>
            <w:pPr>
              <w:spacing w:after="0"/>
              <w:rPr>
                <w:sz w:val="14"/>
                <w:szCs w:val="14"/>
                <w:color w:val="auto"/>
              </w:rPr>
            </w:pPr>
          </w:p>
        </w:tc>
        <w:tc>
          <w:tcPr>
            <w:tcW w:w="2620" w:type="dxa"/>
            <w:vAlign w:val="bottom"/>
            <w:tcBorders>
              <w:bottom w:val="single" w:sz="8" w:color="0000EE"/>
            </w:tcBorders>
            <w:gridSpan w:val="5"/>
          </w:tcPr>
          <w:p>
            <w:pPr>
              <w:spacing w:after="0" w:line="163" w:lineRule="exact"/>
              <w:rPr>
                <w:sz w:val="20"/>
                <w:szCs w:val="20"/>
                <w:color w:val="auto"/>
              </w:rPr>
            </w:pPr>
            <w:r>
              <w:rPr>
                <w:rFonts w:ascii="Arial" w:cs="Arial" w:eastAsia="Arial" w:hAnsi="Arial"/>
                <w:sz w:val="17"/>
                <w:szCs w:val="17"/>
                <w:color w:val="0000EE"/>
                <w:w w:val="87"/>
              </w:rPr>
              <w:t>Consolidated Statements of Operations</w:t>
            </w:r>
          </w:p>
        </w:tc>
        <w:tc>
          <w:tcPr>
            <w:tcW w:w="3920" w:type="dxa"/>
            <w:vAlign w:val="bottom"/>
            <w:gridSpan w:val="7"/>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0000EE"/>
            </w:tcBorders>
            <w:gridSpan w:val="2"/>
          </w:tcPr>
          <w:p>
            <w:pPr>
              <w:jc w:val="center"/>
              <w:spacing w:after="0" w:line="163" w:lineRule="exact"/>
              <w:rPr>
                <w:sz w:val="20"/>
                <w:szCs w:val="20"/>
                <w:color w:val="auto"/>
              </w:rPr>
            </w:pPr>
            <w:r>
              <w:rPr>
                <w:rFonts w:ascii="Arial" w:cs="Arial" w:eastAsia="Arial" w:hAnsi="Arial"/>
                <w:sz w:val="16"/>
                <w:szCs w:val="16"/>
                <w:color w:val="0000EE"/>
                <w:w w:val="72"/>
              </w:rPr>
              <w:t>F-23</w:t>
            </w:r>
          </w:p>
        </w:tc>
        <w:tc>
          <w:tcPr>
            <w:tcW w:w="280" w:type="dxa"/>
            <w:vAlign w:val="bottom"/>
            <w:gridSpan w:val="2"/>
          </w:tcPr>
          <w:p>
            <w:pPr>
              <w:spacing w:after="0"/>
              <w:rPr>
                <w:sz w:val="14"/>
                <w:szCs w:val="14"/>
                <w:color w:val="auto"/>
              </w:rPr>
            </w:pPr>
          </w:p>
        </w:tc>
        <w:tc>
          <w:tcPr>
            <w:tcW w:w="2420" w:type="dxa"/>
            <w:vAlign w:val="bottom"/>
          </w:tcPr>
          <w:p>
            <w:pPr>
              <w:spacing w:after="0"/>
              <w:rPr>
                <w:sz w:val="14"/>
                <w:szCs w:val="14"/>
                <w:color w:val="auto"/>
              </w:rPr>
            </w:pPr>
          </w:p>
        </w:tc>
      </w:tr>
      <w:tr>
        <w:trPr>
          <w:trHeight w:val="172"/>
        </w:trPr>
        <w:tc>
          <w:tcPr>
            <w:tcW w:w="160" w:type="dxa"/>
            <w:vAlign w:val="bottom"/>
            <w:tcBorders>
              <w:bottom w:val="single" w:sz="8" w:color="CCFFCC"/>
            </w:tcBorders>
            <w:shd w:val="clear" w:color="auto" w:fill="CCFFCC"/>
          </w:tcPr>
          <w:p>
            <w:pPr>
              <w:spacing w:after="0"/>
              <w:rPr>
                <w:sz w:val="14"/>
                <w:szCs w:val="14"/>
                <w:color w:val="auto"/>
              </w:rPr>
            </w:pPr>
          </w:p>
        </w:tc>
        <w:tc>
          <w:tcPr>
            <w:tcW w:w="3780" w:type="dxa"/>
            <w:vAlign w:val="bottom"/>
            <w:tcBorders>
              <w:bottom w:val="single" w:sz="8" w:color="0000EE"/>
            </w:tcBorders>
            <w:gridSpan w:val="9"/>
            <w:shd w:val="clear" w:color="auto" w:fill="CCFFCC"/>
          </w:tcPr>
          <w:p>
            <w:pPr>
              <w:spacing w:after="0" w:line="172" w:lineRule="exact"/>
              <w:rPr>
                <w:sz w:val="20"/>
                <w:szCs w:val="20"/>
                <w:color w:val="auto"/>
              </w:rPr>
            </w:pPr>
            <w:r>
              <w:rPr>
                <w:rFonts w:ascii="Arial" w:cs="Arial" w:eastAsia="Arial" w:hAnsi="Arial"/>
                <w:sz w:val="17"/>
                <w:szCs w:val="17"/>
                <w:color w:val="0000EE"/>
                <w:w w:val="90"/>
              </w:rPr>
              <w:t>Statements of Changes in Stockholders’ Equity (Deficit)</w:t>
            </w:r>
          </w:p>
        </w:tc>
        <w:tc>
          <w:tcPr>
            <w:tcW w:w="2760" w:type="dxa"/>
            <w:vAlign w:val="bottom"/>
            <w:tcBorders>
              <w:bottom w:val="single" w:sz="8" w:color="CCFFCC"/>
            </w:tcBorders>
            <w:gridSpan w:val="3"/>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0000EE"/>
            </w:tcBorders>
            <w:gridSpan w:val="4"/>
            <w:shd w:val="clear" w:color="auto" w:fill="CCFFCC"/>
          </w:tcPr>
          <w:p>
            <w:pPr>
              <w:jc w:val="center"/>
              <w:spacing w:after="0" w:line="172" w:lineRule="exact"/>
              <w:rPr>
                <w:sz w:val="20"/>
                <w:szCs w:val="20"/>
                <w:color w:val="auto"/>
              </w:rPr>
            </w:pPr>
            <w:r>
              <w:rPr>
                <w:rFonts w:ascii="Arial" w:cs="Arial" w:eastAsia="Arial" w:hAnsi="Arial"/>
                <w:sz w:val="17"/>
                <w:szCs w:val="17"/>
                <w:color w:val="0000EE"/>
                <w:w w:val="91"/>
              </w:rPr>
              <w:t>F-24 – F-</w:t>
            </w: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r>
      <w:tr>
        <w:trPr>
          <w:trHeight w:val="180"/>
        </w:trPr>
        <w:tc>
          <w:tcPr>
            <w:tcW w:w="1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60" w:type="dxa"/>
            <w:vAlign w:val="bottom"/>
            <w:tcBorders>
              <w:right w:val="single" w:sz="8" w:color="CCFFCC"/>
            </w:tcBorders>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6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620" w:type="dxa"/>
            <w:vAlign w:val="bottom"/>
            <w:shd w:val="clear" w:color="auto" w:fill="CCFFCC"/>
          </w:tcPr>
          <w:p>
            <w:pPr>
              <w:spacing w:after="0"/>
              <w:rPr>
                <w:sz w:val="15"/>
                <w:szCs w:val="15"/>
                <w:color w:val="auto"/>
              </w:rPr>
            </w:pPr>
          </w:p>
        </w:tc>
        <w:tc>
          <w:tcPr>
            <w:tcW w:w="560" w:type="dxa"/>
            <w:vAlign w:val="bottom"/>
            <w:gridSpan w:val="3"/>
            <w:shd w:val="clear" w:color="auto" w:fill="CCFFCC"/>
          </w:tcPr>
          <w:p>
            <w:pPr>
              <w:jc w:val="center"/>
              <w:ind w:left="316"/>
              <w:spacing w:after="0" w:line="180" w:lineRule="exact"/>
              <w:rPr>
                <w:sz w:val="20"/>
                <w:szCs w:val="20"/>
                <w:color w:val="auto"/>
              </w:rPr>
            </w:pPr>
            <w:r>
              <w:rPr>
                <w:rFonts w:ascii="Arial" w:cs="Arial" w:eastAsia="Arial" w:hAnsi="Arial"/>
                <w:sz w:val="17"/>
                <w:szCs w:val="17"/>
                <w:color w:val="0000EE"/>
                <w:w w:val="84"/>
              </w:rPr>
              <w:t>25</w:t>
            </w:r>
          </w:p>
        </w:tc>
        <w:tc>
          <w:tcPr>
            <w:tcW w:w="80" w:type="dxa"/>
            <w:vAlign w:val="bottom"/>
            <w:tcBorders>
              <w:left w:val="single" w:sz="8" w:color="CCFFCC"/>
            </w:tcBorders>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420" w:type="dxa"/>
            <w:vAlign w:val="bottom"/>
          </w:tcPr>
          <w:p>
            <w:pPr>
              <w:spacing w:after="0"/>
              <w:rPr>
                <w:sz w:val="15"/>
                <w:szCs w:val="15"/>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CCFFCC"/>
          </w:tcPr>
          <w:p>
            <w:pPr>
              <w:spacing w:after="0"/>
              <w:rPr>
                <w:sz w:val="3"/>
                <w:szCs w:val="3"/>
                <w:color w:val="auto"/>
              </w:rPr>
            </w:pPr>
          </w:p>
        </w:tc>
        <w:tc>
          <w:tcPr>
            <w:tcW w:w="9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660" w:type="dxa"/>
            <w:vAlign w:val="bottom"/>
            <w:tcBorders>
              <w:right w:val="single" w:sz="8" w:color="CCFFCC"/>
            </w:tcBorders>
            <w:shd w:val="clear" w:color="auto" w:fill="CCFFCC"/>
          </w:tcPr>
          <w:p>
            <w:pPr>
              <w:spacing w:after="0"/>
              <w:rPr>
                <w:sz w:val="3"/>
                <w:szCs w:val="3"/>
                <w:color w:val="auto"/>
              </w:rPr>
            </w:pPr>
          </w:p>
        </w:tc>
        <w:tc>
          <w:tcPr>
            <w:tcW w:w="20" w:type="dxa"/>
            <w:vAlign w:val="bottom"/>
            <w:shd w:val="clear" w:color="auto" w:fill="CCFFCC"/>
          </w:tcPr>
          <w:p>
            <w:pPr>
              <w:spacing w:after="0"/>
              <w:rPr>
                <w:sz w:val="3"/>
                <w:szCs w:val="3"/>
                <w:color w:val="auto"/>
              </w:rPr>
            </w:pPr>
          </w:p>
        </w:tc>
        <w:tc>
          <w:tcPr>
            <w:tcW w:w="4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260" w:type="dxa"/>
            <w:vAlign w:val="bottom"/>
            <w:shd w:val="clear" w:color="auto" w:fill="CCFFCC"/>
          </w:tcPr>
          <w:p>
            <w:pPr>
              <w:spacing w:after="0"/>
              <w:rPr>
                <w:sz w:val="3"/>
                <w:szCs w:val="3"/>
                <w:color w:val="auto"/>
              </w:rPr>
            </w:pPr>
          </w:p>
        </w:tc>
        <w:tc>
          <w:tcPr>
            <w:tcW w:w="600" w:type="dxa"/>
            <w:vAlign w:val="bottom"/>
            <w:shd w:val="clear" w:color="auto" w:fill="CCFFCC"/>
          </w:tcPr>
          <w:p>
            <w:pPr>
              <w:spacing w:after="0"/>
              <w:rPr>
                <w:sz w:val="3"/>
                <w:szCs w:val="3"/>
                <w:color w:val="auto"/>
              </w:rPr>
            </w:pPr>
          </w:p>
        </w:tc>
        <w:tc>
          <w:tcPr>
            <w:tcW w:w="60" w:type="dxa"/>
            <w:vAlign w:val="bottom"/>
            <w:shd w:val="clear" w:color="auto" w:fill="CCFFCC"/>
          </w:tcPr>
          <w:p>
            <w:pPr>
              <w:spacing w:after="0"/>
              <w:rPr>
                <w:sz w:val="3"/>
                <w:szCs w:val="3"/>
                <w:color w:val="auto"/>
              </w:rPr>
            </w:pPr>
          </w:p>
        </w:tc>
        <w:tc>
          <w:tcPr>
            <w:tcW w:w="80" w:type="dxa"/>
            <w:vAlign w:val="bottom"/>
            <w:shd w:val="clear" w:color="auto" w:fill="CCFFCC"/>
          </w:tcPr>
          <w:p>
            <w:pPr>
              <w:spacing w:after="0"/>
              <w:rPr>
                <w:sz w:val="3"/>
                <w:szCs w:val="3"/>
                <w:color w:val="auto"/>
              </w:rPr>
            </w:pPr>
          </w:p>
        </w:tc>
        <w:tc>
          <w:tcPr>
            <w:tcW w:w="262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0" w:type="dxa"/>
            <w:vAlign w:val="bottom"/>
            <w:tcBorders>
              <w:right w:val="single" w:sz="8" w:color="CCFFCC"/>
            </w:tcBorders>
            <w:shd w:val="clear" w:color="auto" w:fill="CCFFCC"/>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tcBorders>
              <w:left w:val="single" w:sz="8" w:color="CCFFCC"/>
            </w:tcBorders>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12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40" w:type="dxa"/>
            <w:vAlign w:val="bottom"/>
            <w:gridSpan w:val="12"/>
          </w:tcPr>
          <w:p>
            <w:pPr>
              <w:spacing w:after="0" w:line="163" w:lineRule="exact"/>
              <w:rPr>
                <w:sz w:val="20"/>
                <w:szCs w:val="20"/>
                <w:color w:val="auto"/>
              </w:rPr>
            </w:pPr>
            <w:r>
              <w:rPr>
                <w:rFonts w:ascii="Arial" w:cs="Arial" w:eastAsia="Arial" w:hAnsi="Arial"/>
                <w:sz w:val="17"/>
                <w:szCs w:val="17"/>
                <w:color w:val="0000EE"/>
              </w:rPr>
              <w:t>Consolidated Statements of Cash Flows</w:t>
            </w:r>
          </w:p>
        </w:tc>
        <w:tc>
          <w:tcPr>
            <w:tcW w:w="160" w:type="dxa"/>
            <w:vAlign w:val="bottom"/>
          </w:tcPr>
          <w:p>
            <w:pPr>
              <w:spacing w:after="0"/>
              <w:rPr>
                <w:sz w:val="14"/>
                <w:szCs w:val="14"/>
                <w:color w:val="auto"/>
              </w:rPr>
            </w:pPr>
          </w:p>
        </w:tc>
        <w:tc>
          <w:tcPr>
            <w:tcW w:w="760" w:type="dxa"/>
            <w:vAlign w:val="bottom"/>
            <w:gridSpan w:val="5"/>
          </w:tcPr>
          <w:p>
            <w:pPr>
              <w:jc w:val="center"/>
              <w:ind w:right="120"/>
              <w:spacing w:after="0" w:line="163" w:lineRule="exact"/>
              <w:rPr>
                <w:sz w:val="20"/>
                <w:szCs w:val="20"/>
                <w:color w:val="auto"/>
              </w:rPr>
            </w:pPr>
            <w:r>
              <w:rPr>
                <w:rFonts w:ascii="Arial" w:cs="Arial" w:eastAsia="Arial" w:hAnsi="Arial"/>
                <w:sz w:val="17"/>
                <w:szCs w:val="17"/>
                <w:color w:val="0000EE"/>
                <w:w w:val="91"/>
              </w:rPr>
              <w:t>F-26 – F-</w:t>
            </w:r>
          </w:p>
        </w:tc>
        <w:tc>
          <w:tcPr>
            <w:tcW w:w="2420" w:type="dxa"/>
            <w:vAlign w:val="bottom"/>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0000EE"/>
            </w:tcBorders>
            <w:gridSpan w:val="2"/>
          </w:tcPr>
          <w:p>
            <w:pPr>
              <w:jc w:val="center"/>
              <w:ind w:left="156"/>
              <w:spacing w:after="0" w:line="180" w:lineRule="exact"/>
              <w:rPr>
                <w:sz w:val="20"/>
                <w:szCs w:val="20"/>
                <w:color w:val="auto"/>
              </w:rPr>
            </w:pPr>
            <w:r>
              <w:rPr>
                <w:rFonts w:ascii="Arial" w:cs="Arial" w:eastAsia="Arial" w:hAnsi="Arial"/>
                <w:sz w:val="17"/>
                <w:szCs w:val="17"/>
                <w:color w:val="0000EE"/>
                <w:w w:val="84"/>
              </w:rPr>
              <w:t>27</w:t>
            </w:r>
          </w:p>
        </w:tc>
        <w:tc>
          <w:tcPr>
            <w:tcW w:w="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29"/>
        </w:trPr>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tcBorders>
              <w:bottom w:val="single" w:sz="8" w:color="CCFFCC"/>
            </w:tcBorders>
            <w:shd w:val="clear" w:color="auto" w:fill="CCFFCC"/>
          </w:tcPr>
          <w:p>
            <w:pPr>
              <w:spacing w:after="0"/>
              <w:rPr>
                <w:sz w:val="14"/>
                <w:szCs w:val="14"/>
                <w:color w:val="auto"/>
              </w:rPr>
            </w:pPr>
          </w:p>
        </w:tc>
        <w:tc>
          <w:tcPr>
            <w:tcW w:w="3180" w:type="dxa"/>
            <w:vAlign w:val="bottom"/>
            <w:tcBorders>
              <w:bottom w:val="single" w:sz="8" w:color="0000EE"/>
            </w:tcBorders>
            <w:gridSpan w:val="8"/>
            <w:shd w:val="clear" w:color="auto" w:fill="CCFFCC"/>
          </w:tcPr>
          <w:p>
            <w:pPr>
              <w:spacing w:after="0" w:line="172" w:lineRule="exact"/>
              <w:rPr>
                <w:sz w:val="20"/>
                <w:szCs w:val="20"/>
                <w:color w:val="auto"/>
              </w:rPr>
            </w:pPr>
            <w:r>
              <w:rPr>
                <w:rFonts w:ascii="Arial" w:cs="Arial" w:eastAsia="Arial" w:hAnsi="Arial"/>
                <w:sz w:val="17"/>
                <w:szCs w:val="17"/>
                <w:color w:val="0000EE"/>
                <w:w w:val="87"/>
              </w:rPr>
              <w:t>Notes to the Consolidated Financial Statements</w:t>
            </w:r>
          </w:p>
        </w:tc>
        <w:tc>
          <w:tcPr>
            <w:tcW w:w="3360" w:type="dxa"/>
            <w:vAlign w:val="bottom"/>
            <w:tcBorders>
              <w:bottom w:val="single" w:sz="8" w:color="CCFFCC"/>
            </w:tcBorders>
            <w:gridSpan w:val="4"/>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640" w:type="dxa"/>
            <w:vAlign w:val="bottom"/>
            <w:tcBorders>
              <w:bottom w:val="single" w:sz="8" w:color="0000EE"/>
            </w:tcBorders>
            <w:gridSpan w:val="4"/>
            <w:shd w:val="clear" w:color="auto" w:fill="CCFFCC"/>
          </w:tcPr>
          <w:p>
            <w:pPr>
              <w:jc w:val="center"/>
              <w:spacing w:after="0" w:line="172" w:lineRule="exact"/>
              <w:rPr>
                <w:sz w:val="20"/>
                <w:szCs w:val="20"/>
                <w:color w:val="auto"/>
              </w:rPr>
            </w:pPr>
            <w:r>
              <w:rPr>
                <w:rFonts w:ascii="Arial" w:cs="Arial" w:eastAsia="Arial" w:hAnsi="Arial"/>
                <w:sz w:val="17"/>
                <w:szCs w:val="17"/>
                <w:color w:val="0000EE"/>
                <w:w w:val="91"/>
              </w:rPr>
              <w:t>F-28 – F-</w:t>
            </w: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r>
      <w:tr>
        <w:trPr>
          <w:trHeight w:val="198"/>
        </w:trPr>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60" w:type="dxa"/>
            <w:vAlign w:val="bottom"/>
            <w:tcBorders>
              <w:right w:val="single" w:sz="8" w:color="CCFFCC"/>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620" w:type="dxa"/>
            <w:vAlign w:val="bottom"/>
            <w:shd w:val="clear" w:color="auto" w:fill="CCFFCC"/>
          </w:tcPr>
          <w:p>
            <w:pPr>
              <w:spacing w:after="0"/>
              <w:rPr>
                <w:sz w:val="17"/>
                <w:szCs w:val="17"/>
                <w:color w:val="auto"/>
              </w:rPr>
            </w:pPr>
          </w:p>
        </w:tc>
        <w:tc>
          <w:tcPr>
            <w:tcW w:w="560" w:type="dxa"/>
            <w:vAlign w:val="bottom"/>
            <w:gridSpan w:val="3"/>
            <w:shd w:val="clear" w:color="auto" w:fill="CCFFCC"/>
          </w:tcPr>
          <w:p>
            <w:pPr>
              <w:jc w:val="center"/>
              <w:ind w:left="316"/>
              <w:spacing w:after="0" w:line="180" w:lineRule="exact"/>
              <w:rPr>
                <w:sz w:val="20"/>
                <w:szCs w:val="20"/>
                <w:color w:val="auto"/>
              </w:rPr>
            </w:pPr>
            <w:r>
              <w:rPr>
                <w:rFonts w:ascii="Arial" w:cs="Arial" w:eastAsia="Arial" w:hAnsi="Arial"/>
                <w:sz w:val="17"/>
                <w:szCs w:val="17"/>
                <w:color w:val="0000EE"/>
                <w:w w:val="84"/>
              </w:rPr>
              <w:t>51</w:t>
            </w:r>
          </w:p>
        </w:tc>
        <w:tc>
          <w:tcPr>
            <w:tcW w:w="80" w:type="dxa"/>
            <w:vAlign w:val="bottom"/>
            <w:tcBorders>
              <w:lef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714"/>
        </w:trPr>
        <w:tc>
          <w:tcPr>
            <w:tcW w:w="160" w:type="dxa"/>
            <w:vAlign w:val="bottom"/>
            <w:tcBorders>
              <w:top w:val="single" w:sz="8" w:color="CCFFCC"/>
            </w:tcBorders>
          </w:tcPr>
          <w:p>
            <w:pPr>
              <w:spacing w:after="0"/>
              <w:rPr>
                <w:sz w:val="24"/>
                <w:szCs w:val="24"/>
                <w:color w:val="auto"/>
              </w:rPr>
            </w:pPr>
          </w:p>
        </w:tc>
        <w:tc>
          <w:tcPr>
            <w:tcW w:w="980" w:type="dxa"/>
            <w:vAlign w:val="bottom"/>
            <w:tcBorders>
              <w:top w:val="single" w:sz="8" w:color="CCFFCC"/>
            </w:tcBorders>
          </w:tcPr>
          <w:p>
            <w:pPr>
              <w:spacing w:after="0"/>
              <w:rPr>
                <w:sz w:val="24"/>
                <w:szCs w:val="24"/>
                <w:color w:val="auto"/>
              </w:rPr>
            </w:pPr>
          </w:p>
        </w:tc>
        <w:tc>
          <w:tcPr>
            <w:tcW w:w="90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620" w:type="dxa"/>
            <w:vAlign w:val="bottom"/>
            <w:tcBorders>
              <w:top w:val="single" w:sz="8" w:color="CCFFCC"/>
            </w:tcBorders>
          </w:tcPr>
          <w:p>
            <w:pPr>
              <w:ind w:left="120"/>
              <w:spacing w:after="0"/>
              <w:rPr>
                <w:sz w:val="20"/>
                <w:szCs w:val="20"/>
                <w:color w:val="auto"/>
              </w:rPr>
            </w:pPr>
            <w:r>
              <w:rPr>
                <w:rFonts w:ascii="Arial" w:cs="Arial" w:eastAsia="Arial" w:hAnsi="Arial"/>
                <w:sz w:val="17"/>
                <w:szCs w:val="17"/>
                <w:color w:val="auto"/>
              </w:rPr>
              <w:t>F-1</w:t>
            </w:r>
          </w:p>
        </w:tc>
        <w:tc>
          <w:tcPr>
            <w:tcW w:w="16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4" w:name="page215"/>
    <w:bookmarkEnd w:id="2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760" w:type="dxa"/>
            <w:vAlign w:val="bottom"/>
          </w:tcPr>
          <w:p>
            <w:pPr>
              <w:spacing w:after="0"/>
              <w:rPr>
                <w:sz w:val="13"/>
                <w:szCs w:val="13"/>
                <w:color w:val="auto"/>
              </w:rPr>
            </w:pPr>
          </w:p>
        </w:tc>
        <w:tc>
          <w:tcPr>
            <w:tcW w:w="700" w:type="dxa"/>
            <w:vAlign w:val="bottom"/>
          </w:tcPr>
          <w:p>
            <w:pPr>
              <w:jc w:val="center"/>
              <w:ind w:left="21"/>
              <w:spacing w:after="0"/>
              <w:rPr>
                <w:sz w:val="20"/>
                <w:szCs w:val="20"/>
                <w:color w:val="auto"/>
              </w:rPr>
            </w:pPr>
            <w:r>
              <w:rPr>
                <w:rFonts w:ascii="Arial" w:cs="Arial" w:eastAsia="Arial" w:hAnsi="Arial"/>
                <w:sz w:val="13"/>
                <w:szCs w:val="13"/>
                <w:b w:val="1"/>
                <w:bCs w:val="1"/>
                <w:color w:val="auto"/>
                <w:w w:val="96"/>
              </w:rPr>
              <w:t>2012</w:t>
            </w:r>
          </w:p>
        </w:tc>
        <w:tc>
          <w:tcPr>
            <w:tcW w:w="100" w:type="dxa"/>
            <w:vAlign w:val="bottom"/>
          </w:tcPr>
          <w:p>
            <w:pPr>
              <w:spacing w:after="0"/>
              <w:rPr>
                <w:sz w:val="13"/>
                <w:szCs w:val="13"/>
                <w:color w:val="auto"/>
              </w:rPr>
            </w:pPr>
          </w:p>
        </w:tc>
        <w:tc>
          <w:tcPr>
            <w:tcW w:w="940" w:type="dxa"/>
            <w:vAlign w:val="bottom"/>
            <w:gridSpan w:val="2"/>
          </w:tcPr>
          <w:p>
            <w:pPr>
              <w:jc w:val="center"/>
              <w:ind w:left="201"/>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60" w:type="dxa"/>
            <w:vAlign w:val="bottom"/>
            <w:vMerge w:val="restart"/>
          </w:tcPr>
          <w:p>
            <w:pPr>
              <w:spacing w:after="0"/>
              <w:rPr>
                <w:sz w:val="20"/>
                <w:szCs w:val="20"/>
                <w:color w:val="auto"/>
              </w:rPr>
            </w:pPr>
            <w:r>
              <w:rPr>
                <w:rFonts w:ascii="Arial" w:cs="Arial" w:eastAsia="Arial" w:hAnsi="Arial"/>
                <w:sz w:val="17"/>
                <w:szCs w:val="17"/>
                <w:b w:val="1"/>
                <w:bCs w:val="1"/>
                <w:color w:val="auto"/>
              </w:rPr>
              <w:t>Current assets</w:t>
            </w: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7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3,630</w:t>
            </w:r>
          </w:p>
        </w:tc>
        <w:tc>
          <w:tcPr>
            <w:tcW w:w="100" w:type="dxa"/>
            <w:vAlign w:val="bottom"/>
            <w:shd w:val="clear" w:color="auto" w:fill="CCFFCC"/>
          </w:tcPr>
          <w:p>
            <w:pPr>
              <w:spacing w:after="0"/>
              <w:rPr>
                <w:sz w:val="17"/>
                <w:szCs w:val="17"/>
                <w:color w:val="auto"/>
              </w:rPr>
            </w:pP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1,190</w:t>
            </w:r>
          </w:p>
        </w:tc>
        <w:tc>
          <w:tcPr>
            <w:tcW w:w="0" w:type="dxa"/>
            <w:vAlign w:val="bottom"/>
          </w:tcPr>
          <w:p>
            <w:pPr>
              <w:spacing w:after="0"/>
              <w:rPr>
                <w:sz w:val="1"/>
                <w:szCs w:val="1"/>
                <w:color w:val="auto"/>
              </w:rPr>
            </w:pPr>
          </w:p>
        </w:tc>
      </w:tr>
      <w:tr>
        <w:trPr>
          <w:trHeight w:val="200"/>
        </w:trPr>
        <w:tc>
          <w:tcPr>
            <w:tcW w:w="5760" w:type="dxa"/>
            <w:vAlign w:val="bottom"/>
          </w:tcPr>
          <w:p>
            <w:pPr>
              <w:spacing w:after="0"/>
              <w:rPr>
                <w:sz w:val="20"/>
                <w:szCs w:val="20"/>
                <w:color w:val="auto"/>
              </w:rPr>
            </w:pPr>
            <w:r>
              <w:rPr>
                <w:rFonts w:ascii="Arial" w:cs="Arial" w:eastAsia="Arial" w:hAnsi="Arial"/>
                <w:sz w:val="17"/>
                <w:szCs w:val="17"/>
                <w:color w:val="auto"/>
              </w:rPr>
              <w:t>Accounts receivable</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152</w:t>
            </w:r>
          </w:p>
        </w:tc>
        <w:tc>
          <w:tcPr>
            <w:tcW w:w="1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0"/>
        </w:trPr>
        <w:tc>
          <w:tcPr>
            <w:tcW w:w="5760" w:type="dxa"/>
            <w:vAlign w:val="bottom"/>
            <w:shd w:val="clear" w:color="auto" w:fill="CCFFCC"/>
          </w:tcPr>
          <w:p>
            <w:pPr>
              <w:spacing w:after="0"/>
              <w:rPr>
                <w:sz w:val="20"/>
                <w:szCs w:val="20"/>
                <w:color w:val="auto"/>
              </w:rPr>
            </w:pPr>
            <w:r>
              <w:rPr>
                <w:rFonts w:ascii="Arial" w:cs="Arial" w:eastAsia="Arial" w:hAnsi="Arial"/>
                <w:sz w:val="17"/>
                <w:szCs w:val="17"/>
                <w:color w:val="auto"/>
              </w:rPr>
              <w:t>Prepaid expenses and other current assets</w:t>
            </w:r>
          </w:p>
        </w:tc>
        <w:tc>
          <w:tcPr>
            <w:tcW w:w="7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144</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3,926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Long-term deposit</w:t>
            </w:r>
          </w:p>
        </w:tc>
        <w:tc>
          <w:tcPr>
            <w:tcW w:w="7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60" w:type="dxa"/>
            <w:vAlign w:val="bottom"/>
          </w:tcPr>
          <w:p>
            <w:pPr>
              <w:spacing w:after="0" w:line="180" w:lineRule="exact"/>
              <w:rPr>
                <w:sz w:val="20"/>
                <w:szCs w:val="20"/>
                <w:color w:val="auto"/>
              </w:rPr>
            </w:pPr>
            <w:r>
              <w:rPr>
                <w:rFonts w:ascii="Arial" w:cs="Arial" w:eastAsia="Arial" w:hAnsi="Arial"/>
                <w:sz w:val="17"/>
                <w:szCs w:val="17"/>
                <w:b w:val="1"/>
                <w:bCs w:val="1"/>
                <w:color w:val="auto"/>
                <w:w w:val="92"/>
              </w:rPr>
              <w:t xml:space="preserve">Property and equipment, </w:t>
            </w:r>
            <w:r>
              <w:rPr>
                <w:rFonts w:ascii="Arial" w:cs="Arial" w:eastAsia="Arial" w:hAnsi="Arial"/>
                <w:sz w:val="17"/>
                <w:szCs w:val="17"/>
                <w:color w:val="auto"/>
                <w:w w:val="92"/>
              </w:rPr>
              <w:t>at cost, net of $470 and $454 accumulated depreciation</w:t>
            </w:r>
          </w:p>
        </w:tc>
        <w:tc>
          <w:tcPr>
            <w:tcW w:w="70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3"/>
        </w:trPr>
        <w:tc>
          <w:tcPr>
            <w:tcW w:w="5760" w:type="dxa"/>
            <w:vAlign w:val="bottom"/>
          </w:tcPr>
          <w:p>
            <w:pPr>
              <w:ind w:left="160"/>
              <w:spacing w:after="0"/>
              <w:rPr>
                <w:sz w:val="20"/>
                <w:szCs w:val="20"/>
                <w:color w:val="auto"/>
              </w:rPr>
            </w:pPr>
            <w:r>
              <w:rPr>
                <w:rFonts w:ascii="Arial" w:cs="Arial" w:eastAsia="Arial" w:hAnsi="Arial"/>
                <w:sz w:val="17"/>
                <w:szCs w:val="17"/>
                <w:color w:val="auto"/>
                <w:w w:val="96"/>
              </w:rPr>
              <w:t>and amortization, as of March 31, 2012 and December 31, 2011, respectively</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60" w:type="dxa"/>
            <w:vAlign w:val="bottom"/>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Deferred tax assets – long-term</w:t>
            </w:r>
          </w:p>
        </w:tc>
        <w:tc>
          <w:tcPr>
            <w:tcW w:w="80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760" w:type="dxa"/>
            <w:vAlign w:val="bottom"/>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7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-835025</wp:posOffset>
            </wp:positionV>
            <wp:extent cx="4837430" cy="143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-564515</wp:posOffset>
            </wp:positionV>
            <wp:extent cx="4837430" cy="270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83743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1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20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2012</w:t>
            </w:r>
          </w:p>
        </w:tc>
        <w:tc>
          <w:tcPr>
            <w:tcW w:w="960" w:type="dxa"/>
            <w:vAlign w:val="bottom"/>
            <w:gridSpan w:val="2"/>
          </w:tcPr>
          <w:p>
            <w:pPr>
              <w:jc w:val="center"/>
              <w:ind w:left="29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960" w:type="dxa"/>
            <w:vAlign w:val="bottom"/>
            <w:gridSpan w:val="2"/>
          </w:tcPr>
          <w:p>
            <w:pPr>
              <w:ind w:left="280"/>
              <w:spacing w:after="0"/>
              <w:rPr>
                <w:sz w:val="20"/>
                <w:szCs w:val="20"/>
                <w:color w:val="auto"/>
              </w:rPr>
            </w:pPr>
            <w:r>
              <w:rPr>
                <w:rFonts w:ascii="Arial" w:cs="Arial" w:eastAsia="Arial" w:hAnsi="Arial"/>
                <w:sz w:val="13"/>
                <w:szCs w:val="13"/>
                <w:b w:val="1"/>
                <w:bCs w:val="1"/>
                <w:color w:val="auto"/>
              </w:rPr>
              <w:t>Note</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U.S.$</w:t>
            </w:r>
          </w:p>
        </w:tc>
        <w:tc>
          <w:tcPr>
            <w:tcW w:w="20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800" w:type="dxa"/>
            <w:vAlign w:val="bottom"/>
            <w:gridSpan w:val="2"/>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Deferred tax liabilities, net – short-term</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Accounts payable and accrued expenses*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617</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employee compensation</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357</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Accrued short-term severance pay</w:t>
            </w:r>
          </w:p>
        </w:tc>
        <w:tc>
          <w:tcPr>
            <w:tcW w:w="800" w:type="dxa"/>
            <w:vAlign w:val="bottom"/>
          </w:tcPr>
          <w:p>
            <w:pPr>
              <w:jc w:val="right"/>
              <w:ind w:right="199"/>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233</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1,210</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193"/>
        </w:trPr>
        <w:tc>
          <w:tcPr>
            <w:tcW w:w="48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Long-term liabilities</w:t>
            </w:r>
          </w:p>
        </w:tc>
        <w:tc>
          <w:tcPr>
            <w:tcW w:w="8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severance pay</w:t>
            </w:r>
          </w:p>
        </w:tc>
        <w:tc>
          <w:tcPr>
            <w:tcW w:w="800" w:type="dxa"/>
            <w:vAlign w:val="bottom"/>
            <w:shd w:val="clear" w:color="auto" w:fill="CCFFCC"/>
          </w:tcPr>
          <w:p>
            <w:pPr>
              <w:jc w:val="right"/>
              <w:ind w:right="199"/>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Derivative liabilities on account of warrants</w:t>
            </w:r>
          </w:p>
        </w:tc>
        <w:tc>
          <w:tcPr>
            <w:tcW w:w="800" w:type="dxa"/>
            <w:vAlign w:val="bottom"/>
          </w:tcPr>
          <w:p>
            <w:pPr>
              <w:jc w:val="right"/>
              <w:ind w:right="199"/>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1,836</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1,836</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2,337</w:t>
            </w:r>
          </w:p>
        </w:tc>
        <w:tc>
          <w:tcPr>
            <w:tcW w:w="0" w:type="dxa"/>
            <w:vAlign w:val="bottom"/>
          </w:tcPr>
          <w:p>
            <w:pPr>
              <w:spacing w:after="0"/>
              <w:rPr>
                <w:sz w:val="1"/>
                <w:szCs w:val="1"/>
                <w:color w:val="auto"/>
              </w:rPr>
            </w:pPr>
          </w:p>
        </w:tc>
      </w:tr>
      <w:tr>
        <w:trPr>
          <w:trHeight w:val="193"/>
        </w:trPr>
        <w:tc>
          <w:tcPr>
            <w:tcW w:w="48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Commitments and contingencies</w:t>
            </w:r>
          </w:p>
        </w:tc>
        <w:tc>
          <w:tcPr>
            <w:tcW w:w="800" w:type="dxa"/>
            <w:vAlign w:val="bottom"/>
            <w:tcBorders>
              <w:top w:val="single" w:sz="8" w:color="CCFFCC"/>
            </w:tcBorders>
          </w:tcPr>
          <w:p>
            <w:pPr>
              <w:jc w:val="right"/>
              <w:ind w:right="199"/>
              <w:spacing w:after="0" w:line="193" w:lineRule="exact"/>
              <w:rPr>
                <w:sz w:val="20"/>
                <w:szCs w:val="20"/>
                <w:color w:val="auto"/>
              </w:rPr>
            </w:pPr>
            <w:r>
              <w:rPr>
                <w:rFonts w:ascii="Arial" w:cs="Arial" w:eastAsia="Arial" w:hAnsi="Arial"/>
                <w:sz w:val="17"/>
                <w:szCs w:val="17"/>
                <w:color w:val="auto"/>
              </w:rPr>
              <w:t>6</w:t>
            </w: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Stockholders’ equity (deficit)</w:t>
            </w:r>
          </w:p>
        </w:tc>
        <w:tc>
          <w:tcPr>
            <w:tcW w:w="800" w:type="dxa"/>
            <w:vAlign w:val="bottom"/>
            <w:shd w:val="clear" w:color="auto" w:fill="CCFFCC"/>
          </w:tcPr>
          <w:p>
            <w:pPr>
              <w:jc w:val="right"/>
              <w:ind w:right="199"/>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00" w:type="dxa"/>
            <w:vAlign w:val="bottom"/>
            <w:gridSpan w:val="2"/>
          </w:tcPr>
          <w:p>
            <w:pPr>
              <w:spacing w:after="0" w:line="188" w:lineRule="exact"/>
              <w:rPr>
                <w:sz w:val="20"/>
                <w:szCs w:val="20"/>
                <w:color w:val="auto"/>
              </w:rPr>
            </w:pPr>
            <w:r>
              <w:rPr>
                <w:rFonts w:ascii="Arial" w:cs="Arial" w:eastAsia="Arial" w:hAnsi="Arial"/>
                <w:sz w:val="17"/>
                <w:szCs w:val="17"/>
                <w:color w:val="auto"/>
                <w:w w:val="97"/>
              </w:rPr>
              <w:t>Preferred stock, $0.01 par value per share; 5,000,000 authorized;</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4800" w:type="dxa"/>
            <w:vAlign w:val="bottom"/>
            <w:gridSpan w:val="2"/>
          </w:tcPr>
          <w:p>
            <w:pPr>
              <w:ind w:left="160"/>
              <w:spacing w:after="0"/>
              <w:rPr>
                <w:sz w:val="20"/>
                <w:szCs w:val="20"/>
                <w:color w:val="auto"/>
              </w:rPr>
            </w:pPr>
            <w:r>
              <w:rPr>
                <w:rFonts w:ascii="Arial" w:cs="Arial" w:eastAsia="Arial" w:hAnsi="Arial"/>
                <w:sz w:val="17"/>
                <w:szCs w:val="17"/>
                <w:color w:val="auto"/>
                <w:w w:val="92"/>
              </w:rPr>
              <w:t>none issued and outstanding as of March 31, 2012 and December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gridSpan w:val="2"/>
          </w:tcPr>
          <w:p>
            <w:pPr>
              <w:ind w:left="160"/>
              <w:spacing w:after="0"/>
              <w:rPr>
                <w:sz w:val="20"/>
                <w:szCs w:val="20"/>
                <w:color w:val="auto"/>
              </w:rPr>
            </w:pPr>
            <w:r>
              <w:rPr>
                <w:rFonts w:ascii="Arial" w:cs="Arial" w:eastAsia="Arial" w:hAnsi="Arial"/>
                <w:sz w:val="17"/>
                <w:szCs w:val="17"/>
                <w:color w:val="auto"/>
              </w:rPr>
              <w:t>31, 2011, respectively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8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Common stock, $0.01 par value per share 28,000,000 authorized;</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139</w:t>
            </w:r>
          </w:p>
        </w:tc>
        <w:tc>
          <w:tcPr>
            <w:tcW w:w="1120" w:type="dxa"/>
            <w:vAlign w:val="bottom"/>
            <w:tcBorders>
              <w:left w:val="single" w:sz="8" w:color="CCFFCC"/>
            </w:tcBorders>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2"/>
              </w:rPr>
              <w:t>13,866,423 and 9,954,516 issued and outstanding as of March 31,</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2012 and December 31, 2011, respectively</w:t>
            </w:r>
          </w:p>
        </w:tc>
        <w:tc>
          <w:tcPr>
            <w:tcW w:w="8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80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44,072</w:t>
            </w: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36,281</w:t>
            </w:r>
          </w:p>
        </w:tc>
        <w:tc>
          <w:tcPr>
            <w:tcW w:w="0" w:type="dxa"/>
            <w:vAlign w:val="bottom"/>
          </w:tcPr>
          <w:p>
            <w:pPr>
              <w:spacing w:after="0"/>
              <w:rPr>
                <w:sz w:val="1"/>
                <w:szCs w:val="1"/>
                <w:color w:val="auto"/>
              </w:rPr>
            </w:pPr>
          </w:p>
        </w:tc>
      </w:tr>
      <w:tr>
        <w:trPr>
          <w:trHeight w:val="200"/>
        </w:trPr>
        <w:tc>
          <w:tcPr>
            <w:tcW w:w="48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Deficit accumulated during the development stage</w:t>
            </w:r>
          </w:p>
        </w:tc>
        <w:tc>
          <w:tcPr>
            <w:tcW w:w="8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(43,190)</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90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stockholders’ equity (deficit)</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1,021</w:t>
            </w:r>
          </w:p>
        </w:tc>
        <w:tc>
          <w:tcPr>
            <w:tcW w:w="112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(1,165)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8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liabilities and stockholders’ equity (deficit)</w:t>
            </w:r>
          </w:p>
        </w:tc>
        <w:tc>
          <w:tcPr>
            <w:tcW w:w="8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4,067</w:t>
            </w:r>
          </w:p>
        </w:tc>
        <w:tc>
          <w:tcPr>
            <w:tcW w:w="1120" w:type="dxa"/>
            <w:vAlign w:val="bottom"/>
            <w:tcBorders>
              <w:left w:val="single" w:sz="8" w:color="CCFFCC"/>
            </w:tcBorders>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3900" w:type="dxa"/>
            <w:vAlign w:val="bottom"/>
            <w:tcBorders>
              <w:top w:val="single" w:sz="8" w:color="CCFFCC"/>
            </w:tcBorders>
          </w:tcPr>
          <w:p>
            <w:pPr>
              <w:spacing w:after="0"/>
              <w:rPr>
                <w:sz w:val="20"/>
                <w:szCs w:val="20"/>
                <w:color w:val="auto"/>
              </w:rPr>
            </w:pPr>
          </w:p>
        </w:tc>
        <w:tc>
          <w:tcPr>
            <w:tcW w:w="80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-2275205</wp:posOffset>
            </wp:positionV>
            <wp:extent cx="4837430" cy="135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-1750060</wp:posOffset>
            </wp:positionV>
            <wp:extent cx="4837430" cy="135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-468630</wp:posOffset>
            </wp:positionV>
            <wp:extent cx="4837430" cy="1435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1480" w:right="2019" w:hanging="1470"/>
        <w:spacing w:after="0" w:line="985" w:lineRule="auto"/>
        <w:tabs>
          <w:tab w:leader="none" w:pos="2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Amounts recorded as of March 31, 2012 and December 31, 2011 include $12 and $10 to a related party, respectively. The accompanying notes form an integral part of these consolidated financial statements.</w:t>
      </w:r>
    </w:p>
    <w:p>
      <w:pPr>
        <w:ind w:left="42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6"/>
              </w:rPr>
              <w:t>For three month period ended</w:t>
            </w:r>
          </w:p>
        </w:tc>
        <w:tc>
          <w:tcPr>
            <w:tcW w:w="14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4"/>
          </w:tcPr>
          <w:p>
            <w:pPr>
              <w:jc w:val="right"/>
              <w:ind w:right="640"/>
              <w:spacing w:after="0" w:line="138"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1"/>
                <w:szCs w:val="11"/>
                <w:color w:val="auto"/>
              </w:rPr>
            </w:pPr>
          </w:p>
        </w:tc>
        <w:tc>
          <w:tcPr>
            <w:tcW w:w="11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 to</w:t>
            </w: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1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85"/>
        </w:trPr>
        <w:tc>
          <w:tcPr>
            <w:tcW w:w="9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2012</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restart"/>
          </w:tcPr>
          <w:p>
            <w:pPr>
              <w:jc w:val="center"/>
              <w:ind w:left="113"/>
              <w:spacing w:after="0" w:line="113"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5"/>
                <w:szCs w:val="15"/>
                <w:color w:val="auto"/>
              </w:rPr>
            </w:pP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U.S.$</w:t>
            </w:r>
          </w:p>
        </w:tc>
        <w:tc>
          <w:tcPr>
            <w:tcW w:w="20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106</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147</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b w:val="1"/>
                <w:bCs w:val="1"/>
                <w:color w:val="auto"/>
              </w:rPr>
              <w:t>1,055</w:t>
            </w:r>
          </w:p>
        </w:tc>
        <w:tc>
          <w:tcPr>
            <w:tcW w:w="0" w:type="dxa"/>
            <w:vAlign w:val="bottom"/>
          </w:tcPr>
          <w:p>
            <w:pPr>
              <w:spacing w:after="0"/>
              <w:rPr>
                <w:sz w:val="1"/>
                <w:szCs w:val="1"/>
                <w:color w:val="auto"/>
              </w:rPr>
            </w:pPr>
          </w:p>
        </w:tc>
      </w:tr>
      <w:tr>
        <w:trPr>
          <w:trHeight w:val="193"/>
        </w:trPr>
        <w:tc>
          <w:tcPr>
            <w:tcW w:w="392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Costs and Expenses*</w:t>
            </w:r>
          </w:p>
        </w:tc>
        <w:tc>
          <w:tcPr>
            <w:tcW w:w="4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31</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25</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397</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512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519</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13,883</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759</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621</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11,970</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1,460</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665</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9,729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2,762</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1,830</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b w:val="1"/>
                <w:bCs w:val="1"/>
                <w:color w:val="auto"/>
              </w:rPr>
              <w:t>35,979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(2,656)</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(1,683)</w:t>
            </w:r>
          </w:p>
        </w:tc>
        <w:tc>
          <w:tcPr>
            <w:tcW w:w="1260" w:type="dxa"/>
            <w:vAlign w:val="bottom"/>
            <w:gridSpan w:val="3"/>
          </w:tcPr>
          <w:p>
            <w:pPr>
              <w:jc w:val="right"/>
              <w:ind w:right="160"/>
              <w:spacing w:after="0" w:line="193" w:lineRule="exact"/>
              <w:rPr>
                <w:sz w:val="20"/>
                <w:szCs w:val="20"/>
                <w:color w:val="auto"/>
              </w:rPr>
            </w:pPr>
            <w:r>
              <w:rPr>
                <w:rFonts w:ascii="Arial" w:cs="Arial" w:eastAsia="Arial" w:hAnsi="Arial"/>
                <w:sz w:val="17"/>
                <w:szCs w:val="17"/>
                <w:b w:val="1"/>
                <w:bCs w:val="1"/>
                <w:color w:val="auto"/>
              </w:rPr>
              <w:t>(34,924)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Non-operating expenses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Interest and amortization of debt discount expense</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(110)</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Gain (loss) on revaluation of warrants</w:t>
            </w:r>
          </w:p>
        </w:tc>
        <w:tc>
          <w:tcPr>
            <w:tcW w:w="400" w:type="dxa"/>
            <w:vAlign w:val="bottom"/>
          </w:tcPr>
          <w:p>
            <w:pPr>
              <w:jc w:val="right"/>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(411)</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708</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4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(1,476)</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Issuance of non-preferential reload warrants</w:t>
            </w:r>
          </w:p>
        </w:tc>
        <w:tc>
          <w:tcPr>
            <w:tcW w:w="40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(1,091)</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0"/>
        </w:trPr>
        <w:tc>
          <w:tcPr>
            <w:tcW w:w="392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4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392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4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(5,624)</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(1,091)</w:t>
            </w:r>
          </w:p>
        </w:tc>
        <w:tc>
          <w:tcPr>
            <w:tcW w:w="12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(43,051)</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020" w:type="dxa"/>
            <w:vAlign w:val="bottom"/>
            <w:shd w:val="clear" w:color="auto" w:fill="CCFFCC"/>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20" w:type="dxa"/>
            <w:vAlign w:val="bottom"/>
            <w:gridSpan w:val="2"/>
          </w:tcPr>
          <w:p>
            <w:pPr>
              <w:spacing w:after="0" w:line="193" w:lineRule="exact"/>
              <w:rPr>
                <w:sz w:val="20"/>
                <w:szCs w:val="20"/>
                <w:color w:val="auto"/>
              </w:rPr>
            </w:pPr>
            <w:r>
              <w:rPr>
                <w:rFonts w:ascii="Arial" w:cs="Arial" w:eastAsia="Arial" w:hAnsi="Arial"/>
                <w:sz w:val="17"/>
                <w:szCs w:val="17"/>
                <w:color w:val="auto"/>
              </w:rPr>
              <w:t>Income tax expense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(20)</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(18)</w:t>
            </w:r>
          </w:p>
        </w:tc>
        <w:tc>
          <w:tcPr>
            <w:tcW w:w="12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4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(5,644)</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(1,109)</w:t>
            </w:r>
          </w:p>
        </w:tc>
        <w:tc>
          <w:tcPr>
            <w:tcW w:w="12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(43,190)</w:t>
            </w:r>
          </w:p>
        </w:tc>
        <w:tc>
          <w:tcPr>
            <w:tcW w:w="0" w:type="dxa"/>
            <w:vAlign w:val="bottom"/>
          </w:tcPr>
          <w:p>
            <w:pPr>
              <w:spacing w:after="0"/>
              <w:rPr>
                <w:sz w:val="1"/>
                <w:szCs w:val="1"/>
                <w:color w:val="auto"/>
              </w:rPr>
            </w:pPr>
          </w:p>
        </w:tc>
      </w:tr>
      <w:tr>
        <w:trPr>
          <w:trHeight w:val="20"/>
        </w:trPr>
        <w:tc>
          <w:tcPr>
            <w:tcW w:w="900" w:type="dxa"/>
            <w:vAlign w:val="bottom"/>
            <w:tcBorders>
              <w:top w:val="single" w:sz="8" w:color="CCFFCC"/>
            </w:tcBorders>
            <w:shd w:val="clear" w:color="auto" w:fill="CCFFCC"/>
          </w:tcPr>
          <w:p>
            <w:pPr>
              <w:spacing w:after="0" w:line="20" w:lineRule="exact"/>
              <w:rPr>
                <w:sz w:val="1"/>
                <w:szCs w:val="1"/>
                <w:color w:val="auto"/>
              </w:rPr>
            </w:pPr>
          </w:p>
        </w:tc>
        <w:tc>
          <w:tcPr>
            <w:tcW w:w="30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2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(0.46)</w:t>
            </w:r>
          </w:p>
        </w:tc>
        <w:tc>
          <w:tcPr>
            <w:tcW w:w="1060" w:type="dxa"/>
            <w:vAlign w:val="bottom"/>
            <w:gridSpan w:val="3"/>
          </w:tcPr>
          <w:p>
            <w:pPr>
              <w:jc w:val="right"/>
              <w:ind w:right="40"/>
              <w:spacing w:after="0" w:line="191" w:lineRule="exact"/>
              <w:rPr>
                <w:sz w:val="20"/>
                <w:szCs w:val="20"/>
                <w:color w:val="auto"/>
              </w:rPr>
            </w:pPr>
            <w:r>
              <w:rPr>
                <w:rFonts w:ascii="Arial" w:cs="Arial" w:eastAsia="Arial" w:hAnsi="Arial"/>
                <w:sz w:val="17"/>
                <w:szCs w:val="17"/>
                <w:color w:val="auto"/>
              </w:rPr>
              <w:t>(0.19)</w:t>
            </w:r>
          </w:p>
        </w:tc>
        <w:tc>
          <w:tcPr>
            <w:tcW w:w="1260" w:type="dxa"/>
            <w:vAlign w:val="bottom"/>
            <w:gridSpan w:val="3"/>
          </w:tcPr>
          <w:p>
            <w:pPr>
              <w:jc w:val="right"/>
              <w:ind w:right="100"/>
              <w:spacing w:after="0" w:line="191" w:lineRule="exact"/>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2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3"/>
              </w:rPr>
              <w:t>Weighted average number of shares used in computing</w:t>
            </w:r>
          </w:p>
        </w:tc>
        <w:tc>
          <w:tcPr>
            <w:tcW w:w="4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6"/>
              </w:rPr>
              <w:t>12,371,472</w:t>
            </w:r>
          </w:p>
        </w:tc>
        <w:tc>
          <w:tcPr>
            <w:tcW w:w="1060" w:type="dxa"/>
            <w:vAlign w:val="bottom"/>
            <w:tcBorders>
              <w:left w:val="single" w:sz="8" w:color="CCFFCC"/>
            </w:tcBorders>
            <w:gridSpan w:val="3"/>
            <w:shd w:val="clear" w:color="auto" w:fill="CCFFCC"/>
          </w:tcPr>
          <w:p>
            <w:pPr>
              <w:jc w:val="right"/>
              <w:ind w:right="100"/>
              <w:spacing w:after="0" w:line="178" w:lineRule="exact"/>
              <w:rPr>
                <w:sz w:val="20"/>
                <w:szCs w:val="20"/>
                <w:color w:val="auto"/>
              </w:rPr>
            </w:pPr>
            <w:r>
              <w:rPr>
                <w:rFonts w:ascii="Arial" w:cs="Arial" w:eastAsia="Arial" w:hAnsi="Arial"/>
                <w:sz w:val="17"/>
                <w:szCs w:val="17"/>
                <w:color w:val="auto"/>
              </w:rPr>
              <w:t>5,724,253</w:t>
            </w:r>
          </w:p>
        </w:tc>
        <w:tc>
          <w:tcPr>
            <w:tcW w:w="1260" w:type="dxa"/>
            <w:vAlign w:val="bottom"/>
            <w:gridSpan w:val="3"/>
            <w:shd w:val="clear" w:color="auto" w:fill="CCFFCC"/>
          </w:tcPr>
          <w:p>
            <w:pPr>
              <w:jc w:val="right"/>
              <w:ind w:right="160"/>
              <w:spacing w:after="0" w:line="178" w:lineRule="exact"/>
              <w:rPr>
                <w:sz w:val="20"/>
                <w:szCs w:val="20"/>
                <w:color w:val="auto"/>
              </w:rPr>
            </w:pPr>
            <w:r>
              <w:rPr>
                <w:rFonts w:ascii="Arial" w:cs="Arial" w:eastAsia="Arial" w:hAnsi="Arial"/>
                <w:sz w:val="17"/>
                <w:szCs w:val="17"/>
                <w:color w:val="auto"/>
              </w:rPr>
              <w:t>2,272,707</w:t>
            </w:r>
          </w:p>
        </w:tc>
        <w:tc>
          <w:tcPr>
            <w:tcW w:w="0" w:type="dxa"/>
            <w:vAlign w:val="bottom"/>
          </w:tcPr>
          <w:p>
            <w:pPr>
              <w:spacing w:after="0"/>
              <w:rPr>
                <w:sz w:val="1"/>
                <w:szCs w:val="1"/>
                <w:color w:val="auto"/>
              </w:rPr>
            </w:pPr>
          </w:p>
        </w:tc>
      </w:tr>
      <w:tr>
        <w:trPr>
          <w:trHeight w:val="253"/>
        </w:trPr>
        <w:tc>
          <w:tcPr>
            <w:tcW w:w="39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basic and dilutive net loss per common share</w:t>
            </w:r>
          </w:p>
        </w:tc>
        <w:tc>
          <w:tcPr>
            <w:tcW w:w="4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200" w:type="dxa"/>
            <w:vAlign w:val="bottom"/>
            <w:tcBorders>
              <w:left w:val="single" w:sz="8" w:color="CCFFCC"/>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4133215</wp:posOffset>
            </wp:positionH>
            <wp:positionV relativeFrom="paragraph">
              <wp:posOffset>-3253740</wp:posOffset>
            </wp:positionV>
            <wp:extent cx="7004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004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-2990850</wp:posOffset>
            </wp:positionV>
            <wp:extent cx="4837430" cy="135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-2211070</wp:posOffset>
            </wp:positionV>
            <wp:extent cx="4837430" cy="1435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-914400</wp:posOffset>
            </wp:positionV>
            <wp:extent cx="4837430" cy="1435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-643890</wp:posOffset>
            </wp:positionV>
            <wp:extent cx="4837430" cy="1911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amount recorded for the three month period ended March 31, 2012 and 2011 and the cumulative period from inception include $20, $131 and $1,123, respectively, to related parties.</w:t>
      </w: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accompanying notes form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7" w:name="page218"/>
    <w:bookmarkEnd w:id="2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paid-in</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stage</w:t>
            </w: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as of January 9, 2006</w:t>
            </w: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77"/>
        </w:trPr>
        <w:tc>
          <w:tcPr>
            <w:tcW w:w="2900" w:type="dxa"/>
            <w:vAlign w:val="bottom"/>
            <w:gridSpan w:val="2"/>
            <w:vMerge w:val="continue"/>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(inception)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Issuance of series A convertible</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0"/>
        </w:trPr>
        <w:tc>
          <w:tcPr>
            <w:tcW w:w="2900" w:type="dxa"/>
            <w:vAlign w:val="bottom"/>
            <w:gridSpan w:val="2"/>
          </w:tcPr>
          <w:p>
            <w:pPr>
              <w:ind w:left="160"/>
              <w:spacing w:after="0"/>
              <w:rPr>
                <w:sz w:val="20"/>
                <w:szCs w:val="20"/>
                <w:color w:val="auto"/>
              </w:rPr>
            </w:pPr>
            <w:r>
              <w:rPr>
                <w:rFonts w:ascii="Arial" w:cs="Arial" w:eastAsia="Arial" w:hAnsi="Arial"/>
                <w:sz w:val="17"/>
                <w:szCs w:val="17"/>
                <w:color w:val="auto"/>
                <w:w w:val="96"/>
              </w:rPr>
              <w:t>preferred stock, net of issuance costs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of $33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 dividend</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rPr>
                <w:sz w:val="20"/>
                <w:szCs w:val="20"/>
                <w:color w:val="auto"/>
              </w:rPr>
            </w:pPr>
            <w:r>
              <w:rPr>
                <w:rFonts w:ascii="Arial" w:cs="Arial" w:eastAsia="Arial" w:hAnsi="Arial"/>
                <w:sz w:val="17"/>
                <w:szCs w:val="17"/>
                <w:color w:val="auto"/>
              </w:rPr>
              <w:t>Net loss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(1,481)</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b w:val="1"/>
                <w:bCs w:val="1"/>
                <w:color w:val="auto"/>
              </w:rPr>
              <w:t>Balance as of December 31, 2006</w:t>
            </w:r>
          </w:p>
        </w:tc>
        <w:tc>
          <w:tcPr>
            <w:tcW w:w="800" w:type="dxa"/>
            <w:vAlign w:val="bottom"/>
            <w:gridSpan w:val="2"/>
            <w:shd w:val="clear" w:color="auto" w:fill="CCFFCC"/>
          </w:tcPr>
          <w:p>
            <w:pPr>
              <w:jc w:val="right"/>
              <w:ind w:right="120"/>
              <w:spacing w:after="0" w:line="176" w:lineRule="exact"/>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line="176" w:lineRule="exact"/>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60"/>
              <w:spacing w:after="0" w:line="176" w:lineRule="exact"/>
              <w:rPr>
                <w:sz w:val="20"/>
                <w:szCs w:val="20"/>
                <w:color w:val="auto"/>
              </w:rPr>
            </w:pPr>
            <w:r>
              <w:rPr>
                <w:rFonts w:ascii="Arial" w:cs="Arial" w:eastAsia="Arial" w:hAnsi="Arial"/>
                <w:sz w:val="17"/>
                <w:szCs w:val="17"/>
                <w:color w:val="auto"/>
              </w:rPr>
              <w:t>2,288</w:t>
            </w:r>
          </w:p>
        </w:tc>
        <w:tc>
          <w:tcPr>
            <w:tcW w:w="96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7"/>
                <w:szCs w:val="17"/>
                <w:color w:val="auto"/>
              </w:rPr>
              <w:t>(1,481)</w:t>
            </w:r>
          </w:p>
        </w:tc>
        <w:tc>
          <w:tcPr>
            <w:tcW w:w="1060" w:type="dxa"/>
            <w:vAlign w:val="bottom"/>
            <w:gridSpan w:val="3"/>
            <w:shd w:val="clear" w:color="auto" w:fill="CCFFCC"/>
          </w:tcPr>
          <w:p>
            <w:pPr>
              <w:jc w:val="right"/>
              <w:ind w:right="160"/>
              <w:spacing w:after="0" w:line="176" w:lineRule="exact"/>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(Audited)</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00" w:type="dxa"/>
            <w:vAlign w:val="bottom"/>
            <w:gridSpan w:val="2"/>
          </w:tcPr>
          <w:p>
            <w:pPr>
              <w:spacing w:after="0" w:line="180" w:lineRule="exact"/>
              <w:rPr>
                <w:sz w:val="20"/>
                <w:szCs w:val="20"/>
                <w:color w:val="auto"/>
              </w:rPr>
            </w:pPr>
            <w:r>
              <w:rPr>
                <w:rFonts w:ascii="Arial" w:cs="Arial" w:eastAsia="Arial" w:hAnsi="Arial"/>
                <w:sz w:val="17"/>
                <w:szCs w:val="17"/>
                <w:color w:val="auto"/>
              </w:rPr>
              <w:t>Issuance of common stock as part of</w:t>
            </w: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138</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conversion of convertible loan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Discounts to temporary equity</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(4)</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(5,163)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(5,163)</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0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Balance as of December 31, 2007</w:t>
            </w: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22</w:t>
            </w:r>
          </w:p>
        </w:tc>
        <w:tc>
          <w:tcPr>
            <w:tcW w:w="9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24</w:t>
            </w:r>
          </w:p>
        </w:tc>
        <w:tc>
          <w:tcPr>
            <w:tcW w:w="940" w:type="dxa"/>
            <w:vAlign w:val="bottom"/>
            <w:gridSpan w:val="3"/>
          </w:tcPr>
          <w:p>
            <w:pPr>
              <w:jc w:val="right"/>
              <w:ind w:right="160"/>
              <w:spacing w:after="0" w:line="176" w:lineRule="exact"/>
              <w:rPr>
                <w:sz w:val="20"/>
                <w:szCs w:val="20"/>
                <w:color w:val="auto"/>
              </w:rPr>
            </w:pPr>
            <w:r>
              <w:rPr>
                <w:rFonts w:ascii="Arial" w:cs="Arial" w:eastAsia="Arial" w:hAnsi="Arial"/>
                <w:sz w:val="17"/>
                <w:szCs w:val="17"/>
                <w:color w:val="auto"/>
              </w:rPr>
              <w:t>2,578</w:t>
            </w:r>
          </w:p>
        </w:tc>
        <w:tc>
          <w:tcPr>
            <w:tcW w:w="96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(6,644)</w:t>
            </w:r>
          </w:p>
        </w:tc>
        <w:tc>
          <w:tcPr>
            <w:tcW w:w="10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(Audited)</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0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color w:val="auto"/>
              </w:rPr>
              <w:t>Issuance of warrants</w:t>
            </w:r>
          </w:p>
        </w:tc>
        <w:tc>
          <w:tcPr>
            <w:tcW w:w="80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360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(7,332)</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(7,332)</w:t>
            </w:r>
          </w:p>
        </w:tc>
        <w:tc>
          <w:tcPr>
            <w:tcW w:w="0" w:type="dxa"/>
            <w:vAlign w:val="bottom"/>
          </w:tcPr>
          <w:p>
            <w:pPr>
              <w:spacing w:after="0"/>
              <w:rPr>
                <w:sz w:val="1"/>
                <w:szCs w:val="1"/>
                <w:color w:val="auto"/>
              </w:rPr>
            </w:pPr>
          </w:p>
        </w:tc>
      </w:tr>
      <w:tr>
        <w:trPr>
          <w:trHeight w:val="243"/>
        </w:trPr>
        <w:tc>
          <w:tcPr>
            <w:tcW w:w="900" w:type="dxa"/>
            <w:vAlign w:val="bottom"/>
            <w:tcBorders>
              <w:top w:val="single" w:sz="8" w:color="CCFFCC"/>
              <w:bottom w:val="single" w:sz="8" w:color="auto"/>
            </w:tcBorders>
          </w:tcPr>
          <w:p>
            <w:pPr>
              <w:spacing w:after="0"/>
              <w:rPr>
                <w:sz w:val="21"/>
                <w:szCs w:val="21"/>
                <w:color w:val="auto"/>
              </w:rPr>
            </w:pPr>
          </w:p>
        </w:tc>
        <w:tc>
          <w:tcPr>
            <w:tcW w:w="2000" w:type="dxa"/>
            <w:vAlign w:val="bottom"/>
            <w:tcBorders>
              <w:top w:val="single" w:sz="8" w:color="CCFFCC"/>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-2744470</wp:posOffset>
            </wp:positionV>
            <wp:extent cx="4837430" cy="262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837430" cy="262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-1463675</wp:posOffset>
            </wp:positionV>
            <wp:extent cx="4837430" cy="270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83743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483743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8" w:name="page219"/>
    <w:bookmarkEnd w:id="2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9"/>
          </w:tcPr>
          <w:p>
            <w:pPr>
              <w:jc w:val="center"/>
              <w:ind w:right="260"/>
              <w:spacing w:after="0"/>
              <w:rPr>
                <w:sz w:val="20"/>
                <w:szCs w:val="20"/>
                <w:color w:val="auto"/>
              </w:rPr>
            </w:pPr>
            <w:r>
              <w:rPr>
                <w:rFonts w:ascii="Arial" w:cs="Arial" w:eastAsia="Arial" w:hAnsi="Arial"/>
                <w:sz w:val="17"/>
                <w:szCs w:val="17"/>
                <w:b w:val="1"/>
                <w:bCs w:val="1"/>
                <w:color w:val="auto"/>
                <w:w w:val="90"/>
              </w:rPr>
              <w:t>Vringo, Inc. and Subsidiary</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40" w:type="dxa"/>
            <w:vAlign w:val="bottom"/>
            <w:gridSpan w:val="10"/>
          </w:tcPr>
          <w:p>
            <w:pPr>
              <w:jc w:val="center"/>
              <w:ind w:right="120"/>
              <w:spacing w:after="0"/>
              <w:rPr>
                <w:sz w:val="20"/>
                <w:szCs w:val="20"/>
                <w:color w:val="auto"/>
              </w:rPr>
            </w:pPr>
            <w:r>
              <w:rPr>
                <w:rFonts w:ascii="Arial" w:cs="Arial" w:eastAsia="Arial" w:hAnsi="Arial"/>
                <w:sz w:val="17"/>
                <w:szCs w:val="17"/>
                <w:b w:val="1"/>
                <w:bCs w:val="1"/>
                <w:color w:val="auto"/>
                <w:w w:val="88"/>
              </w:rPr>
              <w:t>(a Development Stage Company)</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5760" w:type="dxa"/>
            <w:vAlign w:val="bottom"/>
            <w:gridSpan w:val="14"/>
          </w:tcPr>
          <w:p>
            <w:pPr>
              <w:jc w:val="center"/>
              <w:ind w:left="1216"/>
              <w:spacing w:after="0"/>
              <w:rPr>
                <w:sz w:val="20"/>
                <w:szCs w:val="20"/>
                <w:color w:val="auto"/>
              </w:rPr>
            </w:pPr>
            <w:r>
              <w:rPr>
                <w:rFonts w:ascii="Arial" w:cs="Arial" w:eastAsia="Arial" w:hAnsi="Arial"/>
                <w:sz w:val="17"/>
                <w:szCs w:val="17"/>
                <w:b w:val="1"/>
                <w:bCs w:val="1"/>
                <w:color w:val="auto"/>
                <w:w w:val="99"/>
              </w:rPr>
              <w:t>STATEMENT OF STOCKHOLDERS’ EQUITY (DEFICIT)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1"/>
              </w:rPr>
              <w:t>(Unaudited)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6"/>
          </w:tcPr>
          <w:p>
            <w:pPr>
              <w:jc w:val="center"/>
              <w:ind w:right="60"/>
              <w:spacing w:after="0" w:line="167" w:lineRule="exact"/>
              <w:rPr>
                <w:sz w:val="20"/>
                <w:szCs w:val="20"/>
                <w:color w:val="auto"/>
              </w:rPr>
            </w:pPr>
            <w:r>
              <w:rPr>
                <w:rFonts w:ascii="Arial" w:cs="Arial" w:eastAsia="Arial" w:hAnsi="Arial"/>
                <w:sz w:val="17"/>
                <w:szCs w:val="17"/>
                <w:b w:val="1"/>
                <w:bCs w:val="1"/>
                <w:color w:val="auto"/>
                <w:w w:val="87"/>
              </w:rPr>
              <w:t>(in thousands)</w:t>
            </w: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5"/>
        </w:trPr>
        <w:tc>
          <w:tcPr>
            <w:tcW w:w="9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ind w:left="100"/>
              <w:spacing w:after="0" w:line="105" w:lineRule="exact"/>
              <w:rPr>
                <w:sz w:val="20"/>
                <w:szCs w:val="20"/>
                <w:color w:val="auto"/>
              </w:rPr>
            </w:pPr>
            <w:r>
              <w:rPr>
                <w:rFonts w:ascii="Arial" w:cs="Arial" w:eastAsia="Arial" w:hAnsi="Arial"/>
                <w:sz w:val="12"/>
                <w:szCs w:val="12"/>
                <w:b w:val="1"/>
                <w:bCs w:val="1"/>
                <w:color w:val="auto"/>
                <w:w w:val="99"/>
              </w:rPr>
              <w:t>Common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tcPr>
          <w:p>
            <w:pPr>
              <w:jc w:val="center"/>
              <w:ind w:right="140"/>
              <w:spacing w:after="0" w:line="105" w:lineRule="exact"/>
              <w:rPr>
                <w:sz w:val="20"/>
                <w:szCs w:val="20"/>
                <w:color w:val="auto"/>
              </w:rPr>
            </w:pPr>
            <w:r>
              <w:rPr>
                <w:rFonts w:ascii="Arial" w:cs="Arial" w:eastAsia="Arial" w:hAnsi="Arial"/>
                <w:sz w:val="12"/>
                <w:szCs w:val="12"/>
                <w:b w:val="1"/>
                <w:bCs w:val="1"/>
                <w:color w:val="auto"/>
                <w:w w:val="95"/>
              </w:rPr>
              <w:t>Series A</w:t>
            </w:r>
          </w:p>
        </w:tc>
        <w:tc>
          <w:tcPr>
            <w:tcW w:w="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ind w:left="220"/>
              <w:spacing w:after="0" w:line="138" w:lineRule="exact"/>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convertible</w:t>
            </w: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preferred</w:t>
            </w: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stock</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stage</w:t>
            </w:r>
          </w:p>
        </w:tc>
        <w:tc>
          <w:tcPr>
            <w:tcW w:w="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as of December 31, 2008 (Audited)</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ind w:left="200"/>
              <w:spacing w:after="0" w:line="131" w:lineRule="exact"/>
              <w:rPr>
                <w:sz w:val="20"/>
                <w:szCs w:val="20"/>
                <w:color w:val="auto"/>
              </w:rPr>
            </w:pPr>
            <w:r>
              <w:rPr>
                <w:rFonts w:ascii="Arial" w:cs="Arial" w:eastAsia="Arial" w:hAnsi="Arial"/>
                <w:sz w:val="13"/>
                <w:szCs w:val="13"/>
                <w:b w:val="1"/>
                <w:bCs w:val="1"/>
                <w:color w:val="auto"/>
              </w:rPr>
              <w:t>U.S.$</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1"/>
                <w:szCs w:val="11"/>
                <w:color w:val="auto"/>
              </w:rPr>
            </w:pPr>
          </w:p>
        </w:tc>
        <w:tc>
          <w:tcPr>
            <w:tcW w:w="820" w:type="dxa"/>
            <w:vAlign w:val="bottom"/>
            <w:tcBorders>
              <w:bottom w:val="single" w:sz="8" w:color="auto"/>
            </w:tcBorders>
            <w:gridSpan w:val="2"/>
          </w:tcPr>
          <w:p>
            <w:pPr>
              <w:jc w:val="right"/>
              <w:ind w:right="260"/>
              <w:spacing w:after="0" w:line="131"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30"/>
        </w:trPr>
        <w:tc>
          <w:tcPr>
            <w:tcW w:w="3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380"/>
              <w:spacing w:after="0" w:line="130" w:lineRule="exact"/>
              <w:rPr>
                <w:sz w:val="20"/>
                <w:szCs w:val="20"/>
                <w:color w:val="auto"/>
              </w:rPr>
            </w:pPr>
            <w:r>
              <w:rPr>
                <w:rFonts w:ascii="Arial" w:cs="Arial" w:eastAsia="Arial" w:hAnsi="Arial"/>
                <w:sz w:val="12"/>
                <w:szCs w:val="12"/>
                <w:color w:val="auto"/>
                <w:w w:val="74"/>
              </w:rPr>
              <w:t>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color w:val="auto"/>
              </w:rPr>
              <w:t>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rPr>
              <w:t>2,960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(13,976)</w:t>
            </w:r>
          </w:p>
        </w:tc>
        <w:tc>
          <w:tcPr>
            <w:tcW w:w="140" w:type="dxa"/>
            <w:vAlign w:val="bottom"/>
          </w:tcPr>
          <w:p>
            <w:pPr>
              <w:spacing w:after="0"/>
              <w:rPr>
                <w:sz w:val="11"/>
                <w:szCs w:val="11"/>
                <w:color w:val="auto"/>
              </w:rPr>
            </w:pPr>
          </w:p>
        </w:tc>
        <w:tc>
          <w:tcPr>
            <w:tcW w:w="82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(10,970)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color w:val="auto"/>
              </w:rPr>
              <w:t>Issuance of warrants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1"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1" w:lineRule="exact"/>
              <w:rPr>
                <w:sz w:val="20"/>
                <w:szCs w:val="20"/>
                <w:color w:val="auto"/>
              </w:rPr>
            </w:pPr>
            <w:r>
              <w:rPr>
                <w:rFonts w:ascii="Arial" w:cs="Arial" w:eastAsia="Arial" w:hAnsi="Arial"/>
                <w:sz w:val="13"/>
                <w:szCs w:val="13"/>
                <w:color w:val="auto"/>
              </w:rPr>
              <w:t>60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1"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Loan modification</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500</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Amortization of discounts to temporary equity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(7)</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178</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6"/>
              </w:rPr>
              <w:t>Grants of stock options, net of forfeiture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(6,149)</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(6,149)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2009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ind w:left="380"/>
              <w:spacing w:after="0" w:line="130" w:lineRule="exact"/>
              <w:rPr>
                <w:sz w:val="20"/>
                <w:szCs w:val="20"/>
                <w:color w:val="auto"/>
              </w:rPr>
            </w:pPr>
            <w:r>
              <w:rPr>
                <w:rFonts w:ascii="Arial" w:cs="Arial" w:eastAsia="Arial" w:hAnsi="Arial"/>
                <w:sz w:val="12"/>
                <w:szCs w:val="12"/>
                <w:color w:val="auto"/>
                <w:w w:val="74"/>
              </w:rPr>
              <w:t>22</w:t>
            </w:r>
          </w:p>
        </w:tc>
        <w:tc>
          <w:tcPr>
            <w:tcW w:w="140" w:type="dxa"/>
            <w:vAlign w:val="bottom"/>
            <w:shd w:val="clear" w:color="auto" w:fill="CCFFCC"/>
          </w:tcPr>
          <w:p>
            <w:pPr>
              <w:spacing w:after="0"/>
              <w:rPr>
                <w:sz w:val="11"/>
                <w:szCs w:val="11"/>
                <w:color w:val="auto"/>
              </w:rPr>
            </w:pPr>
          </w:p>
        </w:tc>
        <w:tc>
          <w:tcPr>
            <w:tcW w:w="220" w:type="dxa"/>
            <w:vAlign w:val="bottom"/>
            <w:gridSpan w:val="2"/>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24</w:t>
            </w:r>
          </w:p>
        </w:tc>
        <w:tc>
          <w:tcPr>
            <w:tcW w:w="2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3,701</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1" w:lineRule="exact"/>
              <w:rPr>
                <w:sz w:val="20"/>
                <w:szCs w:val="20"/>
                <w:color w:val="auto"/>
              </w:rPr>
            </w:pPr>
            <w:r>
              <w:rPr>
                <w:rFonts w:ascii="Arial" w:cs="Arial" w:eastAsia="Arial" w:hAnsi="Arial"/>
                <w:sz w:val="13"/>
                <w:szCs w:val="13"/>
                <w:color w:val="auto"/>
              </w:rPr>
              <w:t>(20,125)</w:t>
            </w:r>
          </w:p>
        </w:tc>
        <w:tc>
          <w:tcPr>
            <w:tcW w:w="960" w:type="dxa"/>
            <w:vAlign w:val="bottom"/>
            <w:gridSpan w:val="3"/>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(16,378)</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w w:val="94"/>
              </w:rPr>
              <w:t>Issuance of common stock, net of issuance costs of $1,768</w:t>
            </w:r>
          </w:p>
        </w:tc>
        <w:tc>
          <w:tcPr>
            <w:tcW w:w="140" w:type="dxa"/>
            <w:vAlign w:val="bottom"/>
          </w:tcPr>
          <w:p>
            <w:pPr>
              <w:spacing w:after="0"/>
              <w:rPr>
                <w:sz w:val="11"/>
                <w:szCs w:val="11"/>
                <w:color w:val="auto"/>
              </w:rPr>
            </w:pPr>
          </w:p>
        </w:tc>
        <w:tc>
          <w:tcPr>
            <w:tcW w:w="500" w:type="dxa"/>
            <w:vAlign w:val="bottom"/>
          </w:tcPr>
          <w:p>
            <w:pPr>
              <w:ind w:left="380"/>
              <w:spacing w:after="0" w:line="130" w:lineRule="exact"/>
              <w:rPr>
                <w:sz w:val="20"/>
                <w:szCs w:val="20"/>
                <w:color w:val="auto"/>
              </w:rPr>
            </w:pPr>
            <w:r>
              <w:rPr>
                <w:rFonts w:ascii="Arial" w:cs="Arial" w:eastAsia="Arial" w:hAnsi="Arial"/>
                <w:sz w:val="12"/>
                <w:szCs w:val="12"/>
                <w:color w:val="auto"/>
                <w:w w:val="74"/>
              </w:rPr>
              <w:t>24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360" w:type="dxa"/>
            <w:vAlign w:val="bottom"/>
            <w:gridSpan w:val="2"/>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color w:val="auto"/>
              </w:rPr>
              <w:t>9,239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9,263</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rPr>
              <w:t>Exchange of series A convertible preferred stock for</w:t>
            </w:r>
          </w:p>
        </w:tc>
        <w:tc>
          <w:tcPr>
            <w:tcW w:w="640" w:type="dxa"/>
            <w:vAlign w:val="bottom"/>
            <w:gridSpan w:val="2"/>
            <w:shd w:val="clear" w:color="auto" w:fill="CCFFCC"/>
          </w:tcPr>
          <w:p>
            <w:pPr>
              <w:ind w:left="520"/>
              <w:spacing w:after="0" w:line="120" w:lineRule="exact"/>
              <w:rPr>
                <w:sz w:val="20"/>
                <w:szCs w:val="20"/>
                <w:color w:val="auto"/>
              </w:rPr>
            </w:pPr>
            <w:r>
              <w:rPr>
                <w:rFonts w:ascii="Arial" w:cs="Arial" w:eastAsia="Arial" w:hAnsi="Arial"/>
                <w:sz w:val="12"/>
                <w:szCs w:val="12"/>
                <w:color w:val="auto"/>
                <w:w w:val="74"/>
              </w:rPr>
              <w:t>24</w:t>
            </w:r>
          </w:p>
        </w:tc>
        <w:tc>
          <w:tcPr>
            <w:tcW w:w="140" w:type="dxa"/>
            <w:vAlign w:val="bottom"/>
            <w:shd w:val="clear" w:color="auto" w:fill="CCFFCC"/>
          </w:tcPr>
          <w:p>
            <w:pPr>
              <w:spacing w:after="0"/>
              <w:rPr>
                <w:sz w:val="10"/>
                <w:szCs w:val="10"/>
                <w:color w:val="auto"/>
              </w:rPr>
            </w:pPr>
          </w:p>
        </w:tc>
        <w:tc>
          <w:tcPr>
            <w:tcW w:w="920" w:type="dxa"/>
            <w:vAlign w:val="bottom"/>
            <w:gridSpan w:val="4"/>
            <w:shd w:val="clear" w:color="auto" w:fill="CCFFCC"/>
          </w:tcPr>
          <w:p>
            <w:pPr>
              <w:jc w:val="right"/>
              <w:ind w:right="180"/>
              <w:spacing w:after="0" w:line="119" w:lineRule="exact"/>
              <w:rPr>
                <w:sz w:val="20"/>
                <w:szCs w:val="20"/>
                <w:color w:val="auto"/>
              </w:rPr>
            </w:pPr>
            <w:r>
              <w:rPr>
                <w:rFonts w:ascii="Arial" w:cs="Arial" w:eastAsia="Arial" w:hAnsi="Arial"/>
                <w:sz w:val="13"/>
                <w:szCs w:val="13"/>
                <w:color w:val="auto"/>
              </w:rPr>
              <w:t>(24)</w:t>
            </w:r>
          </w:p>
        </w:tc>
        <w:tc>
          <w:tcPr>
            <w:tcW w:w="14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Conversion of bridge notes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2,536</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Amortization of discounts to temporary equity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883</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29</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 to charity</w:t>
            </w:r>
          </w:p>
        </w:tc>
        <w:tc>
          <w:tcPr>
            <w:tcW w:w="140" w:type="dxa"/>
            <w:vAlign w:val="bottom"/>
          </w:tcPr>
          <w:p>
            <w:pPr>
              <w:spacing w:after="0"/>
              <w:rPr>
                <w:sz w:val="11"/>
                <w:szCs w:val="11"/>
                <w:color w:val="auto"/>
              </w:rPr>
            </w:pPr>
          </w:p>
        </w:tc>
        <w:tc>
          <w:tcPr>
            <w:tcW w:w="640" w:type="dxa"/>
            <w:vAlign w:val="bottom"/>
            <w:gridSpan w:val="2"/>
          </w:tcPr>
          <w:p>
            <w:pPr>
              <w:jc w:val="right"/>
              <w:ind w:right="56"/>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Grants of warrants to lead investors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1,342</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Grants of warrants to charity</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37</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Exercise of stock options</w:t>
            </w:r>
          </w:p>
        </w:tc>
        <w:tc>
          <w:tcPr>
            <w:tcW w:w="64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1</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Stock dividend</w:t>
            </w:r>
          </w:p>
        </w:tc>
        <w:tc>
          <w:tcPr>
            <w:tcW w:w="640" w:type="dxa"/>
            <w:vAlign w:val="bottom"/>
            <w:gridSpan w:val="2"/>
            <w:shd w:val="clear" w:color="auto" w:fill="CCFFCC"/>
          </w:tcPr>
          <w:p>
            <w:pPr>
              <w:ind w:left="520"/>
              <w:spacing w:after="0"/>
              <w:rPr>
                <w:sz w:val="20"/>
                <w:szCs w:val="20"/>
                <w:color w:val="auto"/>
              </w:rPr>
            </w:pPr>
            <w:r>
              <w:rPr>
                <w:rFonts w:ascii="Arial" w:cs="Arial" w:eastAsia="Arial" w:hAnsi="Arial"/>
                <w:sz w:val="12"/>
                <w:szCs w:val="12"/>
                <w:color w:val="auto"/>
                <w:w w:val="74"/>
              </w:rPr>
              <w:t>19</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80"/>
              <w:spacing w:after="0" w:line="138" w:lineRule="exact"/>
              <w:rPr>
                <w:sz w:val="20"/>
                <w:szCs w:val="20"/>
                <w:color w:val="auto"/>
              </w:rPr>
            </w:pPr>
            <w:r>
              <w:rPr>
                <w:rFonts w:ascii="Arial" w:cs="Arial" w:eastAsia="Arial" w:hAnsi="Arial"/>
                <w:sz w:val="13"/>
                <w:szCs w:val="13"/>
                <w:color w:val="auto"/>
              </w:rPr>
              <w:t>(19)</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Reverse stock split</w:t>
            </w:r>
          </w:p>
        </w:tc>
        <w:tc>
          <w:tcPr>
            <w:tcW w:w="78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(93)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93</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rPr>
              <w:t>Exchange of series B convertible preferred stock for</w:t>
            </w:r>
          </w:p>
        </w:tc>
        <w:tc>
          <w:tcPr>
            <w:tcW w:w="640" w:type="dxa"/>
            <w:vAlign w:val="bottom"/>
            <w:gridSpan w:val="2"/>
            <w:shd w:val="clear" w:color="auto" w:fill="CCFFCC"/>
          </w:tcPr>
          <w:p>
            <w:pPr>
              <w:ind w:left="520"/>
              <w:spacing w:after="0" w:line="120" w:lineRule="exact"/>
              <w:rPr>
                <w:sz w:val="20"/>
                <w:szCs w:val="20"/>
                <w:color w:val="auto"/>
              </w:rPr>
            </w:pPr>
            <w:r>
              <w:rPr>
                <w:rFonts w:ascii="Arial" w:cs="Arial" w:eastAsia="Arial" w:hAnsi="Arial"/>
                <w:sz w:val="12"/>
                <w:szCs w:val="12"/>
                <w:color w:val="auto"/>
                <w:w w:val="74"/>
              </w:rPr>
              <w:t>46</w:t>
            </w:r>
          </w:p>
        </w:tc>
        <w:tc>
          <w:tcPr>
            <w:tcW w:w="14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40" w:type="dxa"/>
            <w:vAlign w:val="bottom"/>
            <w:gridSpan w:val="3"/>
            <w:shd w:val="clear" w:color="auto" w:fill="CCFFCC"/>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11,925</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11,971</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common stock</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(9,942)</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(9,942)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2010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ind w:left="380"/>
              <w:spacing w:after="0" w:line="130" w:lineRule="exact"/>
              <w:rPr>
                <w:sz w:val="20"/>
                <w:szCs w:val="20"/>
                <w:color w:val="auto"/>
              </w:rPr>
            </w:pPr>
            <w:r>
              <w:rPr>
                <w:rFonts w:ascii="Arial" w:cs="Arial" w:eastAsia="Arial" w:hAnsi="Arial"/>
                <w:sz w:val="12"/>
                <w:szCs w:val="12"/>
                <w:color w:val="auto"/>
                <w:w w:val="74"/>
              </w:rPr>
              <w:t>54</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color w:val="auto"/>
              </w:rPr>
              <w:t>29,774</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60"/>
              <w:spacing w:after="0" w:line="131" w:lineRule="exact"/>
              <w:rPr>
                <w:sz w:val="20"/>
                <w:szCs w:val="20"/>
                <w:color w:val="auto"/>
              </w:rPr>
            </w:pPr>
            <w:r>
              <w:rPr>
                <w:rFonts w:ascii="Arial" w:cs="Arial" w:eastAsia="Arial" w:hAnsi="Arial"/>
                <w:sz w:val="13"/>
                <w:szCs w:val="13"/>
                <w:color w:val="auto"/>
              </w:rPr>
              <w:t>(30,067)</w:t>
            </w:r>
          </w:p>
        </w:tc>
        <w:tc>
          <w:tcPr>
            <w:tcW w:w="960" w:type="dxa"/>
            <w:vAlign w:val="bottom"/>
            <w:gridSpan w:val="3"/>
            <w:shd w:val="clear" w:color="auto" w:fill="CCFFCC"/>
          </w:tcPr>
          <w:p>
            <w:pPr>
              <w:jc w:val="right"/>
              <w:ind w:right="100"/>
              <w:spacing w:after="0" w:line="131"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1" w:lineRule="exact"/>
              <w:rPr>
                <w:sz w:val="20"/>
                <w:szCs w:val="20"/>
                <w:color w:val="auto"/>
              </w:rPr>
            </w:pPr>
            <w:r>
              <w:rPr>
                <w:rFonts w:ascii="Arial" w:cs="Arial" w:eastAsia="Arial" w:hAnsi="Arial"/>
                <w:sz w:val="13"/>
                <w:szCs w:val="13"/>
                <w:color w:val="auto"/>
              </w:rPr>
              <w:t>1,300</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color w:val="auto"/>
              </w:rPr>
              <w:t>1,300</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131</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Conversion of convertible notes and accrued interest</w:t>
            </w:r>
          </w:p>
        </w:tc>
        <w:tc>
          <w:tcPr>
            <w:tcW w:w="640" w:type="dxa"/>
            <w:vAlign w:val="bottom"/>
            <w:gridSpan w:val="2"/>
            <w:shd w:val="clear" w:color="auto" w:fill="CCFFCC"/>
          </w:tcPr>
          <w:p>
            <w:pPr>
              <w:ind w:left="520"/>
              <w:spacing w:after="0"/>
              <w:rPr>
                <w:sz w:val="20"/>
                <w:szCs w:val="20"/>
                <w:color w:val="auto"/>
              </w:rPr>
            </w:pPr>
            <w:r>
              <w:rPr>
                <w:rFonts w:ascii="Arial" w:cs="Arial" w:eastAsia="Arial" w:hAnsi="Arial"/>
                <w:sz w:val="12"/>
                <w:szCs w:val="12"/>
                <w:color w:val="auto"/>
                <w:w w:val="74"/>
              </w:rPr>
              <w:t>27</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2,484</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2,511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Issuance of shares, net of issuance costs of $65</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777</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785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Issuance of shares to a consultant</w:t>
            </w:r>
          </w:p>
        </w:tc>
        <w:tc>
          <w:tcPr>
            <w:tcW w:w="640" w:type="dxa"/>
            <w:vAlign w:val="bottom"/>
            <w:gridSpan w:val="2"/>
            <w:shd w:val="clear" w:color="auto" w:fill="CCFFCC"/>
          </w:tcPr>
          <w:p>
            <w:pPr>
              <w:jc w:val="right"/>
              <w:spacing w:after="0" w:line="138" w:lineRule="exact"/>
              <w:rPr>
                <w:sz w:val="20"/>
                <w:szCs w:val="20"/>
                <w:color w:val="auto"/>
              </w:rPr>
            </w:pPr>
            <w:r>
              <w:rPr>
                <w:rFonts w:ascii="Arial" w:cs="Arial" w:eastAsia="Arial" w:hAnsi="Arial"/>
                <w:sz w:val="13"/>
                <w:szCs w:val="13"/>
                <w:color w:val="auto"/>
              </w:rPr>
              <w:t>2</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293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20"/>
        </w:trPr>
        <w:tc>
          <w:tcPr>
            <w:tcW w:w="3220" w:type="dxa"/>
            <w:vAlign w:val="bottom"/>
            <w:gridSpan w:val="2"/>
          </w:tcPr>
          <w:p>
            <w:pPr>
              <w:spacing w:after="0" w:line="119" w:lineRule="exact"/>
              <w:rPr>
                <w:sz w:val="20"/>
                <w:szCs w:val="20"/>
                <w:color w:val="auto"/>
              </w:rPr>
            </w:pPr>
            <w:r>
              <w:rPr>
                <w:rFonts w:ascii="Arial" w:cs="Arial" w:eastAsia="Arial" w:hAnsi="Arial"/>
                <w:sz w:val="13"/>
                <w:szCs w:val="13"/>
                <w:color w:val="auto"/>
              </w:rPr>
              <w:t>Issuance of shares in connection with restructuring of</w:t>
            </w: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19" w:lineRule="exact"/>
              <w:rPr>
                <w:sz w:val="20"/>
                <w:szCs w:val="20"/>
                <w:color w:val="auto"/>
              </w:rPr>
            </w:pPr>
            <w:r>
              <w:rPr>
                <w:rFonts w:ascii="Arial" w:cs="Arial" w:eastAsia="Arial" w:hAnsi="Arial"/>
                <w:sz w:val="13"/>
                <w:szCs w:val="13"/>
                <w:color w:val="auto"/>
              </w:rPr>
              <w:t>210</w:t>
            </w:r>
          </w:p>
        </w:tc>
        <w:tc>
          <w:tcPr>
            <w:tcW w:w="160" w:type="dxa"/>
            <w:vAlign w:val="bottom"/>
          </w:tcPr>
          <w:p>
            <w:pPr>
              <w:spacing w:after="0"/>
              <w:rPr>
                <w:sz w:val="10"/>
                <w:szCs w:val="10"/>
                <w:color w:val="auto"/>
              </w:rPr>
            </w:pPr>
          </w:p>
        </w:tc>
        <w:tc>
          <w:tcPr>
            <w:tcW w:w="740" w:type="dxa"/>
            <w:vAlign w:val="bottom"/>
            <w:gridSpan w:val="2"/>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19"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6"/>
        </w:trPr>
        <w:tc>
          <w:tcPr>
            <w:tcW w:w="3220" w:type="dxa"/>
            <w:vAlign w:val="bottom"/>
            <w:gridSpan w:val="2"/>
          </w:tcPr>
          <w:p>
            <w:pPr>
              <w:ind w:left="160"/>
              <w:spacing w:after="0"/>
              <w:rPr>
                <w:sz w:val="20"/>
                <w:szCs w:val="20"/>
                <w:color w:val="auto"/>
              </w:rPr>
            </w:pPr>
            <w:r>
              <w:rPr>
                <w:rFonts w:ascii="Arial" w:cs="Arial" w:eastAsia="Arial" w:hAnsi="Arial"/>
                <w:sz w:val="13"/>
                <w:szCs w:val="13"/>
                <w:color w:val="auto"/>
              </w:rPr>
              <w:t>venture loan</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Grants of warrants to charity</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56"/>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color w:val="auto"/>
              </w:rPr>
              <w:t>43</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stock options</w:t>
            </w:r>
          </w:p>
        </w:tc>
        <w:tc>
          <w:tcPr>
            <w:tcW w:w="6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0"/>
        </w:trPr>
        <w:tc>
          <w:tcPr>
            <w:tcW w:w="3220" w:type="dxa"/>
            <w:vAlign w:val="bottom"/>
            <w:gridSpan w:val="2"/>
            <w:shd w:val="clear" w:color="auto" w:fill="CCFFCC"/>
          </w:tcPr>
          <w:p>
            <w:pPr>
              <w:spacing w:after="0" w:line="119" w:lineRule="exact"/>
              <w:rPr>
                <w:sz w:val="20"/>
                <w:szCs w:val="20"/>
                <w:color w:val="auto"/>
              </w:rPr>
            </w:pPr>
            <w:r>
              <w:rPr>
                <w:rFonts w:ascii="Arial" w:cs="Arial" w:eastAsia="Arial" w:hAnsi="Arial"/>
                <w:sz w:val="13"/>
                <w:szCs w:val="13"/>
                <w:color w:val="auto"/>
                <w:w w:val="97"/>
              </w:rPr>
              <w:t>Beneficial conversion feature recorded in connection with</w:t>
            </w:r>
          </w:p>
        </w:tc>
        <w:tc>
          <w:tcPr>
            <w:tcW w:w="140" w:type="dxa"/>
            <w:vAlign w:val="bottom"/>
            <w:shd w:val="clear" w:color="auto" w:fill="CCFFCC"/>
          </w:tcPr>
          <w:p>
            <w:pPr>
              <w:spacing w:after="0"/>
              <w:rPr>
                <w:sz w:val="10"/>
                <w:szCs w:val="10"/>
                <w:color w:val="auto"/>
              </w:rPr>
            </w:pPr>
          </w:p>
        </w:tc>
        <w:tc>
          <w:tcPr>
            <w:tcW w:w="640" w:type="dxa"/>
            <w:vAlign w:val="bottom"/>
            <w:gridSpan w:val="2"/>
            <w:shd w:val="clear" w:color="auto" w:fill="CCFFCC"/>
          </w:tcPr>
          <w:p>
            <w:pPr>
              <w:ind w:left="380"/>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40" w:type="dxa"/>
            <w:vAlign w:val="bottom"/>
            <w:gridSpan w:val="3"/>
            <w:shd w:val="clear" w:color="auto" w:fill="CCFFCC"/>
          </w:tcPr>
          <w:p>
            <w:pPr>
              <w:jc w:val="right"/>
              <w:ind w:right="360"/>
              <w:spacing w:after="0" w:line="11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color w:val="auto"/>
              </w:rPr>
              <w:t>1,269</w:t>
            </w:r>
          </w:p>
        </w:tc>
        <w:tc>
          <w:tcPr>
            <w:tcW w:w="16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FFCC"/>
          </w:tcPr>
          <w:p>
            <w:pPr>
              <w:jc w:val="right"/>
              <w:ind w:right="140"/>
              <w:spacing w:after="0" w:line="119" w:lineRule="exact"/>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56"/>
        </w:trPr>
        <w:tc>
          <w:tcPr>
            <w:tcW w:w="322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convertible notes</w:t>
            </w:r>
          </w:p>
        </w:tc>
        <w:tc>
          <w:tcPr>
            <w:tcW w:w="140" w:type="dxa"/>
            <w:vAlign w:val="bottom"/>
            <w:shd w:val="clear" w:color="auto" w:fill="CCFFCC"/>
          </w:tcPr>
          <w:p>
            <w:pPr>
              <w:spacing w:after="0"/>
              <w:rPr>
                <w:sz w:val="13"/>
                <w:szCs w:val="13"/>
                <w:color w:val="auto"/>
              </w:rPr>
            </w:pPr>
          </w:p>
        </w:tc>
        <w:tc>
          <w:tcPr>
            <w:tcW w:w="5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5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Net loss for the year</w:t>
            </w:r>
          </w:p>
        </w:tc>
        <w:tc>
          <w:tcPr>
            <w:tcW w:w="140" w:type="dxa"/>
            <w:vAlign w:val="bottom"/>
          </w:tcPr>
          <w:p>
            <w:pPr>
              <w:spacing w:after="0"/>
              <w:rPr>
                <w:sz w:val="11"/>
                <w:szCs w:val="11"/>
                <w:color w:val="auto"/>
              </w:rPr>
            </w:pPr>
          </w:p>
        </w:tc>
        <w:tc>
          <w:tcPr>
            <w:tcW w:w="640" w:type="dxa"/>
            <w:vAlign w:val="bottom"/>
            <w:gridSpan w:val="2"/>
          </w:tcPr>
          <w:p>
            <w:pPr>
              <w:ind w:left="38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(7,479)</w:t>
            </w:r>
          </w:p>
        </w:tc>
        <w:tc>
          <w:tcPr>
            <w:tcW w:w="96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(7,479)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shd w:val="clear" w:color="auto" w:fill="CCFFCC"/>
          </w:tcPr>
          <w:p>
            <w:pPr>
              <w:spacing w:after="0" w:line="131" w:lineRule="exact"/>
              <w:rPr>
                <w:sz w:val="20"/>
                <w:szCs w:val="20"/>
                <w:color w:val="auto"/>
              </w:rPr>
            </w:pPr>
            <w:r>
              <w:rPr>
                <w:rFonts w:ascii="Arial" w:cs="Arial" w:eastAsia="Arial" w:hAnsi="Arial"/>
                <w:sz w:val="13"/>
                <w:szCs w:val="13"/>
                <w:b w:val="1"/>
                <w:bCs w:val="1"/>
                <w:color w:val="auto"/>
              </w:rPr>
              <w:t>Balance as of December 31, 2011 (Audited)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100</w:t>
            </w: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1" w:lineRule="exact"/>
              <w:rPr>
                <w:sz w:val="20"/>
                <w:szCs w:val="20"/>
                <w:color w:val="auto"/>
              </w:rPr>
            </w:pPr>
            <w:r>
              <w:rPr>
                <w:rFonts w:ascii="Arial" w:cs="Arial" w:eastAsia="Arial" w:hAnsi="Arial"/>
                <w:sz w:val="13"/>
                <w:szCs w:val="13"/>
                <w:b w:val="1"/>
                <w:bCs w:val="1"/>
                <w:color w:val="auto"/>
              </w:rPr>
              <w:t>36,281</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1" w:lineRule="exact"/>
              <w:rPr>
                <w:sz w:val="20"/>
                <w:szCs w:val="20"/>
                <w:color w:val="auto"/>
              </w:rPr>
            </w:pPr>
            <w:r>
              <w:rPr>
                <w:rFonts w:ascii="Arial" w:cs="Arial" w:eastAsia="Arial" w:hAnsi="Arial"/>
                <w:sz w:val="13"/>
                <w:szCs w:val="13"/>
                <w:b w:val="1"/>
                <w:bCs w:val="1"/>
                <w:color w:val="auto"/>
              </w:rPr>
              <w:t>(37,546)</w:t>
            </w:r>
          </w:p>
        </w:tc>
        <w:tc>
          <w:tcPr>
            <w:tcW w:w="960" w:type="dxa"/>
            <w:vAlign w:val="bottom"/>
            <w:gridSpan w:val="3"/>
            <w:shd w:val="clear" w:color="auto" w:fill="CCFFCC"/>
          </w:tcPr>
          <w:p>
            <w:pPr>
              <w:jc w:val="right"/>
              <w:ind w:right="140"/>
              <w:spacing w:after="0" w:line="131" w:lineRule="exact"/>
              <w:rPr>
                <w:sz w:val="20"/>
                <w:szCs w:val="20"/>
                <w:color w:val="auto"/>
              </w:rPr>
            </w:pPr>
            <w:r>
              <w:rPr>
                <w:rFonts w:ascii="Arial" w:cs="Arial" w:eastAsia="Arial" w:hAnsi="Arial"/>
                <w:sz w:val="13"/>
                <w:szCs w:val="13"/>
                <w:b w:val="1"/>
                <w:bCs w:val="1"/>
                <w:color w:val="auto"/>
              </w:rPr>
              <w:t>(1,165)</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color w:val="auto"/>
              </w:rPr>
              <w:t>Grants of stock options, net of forfeitures – employees</w:t>
            </w:r>
          </w:p>
        </w:tc>
        <w:tc>
          <w:tcPr>
            <w:tcW w:w="140" w:type="dxa"/>
            <w:vAlign w:val="bottom"/>
          </w:tcPr>
          <w:p>
            <w:pPr>
              <w:spacing w:after="0"/>
              <w:rPr>
                <w:sz w:val="11"/>
                <w:szCs w:val="11"/>
                <w:color w:val="auto"/>
              </w:rPr>
            </w:pPr>
          </w:p>
        </w:tc>
        <w:tc>
          <w:tcPr>
            <w:tcW w:w="640" w:type="dxa"/>
            <w:vAlign w:val="bottom"/>
            <w:gridSpan w:val="2"/>
          </w:tcPr>
          <w:p>
            <w:pPr>
              <w:ind w:left="380"/>
              <w:spacing w:after="0" w:line="131"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1"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rPr>
              <w:t>714</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b w:val="1"/>
                <w:bCs w:val="1"/>
                <w:color w:val="auto"/>
              </w:rPr>
              <w:t>714</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w w:val="95"/>
              </w:rPr>
              <w:t>Grants of stock options, net of forfeitures – non employees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b w:val="1"/>
                <w:bCs w:val="1"/>
                <w:color w:val="auto"/>
              </w:rPr>
              <w:t>150</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150</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ind w:left="520"/>
              <w:spacing w:after="0"/>
              <w:rPr>
                <w:sz w:val="20"/>
                <w:szCs w:val="20"/>
                <w:color w:val="auto"/>
              </w:rPr>
            </w:pPr>
            <w:r>
              <w:rPr>
                <w:rFonts w:ascii="Arial" w:cs="Arial" w:eastAsia="Arial" w:hAnsi="Arial"/>
                <w:sz w:val="12"/>
                <w:szCs w:val="12"/>
                <w:b w:val="1"/>
                <w:bCs w:val="1"/>
                <w:color w:val="auto"/>
                <w:w w:val="74"/>
              </w:rPr>
              <w:t>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5,836</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tcPr>
          <w:p>
            <w:pPr>
              <w:jc w:val="right"/>
              <w:ind w:right="140"/>
              <w:spacing w:after="0" w:line="138" w:lineRule="exact"/>
              <w:rPr>
                <w:sz w:val="20"/>
                <w:szCs w:val="20"/>
                <w:color w:val="auto"/>
              </w:rPr>
            </w:pPr>
            <w:r>
              <w:rPr>
                <w:rFonts w:ascii="Arial" w:cs="Arial" w:eastAsia="Arial" w:hAnsi="Arial"/>
                <w:sz w:val="13"/>
                <w:szCs w:val="13"/>
                <w:b w:val="1"/>
                <w:bCs w:val="1"/>
                <w:color w:val="auto"/>
              </w:rPr>
              <w:t>5,875</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Issuance of non-preferential reload warrants</w:t>
            </w:r>
          </w:p>
        </w:tc>
        <w:tc>
          <w:tcPr>
            <w:tcW w:w="14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80"/>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40" w:type="dxa"/>
            <w:vAlign w:val="bottom"/>
            <w:gridSpan w:val="3"/>
            <w:shd w:val="clear" w:color="auto" w:fill="CCFFCC"/>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20"/>
              <w:spacing w:after="0" w:line="138" w:lineRule="exact"/>
              <w:rPr>
                <w:sz w:val="20"/>
                <w:szCs w:val="20"/>
                <w:color w:val="auto"/>
              </w:rPr>
            </w:pPr>
            <w:r>
              <w:rPr>
                <w:rFonts w:ascii="Arial" w:cs="Arial" w:eastAsia="Arial" w:hAnsi="Arial"/>
                <w:sz w:val="13"/>
                <w:szCs w:val="13"/>
                <w:b w:val="1"/>
                <w:bCs w:val="1"/>
                <w:color w:val="auto"/>
              </w:rPr>
              <w:t>1,091</w:t>
            </w: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1,091</w:t>
            </w:r>
          </w:p>
        </w:tc>
        <w:tc>
          <w:tcPr>
            <w:tcW w:w="0" w:type="dxa"/>
            <w:vAlign w:val="bottom"/>
          </w:tcPr>
          <w:p>
            <w:pPr>
              <w:spacing w:after="0"/>
              <w:rPr>
                <w:sz w:val="1"/>
                <w:szCs w:val="1"/>
                <w:color w:val="auto"/>
              </w:rPr>
            </w:pPr>
          </w:p>
        </w:tc>
      </w:tr>
      <w:tr>
        <w:trPr>
          <w:trHeight w:val="138"/>
        </w:trPr>
        <w:tc>
          <w:tcPr>
            <w:tcW w:w="3220" w:type="dxa"/>
            <w:vAlign w:val="bottom"/>
            <w:gridSpan w:val="2"/>
          </w:tcPr>
          <w:p>
            <w:pPr>
              <w:spacing w:after="0" w:line="138" w:lineRule="exact"/>
              <w:rPr>
                <w:sz w:val="20"/>
                <w:szCs w:val="20"/>
                <w:color w:val="auto"/>
              </w:rPr>
            </w:pPr>
            <w:r>
              <w:rPr>
                <w:rFonts w:ascii="Arial" w:cs="Arial" w:eastAsia="Arial" w:hAnsi="Arial"/>
                <w:sz w:val="13"/>
                <w:szCs w:val="13"/>
                <w:color w:val="auto"/>
              </w:rPr>
              <w:t>Exercise of stock options</w:t>
            </w:r>
          </w:p>
        </w:tc>
        <w:tc>
          <w:tcPr>
            <w:tcW w:w="140" w:type="dxa"/>
            <w:vAlign w:val="bottom"/>
          </w:tcPr>
          <w:p>
            <w:pPr>
              <w:spacing w:after="0"/>
              <w:rPr>
                <w:sz w:val="11"/>
                <w:szCs w:val="11"/>
                <w:color w:val="auto"/>
              </w:rPr>
            </w:pPr>
          </w:p>
        </w:tc>
        <w:tc>
          <w:tcPr>
            <w:tcW w:w="640" w:type="dxa"/>
            <w:vAlign w:val="bottom"/>
            <w:gridSpan w:val="2"/>
          </w:tcPr>
          <w:p>
            <w:pPr>
              <w:jc w:val="right"/>
              <w:ind w:right="56"/>
              <w:spacing w:after="0" w:line="138"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right"/>
              <w:ind w:right="360"/>
              <w:spacing w:after="0" w:line="138"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8"/>
        </w:trPr>
        <w:tc>
          <w:tcPr>
            <w:tcW w:w="3220" w:type="dxa"/>
            <w:vAlign w:val="bottom"/>
            <w:gridSpan w:val="2"/>
            <w:shd w:val="clear" w:color="auto" w:fill="CCFFCC"/>
          </w:tcPr>
          <w:p>
            <w:pPr>
              <w:spacing w:after="0" w:line="138" w:lineRule="exact"/>
              <w:rPr>
                <w:sz w:val="20"/>
                <w:szCs w:val="20"/>
                <w:color w:val="auto"/>
              </w:rPr>
            </w:pPr>
            <w:r>
              <w:rPr>
                <w:rFonts w:ascii="Arial" w:cs="Arial" w:eastAsia="Arial" w:hAnsi="Arial"/>
                <w:sz w:val="13"/>
                <w:szCs w:val="13"/>
                <w:color w:val="auto"/>
              </w:rPr>
              <w:t>Net loss for the period</w:t>
            </w: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8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shd w:val="clear" w:color="auto" w:fill="CCFFCC"/>
          </w:tcPr>
          <w:p>
            <w:pPr>
              <w:spacing w:after="0"/>
              <w:rPr>
                <w:sz w:val="11"/>
                <w:szCs w:val="11"/>
                <w:color w:val="auto"/>
              </w:rPr>
            </w:pPr>
          </w:p>
        </w:tc>
        <w:tc>
          <w:tcPr>
            <w:tcW w:w="580" w:type="dxa"/>
            <w:vAlign w:val="bottom"/>
            <w:shd w:val="clear" w:color="auto" w:fill="CCFFCC"/>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100"/>
              <w:spacing w:after="0" w:line="138" w:lineRule="exact"/>
              <w:rPr>
                <w:sz w:val="20"/>
                <w:szCs w:val="20"/>
                <w:color w:val="auto"/>
              </w:rPr>
            </w:pPr>
            <w:r>
              <w:rPr>
                <w:rFonts w:ascii="Arial" w:cs="Arial" w:eastAsia="Arial" w:hAnsi="Arial"/>
                <w:sz w:val="13"/>
                <w:szCs w:val="13"/>
                <w:b w:val="1"/>
                <w:bCs w:val="1"/>
                <w:color w:val="auto"/>
              </w:rPr>
              <w:t>(5,644)</w:t>
            </w:r>
          </w:p>
        </w:tc>
        <w:tc>
          <w:tcPr>
            <w:tcW w:w="960" w:type="dxa"/>
            <w:vAlign w:val="bottom"/>
            <w:gridSpan w:val="3"/>
            <w:shd w:val="clear" w:color="auto" w:fill="CCFFCC"/>
          </w:tcPr>
          <w:p>
            <w:pPr>
              <w:jc w:val="right"/>
              <w:ind w:right="140"/>
              <w:spacing w:after="0" w:line="138" w:lineRule="exact"/>
              <w:rPr>
                <w:sz w:val="20"/>
                <w:szCs w:val="20"/>
                <w:color w:val="auto"/>
              </w:rPr>
            </w:pPr>
            <w:r>
              <w:rPr>
                <w:rFonts w:ascii="Arial" w:cs="Arial" w:eastAsia="Arial" w:hAnsi="Arial"/>
                <w:sz w:val="13"/>
                <w:szCs w:val="13"/>
                <w:b w:val="1"/>
                <w:bCs w:val="1"/>
                <w:color w:val="auto"/>
              </w:rPr>
              <w:t>(5,644)</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2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Balance as of March 31, 2012 (Unaudited)</w:t>
            </w:r>
          </w:p>
        </w:tc>
        <w:tc>
          <w:tcPr>
            <w:tcW w:w="14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44,072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1" w:lineRule="exact"/>
              <w:rPr>
                <w:sz w:val="20"/>
                <w:szCs w:val="20"/>
                <w:color w:val="auto"/>
              </w:rPr>
            </w:pPr>
            <w:r>
              <w:rPr>
                <w:rFonts w:ascii="Arial" w:cs="Arial" w:eastAsia="Arial" w:hAnsi="Arial"/>
                <w:sz w:val="13"/>
                <w:szCs w:val="13"/>
                <w:b w:val="1"/>
                <w:bCs w:val="1"/>
                <w:color w:val="auto"/>
              </w:rPr>
              <w:t>(43,190)</w:t>
            </w:r>
          </w:p>
        </w:tc>
        <w:tc>
          <w:tcPr>
            <w:tcW w:w="960" w:type="dxa"/>
            <w:vAlign w:val="bottom"/>
            <w:gridSpan w:val="3"/>
          </w:tcPr>
          <w:p>
            <w:pPr>
              <w:jc w:val="right"/>
              <w:ind w:right="140"/>
              <w:spacing w:after="0" w:line="131" w:lineRule="exact"/>
              <w:rPr>
                <w:sz w:val="20"/>
                <w:szCs w:val="20"/>
                <w:color w:val="auto"/>
              </w:rPr>
            </w:pPr>
            <w:r>
              <w:rPr>
                <w:rFonts w:ascii="Arial" w:cs="Arial" w:eastAsia="Arial" w:hAnsi="Arial"/>
                <w:sz w:val="13"/>
                <w:szCs w:val="13"/>
                <w:b w:val="1"/>
                <w:bCs w:val="1"/>
                <w:color w:val="auto"/>
              </w:rPr>
              <w:t>1,021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-3659505</wp:posOffset>
            </wp:positionV>
            <wp:extent cx="4837430" cy="952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-2068195</wp:posOffset>
            </wp:positionV>
            <wp:extent cx="4837430" cy="952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-826770</wp:posOffset>
            </wp:positionV>
            <wp:extent cx="4837430" cy="952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837430" cy="952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-294005</wp:posOffset>
            </wp:positionV>
            <wp:extent cx="4837430" cy="1270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37430" cy="1270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-4964430</wp:posOffset>
            </wp:positionV>
            <wp:extent cx="48374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19" w:name="page220"/>
    <w:bookmarkEnd w:id="2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7421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7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w w:val="98"/>
              </w:rPr>
              <w:t>For the three month period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740" w:type="dxa"/>
            <w:vAlign w:val="bottom"/>
            <w:gridSpan w:val="5"/>
          </w:tcPr>
          <w:p>
            <w:pPr>
              <w:jc w:val="right"/>
              <w:ind w:right="380"/>
              <w:spacing w:after="0" w:line="138" w:lineRule="exact"/>
              <w:rPr>
                <w:sz w:val="20"/>
                <w:szCs w:val="20"/>
                <w:color w:val="auto"/>
              </w:rPr>
            </w:pPr>
            <w:r>
              <w:rPr>
                <w:rFonts w:ascii="Arial" w:cs="Arial" w:eastAsia="Arial" w:hAnsi="Arial"/>
                <w:sz w:val="13"/>
                <w:szCs w:val="13"/>
                <w:b w:val="1"/>
                <w:bCs w:val="1"/>
                <w:color w:val="auto"/>
              </w:rPr>
              <w:t>ended March 31,</w:t>
            </w:r>
          </w:p>
        </w:tc>
        <w:tc>
          <w:tcPr>
            <w:tcW w:w="16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7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1"/>
                <w:szCs w:val="11"/>
                <w:color w:val="auto"/>
              </w:rPr>
            </w:pPr>
          </w:p>
        </w:tc>
        <w:tc>
          <w:tcPr>
            <w:tcW w:w="820" w:type="dxa"/>
            <w:vAlign w:val="bottom"/>
            <w:gridSpan w:val="2"/>
            <w:vMerge w:val="restart"/>
          </w:tcPr>
          <w:p>
            <w:pPr>
              <w:jc w:val="right"/>
              <w:ind w:right="59"/>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6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operating activities</w:t>
            </w: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Net loss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(5,644)</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(1,109)</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(43,190)</w:t>
            </w: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Adjustments to reconcile net cash flows used in operating</w:t>
            </w:r>
          </w:p>
        </w:tc>
        <w:tc>
          <w:tcPr>
            <w:tcW w:w="7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activities:</w:t>
            </w: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Items not affecting cash flows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Depreciation and amortization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16</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Change in deferred tax assets and liabilities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(41)</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accrued severance pay</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63</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(176)</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Share-based payment expenses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864</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431</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5,326</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Accrued interest expense</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52</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rPr>
              <w:t>Interest and amortization of discount in connection with</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1,280</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convertible notes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Increase (decrease) in fair value of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411</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(708)</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Issuance of non-preferential reload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1,091</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preferential reload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1,476</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1,476</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Loss on extinguishment of debt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Exchange rate (gains) losses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Changes in current assets and liabilities</w:t>
            </w: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w w:val="96"/>
              </w:rPr>
              <w:t>Decrease (increase) in receivables, prepaid expenses and other</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233</w:t>
            </w:r>
          </w:p>
        </w:tc>
        <w:tc>
          <w:tcPr>
            <w:tcW w:w="94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122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payables and accruals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326</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(7)</w:t>
            </w:r>
          </w:p>
        </w:tc>
        <w:tc>
          <w:tcPr>
            <w:tcW w:w="12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(1,215)</w:t>
            </w:r>
          </w:p>
        </w:tc>
        <w:tc>
          <w:tcPr>
            <w:tcW w:w="94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(1,517)</w:t>
            </w:r>
          </w:p>
        </w:tc>
        <w:tc>
          <w:tcPr>
            <w:tcW w:w="122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(30,518)</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investing activities</w:t>
            </w: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Acquisition of property and equipment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(5)</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(6)</w:t>
            </w: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Increase in lease deposits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Investment in short-term deposits (restricted)</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cash provided by (used in) investing activities</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w:t>
            </w:r>
          </w:p>
        </w:tc>
        <w:tc>
          <w:tcPr>
            <w:tcW w:w="9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14</w:t>
            </w:r>
          </w:p>
        </w:tc>
        <w:tc>
          <w:tcPr>
            <w:tcW w:w="12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-795020</wp:posOffset>
            </wp:positionV>
            <wp:extent cx="4837430" cy="1435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483743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0" w:name="page221"/>
    <w:bookmarkEnd w:id="2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7421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17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w w:val="98"/>
              </w:rPr>
              <w:t>For the three month period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740" w:type="dxa"/>
            <w:vAlign w:val="bottom"/>
            <w:gridSpan w:val="5"/>
          </w:tcPr>
          <w:p>
            <w:pPr>
              <w:jc w:val="right"/>
              <w:ind w:right="380"/>
              <w:spacing w:after="0" w:line="138" w:lineRule="exact"/>
              <w:rPr>
                <w:sz w:val="20"/>
                <w:szCs w:val="20"/>
                <w:color w:val="auto"/>
              </w:rPr>
            </w:pPr>
            <w:r>
              <w:rPr>
                <w:rFonts w:ascii="Arial" w:cs="Arial" w:eastAsia="Arial" w:hAnsi="Arial"/>
                <w:sz w:val="13"/>
                <w:szCs w:val="13"/>
                <w:b w:val="1"/>
                <w:bCs w:val="1"/>
                <w:color w:val="auto"/>
              </w:rPr>
              <w:t>ended March 31,</w:t>
            </w:r>
          </w:p>
        </w:tc>
        <w:tc>
          <w:tcPr>
            <w:tcW w:w="16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March 31, 2012</w:t>
            </w: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6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66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0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financing activities</w:t>
            </w:r>
          </w:p>
        </w:tc>
        <w:tc>
          <w:tcPr>
            <w:tcW w:w="7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Receipt of venture loan</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Repayment on account of venture loan</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(348)</w:t>
            </w:r>
          </w:p>
        </w:tc>
        <w:tc>
          <w:tcPr>
            <w:tcW w:w="122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(3,651)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Receipt of convertible notes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and warrants, net</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10,048</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Receipt of convertible loans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3,976</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Issuance of convertible preferred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12,195</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Exercise of common stock options and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3,652</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3,674</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Net cash provided by (used in) financing activities</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3,652</w:t>
            </w:r>
          </w:p>
        </w:tc>
        <w:tc>
          <w:tcPr>
            <w:tcW w:w="94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(345)</w:t>
            </w:r>
          </w:p>
        </w:tc>
        <w:tc>
          <w:tcPr>
            <w:tcW w:w="1220" w:type="dxa"/>
            <w:vAlign w:val="bottom"/>
            <w:gridSpan w:val="3"/>
          </w:tcPr>
          <w:p>
            <w:pPr>
              <w:jc w:val="right"/>
              <w:ind w:right="180"/>
              <w:spacing w:after="0" w:line="193" w:lineRule="exact"/>
              <w:rPr>
                <w:sz w:val="20"/>
                <w:szCs w:val="20"/>
                <w:color w:val="auto"/>
              </w:rPr>
            </w:pPr>
            <w:r>
              <w:rPr>
                <w:rFonts w:ascii="Arial" w:cs="Arial" w:eastAsia="Arial" w:hAnsi="Arial"/>
                <w:sz w:val="17"/>
                <w:szCs w:val="17"/>
                <w:color w:val="auto"/>
              </w:rPr>
              <w:t>34,812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w w:val="98"/>
              </w:rPr>
              <w:t>Effect of exchange rate changes on cash and cash equivalents</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8</w:t>
            </w:r>
          </w:p>
        </w:tc>
        <w:tc>
          <w:tcPr>
            <w:tcW w:w="9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8</w:t>
            </w:r>
          </w:p>
        </w:tc>
        <w:tc>
          <w:tcPr>
            <w:tcW w:w="122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Increase (decrease) in cash and cash equivalents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2,440</w:t>
            </w:r>
          </w:p>
        </w:tc>
        <w:tc>
          <w:tcPr>
            <w:tcW w:w="940" w:type="dxa"/>
            <w:vAlign w:val="bottom"/>
            <w:gridSpan w:val="3"/>
          </w:tcPr>
          <w:p>
            <w:pPr>
              <w:jc w:val="right"/>
              <w:ind w:right="60"/>
              <w:spacing w:after="0"/>
              <w:rPr>
                <w:sz w:val="20"/>
                <w:szCs w:val="20"/>
                <w:color w:val="auto"/>
              </w:rPr>
            </w:pPr>
            <w:r>
              <w:rPr>
                <w:rFonts w:ascii="Arial" w:cs="Arial" w:eastAsia="Arial" w:hAnsi="Arial"/>
                <w:sz w:val="17"/>
                <w:szCs w:val="17"/>
                <w:color w:val="auto"/>
              </w:rPr>
              <w:t>(1,840)</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 at beginning of period</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1,190</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5,407</w:t>
            </w:r>
          </w:p>
        </w:tc>
        <w:tc>
          <w:tcPr>
            <w:tcW w:w="16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color w:val="auto"/>
              </w:rPr>
              <w:t>Cash and cash equivalents at end of period</w:t>
            </w: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3,630</w:t>
            </w:r>
          </w:p>
        </w:tc>
        <w:tc>
          <w:tcPr>
            <w:tcW w:w="94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3,567</w:t>
            </w:r>
          </w:p>
        </w:tc>
        <w:tc>
          <w:tcPr>
            <w:tcW w:w="1220" w:type="dxa"/>
            <w:vAlign w:val="bottom"/>
            <w:gridSpan w:val="3"/>
          </w:tcPr>
          <w:p>
            <w:pPr>
              <w:jc w:val="right"/>
              <w:ind w:right="180"/>
              <w:spacing w:after="0" w:line="193" w:lineRule="exact"/>
              <w:rPr>
                <w:sz w:val="20"/>
                <w:szCs w:val="20"/>
                <w:color w:val="auto"/>
              </w:rPr>
            </w:pPr>
            <w:r>
              <w:rPr>
                <w:rFonts w:ascii="Arial" w:cs="Arial" w:eastAsia="Arial" w:hAnsi="Arial"/>
                <w:sz w:val="17"/>
                <w:szCs w:val="17"/>
                <w:color w:val="auto"/>
              </w:rPr>
              <w:t>3,630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Supplemental disclosure of cash flows information</w:t>
            </w:r>
          </w:p>
        </w:tc>
        <w:tc>
          <w:tcPr>
            <w:tcW w:w="7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6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Interest paid</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79</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Income taxes paid</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7</w:t>
            </w:r>
          </w:p>
        </w:tc>
        <w:tc>
          <w:tcPr>
            <w:tcW w:w="9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12</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Non-cash investing and financing transactions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w w:val="99"/>
              </w:rPr>
              <w:t>Conversion of convertible loan into convertible preferred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Extinguishment of debt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Discount to the series B convertible preferred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Allocation of fair value of loan warrants</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Allocation of fair value of conversion warrants</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1,564</w:t>
            </w:r>
          </w:p>
        </w:tc>
        <w:tc>
          <w:tcPr>
            <w:tcW w:w="0" w:type="dxa"/>
            <w:vAlign w:val="bottom"/>
          </w:tcPr>
          <w:p>
            <w:pPr>
              <w:spacing w:after="0"/>
              <w:rPr>
                <w:sz w:val="1"/>
                <w:szCs w:val="1"/>
                <w:color w:val="auto"/>
              </w:rPr>
            </w:pPr>
          </w:p>
        </w:tc>
      </w:tr>
      <w:tr>
        <w:trPr>
          <w:trHeight w:val="188"/>
        </w:trPr>
        <w:tc>
          <w:tcPr>
            <w:tcW w:w="4660" w:type="dxa"/>
            <w:vAlign w:val="bottom"/>
          </w:tcPr>
          <w:p>
            <w:pPr>
              <w:spacing w:after="0" w:line="188" w:lineRule="exact"/>
              <w:rPr>
                <w:sz w:val="20"/>
                <w:szCs w:val="20"/>
                <w:color w:val="auto"/>
              </w:rPr>
            </w:pPr>
            <w:r>
              <w:rPr>
                <w:rFonts w:ascii="Arial" w:cs="Arial" w:eastAsia="Arial" w:hAnsi="Arial"/>
                <w:sz w:val="17"/>
                <w:szCs w:val="17"/>
                <w:color w:val="auto"/>
              </w:rPr>
              <w:t>Exchange of series B convertible preferred stock for common</w:t>
            </w: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line="188" w:lineRule="exact"/>
              <w:rPr>
                <w:sz w:val="20"/>
                <w:szCs w:val="20"/>
                <w:color w:val="auto"/>
              </w:rPr>
            </w:pPr>
            <w:r>
              <w:rPr>
                <w:rFonts w:ascii="Arial" w:cs="Arial" w:eastAsia="Arial" w:hAnsi="Arial"/>
                <w:sz w:val="17"/>
                <w:szCs w:val="17"/>
                <w:color w:val="auto"/>
              </w:rPr>
              <w:t>11,971</w:t>
            </w:r>
          </w:p>
        </w:tc>
        <w:tc>
          <w:tcPr>
            <w:tcW w:w="0" w:type="dxa"/>
            <w:vAlign w:val="bottom"/>
          </w:tcPr>
          <w:p>
            <w:pPr>
              <w:spacing w:after="0"/>
              <w:rPr>
                <w:sz w:val="1"/>
                <w:szCs w:val="1"/>
                <w:color w:val="auto"/>
              </w:rPr>
            </w:pPr>
          </w:p>
        </w:tc>
      </w:tr>
      <w:tr>
        <w:trPr>
          <w:trHeight w:val="213"/>
        </w:trPr>
        <w:tc>
          <w:tcPr>
            <w:tcW w:w="4660" w:type="dxa"/>
            <w:vAlign w:val="bottom"/>
          </w:tcPr>
          <w:p>
            <w:pPr>
              <w:ind w:left="160"/>
              <w:spacing w:after="0"/>
              <w:rPr>
                <w:sz w:val="20"/>
                <w:szCs w:val="20"/>
                <w:color w:val="auto"/>
              </w:rPr>
            </w:pPr>
            <w:r>
              <w:rPr>
                <w:rFonts w:ascii="Arial" w:cs="Arial" w:eastAsia="Arial" w:hAnsi="Arial"/>
                <w:sz w:val="17"/>
                <w:szCs w:val="17"/>
                <w:color w:val="auto"/>
              </w:rPr>
              <w:t>stock</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Exchange of series A convertible preferred stock for common</w:t>
            </w: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w:t>
            </w: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Conversion of bridge notes into common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2,545</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discounts to temporary equity</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w w:val="92"/>
              </w:rPr>
              <w:t>Issuance of shares in consideration of restructuring of venture loan</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188"/>
        </w:trPr>
        <w:tc>
          <w:tcPr>
            <w:tcW w:w="46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recorded in connection with</w:t>
            </w: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13"/>
        </w:trPr>
        <w:tc>
          <w:tcPr>
            <w:tcW w:w="46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convertible notes</w:t>
            </w: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Conversion of convertible notes into common stock</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7"/>
                <w:szCs w:val="17"/>
                <w:color w:val="auto"/>
              </w:rPr>
              <w:t>2,511</w:t>
            </w:r>
          </w:p>
        </w:tc>
        <w:tc>
          <w:tcPr>
            <w:tcW w:w="0" w:type="dxa"/>
            <w:vAlign w:val="bottom"/>
          </w:tcPr>
          <w:p>
            <w:pPr>
              <w:spacing w:after="0"/>
              <w:rPr>
                <w:sz w:val="1"/>
                <w:szCs w:val="1"/>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derivative liabilities into common stock</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2,223</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22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-3237865</wp:posOffset>
            </wp:positionV>
            <wp:extent cx="4837430" cy="143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-2712720</wp:posOffset>
            </wp:positionV>
            <wp:extent cx="4837430" cy="1670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1" w:name="page222"/>
    <w:bookmarkEnd w:id="2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8"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7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February 2012, the Company entered into agreements with holders (the “Holders”) of certain of its outstanding Special Bridge and Conversion Warrants, pursuant to which the Holders exercised warrants to purchase 3,828,993 shares of our common stock for aggregate proceeds of $3.65 million (“February 2012 warrant exercise”). In addition, certain Holders were granted additional warrants to purchase 2,660,922 shares of common stock of the Company, at an exercise price of $1.76 per share. See also Note 3 and 5.</w:t>
      </w:r>
    </w:p>
    <w:p>
      <w:pPr>
        <w:spacing w:after="0" w:line="8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March 12, 2012, the Company entered into an agreement and Plan of Merger Agreement (“Merger Agreement”), pursuant to which, once the Merger commences, Innovate/Protect, Inc. (“I/P”) will merge with and into VIP Merger Sub, Inc., which will be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This Merger will be accounted for as a reverse acquisition.</w:t>
      </w:r>
    </w:p>
    <w:p>
      <w:pPr>
        <w:spacing w:after="0" w:line="200" w:lineRule="exact"/>
        <w:rPr>
          <w:sz w:val="20"/>
          <w:szCs w:val="20"/>
          <w:color w:val="auto"/>
        </w:rPr>
      </w:pPr>
    </w:p>
    <w:p>
      <w:pPr>
        <w:spacing w:after="0" w:line="30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2" w:name="page223"/>
    <w:bookmarkEnd w:id="2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 – (continued)</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three month period ended March 31, 2012 and for the cumulative period from inception until March 31, 2012, the Company incurred net losses of $5.6 million and $43.2 million, respectively. The Company believes that its current cash levels will be sufficient to support its activity into the first quarter of 2013.</w:t>
      </w:r>
    </w:p>
    <w:p>
      <w:pPr>
        <w:spacing w:after="0" w:line="6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March 31, 2012, approximately $521 thousand of the Company’s net assets were located outside of the United States.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 Basis of presentation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7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2011. The results of operations for the three month period ended March 31, 2012, are not necessarily indicative of the results that may be expected for the entire fiscal year or for any other interim period.</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 Development stage enterprise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 Translation into U.S. dollars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currency of the primary economic environment in which the operations of the Company are conducted is the U.S. dollar (“dollar”). Therefore, the dollar has been determined to be the Company’s functional currency.</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March 31, 2012, the exchange rate was U.S. $1 = NIS 3.715 (March 31, 2011 — U.S. $1 = NIS 3.481). The average exchange rate for the three month period ended March 31, 2012 and 2011, was U.S. $1 = NIS 3.741 and U.S. $1 = NIS 3.601, respectively.</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3" w:name="page224"/>
    <w:bookmarkEnd w:id="2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 Use of estimates</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 Accounts receivables and allowance for doubtful accounts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March 31, 2012, neither write-offs, nor provision for doubtful accounts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 Impact of recently implemented accounting standards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the Company’s financial position, results of operations, or cash flows.</w:t>
      </w:r>
    </w:p>
    <w:p>
      <w:pPr>
        <w:spacing w:after="0" w:line="6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the Company’s financial position, results of operations, or cash flows.</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4" w:name="page225"/>
    <w:bookmarkEnd w:id="2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 Impact of recently issued accounting standards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(h) Net loss per share data</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80" w:type="dxa"/>
            <w:vAlign w:val="bottom"/>
            <w:gridSpan w:val="5"/>
          </w:tcPr>
          <w:p>
            <w:pPr>
              <w:jc w:val="right"/>
              <w:ind w:right="640"/>
              <w:spacing w:after="0" w:line="138"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1"/>
                <w:szCs w:val="11"/>
                <w:color w:val="auto"/>
              </w:rPr>
            </w:pPr>
          </w:p>
        </w:tc>
        <w:tc>
          <w:tcPr>
            <w:tcW w:w="9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from inception</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97"/>
              </w:rPr>
              <w:t>to March 31,</w:t>
            </w:r>
          </w:p>
        </w:tc>
        <w:tc>
          <w:tcPr>
            <w:tcW w:w="3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1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82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7"/>
                <w:szCs w:val="7"/>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1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center"/>
              <w:ind w:left="53"/>
              <w:spacing w:after="0" w:line="113" w:lineRule="exact"/>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940" w:type="dxa"/>
            <w:vAlign w:val="bottom"/>
            <w:gridSpan w:val="8"/>
          </w:tcPr>
          <w:p>
            <w:pPr>
              <w:jc w:val="right"/>
              <w:ind w:right="220"/>
              <w:spacing w:after="0"/>
              <w:rPr>
                <w:sz w:val="20"/>
                <w:szCs w:val="20"/>
                <w:color w:val="auto"/>
              </w:rPr>
            </w:pPr>
            <w:r>
              <w:rPr>
                <w:rFonts w:ascii="Arial" w:cs="Arial" w:eastAsia="Arial" w:hAnsi="Arial"/>
                <w:sz w:val="13"/>
                <w:szCs w:val="13"/>
                <w:color w:val="auto"/>
                <w:w w:val="97"/>
              </w:rPr>
              <w:t>(in thousands, except share and per share data)</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Numerator:</w:t>
            </w: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00" w:type="dxa"/>
            <w:vAlign w:val="bottom"/>
            <w:gridSpan w:val="2"/>
          </w:tcPr>
          <w:p>
            <w:pPr>
              <w:spacing w:after="0" w:line="188" w:lineRule="exact"/>
              <w:rPr>
                <w:sz w:val="20"/>
                <w:szCs w:val="20"/>
                <w:color w:val="auto"/>
              </w:rPr>
            </w:pPr>
            <w:r>
              <w:rPr>
                <w:rFonts w:ascii="Arial" w:cs="Arial" w:eastAsia="Arial" w:hAnsi="Arial"/>
                <w:sz w:val="17"/>
                <w:szCs w:val="17"/>
                <w:color w:val="auto"/>
              </w:rPr>
              <w:t>Net loss attributable to common stock shares</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rPr>
              <w:t>(5,644)</w:t>
            </w:r>
          </w:p>
        </w:tc>
        <w:tc>
          <w:tcPr>
            <w:tcW w:w="100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(1,109)</w:t>
            </w:r>
          </w:p>
        </w:tc>
        <w:tc>
          <w:tcPr>
            <w:tcW w:w="1060" w:type="dxa"/>
            <w:vAlign w:val="bottom"/>
            <w:gridSpan w:val="3"/>
          </w:tcPr>
          <w:p>
            <w:pPr>
              <w:jc w:val="right"/>
              <w:ind w:right="60"/>
              <w:spacing w:after="0" w:line="188" w:lineRule="exact"/>
              <w:rPr>
                <w:sz w:val="20"/>
                <w:szCs w:val="20"/>
                <w:color w:val="auto"/>
              </w:rPr>
            </w:pPr>
            <w:r>
              <w:rPr>
                <w:rFonts w:ascii="Arial" w:cs="Arial" w:eastAsia="Arial" w:hAnsi="Arial"/>
                <w:sz w:val="17"/>
                <w:szCs w:val="17"/>
                <w:color w:val="auto"/>
              </w:rPr>
              <w:t>(43,190)</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60"/>
              <w:spacing w:after="0"/>
              <w:rPr>
                <w:sz w:val="20"/>
                <w:szCs w:val="20"/>
                <w:color w:val="auto"/>
              </w:rPr>
            </w:pPr>
            <w:r>
              <w:rPr>
                <w:rFonts w:ascii="Arial" w:cs="Arial" w:eastAsia="Arial" w:hAnsi="Arial"/>
                <w:sz w:val="17"/>
                <w:szCs w:val="17"/>
                <w:color w:val="auto"/>
              </w:rPr>
              <w:t>(basic and diluted)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Denominator:</w:t>
            </w: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00" w:type="dxa"/>
            <w:vAlign w:val="bottom"/>
            <w:gridSpan w:val="2"/>
          </w:tcPr>
          <w:p>
            <w:pPr>
              <w:spacing w:after="0" w:line="188" w:lineRule="exact"/>
              <w:rPr>
                <w:sz w:val="20"/>
                <w:szCs w:val="20"/>
                <w:color w:val="auto"/>
              </w:rPr>
            </w:pPr>
            <w:r>
              <w:rPr>
                <w:rFonts w:ascii="Arial" w:cs="Arial" w:eastAsia="Arial" w:hAnsi="Arial"/>
                <w:sz w:val="17"/>
                <w:szCs w:val="17"/>
                <w:color w:val="auto"/>
              </w:rPr>
              <w:t>Weighted average number of common stock shares</w:t>
            </w:r>
          </w:p>
        </w:tc>
        <w:tc>
          <w:tcPr>
            <w:tcW w:w="88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w w:val="96"/>
              </w:rPr>
              <w:t>12,173,409</w:t>
            </w:r>
          </w:p>
        </w:tc>
        <w:tc>
          <w:tcPr>
            <w:tcW w:w="100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5,554,385</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2,216,110</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gridSpan w:val="2"/>
          </w:tcPr>
          <w:p>
            <w:pPr>
              <w:ind w:left="160"/>
              <w:spacing w:after="0"/>
              <w:rPr>
                <w:sz w:val="20"/>
                <w:szCs w:val="20"/>
                <w:color w:val="auto"/>
              </w:rPr>
            </w:pPr>
            <w:r>
              <w:rPr>
                <w:rFonts w:ascii="Arial" w:cs="Arial" w:eastAsia="Arial" w:hAnsi="Arial"/>
                <w:sz w:val="17"/>
                <w:szCs w:val="17"/>
                <w:color w:val="auto"/>
              </w:rPr>
              <w:t>outstanding during the period (basic and diluted)</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7"/>
              </w:rPr>
              <w:t>Weighted average number of penny stock options and</w:t>
            </w:r>
          </w:p>
        </w:tc>
        <w:tc>
          <w:tcPr>
            <w:tcW w:w="880" w:type="dxa"/>
            <w:vAlign w:val="bottom"/>
            <w:gridSpan w:val="2"/>
            <w:shd w:val="clear" w:color="auto" w:fill="CCFFCC"/>
          </w:tcPr>
          <w:p>
            <w:pPr>
              <w:jc w:val="right"/>
              <w:ind w:right="40"/>
              <w:spacing w:after="0" w:line="188" w:lineRule="exact"/>
              <w:rPr>
                <w:sz w:val="20"/>
                <w:szCs w:val="20"/>
                <w:color w:val="auto"/>
              </w:rPr>
            </w:pPr>
            <w:r>
              <w:rPr>
                <w:rFonts w:ascii="Arial" w:cs="Arial" w:eastAsia="Arial" w:hAnsi="Arial"/>
                <w:sz w:val="17"/>
                <w:szCs w:val="17"/>
                <w:b w:val="1"/>
                <w:bCs w:val="1"/>
                <w:color w:val="auto"/>
              </w:rPr>
              <w:t>198,063</w:t>
            </w:r>
          </w:p>
        </w:tc>
        <w:tc>
          <w:tcPr>
            <w:tcW w:w="100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169,868</w:t>
            </w:r>
          </w:p>
        </w:tc>
        <w:tc>
          <w:tcPr>
            <w:tcW w:w="10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56,597</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warrants (basic and diluted)</w:t>
            </w: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Basic and diluted shares of common stock</w:t>
            </w:r>
          </w:p>
        </w:tc>
        <w:tc>
          <w:tcPr>
            <w:tcW w:w="880" w:type="dxa"/>
            <w:vAlign w:val="bottom"/>
            <w:gridSpan w:val="2"/>
          </w:tcPr>
          <w:p>
            <w:pPr>
              <w:jc w:val="right"/>
              <w:ind w:right="40"/>
              <w:spacing w:after="0" w:line="176" w:lineRule="exact"/>
              <w:rPr>
                <w:sz w:val="20"/>
                <w:szCs w:val="20"/>
                <w:color w:val="auto"/>
              </w:rPr>
            </w:pPr>
            <w:r>
              <w:rPr>
                <w:rFonts w:ascii="Arial" w:cs="Arial" w:eastAsia="Arial" w:hAnsi="Arial"/>
                <w:sz w:val="17"/>
                <w:szCs w:val="17"/>
                <w:b w:val="1"/>
                <w:bCs w:val="1"/>
                <w:color w:val="auto"/>
                <w:w w:val="96"/>
              </w:rPr>
              <w:t>12,371,472</w:t>
            </w:r>
          </w:p>
        </w:tc>
        <w:tc>
          <w:tcPr>
            <w:tcW w:w="1000" w:type="dxa"/>
            <w:vAlign w:val="bottom"/>
            <w:gridSpan w:val="3"/>
          </w:tcPr>
          <w:p>
            <w:pPr>
              <w:jc w:val="right"/>
              <w:ind w:right="100"/>
              <w:spacing w:after="0" w:line="176" w:lineRule="exact"/>
              <w:rPr>
                <w:sz w:val="20"/>
                <w:szCs w:val="20"/>
                <w:color w:val="auto"/>
              </w:rPr>
            </w:pPr>
            <w:r>
              <w:rPr>
                <w:rFonts w:ascii="Arial" w:cs="Arial" w:eastAsia="Arial" w:hAnsi="Arial"/>
                <w:sz w:val="17"/>
                <w:szCs w:val="17"/>
                <w:color w:val="auto"/>
              </w:rPr>
              <w:t>5,724,253</w:t>
            </w:r>
          </w:p>
        </w:tc>
        <w:tc>
          <w:tcPr>
            <w:tcW w:w="1060" w:type="dxa"/>
            <w:vAlign w:val="bottom"/>
            <w:gridSpan w:val="3"/>
          </w:tcPr>
          <w:p>
            <w:pPr>
              <w:jc w:val="right"/>
              <w:ind w:right="120"/>
              <w:spacing w:after="0" w:line="176" w:lineRule="exact"/>
              <w:rPr>
                <w:sz w:val="20"/>
                <w:szCs w:val="20"/>
                <w:color w:val="auto"/>
              </w:rPr>
            </w:pPr>
            <w:r>
              <w:rPr>
                <w:rFonts w:ascii="Arial" w:cs="Arial" w:eastAsia="Arial" w:hAnsi="Arial"/>
                <w:sz w:val="17"/>
                <w:szCs w:val="17"/>
                <w:color w:val="auto"/>
              </w:rPr>
              <w:t>2,272,707</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outstanding</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00" w:type="dxa"/>
            <w:vAlign w:val="bottom"/>
            <w:gridSpan w:val="2"/>
            <w:shd w:val="clear" w:color="auto" w:fill="CCFFCC"/>
          </w:tcPr>
          <w:p>
            <w:pPr>
              <w:spacing w:after="0" w:line="176" w:lineRule="exact"/>
              <w:rPr>
                <w:sz w:val="20"/>
                <w:szCs w:val="20"/>
                <w:color w:val="auto"/>
              </w:rPr>
            </w:pPr>
            <w:r>
              <w:rPr>
                <w:rFonts w:ascii="Arial" w:cs="Arial" w:eastAsia="Arial" w:hAnsi="Arial"/>
                <w:sz w:val="17"/>
                <w:szCs w:val="17"/>
                <w:b w:val="1"/>
                <w:bCs w:val="1"/>
                <w:color w:val="auto"/>
                <w:w w:val="97"/>
              </w:rPr>
              <w:t>Basic and diluted net losses per share of common</w:t>
            </w:r>
          </w:p>
        </w:tc>
        <w:tc>
          <w:tcPr>
            <w:tcW w:w="88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7"/>
                <w:szCs w:val="17"/>
                <w:b w:val="1"/>
                <w:bCs w:val="1"/>
                <w:color w:val="auto"/>
              </w:rPr>
              <w:t>(0.46)</w:t>
            </w:r>
          </w:p>
        </w:tc>
        <w:tc>
          <w:tcPr>
            <w:tcW w:w="1000" w:type="dxa"/>
            <w:vAlign w:val="bottom"/>
            <w:gridSpan w:val="3"/>
            <w:shd w:val="clear" w:color="auto" w:fill="CCFFCC"/>
          </w:tcPr>
          <w:p>
            <w:pPr>
              <w:jc w:val="right"/>
              <w:ind w:right="40"/>
              <w:spacing w:after="0" w:line="176" w:lineRule="exact"/>
              <w:rPr>
                <w:sz w:val="20"/>
                <w:szCs w:val="20"/>
                <w:color w:val="auto"/>
              </w:rPr>
            </w:pPr>
            <w:r>
              <w:rPr>
                <w:rFonts w:ascii="Arial" w:cs="Arial" w:eastAsia="Arial" w:hAnsi="Arial"/>
                <w:sz w:val="17"/>
                <w:szCs w:val="17"/>
                <w:color w:val="auto"/>
              </w:rPr>
              <w:t>(0.19)</w:t>
            </w:r>
          </w:p>
        </w:tc>
        <w:tc>
          <w:tcPr>
            <w:tcW w:w="1060" w:type="dxa"/>
            <w:vAlign w:val="bottom"/>
            <w:gridSpan w:val="3"/>
            <w:shd w:val="clear" w:color="auto" w:fill="CCFFCC"/>
          </w:tcPr>
          <w:p>
            <w:pPr>
              <w:jc w:val="right"/>
              <w:ind w:right="60"/>
              <w:spacing w:after="0" w:line="176" w:lineRule="exact"/>
              <w:rPr>
                <w:sz w:val="20"/>
                <w:szCs w:val="20"/>
                <w:color w:val="auto"/>
              </w:rPr>
            </w:pPr>
            <w:r>
              <w:rPr>
                <w:rFonts w:ascii="Arial" w:cs="Arial" w:eastAsia="Arial" w:hAnsi="Arial"/>
                <w:sz w:val="17"/>
                <w:szCs w:val="17"/>
                <w:color w:val="auto"/>
              </w:rPr>
              <w:t>(19.00)</w:t>
            </w: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b w:val="1"/>
                <w:bCs w:val="1"/>
                <w:color w:val="auto"/>
              </w:rPr>
              <w:t>stock</w:t>
            </w:r>
          </w:p>
        </w:tc>
        <w:tc>
          <w:tcPr>
            <w:tcW w:w="820" w:type="dxa"/>
            <w:vAlign w:val="bottom"/>
            <w:tcBorders>
              <w:bottom w:val="single" w:sz="8" w:color="auto"/>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4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4"/>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F-12</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-2291080</wp:posOffset>
            </wp:positionV>
            <wp:extent cx="5727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27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-1137285</wp:posOffset>
            </wp:positionV>
            <wp:extent cx="4408170" cy="270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408170" cy="270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5" w:name="page226"/>
    <w:bookmarkEnd w:id="2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 Fair Value Measurements</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fair value in accordance with ASC 820-10,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(formerly SFAS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49"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measurement date.</w:t>
      </w:r>
    </w:p>
    <w:p>
      <w:pPr>
        <w:spacing w:after="0" w:line="58"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7"/>
          <w:szCs w:val="17"/>
          <w:b w:val="1"/>
          <w:bCs w:val="1"/>
          <w:color w:val="auto"/>
        </w:rPr>
        <w:t>Level 2 Inputs</w:t>
      </w:r>
      <w:r>
        <w:rPr>
          <w:rFonts w:ascii="Arial" w:cs="Arial" w:eastAsia="Arial" w:hAnsi="Arial"/>
          <w:sz w:val="17"/>
          <w:szCs w:val="17"/>
          <w:color w:val="auto"/>
        </w:rPr>
        <w:t>: Other than quoted prices included in Level 1 inputs that are observable for the asset or liability, either 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or indirectly, for substantially the full term of the asset or liability.</w:t>
      </w:r>
    </w:p>
    <w:p>
      <w:pPr>
        <w:spacing w:after="0" w:line="58" w:lineRule="exact"/>
        <w:rPr>
          <w:sz w:val="20"/>
          <w:szCs w:val="20"/>
          <w:color w:val="auto"/>
        </w:rPr>
      </w:pPr>
    </w:p>
    <w:p>
      <w:pPr>
        <w:jc w:val="both"/>
        <w:ind w:left="40" w:right="1239" w:firstLine="251"/>
        <w:spacing w:after="0" w:line="254" w:lineRule="auto"/>
        <w:rPr>
          <w:sz w:val="20"/>
          <w:szCs w:val="20"/>
          <w:color w:val="auto"/>
        </w:rPr>
      </w:pPr>
      <w:r>
        <w:rPr>
          <w:rFonts w:ascii="Arial" w:cs="Arial" w:eastAsia="Arial" w:hAnsi="Arial"/>
          <w:sz w:val="17"/>
          <w:szCs w:val="17"/>
          <w:b w:val="1"/>
          <w:bCs w:val="1"/>
          <w:color w:val="auto"/>
        </w:rPr>
        <w:t>Level 3 Inputs</w:t>
      </w:r>
      <w:r>
        <w:rPr>
          <w:rFonts w:ascii="Arial" w:cs="Arial" w:eastAsia="Arial" w:hAnsi="Arial"/>
          <w:sz w:val="17"/>
          <w:szCs w:val="17"/>
          <w:color w:val="auto"/>
        </w:rPr>
        <w:t>: Unobservable inputs for the asset or liability used to measure fair value to the extent that observable inputs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available, thereby 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7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measures its cash equivalents and derivative liabilities at fair value. Cash equivalents are classified within Level 1 because they are valued using quoted active market prices. The Special Bridge Warrants, Conversion Warrants and Preferential Reload Warrants (refer to Note 5) are classified within Level 3 because they are valued using the Black-Scholes-Merton and the Monte-Carlo models (as these warrants include a down-round protection clause), which utilize significant inputs that are unobservable in the market such as the expected stock price volatility and the dividend yield, and the remaining period of time the warrants will be outstanding before they expire.</w:t>
      </w:r>
    </w:p>
    <w:p>
      <w:pPr>
        <w:spacing w:after="0" w:line="81" w:lineRule="exact"/>
        <w:rPr>
          <w:sz w:val="20"/>
          <w:szCs w:val="20"/>
          <w:color w:val="auto"/>
        </w:rPr>
      </w:pPr>
    </w:p>
    <w:p>
      <w:pPr>
        <w:ind w:left="40" w:right="1239" w:firstLine="251"/>
        <w:spacing w:after="0" w:line="280" w:lineRule="auto"/>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March 31, 2012 and December 31, 2011, aggregated by the level in the fair-value hierarchy within which those measurements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wp:posOffset>
            </wp:positionV>
            <wp:extent cx="44081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3"/>
                <w:szCs w:val="13"/>
                <w:b w:val="1"/>
                <w:bCs w:val="1"/>
                <w:color w:val="auto"/>
                <w:w w:val="98"/>
              </w:rPr>
              <w:t>Fair value measurement at reporting date using</w:t>
            </w:r>
          </w:p>
        </w:tc>
        <w:tc>
          <w:tcPr>
            <w:tcW w:w="3100" w:type="dxa"/>
            <w:vAlign w:val="bottom"/>
          </w:tcPr>
          <w:p>
            <w:pPr>
              <w:spacing w:after="0"/>
              <w:rPr>
                <w:sz w:val="14"/>
                <w:szCs w:val="14"/>
                <w:color w:val="auto"/>
              </w:rPr>
            </w:pPr>
          </w:p>
        </w:tc>
      </w:tr>
      <w:tr>
        <w:trPr>
          <w:trHeight w:val="148"/>
        </w:trPr>
        <w:tc>
          <w:tcPr>
            <w:tcW w:w="27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94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March 31,</w:t>
            </w: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w:t>
            </w:r>
          </w:p>
        </w:tc>
        <w:tc>
          <w:tcPr>
            <w:tcW w:w="160" w:type="dxa"/>
            <w:vAlign w:val="bottom"/>
          </w:tcPr>
          <w:p>
            <w:pPr>
              <w:spacing w:after="0"/>
              <w:rPr>
                <w:sz w:val="12"/>
                <w:szCs w:val="12"/>
                <w:color w:val="auto"/>
              </w:rPr>
            </w:pP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c>
          <w:tcPr>
            <w:tcW w:w="160" w:type="dxa"/>
            <w:vAlign w:val="bottom"/>
          </w:tcPr>
          <w:p>
            <w:pPr>
              <w:spacing w:after="0"/>
              <w:rPr>
                <w:sz w:val="12"/>
                <w:szCs w:val="12"/>
                <w:color w:val="auto"/>
              </w:rPr>
            </w:pP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Significant</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gridSpan w:val="2"/>
          </w:tcPr>
          <w:p>
            <w:pPr>
              <w:jc w:val="right"/>
              <w:ind w:right="85"/>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markets for</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observable</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310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(Level 3)</w:t>
            </w:r>
          </w:p>
        </w:tc>
        <w:tc>
          <w:tcPr>
            <w:tcW w:w="3100" w:type="dxa"/>
            <w:vAlign w:val="bottom"/>
          </w:tcPr>
          <w:p>
            <w:pPr>
              <w:spacing w:after="0"/>
              <w:rPr>
                <w:sz w:val="11"/>
                <w:szCs w:val="11"/>
                <w:color w:val="auto"/>
              </w:rPr>
            </w:pPr>
          </w:p>
        </w:tc>
      </w:tr>
      <w:tr>
        <w:trPr>
          <w:trHeight w:val="158"/>
        </w:trPr>
        <w:tc>
          <w:tcPr>
            <w:tcW w:w="1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66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6"/>
        </w:trPr>
        <w:tc>
          <w:tcPr>
            <w:tcW w:w="272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3100" w:type="dxa"/>
            <w:vAlign w:val="bottom"/>
          </w:tcPr>
          <w:p>
            <w:pPr>
              <w:spacing w:after="0"/>
              <w:rPr>
                <w:sz w:val="17"/>
                <w:szCs w:val="17"/>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7"/>
                <w:szCs w:val="17"/>
                <w:color w:val="auto"/>
              </w:rPr>
              <w:t>Cash equivalents</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351</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351</w:t>
            </w:r>
          </w:p>
        </w:tc>
        <w:tc>
          <w:tcPr>
            <w:tcW w:w="160" w:type="dxa"/>
            <w:vAlign w:val="bottom"/>
          </w:tcPr>
          <w:p>
            <w:pPr>
              <w:spacing w:after="0"/>
              <w:rPr>
                <w:sz w:val="17"/>
                <w:szCs w:val="17"/>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272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Total assets</w:t>
            </w:r>
          </w:p>
        </w:tc>
        <w:tc>
          <w:tcPr>
            <w:tcW w:w="960" w:type="dxa"/>
            <w:vAlign w:val="bottom"/>
            <w:gridSpan w:val="3"/>
            <w:shd w:val="clear" w:color="auto" w:fill="CCFFCC"/>
          </w:tcPr>
          <w:p>
            <w:pPr>
              <w:jc w:val="right"/>
              <w:ind w:right="100"/>
              <w:spacing w:after="0" w:line="191" w:lineRule="exact"/>
              <w:rPr>
                <w:sz w:val="20"/>
                <w:szCs w:val="20"/>
                <w:color w:val="auto"/>
              </w:rPr>
            </w:pPr>
            <w:r>
              <w:rPr>
                <w:rFonts w:ascii="Arial" w:cs="Arial" w:eastAsia="Arial" w:hAnsi="Arial"/>
                <w:sz w:val="17"/>
                <w:szCs w:val="17"/>
                <w:b w:val="1"/>
                <w:bCs w:val="1"/>
                <w:color w:val="auto"/>
              </w:rPr>
              <w:t>351</w:t>
            </w:r>
          </w:p>
        </w:tc>
        <w:tc>
          <w:tcPr>
            <w:tcW w:w="140" w:type="dxa"/>
            <w:vAlign w:val="bottom"/>
            <w:shd w:val="clear" w:color="auto" w:fill="CCFFCC"/>
          </w:tcPr>
          <w:p>
            <w:pPr>
              <w:spacing w:after="0"/>
              <w:rPr>
                <w:sz w:val="16"/>
                <w:szCs w:val="16"/>
                <w:color w:val="auto"/>
              </w:rPr>
            </w:pPr>
          </w:p>
        </w:tc>
        <w:tc>
          <w:tcPr>
            <w:tcW w:w="900" w:type="dxa"/>
            <w:vAlign w:val="bottom"/>
            <w:gridSpan w:val="2"/>
            <w:shd w:val="clear" w:color="auto" w:fill="CCFFCC"/>
          </w:tcPr>
          <w:p>
            <w:pPr>
              <w:jc w:val="right"/>
              <w:ind w:right="140"/>
              <w:spacing w:after="0" w:line="191" w:lineRule="exact"/>
              <w:rPr>
                <w:sz w:val="20"/>
                <w:szCs w:val="20"/>
                <w:color w:val="auto"/>
              </w:rPr>
            </w:pPr>
            <w:r>
              <w:rPr>
                <w:rFonts w:ascii="Arial" w:cs="Arial" w:eastAsia="Arial" w:hAnsi="Arial"/>
                <w:sz w:val="17"/>
                <w:szCs w:val="17"/>
                <w:color w:val="auto"/>
              </w:rPr>
              <w:t>351</w:t>
            </w:r>
          </w:p>
        </w:tc>
        <w:tc>
          <w:tcPr>
            <w:tcW w:w="160" w:type="dxa"/>
            <w:vAlign w:val="bottom"/>
            <w:shd w:val="clear" w:color="auto" w:fill="CCFFCC"/>
          </w:tcPr>
          <w:p>
            <w:pPr>
              <w:spacing w:after="0"/>
              <w:rPr>
                <w:sz w:val="16"/>
                <w:szCs w:val="16"/>
                <w:color w:val="auto"/>
              </w:rPr>
            </w:pPr>
          </w:p>
        </w:tc>
        <w:tc>
          <w:tcPr>
            <w:tcW w:w="900" w:type="dxa"/>
            <w:vAlign w:val="bottom"/>
            <w:gridSpan w:val="2"/>
            <w:shd w:val="clear" w:color="auto" w:fill="CCFFCC"/>
          </w:tcPr>
          <w:p>
            <w:pPr>
              <w:ind w:left="560"/>
              <w:spacing w:after="0" w:line="191"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3100" w:type="dxa"/>
            <w:vAlign w:val="bottom"/>
          </w:tcPr>
          <w:p>
            <w:pPr>
              <w:spacing w:after="0"/>
              <w:rPr>
                <w:sz w:val="16"/>
                <w:szCs w:val="16"/>
                <w:color w:val="auto"/>
              </w:rPr>
            </w:pPr>
          </w:p>
        </w:tc>
      </w:tr>
      <w:tr>
        <w:trPr>
          <w:trHeight w:val="200"/>
        </w:trPr>
        <w:tc>
          <w:tcPr>
            <w:tcW w:w="272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88"/>
        </w:trPr>
        <w:tc>
          <w:tcPr>
            <w:tcW w:w="272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Derivative liabilities on account of</w:t>
            </w:r>
          </w:p>
        </w:tc>
        <w:tc>
          <w:tcPr>
            <w:tcW w:w="96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1,836</w:t>
            </w:r>
          </w:p>
        </w:tc>
        <w:tc>
          <w:tcPr>
            <w:tcW w:w="140" w:type="dxa"/>
            <w:vAlign w:val="bottom"/>
            <w:shd w:val="clear" w:color="auto" w:fill="CCFFCC"/>
          </w:tcPr>
          <w:p>
            <w:pPr>
              <w:spacing w:after="0"/>
              <w:rPr>
                <w:sz w:val="16"/>
                <w:szCs w:val="16"/>
                <w:color w:val="auto"/>
              </w:rPr>
            </w:pPr>
          </w:p>
        </w:tc>
        <w:tc>
          <w:tcPr>
            <w:tcW w:w="9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00" w:type="dxa"/>
            <w:vAlign w:val="bottom"/>
            <w:gridSpan w:val="2"/>
            <w:shd w:val="clear" w:color="auto" w:fill="CCFFCC"/>
          </w:tcPr>
          <w:p>
            <w:pPr>
              <w:ind w:left="560"/>
              <w:spacing w:after="0" w:line="188"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1,836</w:t>
            </w:r>
          </w:p>
        </w:tc>
        <w:tc>
          <w:tcPr>
            <w:tcW w:w="3100" w:type="dxa"/>
            <w:vAlign w:val="bottom"/>
          </w:tcPr>
          <w:p>
            <w:pPr>
              <w:spacing w:after="0"/>
              <w:rPr>
                <w:sz w:val="16"/>
                <w:szCs w:val="16"/>
                <w:color w:val="auto"/>
              </w:rPr>
            </w:pPr>
          </w:p>
        </w:tc>
      </w:tr>
      <w:tr>
        <w:trPr>
          <w:trHeight w:val="253"/>
        </w:trPr>
        <w:tc>
          <w:tcPr>
            <w:tcW w:w="272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3100" w:type="dxa"/>
            <w:vAlign w:val="bottom"/>
          </w:tcPr>
          <w:p>
            <w:pPr>
              <w:spacing w:after="0"/>
              <w:rPr>
                <w:sz w:val="21"/>
                <w:szCs w:val="21"/>
                <w:color w:val="auto"/>
              </w:rPr>
            </w:pPr>
          </w:p>
        </w:tc>
      </w:tr>
      <w:tr>
        <w:trPr>
          <w:trHeight w:val="191"/>
        </w:trPr>
        <w:tc>
          <w:tcPr>
            <w:tcW w:w="272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1" w:lineRule="exact"/>
              <w:rPr>
                <w:sz w:val="20"/>
                <w:szCs w:val="20"/>
                <w:color w:val="auto"/>
              </w:rPr>
            </w:pPr>
            <w:r>
              <w:rPr>
                <w:rFonts w:ascii="Arial" w:cs="Arial" w:eastAsia="Arial" w:hAnsi="Arial"/>
                <w:sz w:val="17"/>
                <w:szCs w:val="17"/>
                <w:b w:val="1"/>
                <w:bCs w:val="1"/>
                <w:color w:val="auto"/>
              </w:rPr>
              <w:t>1,836</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line="191"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00" w:type="dxa"/>
            <w:vAlign w:val="bottom"/>
            <w:gridSpan w:val="2"/>
          </w:tcPr>
          <w:p>
            <w:pPr>
              <w:ind w:left="560"/>
              <w:spacing w:after="0" w:line="191" w:lineRule="exact"/>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20"/>
              <w:spacing w:after="0" w:line="191" w:lineRule="exact"/>
              <w:rPr>
                <w:sz w:val="20"/>
                <w:szCs w:val="20"/>
                <w:color w:val="auto"/>
              </w:rPr>
            </w:pPr>
            <w:r>
              <w:rPr>
                <w:rFonts w:ascii="Arial" w:cs="Arial" w:eastAsia="Arial" w:hAnsi="Arial"/>
                <w:sz w:val="17"/>
                <w:szCs w:val="17"/>
                <w:color w:val="auto"/>
              </w:rPr>
              <w:t>1,836</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F-13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-779145</wp:posOffset>
            </wp:positionV>
            <wp:extent cx="4408170" cy="1911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408170" cy="19113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6" w:name="page227"/>
    <w:bookmarkEnd w:id="2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8"/>
          </w:tcPr>
          <w:p>
            <w:pPr>
              <w:jc w:val="center"/>
              <w:ind w:left="121"/>
              <w:spacing w:after="0"/>
              <w:rPr>
                <w:sz w:val="20"/>
                <w:szCs w:val="20"/>
                <w:color w:val="auto"/>
              </w:rPr>
            </w:pPr>
            <w:r>
              <w:rPr>
                <w:rFonts w:ascii="Arial" w:cs="Arial" w:eastAsia="Arial" w:hAnsi="Arial"/>
                <w:sz w:val="17"/>
                <w:szCs w:val="17"/>
                <w:b w:val="1"/>
                <w:bCs w:val="1"/>
                <w:color w:val="auto"/>
                <w:w w:val="90"/>
              </w:rPr>
              <w:t>Vringo, Inc. and Subsidiary</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8"/>
          </w:tcPr>
          <w:p>
            <w:pPr>
              <w:jc w:val="center"/>
              <w:ind w:left="121"/>
              <w:spacing w:after="0"/>
              <w:rPr>
                <w:sz w:val="20"/>
                <w:szCs w:val="20"/>
                <w:color w:val="auto"/>
              </w:rPr>
            </w:pPr>
            <w:r>
              <w:rPr>
                <w:rFonts w:ascii="Arial" w:cs="Arial" w:eastAsia="Arial" w:hAnsi="Arial"/>
                <w:sz w:val="17"/>
                <w:szCs w:val="17"/>
                <w:b w:val="1"/>
                <w:bCs w:val="1"/>
                <w:color w:val="auto"/>
                <w:w w:val="88"/>
              </w:rPr>
              <w:t>(a Development Stage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6940" w:type="dxa"/>
            <w:vAlign w:val="bottom"/>
            <w:gridSpan w:val="13"/>
          </w:tcPr>
          <w:p>
            <w:pPr>
              <w:jc w:val="center"/>
              <w:ind w:left="1839"/>
              <w:spacing w:after="0"/>
              <w:rPr>
                <w:sz w:val="20"/>
                <w:szCs w:val="20"/>
                <w:color w:val="auto"/>
              </w:rPr>
            </w:pPr>
            <w:r>
              <w:rPr>
                <w:rFonts w:ascii="Arial" w:cs="Arial" w:eastAsia="Arial" w:hAnsi="Arial"/>
                <w:sz w:val="17"/>
                <w:szCs w:val="17"/>
                <w:b w:val="1"/>
                <w:bCs w:val="1"/>
                <w:color w:val="auto"/>
                <w:w w:val="98"/>
              </w:rPr>
              <w:t>NOTES TO CONSOLIDATED FINANCIAL STATEMENTS</w:t>
            </w:r>
          </w:p>
        </w:tc>
      </w:tr>
      <w:tr>
        <w:trPr>
          <w:trHeight w:val="217"/>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left="88"/>
              <w:spacing w:after="0"/>
              <w:rPr>
                <w:sz w:val="20"/>
                <w:szCs w:val="20"/>
                <w:color w:val="auto"/>
              </w:rPr>
            </w:pPr>
            <w:r>
              <w:rPr>
                <w:rFonts w:ascii="Arial" w:cs="Arial" w:eastAsia="Arial" w:hAnsi="Arial"/>
                <w:sz w:val="17"/>
                <w:szCs w:val="17"/>
                <w:b w:val="1"/>
                <w:bCs w:val="1"/>
                <w:color w:val="auto"/>
                <w:w w:val="91"/>
              </w:rPr>
              <w:t>(Unaudited)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26"/>
        </w:trPr>
        <w:tc>
          <w:tcPr>
            <w:tcW w:w="3820" w:type="dxa"/>
            <w:vAlign w:val="bottom"/>
            <w:gridSpan w:val="5"/>
          </w:tcPr>
          <w:p>
            <w:pPr>
              <w:ind w:left="40"/>
              <w:spacing w:after="0"/>
              <w:rPr>
                <w:sz w:val="20"/>
                <w:szCs w:val="20"/>
                <w:color w:val="auto"/>
              </w:rPr>
            </w:pPr>
            <w:r>
              <w:rPr>
                <w:rFonts w:ascii="Arial" w:cs="Arial" w:eastAsia="Arial" w:hAnsi="Arial"/>
                <w:sz w:val="17"/>
                <w:szCs w:val="17"/>
                <w:b w:val="1"/>
                <w:bCs w:val="1"/>
                <w:color w:val="auto"/>
                <w:w w:val="95"/>
              </w:rPr>
              <w:t>Note 3 — Fair Value Measurements – (continued)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w w:val="98"/>
              </w:rPr>
              <w:t>Fair value measurement at reporting date using</w:t>
            </w:r>
          </w:p>
        </w:tc>
      </w:tr>
      <w:tr>
        <w:trPr>
          <w:trHeight w:val="148"/>
        </w:trPr>
        <w:tc>
          <w:tcPr>
            <w:tcW w:w="27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94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89"/>
              </w:rPr>
              <w:t>December 31,</w:t>
            </w:r>
          </w:p>
        </w:tc>
        <w:tc>
          <w:tcPr>
            <w:tcW w:w="106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1"/>
              </w:rPr>
              <w:t>Quoted prices</w:t>
            </w:r>
          </w:p>
        </w:tc>
        <w:tc>
          <w:tcPr>
            <w:tcW w:w="9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c>
          <w:tcPr>
            <w:tcW w:w="160" w:type="dxa"/>
            <w:vAlign w:val="bottom"/>
          </w:tcPr>
          <w:p>
            <w:pPr>
              <w:spacing w:after="0"/>
              <w:rPr>
                <w:sz w:val="12"/>
                <w:szCs w:val="12"/>
                <w:color w:val="auto"/>
              </w:rPr>
            </w:pP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720" w:type="dxa"/>
            <w:vAlign w:val="bottom"/>
          </w:tcPr>
          <w:p>
            <w:pPr>
              <w:spacing w:after="0"/>
              <w:rPr>
                <w:sz w:val="11"/>
                <w:szCs w:val="11"/>
                <w:color w:val="auto"/>
              </w:rPr>
            </w:pPr>
          </w:p>
        </w:tc>
        <w:tc>
          <w:tcPr>
            <w:tcW w:w="860" w:type="dxa"/>
            <w:vAlign w:val="bottom"/>
            <w:gridSpan w:val="2"/>
          </w:tcPr>
          <w:p>
            <w:pPr>
              <w:jc w:val="right"/>
              <w:ind w:right="81"/>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2"/>
              </w:rPr>
              <w:t>in active</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95"/>
              </w:rPr>
              <w:t>markets for</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observable</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center"/>
              <w:ind w:right="140"/>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1"/>
                <w:szCs w:val="11"/>
                <w:color w:val="auto"/>
              </w:rPr>
            </w:pPr>
          </w:p>
        </w:tc>
        <w:tc>
          <w:tcPr>
            <w:tcW w:w="10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5"/>
          </w:tcPr>
          <w:p>
            <w:pPr>
              <w:ind w:left="66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7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188"/>
        </w:trPr>
        <w:tc>
          <w:tcPr>
            <w:tcW w:w="2720" w:type="dxa"/>
            <w:vAlign w:val="bottom"/>
          </w:tcPr>
          <w:p>
            <w:pPr>
              <w:spacing w:after="0" w:line="188" w:lineRule="exact"/>
              <w:rPr>
                <w:sz w:val="20"/>
                <w:szCs w:val="20"/>
                <w:color w:val="auto"/>
              </w:rPr>
            </w:pPr>
            <w:r>
              <w:rPr>
                <w:rFonts w:ascii="Arial" w:cs="Arial" w:eastAsia="Arial" w:hAnsi="Arial"/>
                <w:sz w:val="17"/>
                <w:szCs w:val="17"/>
                <w:color w:val="auto"/>
              </w:rPr>
              <w:t>Derivative liabilities on account of</w:t>
            </w:r>
          </w:p>
        </w:tc>
        <w:tc>
          <w:tcPr>
            <w:tcW w:w="960" w:type="dxa"/>
            <w:vAlign w:val="bottom"/>
            <w:gridSpan w:val="3"/>
          </w:tcPr>
          <w:p>
            <w:pPr>
              <w:jc w:val="right"/>
              <w:ind w:right="100"/>
              <w:spacing w:after="0" w:line="188" w:lineRule="exact"/>
              <w:rPr>
                <w:sz w:val="20"/>
                <w:szCs w:val="20"/>
                <w:color w:val="auto"/>
              </w:rPr>
            </w:pPr>
            <w:r>
              <w:rPr>
                <w:rFonts w:ascii="Arial" w:cs="Arial" w:eastAsia="Arial" w:hAnsi="Arial"/>
                <w:sz w:val="17"/>
                <w:szCs w:val="17"/>
                <w:b w:val="1"/>
                <w:bCs w:val="1"/>
                <w:color w:val="auto"/>
              </w:rPr>
              <w:t>2,172</w:t>
            </w:r>
          </w:p>
        </w:tc>
        <w:tc>
          <w:tcPr>
            <w:tcW w:w="140" w:type="dxa"/>
            <w:vAlign w:val="bottom"/>
          </w:tcPr>
          <w:p>
            <w:pPr>
              <w:spacing w:after="0"/>
              <w:rPr>
                <w:sz w:val="16"/>
                <w:szCs w:val="16"/>
                <w:color w:val="auto"/>
              </w:rPr>
            </w:pPr>
          </w:p>
        </w:tc>
        <w:tc>
          <w:tcPr>
            <w:tcW w:w="1060" w:type="dxa"/>
            <w:vAlign w:val="bottom"/>
            <w:gridSpan w:val="3"/>
          </w:tcPr>
          <w:p>
            <w:pPr>
              <w:ind w:left="580"/>
              <w:spacing w:after="0" w:line="188" w:lineRule="exact"/>
              <w:rPr>
                <w:sz w:val="20"/>
                <w:szCs w:val="20"/>
                <w:color w:val="auto"/>
              </w:rPr>
            </w:pPr>
            <w:r>
              <w:rPr>
                <w:rFonts w:ascii="Arial" w:cs="Arial" w:eastAsia="Arial" w:hAnsi="Arial"/>
                <w:sz w:val="17"/>
                <w:szCs w:val="17"/>
                <w:color w:val="auto"/>
              </w:rPr>
              <w:t>—</w:t>
            </w:r>
          </w:p>
        </w:tc>
        <w:tc>
          <w:tcPr>
            <w:tcW w:w="900" w:type="dxa"/>
            <w:vAlign w:val="bottom"/>
            <w:gridSpan w:val="2"/>
          </w:tcPr>
          <w:p>
            <w:pPr>
              <w:ind w:left="560"/>
              <w:spacing w:after="0" w:line="188" w:lineRule="exact"/>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2,172</w:t>
            </w:r>
          </w:p>
        </w:tc>
      </w:tr>
      <w:tr>
        <w:trPr>
          <w:trHeight w:val="213"/>
        </w:trPr>
        <w:tc>
          <w:tcPr>
            <w:tcW w:w="2720" w:type="dxa"/>
            <w:vAlign w:val="bottom"/>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2720" w:type="dxa"/>
            <w:vAlign w:val="bottom"/>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2,172</w:t>
            </w:r>
          </w:p>
        </w:tc>
        <w:tc>
          <w:tcPr>
            <w:tcW w:w="14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ind w:left="580"/>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FFCC"/>
          </w:tcPr>
          <w:p>
            <w:pPr>
              <w:ind w:left="560"/>
              <w:spacing w:after="0" w:line="194"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2,172</w:t>
            </w:r>
          </w:p>
        </w:tc>
      </w:tr>
      <w:tr>
        <w:trPr>
          <w:trHeight w:val="20"/>
        </w:trPr>
        <w:tc>
          <w:tcPr>
            <w:tcW w:w="27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-1343660</wp:posOffset>
            </wp:positionV>
            <wp:extent cx="44081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above, the Company’s financial instruments at March 31, 2012 and December 31, 2011 consisted of cash, accounts receivable, long-term deposits and accounts payable. The carrying amounts of all the aforementioned financial instruments, approximate fair value.</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 during the three 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3"/>
                <w:szCs w:val="13"/>
                <w:b w:val="1"/>
                <w:bCs w:val="1"/>
                <w:color w:val="auto"/>
              </w:rPr>
              <w:t>Level 3</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r>
      <w:tr>
        <w:trPr>
          <w:trHeight w:val="148"/>
        </w:trPr>
        <w:tc>
          <w:tcPr>
            <w:tcW w:w="11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87"/>
              </w:rPr>
              <w:t>Special</w:t>
            </w: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Conversion</w:t>
            </w:r>
          </w:p>
        </w:tc>
        <w:tc>
          <w:tcPr>
            <w:tcW w:w="16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5"/>
              </w:rPr>
              <w:t>Preferential</w:t>
            </w:r>
          </w:p>
        </w:tc>
        <w:tc>
          <w:tcPr>
            <w:tcW w:w="160" w:type="dxa"/>
            <w:vAlign w:val="bottom"/>
          </w:tcPr>
          <w:p>
            <w:pPr>
              <w:spacing w:after="0"/>
              <w:rPr>
                <w:sz w:val="12"/>
                <w:szCs w:val="12"/>
                <w:color w:val="auto"/>
              </w:rPr>
            </w:pPr>
          </w:p>
        </w:tc>
        <w:tc>
          <w:tcPr>
            <w:tcW w:w="90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Total</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Bridge</w:t>
            </w:r>
          </w:p>
        </w:tc>
        <w:tc>
          <w:tcPr>
            <w:tcW w:w="140" w:type="dxa"/>
            <w:vAlign w:val="bottom"/>
          </w:tcPr>
          <w:p>
            <w:pPr>
              <w:spacing w:after="0"/>
              <w:rPr>
                <w:sz w:val="11"/>
                <w:szCs w:val="11"/>
                <w:color w:val="auto"/>
              </w:rPr>
            </w:pPr>
          </w:p>
        </w:tc>
        <w:tc>
          <w:tcPr>
            <w:tcW w:w="800" w:type="dxa"/>
            <w:vAlign w:val="bottom"/>
            <w:gridSpan w:val="2"/>
          </w:tcPr>
          <w:p>
            <w:pPr>
              <w:jc w:val="right"/>
              <w:ind w:right="53"/>
              <w:spacing w:after="0" w:line="138" w:lineRule="exact"/>
              <w:rPr>
                <w:sz w:val="20"/>
                <w:szCs w:val="20"/>
                <w:color w:val="auto"/>
              </w:rPr>
            </w:pPr>
            <w:r>
              <w:rPr>
                <w:rFonts w:ascii="Arial" w:cs="Arial" w:eastAsia="Arial" w:hAnsi="Arial"/>
                <w:sz w:val="13"/>
                <w:szCs w:val="13"/>
                <w:b w:val="1"/>
                <w:bCs w:val="1"/>
                <w:color w:val="auto"/>
              </w:rPr>
              <w:t>Warrants</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Reload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Warrants</w:t>
            </w: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Warrants</w:t>
            </w:r>
          </w:p>
        </w:tc>
        <w:tc>
          <w:tcPr>
            <w:tcW w:w="1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00" w:type="dxa"/>
            <w:vAlign w:val="bottom"/>
          </w:tcPr>
          <w:p>
            <w:pPr>
              <w:spacing w:after="0"/>
              <w:rPr>
                <w:sz w:val="13"/>
                <w:szCs w:val="13"/>
                <w:color w:val="auto"/>
              </w:rPr>
            </w:pPr>
          </w:p>
        </w:tc>
      </w:tr>
      <w:tr>
        <w:trPr>
          <w:trHeight w:val="188"/>
        </w:trPr>
        <w:tc>
          <w:tcPr>
            <w:tcW w:w="1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3"/>
                <w:szCs w:val="13"/>
                <w:color w:val="auto"/>
              </w:rPr>
              <w:t>U.S.$ thousands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6"/>
        </w:trPr>
        <w:tc>
          <w:tcPr>
            <w:tcW w:w="31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Original allocated amount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1,070</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1,070</w:t>
            </w:r>
          </w:p>
        </w:tc>
        <w:tc>
          <w:tcPr>
            <w:tcW w:w="3100" w:type="dxa"/>
            <w:vAlign w:val="bottom"/>
          </w:tcPr>
          <w:p>
            <w:pPr>
              <w:spacing w:after="0"/>
              <w:rPr>
                <w:sz w:val="17"/>
                <w:szCs w:val="17"/>
                <w:color w:val="auto"/>
              </w:rPr>
            </w:pPr>
          </w:p>
        </w:tc>
      </w:tr>
      <w:tr>
        <w:trPr>
          <w:trHeight w:val="200"/>
        </w:trPr>
        <w:tc>
          <w:tcPr>
            <w:tcW w:w="3180" w:type="dxa"/>
            <w:vAlign w:val="bottom"/>
            <w:gridSpan w:val="2"/>
          </w:tcPr>
          <w:p>
            <w:pPr>
              <w:spacing w:after="0"/>
              <w:rPr>
                <w:sz w:val="20"/>
                <w:szCs w:val="20"/>
                <w:color w:val="auto"/>
              </w:rPr>
            </w:pPr>
            <w:r>
              <w:rPr>
                <w:rFonts w:ascii="Arial" w:cs="Arial" w:eastAsia="Arial" w:hAnsi="Arial"/>
                <w:sz w:val="17"/>
                <w:szCs w:val="17"/>
                <w:color w:val="auto"/>
              </w:rPr>
              <w:t>Additional allocated amount (upon IPO)</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940" w:type="dxa"/>
            <w:vAlign w:val="bottom"/>
            <w:gridSpan w:val="3"/>
          </w:tcPr>
          <w:p>
            <w:pPr>
              <w:jc w:val="right"/>
              <w:ind w:right="73"/>
              <w:spacing w:after="0"/>
              <w:rPr>
                <w:sz w:val="20"/>
                <w:szCs w:val="20"/>
                <w:color w:val="auto"/>
              </w:rPr>
            </w:pPr>
            <w:r>
              <w:rPr>
                <w:rFonts w:ascii="Arial" w:cs="Arial" w:eastAsia="Arial" w:hAnsi="Arial"/>
                <w:sz w:val="17"/>
                <w:szCs w:val="17"/>
                <w:color w:val="auto"/>
              </w:rPr>
              <w:t>1,564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1,652</w:t>
            </w:r>
          </w:p>
        </w:tc>
        <w:tc>
          <w:tcPr>
            <w:tcW w:w="3100" w:type="dxa"/>
            <w:vAlign w:val="bottom"/>
          </w:tcPr>
          <w:p>
            <w:pPr>
              <w:spacing w:after="0"/>
              <w:rPr>
                <w:sz w:val="17"/>
                <w:szCs w:val="17"/>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shd w:val="clear" w:color="auto" w:fill="CCFFCC"/>
          </w:tcPr>
          <w:p>
            <w:pPr>
              <w:jc w:val="right"/>
              <w:ind w:right="60"/>
              <w:spacing w:after="0" w:line="188" w:lineRule="exact"/>
              <w:rPr>
                <w:sz w:val="20"/>
                <w:szCs w:val="20"/>
                <w:color w:val="auto"/>
              </w:rPr>
            </w:pPr>
            <w:r>
              <w:rPr>
                <w:rFonts w:ascii="Arial" w:cs="Arial" w:eastAsia="Arial" w:hAnsi="Arial"/>
                <w:sz w:val="17"/>
                <w:szCs w:val="17"/>
                <w:color w:val="auto"/>
              </w:rPr>
              <w:t>(382)</w:t>
            </w:r>
          </w:p>
        </w:tc>
        <w:tc>
          <w:tcPr>
            <w:tcW w:w="940" w:type="dxa"/>
            <w:vAlign w:val="bottom"/>
            <w:gridSpan w:val="3"/>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(570)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(952)</w:t>
            </w:r>
          </w:p>
        </w:tc>
        <w:tc>
          <w:tcPr>
            <w:tcW w:w="3100" w:type="dxa"/>
            <w:vAlign w:val="bottom"/>
          </w:tcPr>
          <w:p>
            <w:pPr>
              <w:spacing w:after="0"/>
              <w:rPr>
                <w:sz w:val="16"/>
                <w:szCs w:val="16"/>
                <w:color w:val="auto"/>
              </w:rPr>
            </w:pPr>
          </w:p>
        </w:tc>
      </w:tr>
      <w:tr>
        <w:trPr>
          <w:trHeight w:val="213"/>
        </w:trPr>
        <w:tc>
          <w:tcPr>
            <w:tcW w:w="31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Balance at December 31, 2010</w:t>
            </w: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auto"/>
              </w:rPr>
              <w:t>776</w:t>
            </w:r>
          </w:p>
        </w:tc>
        <w:tc>
          <w:tcPr>
            <w:tcW w:w="940" w:type="dxa"/>
            <w:vAlign w:val="bottom"/>
            <w:gridSpan w:val="3"/>
          </w:tcPr>
          <w:p>
            <w:pPr>
              <w:jc w:val="right"/>
              <w:ind w:right="73"/>
              <w:spacing w:after="0" w:line="194" w:lineRule="exact"/>
              <w:rPr>
                <w:sz w:val="20"/>
                <w:szCs w:val="20"/>
                <w:color w:val="auto"/>
              </w:rPr>
            </w:pPr>
            <w:r>
              <w:rPr>
                <w:rFonts w:ascii="Arial" w:cs="Arial" w:eastAsia="Arial" w:hAnsi="Arial"/>
                <w:sz w:val="17"/>
                <w:szCs w:val="17"/>
                <w:b w:val="1"/>
                <w:bCs w:val="1"/>
                <w:color w:val="auto"/>
              </w:rPr>
              <w:t>994</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1,770</w:t>
            </w:r>
          </w:p>
        </w:tc>
        <w:tc>
          <w:tcPr>
            <w:tcW w:w="3100" w:type="dxa"/>
            <w:vAlign w:val="bottom"/>
          </w:tcPr>
          <w:p>
            <w:pPr>
              <w:spacing w:after="0"/>
              <w:rPr>
                <w:sz w:val="16"/>
                <w:szCs w:val="16"/>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511</w:t>
            </w:r>
          </w:p>
        </w:tc>
        <w:tc>
          <w:tcPr>
            <w:tcW w:w="940" w:type="dxa"/>
            <w:vAlign w:val="bottom"/>
            <w:gridSpan w:val="3"/>
            <w:shd w:val="clear" w:color="auto" w:fill="CCFFCC"/>
          </w:tcPr>
          <w:p>
            <w:pPr>
              <w:jc w:val="right"/>
              <w:ind w:right="33"/>
              <w:spacing w:after="0" w:line="188" w:lineRule="exact"/>
              <w:rPr>
                <w:sz w:val="20"/>
                <w:szCs w:val="20"/>
                <w:color w:val="auto"/>
              </w:rPr>
            </w:pPr>
            <w:r>
              <w:rPr>
                <w:rFonts w:ascii="Arial" w:cs="Arial" w:eastAsia="Arial" w:hAnsi="Arial"/>
                <w:sz w:val="17"/>
                <w:szCs w:val="17"/>
                <w:color w:val="auto"/>
              </w:rPr>
              <w:t>(109)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402</w:t>
            </w:r>
          </w:p>
        </w:tc>
        <w:tc>
          <w:tcPr>
            <w:tcW w:w="3100" w:type="dxa"/>
            <w:vAlign w:val="bottom"/>
          </w:tcPr>
          <w:p>
            <w:pPr>
              <w:spacing w:after="0"/>
              <w:rPr>
                <w:sz w:val="16"/>
                <w:szCs w:val="16"/>
                <w:color w:val="auto"/>
              </w:rPr>
            </w:pPr>
          </w:p>
        </w:tc>
      </w:tr>
      <w:tr>
        <w:trPr>
          <w:trHeight w:val="213"/>
        </w:trPr>
        <w:tc>
          <w:tcPr>
            <w:tcW w:w="318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4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93"/>
        </w:trPr>
        <w:tc>
          <w:tcPr>
            <w:tcW w:w="318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Balance at December 31, 2011</w:t>
            </w:r>
          </w:p>
        </w:tc>
        <w:tc>
          <w:tcPr>
            <w:tcW w:w="800" w:type="dxa"/>
            <w:vAlign w:val="bottom"/>
            <w:gridSpan w:val="2"/>
          </w:tcPr>
          <w:p>
            <w:pPr>
              <w:jc w:val="right"/>
              <w:ind w:right="120"/>
              <w:spacing w:after="0" w:line="194" w:lineRule="exact"/>
              <w:rPr>
                <w:sz w:val="20"/>
                <w:szCs w:val="20"/>
                <w:color w:val="auto"/>
              </w:rPr>
            </w:pPr>
            <w:r>
              <w:rPr>
                <w:rFonts w:ascii="Arial" w:cs="Arial" w:eastAsia="Arial" w:hAnsi="Arial"/>
                <w:sz w:val="17"/>
                <w:szCs w:val="17"/>
                <w:b w:val="1"/>
                <w:bCs w:val="1"/>
                <w:color w:val="auto"/>
              </w:rPr>
              <w:t>1,287</w:t>
            </w:r>
          </w:p>
        </w:tc>
        <w:tc>
          <w:tcPr>
            <w:tcW w:w="940" w:type="dxa"/>
            <w:vAlign w:val="bottom"/>
            <w:gridSpan w:val="3"/>
          </w:tcPr>
          <w:p>
            <w:pPr>
              <w:jc w:val="right"/>
              <w:ind w:right="73"/>
              <w:spacing w:after="0" w:line="194" w:lineRule="exact"/>
              <w:rPr>
                <w:sz w:val="20"/>
                <w:szCs w:val="20"/>
                <w:color w:val="auto"/>
              </w:rPr>
            </w:pPr>
            <w:r>
              <w:rPr>
                <w:rFonts w:ascii="Arial" w:cs="Arial" w:eastAsia="Arial" w:hAnsi="Arial"/>
                <w:sz w:val="17"/>
                <w:szCs w:val="17"/>
                <w:b w:val="1"/>
                <w:bCs w:val="1"/>
                <w:color w:val="auto"/>
              </w:rPr>
              <w:t>885</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4"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2,172</w:t>
            </w:r>
          </w:p>
        </w:tc>
        <w:tc>
          <w:tcPr>
            <w:tcW w:w="3100" w:type="dxa"/>
            <w:vAlign w:val="bottom"/>
          </w:tcPr>
          <w:p>
            <w:pPr>
              <w:spacing w:after="0"/>
              <w:rPr>
                <w:sz w:val="16"/>
                <w:szCs w:val="16"/>
                <w:color w:val="auto"/>
              </w:rPr>
            </w:pPr>
          </w:p>
        </w:tc>
      </w:tr>
      <w:tr>
        <w:trPr>
          <w:trHeight w:val="200"/>
        </w:trPr>
        <w:tc>
          <w:tcPr>
            <w:tcW w:w="31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Preferential Reload Warrants</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73"/>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1,476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b w:val="1"/>
                <w:bCs w:val="1"/>
                <w:color w:val="auto"/>
              </w:rPr>
              <w:t>1,476</w:t>
            </w:r>
          </w:p>
        </w:tc>
        <w:tc>
          <w:tcPr>
            <w:tcW w:w="3100" w:type="dxa"/>
            <w:vAlign w:val="bottom"/>
          </w:tcPr>
          <w:p>
            <w:pPr>
              <w:spacing w:after="0"/>
              <w:rPr>
                <w:sz w:val="17"/>
                <w:szCs w:val="17"/>
                <w:color w:val="auto"/>
              </w:rPr>
            </w:pPr>
          </w:p>
        </w:tc>
      </w:tr>
      <w:tr>
        <w:trPr>
          <w:trHeight w:val="188"/>
        </w:trPr>
        <w:tc>
          <w:tcPr>
            <w:tcW w:w="3180" w:type="dxa"/>
            <w:vAlign w:val="bottom"/>
            <w:gridSpan w:val="2"/>
          </w:tcPr>
          <w:p>
            <w:pPr>
              <w:spacing w:after="0" w:line="188" w:lineRule="exact"/>
              <w:rPr>
                <w:sz w:val="20"/>
                <w:szCs w:val="20"/>
                <w:color w:val="auto"/>
              </w:rPr>
            </w:pPr>
            <w:r>
              <w:rPr>
                <w:rFonts w:ascii="Arial" w:cs="Arial" w:eastAsia="Arial" w:hAnsi="Arial"/>
                <w:sz w:val="17"/>
                <w:szCs w:val="17"/>
                <w:color w:val="auto"/>
              </w:rPr>
              <w:t>Fair value adjustment prior to exercise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b w:val="1"/>
                <w:bCs w:val="1"/>
                <w:color w:val="auto"/>
              </w:rPr>
              <w:t>163</w:t>
            </w:r>
          </w:p>
        </w:tc>
        <w:tc>
          <w:tcPr>
            <w:tcW w:w="940" w:type="dxa"/>
            <w:vAlign w:val="bottom"/>
            <w:gridSpan w:val="3"/>
          </w:tcPr>
          <w:p>
            <w:pPr>
              <w:jc w:val="right"/>
              <w:ind w:right="73"/>
              <w:spacing w:after="0" w:line="188" w:lineRule="exact"/>
              <w:rPr>
                <w:sz w:val="20"/>
                <w:szCs w:val="20"/>
                <w:color w:val="auto"/>
              </w:rPr>
            </w:pPr>
            <w:r>
              <w:rPr>
                <w:rFonts w:ascii="Arial" w:cs="Arial" w:eastAsia="Arial" w:hAnsi="Arial"/>
                <w:sz w:val="17"/>
                <w:szCs w:val="17"/>
                <w:b w:val="1"/>
                <w:bCs w:val="1"/>
                <w:color w:val="auto"/>
              </w:rPr>
              <w:t>107</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b w:val="1"/>
                <w:bCs w:val="1"/>
                <w:color w:val="auto"/>
              </w:rPr>
              <w:t>270</w:t>
            </w:r>
          </w:p>
        </w:tc>
        <w:tc>
          <w:tcPr>
            <w:tcW w:w="3100" w:type="dxa"/>
            <w:vAlign w:val="bottom"/>
          </w:tcPr>
          <w:p>
            <w:pPr>
              <w:spacing w:after="0"/>
              <w:rPr>
                <w:sz w:val="16"/>
                <w:szCs w:val="16"/>
                <w:color w:val="auto"/>
              </w:rPr>
            </w:pPr>
          </w:p>
        </w:tc>
      </w:tr>
      <w:tr>
        <w:trPr>
          <w:trHeight w:val="200"/>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warrants, included in statement of</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3"/>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operations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18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w w:val="98"/>
              </w:rPr>
              <w:t>Exercise of Conversion and Special Bridge</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b w:val="1"/>
                <w:bCs w:val="1"/>
                <w:color w:val="auto"/>
              </w:rPr>
              <w:t>(1,320)</w:t>
            </w:r>
          </w:p>
        </w:tc>
        <w:tc>
          <w:tcPr>
            <w:tcW w:w="940" w:type="dxa"/>
            <w:vAlign w:val="bottom"/>
            <w:gridSpan w:val="3"/>
            <w:shd w:val="clear" w:color="auto" w:fill="CCFFCC"/>
          </w:tcPr>
          <w:p>
            <w:pPr>
              <w:jc w:val="right"/>
              <w:ind w:right="73"/>
              <w:spacing w:after="0" w:line="188" w:lineRule="exact"/>
              <w:rPr>
                <w:sz w:val="20"/>
                <w:szCs w:val="20"/>
                <w:color w:val="auto"/>
              </w:rPr>
            </w:pPr>
            <w:r>
              <w:rPr>
                <w:rFonts w:ascii="Arial" w:cs="Arial" w:eastAsia="Arial" w:hAnsi="Arial"/>
                <w:sz w:val="17"/>
                <w:szCs w:val="17"/>
                <w:b w:val="1"/>
                <w:bCs w:val="1"/>
                <w:color w:val="auto"/>
              </w:rPr>
              <w:t>(903)</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88" w:lineRule="exact"/>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b w:val="1"/>
                <w:bCs w:val="1"/>
                <w:color w:val="auto"/>
              </w:rPr>
              <w:t>(2,223)</w:t>
            </w:r>
          </w:p>
        </w:tc>
        <w:tc>
          <w:tcPr>
            <w:tcW w:w="3100" w:type="dxa"/>
            <w:vAlign w:val="bottom"/>
          </w:tcPr>
          <w:p>
            <w:pPr>
              <w:spacing w:after="0"/>
              <w:rPr>
                <w:sz w:val="16"/>
                <w:szCs w:val="16"/>
                <w:color w:val="auto"/>
              </w:rPr>
            </w:pPr>
          </w:p>
        </w:tc>
      </w:tr>
      <w:tr>
        <w:trPr>
          <w:trHeight w:val="213"/>
        </w:trPr>
        <w:tc>
          <w:tcPr>
            <w:tcW w:w="31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188"/>
        </w:trPr>
        <w:tc>
          <w:tcPr>
            <w:tcW w:w="3180" w:type="dxa"/>
            <w:vAlign w:val="bottom"/>
            <w:gridSpan w:val="2"/>
          </w:tcPr>
          <w:p>
            <w:pPr>
              <w:spacing w:after="0" w:line="188" w:lineRule="exact"/>
              <w:rPr>
                <w:sz w:val="20"/>
                <w:szCs w:val="20"/>
                <w:color w:val="auto"/>
              </w:rPr>
            </w:pPr>
            <w:r>
              <w:rPr>
                <w:rFonts w:ascii="Arial" w:cs="Arial" w:eastAsia="Arial" w:hAnsi="Arial"/>
                <w:sz w:val="17"/>
                <w:szCs w:val="17"/>
                <w:color w:val="auto"/>
                <w:w w:val="96"/>
              </w:rPr>
              <w:t>Fair value adjustment included in statement</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b w:val="1"/>
                <w:bCs w:val="1"/>
                <w:color w:val="auto"/>
              </w:rPr>
              <w:t>144</w:t>
            </w:r>
          </w:p>
        </w:tc>
        <w:tc>
          <w:tcPr>
            <w:tcW w:w="940" w:type="dxa"/>
            <w:vAlign w:val="bottom"/>
            <w:gridSpan w:val="3"/>
          </w:tcPr>
          <w:p>
            <w:pPr>
              <w:jc w:val="right"/>
              <w:ind w:right="73"/>
              <w:spacing w:after="0" w:line="188" w:lineRule="exact"/>
              <w:rPr>
                <w:sz w:val="20"/>
                <w:szCs w:val="20"/>
                <w:color w:val="auto"/>
              </w:rPr>
            </w:pPr>
            <w:r>
              <w:rPr>
                <w:rFonts w:ascii="Arial" w:cs="Arial" w:eastAsia="Arial" w:hAnsi="Arial"/>
                <w:sz w:val="17"/>
                <w:szCs w:val="17"/>
                <w:b w:val="1"/>
                <w:bCs w:val="1"/>
                <w:color w:val="auto"/>
              </w:rPr>
              <w:t>101</w:t>
            </w:r>
          </w:p>
        </w:tc>
        <w:tc>
          <w:tcPr>
            <w:tcW w:w="960" w:type="dxa"/>
            <w:vAlign w:val="bottom"/>
            <w:gridSpan w:val="3"/>
          </w:tcPr>
          <w:p>
            <w:pPr>
              <w:jc w:val="right"/>
              <w:ind w:right="100"/>
              <w:spacing w:after="0" w:line="188" w:lineRule="exact"/>
              <w:rPr>
                <w:sz w:val="20"/>
                <w:szCs w:val="20"/>
                <w:color w:val="auto"/>
              </w:rPr>
            </w:pPr>
            <w:r>
              <w:rPr>
                <w:rFonts w:ascii="Arial" w:cs="Arial" w:eastAsia="Arial" w:hAnsi="Arial"/>
                <w:sz w:val="17"/>
                <w:szCs w:val="17"/>
                <w:b w:val="1"/>
                <w:bCs w:val="1"/>
                <w:color w:val="auto"/>
              </w:rPr>
              <w:t>(104)</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b w:val="1"/>
                <w:bCs w:val="1"/>
                <w:color w:val="auto"/>
              </w:rPr>
              <w:t>141</w:t>
            </w:r>
          </w:p>
        </w:tc>
        <w:tc>
          <w:tcPr>
            <w:tcW w:w="3100" w:type="dxa"/>
            <w:vAlign w:val="bottom"/>
          </w:tcPr>
          <w:p>
            <w:pPr>
              <w:spacing w:after="0"/>
              <w:rPr>
                <w:sz w:val="16"/>
                <w:szCs w:val="16"/>
                <w:color w:val="auto"/>
              </w:rPr>
            </w:pPr>
          </w:p>
        </w:tc>
      </w:tr>
      <w:tr>
        <w:trPr>
          <w:trHeight w:val="213"/>
        </w:trPr>
        <w:tc>
          <w:tcPr>
            <w:tcW w:w="3180" w:type="dxa"/>
            <w:vAlign w:val="bottom"/>
            <w:gridSpan w:val="2"/>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33"/>
        </w:trPr>
        <w:tc>
          <w:tcPr>
            <w:tcW w:w="3180" w:type="dxa"/>
            <w:vAlign w:val="bottom"/>
            <w:gridSpan w:val="2"/>
            <w:shd w:val="clear" w:color="auto" w:fill="CCFFCC"/>
          </w:tcPr>
          <w:p>
            <w:pPr>
              <w:spacing w:after="0" w:line="194" w:lineRule="exact"/>
              <w:rPr>
                <w:sz w:val="20"/>
                <w:szCs w:val="20"/>
                <w:color w:val="auto"/>
              </w:rPr>
            </w:pPr>
            <w:r>
              <w:rPr>
                <w:rFonts w:ascii="Arial" w:cs="Arial" w:eastAsia="Arial" w:hAnsi="Arial"/>
                <w:sz w:val="17"/>
                <w:szCs w:val="17"/>
                <w:b w:val="1"/>
                <w:bCs w:val="1"/>
                <w:color w:val="auto"/>
              </w:rPr>
              <w:t>Balance at March 31, 2012</w:t>
            </w:r>
          </w:p>
        </w:tc>
        <w:tc>
          <w:tcPr>
            <w:tcW w:w="680" w:type="dxa"/>
            <w:vAlign w:val="bottom"/>
            <w:shd w:val="clear" w:color="auto" w:fill="CCFFCC"/>
          </w:tcPr>
          <w:p>
            <w:pPr>
              <w:jc w:val="right"/>
              <w:spacing w:after="0" w:line="194" w:lineRule="exact"/>
              <w:rPr>
                <w:sz w:val="20"/>
                <w:szCs w:val="20"/>
                <w:color w:val="auto"/>
              </w:rPr>
            </w:pPr>
            <w:r>
              <w:rPr>
                <w:rFonts w:ascii="Arial" w:cs="Arial" w:eastAsia="Arial" w:hAnsi="Arial"/>
                <w:sz w:val="17"/>
                <w:szCs w:val="17"/>
                <w:b w:val="1"/>
                <w:bCs w:val="1"/>
                <w:color w:val="auto"/>
              </w:rPr>
              <w:t>274</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73"/>
              <w:spacing w:after="0" w:line="194" w:lineRule="exact"/>
              <w:rPr>
                <w:sz w:val="20"/>
                <w:szCs w:val="20"/>
                <w:color w:val="auto"/>
              </w:rPr>
            </w:pPr>
            <w:r>
              <w:rPr>
                <w:rFonts w:ascii="Arial" w:cs="Arial" w:eastAsia="Arial" w:hAnsi="Arial"/>
                <w:sz w:val="17"/>
                <w:szCs w:val="17"/>
                <w:b w:val="1"/>
                <w:bCs w:val="1"/>
                <w:color w:val="auto"/>
              </w:rPr>
              <w:t>190</w:t>
            </w:r>
          </w:p>
        </w:tc>
        <w:tc>
          <w:tcPr>
            <w:tcW w:w="960" w:type="dxa"/>
            <w:vAlign w:val="bottom"/>
            <w:gridSpan w:val="3"/>
            <w:shd w:val="clear" w:color="auto" w:fill="CCFFCC"/>
          </w:tcPr>
          <w:p>
            <w:pPr>
              <w:jc w:val="right"/>
              <w:ind w:right="100"/>
              <w:spacing w:after="0" w:line="194" w:lineRule="exact"/>
              <w:rPr>
                <w:sz w:val="20"/>
                <w:szCs w:val="20"/>
                <w:color w:val="auto"/>
              </w:rPr>
            </w:pPr>
            <w:r>
              <w:rPr>
                <w:rFonts w:ascii="Arial" w:cs="Arial" w:eastAsia="Arial" w:hAnsi="Arial"/>
                <w:sz w:val="17"/>
                <w:szCs w:val="17"/>
                <w:b w:val="1"/>
                <w:bCs w:val="1"/>
                <w:color w:val="auto"/>
              </w:rPr>
              <w:t>1,372</w:t>
            </w:r>
          </w:p>
        </w:tc>
        <w:tc>
          <w:tcPr>
            <w:tcW w:w="1060" w:type="dxa"/>
            <w:vAlign w:val="bottom"/>
            <w:gridSpan w:val="3"/>
            <w:shd w:val="clear" w:color="auto" w:fill="CCFFCC"/>
          </w:tcPr>
          <w:p>
            <w:pPr>
              <w:jc w:val="right"/>
              <w:ind w:right="160"/>
              <w:spacing w:after="0" w:line="194" w:lineRule="exact"/>
              <w:rPr>
                <w:sz w:val="20"/>
                <w:szCs w:val="20"/>
                <w:color w:val="auto"/>
              </w:rPr>
            </w:pPr>
            <w:r>
              <w:rPr>
                <w:rFonts w:ascii="Arial" w:cs="Arial" w:eastAsia="Arial" w:hAnsi="Arial"/>
                <w:sz w:val="17"/>
                <w:szCs w:val="17"/>
                <w:b w:val="1"/>
                <w:bCs w:val="1"/>
                <w:color w:val="auto"/>
              </w:rPr>
              <w:t>1,836</w:t>
            </w:r>
          </w:p>
        </w:tc>
        <w:tc>
          <w:tcPr>
            <w:tcW w:w="3100" w:type="dxa"/>
            <w:vAlign w:val="bottom"/>
          </w:tcPr>
          <w:p>
            <w:pPr>
              <w:spacing w:after="0"/>
              <w:rPr>
                <w:sz w:val="20"/>
                <w:szCs w:val="20"/>
                <w:color w:val="auto"/>
              </w:rPr>
            </w:pPr>
          </w:p>
        </w:tc>
      </w:tr>
      <w:tr>
        <w:trPr>
          <w:trHeight w:val="717"/>
        </w:trPr>
        <w:tc>
          <w:tcPr>
            <w:tcW w:w="1140" w:type="dxa"/>
            <w:vAlign w:val="bottom"/>
            <w:tcBorders>
              <w:top w:val="single" w:sz="8" w:color="CCFFCC"/>
            </w:tcBorders>
          </w:tcPr>
          <w:p>
            <w:pPr>
              <w:spacing w:after="0"/>
              <w:rPr>
                <w:sz w:val="24"/>
                <w:szCs w:val="24"/>
                <w:color w:val="auto"/>
              </w:rPr>
            </w:pPr>
          </w:p>
        </w:tc>
        <w:tc>
          <w:tcPr>
            <w:tcW w:w="2040" w:type="dxa"/>
            <w:vAlign w:val="bottom"/>
            <w:tcBorders>
              <w:top w:val="single" w:sz="8" w:color="CCFFC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F-14</w:t>
            </w: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0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-2298700</wp:posOffset>
            </wp:positionV>
            <wp:extent cx="4408170" cy="135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-1908810</wp:posOffset>
            </wp:positionV>
            <wp:extent cx="4408170" cy="135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-619760</wp:posOffset>
            </wp:positionV>
            <wp:extent cx="4408170" cy="317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 Fair Value Measurements – (continued)</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Valuation processes for Level 3 Fair Value Measurements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Fair value measurement of the derivative liability on account of Special Bridge Warrants, Conversion Warrants and Preferential Reload Warrants, which fall within Level 3 of the fair value hierarchy are determined and then reviewed by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48374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4"/>
                <w:szCs w:val="14"/>
                <w:color w:val="auto"/>
              </w:rPr>
            </w:pPr>
          </w:p>
        </w:tc>
        <w:tc>
          <w:tcPr>
            <w:tcW w:w="17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Valuation Technique</w:t>
            </w:r>
          </w:p>
        </w:tc>
      </w:tr>
      <w:tr>
        <w:trPr>
          <w:trHeight w:val="181"/>
        </w:trPr>
        <w:tc>
          <w:tcPr>
            <w:tcW w:w="1920" w:type="dxa"/>
            <w:vAlign w:val="bottom"/>
          </w:tcPr>
          <w:p>
            <w:pPr>
              <w:spacing w:after="0" w:line="180" w:lineRule="exact"/>
              <w:rPr>
                <w:sz w:val="20"/>
                <w:szCs w:val="20"/>
                <w:color w:val="auto"/>
              </w:rPr>
            </w:pPr>
            <w:r>
              <w:rPr>
                <w:rFonts w:ascii="Arial" w:cs="Arial" w:eastAsia="Arial" w:hAnsi="Arial"/>
                <w:sz w:val="17"/>
                <w:szCs w:val="17"/>
                <w:color w:val="auto"/>
              </w:rPr>
              <w:t>Special Bridge Warrants,</w:t>
            </w:r>
          </w:p>
        </w:tc>
        <w:tc>
          <w:tcPr>
            <w:tcW w:w="140" w:type="dxa"/>
            <w:vAlign w:val="bottom"/>
          </w:tcPr>
          <w:p>
            <w:pPr>
              <w:spacing w:after="0"/>
              <w:rPr>
                <w:sz w:val="15"/>
                <w:szCs w:val="15"/>
                <w:color w:val="auto"/>
              </w:rPr>
            </w:pPr>
          </w:p>
        </w:tc>
        <w:tc>
          <w:tcPr>
            <w:tcW w:w="1720" w:type="dxa"/>
            <w:vAlign w:val="bottom"/>
          </w:tcPr>
          <w:p>
            <w:pPr>
              <w:spacing w:after="0" w:line="180" w:lineRule="exact"/>
              <w:rPr>
                <w:sz w:val="20"/>
                <w:szCs w:val="20"/>
                <w:color w:val="auto"/>
              </w:rPr>
            </w:pPr>
            <w:r>
              <w:rPr>
                <w:rFonts w:ascii="Arial" w:cs="Arial" w:eastAsia="Arial" w:hAnsi="Arial"/>
                <w:sz w:val="17"/>
                <w:szCs w:val="17"/>
                <w:color w:val="auto"/>
              </w:rPr>
              <w:t>Black-Scholes-Merton</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w w:val="98"/>
              </w:rPr>
              <w:t>Conversion Warrants and</w:t>
            </w:r>
          </w:p>
        </w:tc>
        <w:tc>
          <w:tcPr>
            <w:tcW w:w="1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and the Monte-Carlo</w:t>
            </w:r>
          </w:p>
        </w:tc>
      </w:tr>
      <w:tr>
        <w:trPr>
          <w:trHeight w:val="200"/>
        </w:trPr>
        <w:tc>
          <w:tcPr>
            <w:tcW w:w="1920" w:type="dxa"/>
            <w:vAlign w:val="bottom"/>
          </w:tcPr>
          <w:p>
            <w:pPr>
              <w:spacing w:after="0"/>
              <w:rPr>
                <w:sz w:val="20"/>
                <w:szCs w:val="20"/>
                <w:color w:val="auto"/>
              </w:rPr>
            </w:pPr>
            <w:r>
              <w:rPr>
                <w:rFonts w:ascii="Arial" w:cs="Arial" w:eastAsia="Arial" w:hAnsi="Arial"/>
                <w:sz w:val="17"/>
                <w:szCs w:val="17"/>
                <w:color w:val="auto"/>
              </w:rPr>
              <w:t>Preferential Reload</w:t>
            </w:r>
          </w:p>
        </w:tc>
        <w:tc>
          <w:tcPr>
            <w:tcW w:w="14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7"/>
                <w:szCs w:val="17"/>
                <w:color w:val="auto"/>
              </w:rPr>
              <w:t>models</w:t>
            </w:r>
          </w:p>
        </w:tc>
      </w:tr>
      <w:tr>
        <w:trPr>
          <w:trHeight w:val="213"/>
        </w:trPr>
        <w:tc>
          <w:tcPr>
            <w:tcW w:w="1920" w:type="dxa"/>
            <w:vAlign w:val="bottom"/>
          </w:tcPr>
          <w:p>
            <w:pPr>
              <w:spacing w:after="0"/>
              <w:rPr>
                <w:sz w:val="20"/>
                <w:szCs w:val="20"/>
                <w:color w:val="auto"/>
              </w:rPr>
            </w:pPr>
            <w:r>
              <w:rPr>
                <w:rFonts w:ascii="Arial" w:cs="Arial" w:eastAsia="Arial" w:hAnsi="Arial"/>
                <w:sz w:val="17"/>
                <w:szCs w:val="17"/>
                <w:color w:val="auto"/>
              </w:rPr>
              <w:t>Warrants</w:t>
            </w: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ind w:left="280"/>
              <w:spacing w:after="0"/>
              <w:rPr>
                <w:sz w:val="20"/>
                <w:szCs w:val="20"/>
                <w:color w:val="auto"/>
              </w:rPr>
            </w:pPr>
            <w:r>
              <w:rPr>
                <w:rFonts w:ascii="Arial" w:cs="Arial" w:eastAsia="Arial" w:hAnsi="Arial"/>
                <w:sz w:val="13"/>
                <w:szCs w:val="13"/>
                <w:b w:val="1"/>
                <w:bCs w:val="1"/>
                <w:color w:val="auto"/>
              </w:rPr>
              <w:t>Unobservable Inputs</w:t>
            </w:r>
          </w:p>
        </w:tc>
        <w:tc>
          <w:tcPr>
            <w:tcW w:w="140" w:type="dxa"/>
            <w:vAlign w:val="bottom"/>
          </w:tcPr>
          <w:p>
            <w:pPr>
              <w:spacing w:after="0"/>
              <w:rPr>
                <w:sz w:val="14"/>
                <w:szCs w:val="14"/>
                <w:color w:val="auto"/>
              </w:rPr>
            </w:pPr>
          </w:p>
        </w:tc>
        <w:tc>
          <w:tcPr>
            <w:tcW w:w="1840" w:type="dxa"/>
            <w:vAlign w:val="bottom"/>
            <w:gridSpan w:val="2"/>
          </w:tcPr>
          <w:p>
            <w:pPr>
              <w:ind w:left="740"/>
              <w:spacing w:after="0"/>
              <w:rPr>
                <w:sz w:val="20"/>
                <w:szCs w:val="20"/>
                <w:color w:val="auto"/>
              </w:rPr>
            </w:pPr>
            <w:r>
              <w:rPr>
                <w:rFonts w:ascii="Arial" w:cs="Arial" w:eastAsia="Arial" w:hAnsi="Arial"/>
                <w:sz w:val="13"/>
                <w:szCs w:val="13"/>
                <w:b w:val="1"/>
                <w:bCs w:val="1"/>
                <w:color w:val="auto"/>
              </w:rPr>
              <w:t>Range</w:t>
            </w:r>
          </w:p>
        </w:tc>
      </w:tr>
      <w:tr>
        <w:trPr>
          <w:trHeight w:val="181"/>
        </w:trPr>
        <w:tc>
          <w:tcPr>
            <w:tcW w:w="1740" w:type="dxa"/>
            <w:vAlign w:val="bottom"/>
            <w:tcBorders>
              <w:top w:val="single" w:sz="8" w:color="auto"/>
            </w:tcBorders>
          </w:tcPr>
          <w:p>
            <w:pPr>
              <w:ind w:left="20"/>
              <w:spacing w:after="0" w:line="180" w:lineRule="exact"/>
              <w:rPr>
                <w:sz w:val="20"/>
                <w:szCs w:val="20"/>
                <w:color w:val="auto"/>
              </w:rPr>
            </w:pPr>
            <w:r>
              <w:rPr>
                <w:rFonts w:ascii="Arial" w:cs="Arial" w:eastAsia="Arial" w:hAnsi="Arial"/>
                <w:sz w:val="17"/>
                <w:szCs w:val="17"/>
                <w:color w:val="auto"/>
              </w:rPr>
              <w:t>Volatility</w:t>
            </w:r>
          </w:p>
        </w:tc>
        <w:tc>
          <w:tcPr>
            <w:tcW w:w="140" w:type="dxa"/>
            <w:vAlign w:val="bottom"/>
          </w:tcPr>
          <w:p>
            <w:pPr>
              <w:spacing w:after="0"/>
              <w:rPr>
                <w:sz w:val="15"/>
                <w:szCs w:val="15"/>
                <w:color w:val="auto"/>
              </w:rPr>
            </w:pPr>
          </w:p>
        </w:tc>
        <w:tc>
          <w:tcPr>
            <w:tcW w:w="18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73.13% – 82.95%</w:t>
            </w:r>
          </w:p>
        </w:tc>
        <w:tc>
          <w:tcPr>
            <w:tcW w:w="20" w:type="dxa"/>
            <w:vAlign w:val="bottom"/>
          </w:tcPr>
          <w:p>
            <w:pPr>
              <w:spacing w:after="0"/>
              <w:rPr>
                <w:sz w:val="15"/>
                <w:szCs w:val="15"/>
                <w:color w:val="auto"/>
              </w:rPr>
            </w:pP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Risk free interest rate</w:t>
            </w:r>
          </w:p>
        </w:tc>
        <w:tc>
          <w:tcPr>
            <w:tcW w:w="14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7"/>
                <w:szCs w:val="17"/>
                <w:color w:val="auto"/>
              </w:rPr>
              <w:t>0.50% – 1.05%</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w w:val="95"/>
              </w:rPr>
              <w:t>Expected term, in years</w:t>
            </w:r>
          </w:p>
        </w:tc>
        <w:tc>
          <w:tcPr>
            <w:tcW w:w="140" w:type="dxa"/>
            <w:vAlign w:val="bottom"/>
          </w:tcPr>
          <w:p>
            <w:pPr>
              <w:spacing w:after="0"/>
              <w:rPr>
                <w:sz w:val="17"/>
                <w:szCs w:val="17"/>
                <w:color w:val="auto"/>
              </w:rPr>
            </w:pPr>
          </w:p>
        </w:tc>
        <w:tc>
          <w:tcPr>
            <w:tcW w:w="1840" w:type="dxa"/>
            <w:vAlign w:val="bottom"/>
            <w:gridSpan w:val="2"/>
          </w:tcPr>
          <w:p>
            <w:pPr>
              <w:ind w:left="980"/>
              <w:spacing w:after="0"/>
              <w:rPr>
                <w:sz w:val="20"/>
                <w:szCs w:val="20"/>
                <w:color w:val="auto"/>
              </w:rPr>
            </w:pPr>
            <w:r>
              <w:rPr>
                <w:rFonts w:ascii="Arial" w:cs="Arial" w:eastAsia="Arial" w:hAnsi="Arial"/>
                <w:sz w:val="17"/>
                <w:szCs w:val="17"/>
                <w:color w:val="auto"/>
                <w:w w:val="98"/>
              </w:rPr>
              <w:t>2.75 – 4.86</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980" w:type="dxa"/>
            <w:vAlign w:val="bottom"/>
            <w:gridSpan w:val="3"/>
          </w:tcPr>
          <w:p>
            <w:pPr>
              <w:jc w:val="right"/>
              <w:ind w:right="20"/>
              <w:spacing w:after="0"/>
              <w:rPr>
                <w:sz w:val="20"/>
                <w:szCs w:val="20"/>
                <w:color w:val="auto"/>
              </w:rPr>
            </w:pPr>
            <w:r>
              <w:rPr>
                <w:rFonts w:ascii="Arial" w:cs="Arial" w:eastAsia="Arial" w:hAnsi="Arial"/>
                <w:sz w:val="17"/>
                <w:szCs w:val="17"/>
                <w:color w:val="auto"/>
              </w:rPr>
              <w:t>0.0%</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w w:val="93"/>
              </w:rPr>
              <w:t>Probability and timing of</w:t>
            </w:r>
          </w:p>
        </w:tc>
        <w:tc>
          <w:tcPr>
            <w:tcW w:w="140" w:type="dxa"/>
            <w:vAlign w:val="bottom"/>
          </w:tcPr>
          <w:p>
            <w:pPr>
              <w:spacing w:after="0"/>
              <w:rPr>
                <w:sz w:val="17"/>
                <w:szCs w:val="17"/>
                <w:color w:val="auto"/>
              </w:rPr>
            </w:pPr>
          </w:p>
        </w:tc>
        <w:tc>
          <w:tcPr>
            <w:tcW w:w="1840" w:type="dxa"/>
            <w:vAlign w:val="bottom"/>
            <w:gridSpan w:val="2"/>
          </w:tcPr>
          <w:p>
            <w:pPr>
              <w:ind w:left="20"/>
              <w:spacing w:after="0"/>
              <w:rPr>
                <w:sz w:val="20"/>
                <w:szCs w:val="20"/>
                <w:color w:val="auto"/>
              </w:rPr>
            </w:pPr>
            <w:r>
              <w:rPr>
                <w:rFonts w:ascii="Arial" w:cs="Arial" w:eastAsia="Arial" w:hAnsi="Arial"/>
                <w:sz w:val="17"/>
                <w:szCs w:val="17"/>
                <w:color w:val="auto"/>
                <w:w w:val="98"/>
              </w:rPr>
              <w:t>30% in September 2012</w:t>
            </w:r>
          </w:p>
        </w:tc>
      </w:tr>
      <w:tr>
        <w:trPr>
          <w:trHeight w:val="200"/>
        </w:trPr>
        <w:tc>
          <w:tcPr>
            <w:tcW w:w="1740" w:type="dxa"/>
            <w:vAlign w:val="bottom"/>
          </w:tcPr>
          <w:p>
            <w:pPr>
              <w:ind w:left="20"/>
              <w:spacing w:after="0"/>
              <w:rPr>
                <w:sz w:val="20"/>
                <w:szCs w:val="20"/>
                <w:color w:val="auto"/>
              </w:rPr>
            </w:pPr>
            <w:r>
              <w:rPr>
                <w:rFonts w:ascii="Arial" w:cs="Arial" w:eastAsia="Arial" w:hAnsi="Arial"/>
                <w:sz w:val="17"/>
                <w:szCs w:val="17"/>
                <w:color w:val="auto"/>
              </w:rPr>
              <w:t>down-round triggering</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1740" w:type="dxa"/>
            <w:vAlign w:val="bottom"/>
          </w:tcPr>
          <w:p>
            <w:pPr>
              <w:ind w:left="20"/>
              <w:spacing w:after="0"/>
              <w:rPr>
                <w:sz w:val="20"/>
                <w:szCs w:val="20"/>
                <w:color w:val="auto"/>
              </w:rPr>
            </w:pPr>
            <w:r>
              <w:rPr>
                <w:rFonts w:ascii="Arial" w:cs="Arial" w:eastAsia="Arial" w:hAnsi="Arial"/>
                <w:sz w:val="17"/>
                <w:szCs w:val="17"/>
                <w:color w:val="auto"/>
              </w:rPr>
              <w:t>event</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25" w:lineRule="exact"/>
        <w:rPr>
          <w:sz w:val="20"/>
          <w:szCs w:val="20"/>
          <w:color w:val="auto"/>
        </w:rPr>
      </w:pPr>
    </w:p>
    <w:p>
      <w:pPr>
        <w:sectPr>
          <w:pgSz w:w="11900" w:h="16838" w:orient="portrait"/>
          <w:cols w:equalWidth="0" w:num="2">
            <w:col w:w="3780" w:space="140"/>
            <w:col w:w="6179"/>
          </w:cols>
          <w:pgMar w:left="360" w:top="746" w:right="1440" w:bottom="1440" w:gutter="0" w:footer="0" w:header="0"/>
          <w:type w:val="continuous"/>
        </w:sectPr>
      </w:pPr>
    </w:p>
    <w:p>
      <w:pPr>
        <w:ind w:left="40"/>
        <w:spacing w:after="0"/>
        <w:rPr>
          <w:sz w:val="20"/>
          <w:szCs w:val="20"/>
          <w:color w:val="auto"/>
        </w:rPr>
      </w:pPr>
      <w:r>
        <w:rPr>
          <w:rFonts w:ascii="Arial" w:cs="Arial" w:eastAsia="Arial" w:hAnsi="Arial"/>
          <w:sz w:val="17"/>
          <w:szCs w:val="17"/>
          <w:b w:val="1"/>
          <w:bCs w:val="1"/>
          <w:i w:val="1"/>
          <w:iCs w:val="1"/>
          <w:color w:val="auto"/>
        </w:rPr>
        <w:t>Sensitivity of Level 3 measurements to changes in significant unobservable inputs</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commons stock, or an increase in the remaining term of the warrant, or an increase of a probability of a down-round triggering event would result in a directionally similar change in the estimated fair value of the Company’s Special Bridge Warrants, Conversion Warrants and Preferential Reload Warrants and thus an increase in the associated liability. An increase in the risk-free interest rate or a decrease in the positive differential between the warrant’s exercise price and the market price of the Company’s common stock would result in a decrease in the estimated fair value measurement of the Special Bridge Warrants, Conversion Warrants and Preferential Reload Warrants and thus a decrease in the associated liability. The Company has not, nor plans to, declare dividends on its common stock, and thus, there is no directionally similar change in the estimated fair value of the warrants due to the dividend assumption.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4 — Accrued Severance Pay</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78"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until February 2013, and continue to vest stock options after his termination (refer also to Note 5). As a result, the accrued severance pay provision was recorded as a short-term liability. There are no statutory or agreed-upon severance arrangements with U.S. employees, other than with the current CEO, should there be a merger subsequent to the Merger with I/P.</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Stock Options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In January 2012, the Company’s Board of Directors (the “Board”) approved a one year acceleration of option vesting for all option holders, except for the Company’s new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 be reached for twenty of thirty consecutive trading days, a 50% acceleration of all granted would occur; should the target of a $10.00 price or $500 million market cap be reached for twenty of thirty consecutive trading days, a 75% acceleration of all granted would occur would occur; should the target of a $20.00 price or $1,000 million market cap be reached for twenty of thirty consecutive trading days, a 100% acceleration of all granted would occur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As of March 31, 2012, the Company expects to account for no dividend payouts, acceleration of vesting triggered by the Merger with I/P will be accounted for upon the consummation of the Merger; moreover, as of the date the abovementioned market conditions were introduced, the Company estimated that the effect of acceleration under the new terms to be immaterial, due to low probability of occurrence.</w:t>
      </w:r>
    </w:p>
    <w:p>
      <w:pPr>
        <w:spacing w:after="0" w:line="2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January and February 2012, the Board approved the granting of 81,300 fully vested options to management and consultants at an exercise price of $0.01 per share.</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January 2012, the Board also approved the granting of 604,500 options at an exercise price of $0.96 to the Company’s management, employees and consultants. These options will vest over four years (according to the applicable schedule of each optionee).</w:t>
      </w:r>
    </w:p>
    <w:p>
      <w:pPr>
        <w:spacing w:after="0" w:line="7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February 2012, Board also approved the granting of 130,000 options at an exercise price of $1.21 to the Company’s management. These options will vest over four years.</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In March 2012, the Board approved the granting of 1,700,000 options to Board members and management (including 100,000 options granted to its former CEO) at an exercise price of $1.65 per share. These options will vest quarterly over three years.</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During the three month period ended March 31, 2012 and 2011, 124 thousand and 189 thousand stock options were forfeited and 27 thousand and 0 stock options were exercised, respectively.</w:t>
      </w:r>
    </w:p>
    <w:p>
      <w:pPr>
        <w:spacing w:after="0" w:line="6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three month period ended March 31, 2012 and 2011 the Company recorded compensation expense of $864 thousand and $431 thousand, respectively. Cumulative from inception the Company has recorded compensation expense of $3,887 thousand, in respect of stock options granted.</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March 31, 2012, there was approximately $2.8 million of total unrecognized share-based payment cost related to non-vested share-based compensation arrangements granted under the incentive plans. That cost is expected to be recognized over an estimated 3 years period. As of March 31, 2012, there were approximately 9.1 million shares of common stock available for grant under the Stock Option Plan.</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29" w:name="page230"/>
    <w:bookmarkEnd w:id="2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No. of options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Weighted 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61"/>
              <w:spacing w:after="0"/>
              <w:rPr>
                <w:sz w:val="20"/>
                <w:szCs w:val="20"/>
                <w:color w:val="auto"/>
              </w:rPr>
            </w:pPr>
            <w:r>
              <w:rPr>
                <w:rFonts w:ascii="Arial" w:cs="Arial" w:eastAsia="Arial" w:hAnsi="Arial"/>
                <w:sz w:val="13"/>
                <w:szCs w:val="13"/>
                <w:b w:val="1"/>
                <w:bCs w:val="1"/>
                <w:color w:val="auto"/>
                <w:w w:val="91"/>
              </w:rPr>
              <w:t>Exercise price range</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7"/>
              </w:rPr>
              <w:t>exercise price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080" w:type="dxa"/>
            <w:vAlign w:val="bottom"/>
            <w:vMerge w:val="restart"/>
          </w:tcPr>
          <w:p>
            <w:pPr>
              <w:ind w:left="160"/>
              <w:spacing w:after="0"/>
              <w:rPr>
                <w:sz w:val="20"/>
                <w:szCs w:val="20"/>
                <w:color w:val="auto"/>
              </w:rPr>
            </w:pPr>
            <w:r>
              <w:rPr>
                <w:rFonts w:ascii="Arial" w:cs="Arial" w:eastAsia="Arial" w:hAnsi="Arial"/>
                <w:sz w:val="17"/>
                <w:szCs w:val="17"/>
                <w:color w:val="auto"/>
              </w:rPr>
              <w:t>Outstanding at January 1, 2012</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2,228,400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93"/>
        </w:trPr>
        <w:tc>
          <w:tcPr>
            <w:tcW w:w="3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3.17</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21"/>
              <w:spacing w:after="0" w:line="193" w:lineRule="exact"/>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200"/>
        </w:trPr>
        <w:tc>
          <w:tcPr>
            <w:tcW w:w="30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Granted</w:t>
            </w:r>
          </w:p>
        </w:tc>
        <w:tc>
          <w:tcPr>
            <w:tcW w:w="11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2,534,401</w:t>
            </w:r>
          </w:p>
        </w:tc>
        <w:tc>
          <w:tcPr>
            <w:tcW w:w="160" w:type="dxa"/>
            <w:vAlign w:val="bottom"/>
            <w:shd w:val="clear" w:color="auto" w:fill="CCFFCC"/>
          </w:tcPr>
          <w:p>
            <w:pPr>
              <w:spacing w:after="0"/>
              <w:rPr>
                <w:sz w:val="17"/>
                <w:szCs w:val="17"/>
                <w:color w:val="auto"/>
              </w:rPr>
            </w:pPr>
          </w:p>
        </w:tc>
        <w:tc>
          <w:tcPr>
            <w:tcW w:w="320" w:type="dxa"/>
            <w:vAlign w:val="bottom"/>
            <w:gridSpan w:val="2"/>
            <w:shd w:val="clear" w:color="auto" w:fill="CCFFCC"/>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1.42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rPr>
                <w:sz w:val="20"/>
                <w:szCs w:val="20"/>
                <w:color w:val="auto"/>
              </w:rPr>
            </w:pPr>
            <w:r>
              <w:rPr>
                <w:rFonts w:ascii="Arial" w:cs="Arial" w:eastAsia="Arial" w:hAnsi="Arial"/>
                <w:sz w:val="17"/>
                <w:szCs w:val="17"/>
                <w:color w:val="auto"/>
              </w:rPr>
              <w:t>0.01 – 1.65</w:t>
            </w:r>
          </w:p>
        </w:tc>
        <w:tc>
          <w:tcPr>
            <w:tcW w:w="0" w:type="dxa"/>
            <w:vAlign w:val="bottom"/>
          </w:tcPr>
          <w:p>
            <w:pPr>
              <w:spacing w:after="0"/>
              <w:rPr>
                <w:sz w:val="1"/>
                <w:szCs w:val="1"/>
                <w:color w:val="auto"/>
              </w:rPr>
            </w:pPr>
          </w:p>
        </w:tc>
      </w:tr>
      <w:tr>
        <w:trPr>
          <w:trHeight w:val="200"/>
        </w:trPr>
        <w:tc>
          <w:tcPr>
            <w:tcW w:w="308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(27,250)</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0.01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0"/>
        </w:trPr>
        <w:tc>
          <w:tcPr>
            <w:tcW w:w="30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Expired</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(1,312)</w:t>
            </w:r>
          </w:p>
        </w:tc>
        <w:tc>
          <w:tcPr>
            <w:tcW w:w="320" w:type="dxa"/>
            <w:vAlign w:val="bottom"/>
            <w:gridSpan w:val="2"/>
            <w:shd w:val="clear" w:color="auto" w:fill="CCFFCC"/>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7"/>
                <w:szCs w:val="17"/>
                <w:color w:val="auto"/>
              </w:rPr>
              <w:t>4.55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rPr>
                <w:sz w:val="20"/>
                <w:szCs w:val="20"/>
                <w:color w:val="auto"/>
              </w:rPr>
            </w:pPr>
            <w:r>
              <w:rPr>
                <w:rFonts w:ascii="Arial" w:cs="Arial" w:eastAsia="Arial" w:hAnsi="Arial"/>
                <w:sz w:val="17"/>
                <w:szCs w:val="17"/>
                <w:color w:val="auto"/>
              </w:rPr>
              <w:t>1.50 – 5.50</w:t>
            </w:r>
          </w:p>
        </w:tc>
        <w:tc>
          <w:tcPr>
            <w:tcW w:w="0" w:type="dxa"/>
            <w:vAlign w:val="bottom"/>
          </w:tcPr>
          <w:p>
            <w:pPr>
              <w:spacing w:after="0"/>
              <w:rPr>
                <w:sz w:val="1"/>
                <w:szCs w:val="1"/>
                <w:color w:val="auto"/>
              </w:rPr>
            </w:pPr>
          </w:p>
        </w:tc>
      </w:tr>
      <w:tr>
        <w:trPr>
          <w:trHeight w:val="200"/>
        </w:trPr>
        <w:tc>
          <w:tcPr>
            <w:tcW w:w="308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(122,313)</w:t>
            </w:r>
          </w:p>
        </w:tc>
        <w:tc>
          <w:tcPr>
            <w:tcW w:w="32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21"/>
              <w:spacing w:after="0"/>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March 31, 2012</w:t>
            </w:r>
          </w:p>
        </w:tc>
        <w:tc>
          <w:tcPr>
            <w:tcW w:w="11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4,611,926</w:t>
            </w:r>
          </w:p>
        </w:tc>
        <w:tc>
          <w:tcPr>
            <w:tcW w:w="160" w:type="dxa"/>
            <w:vAlign w:val="bottom"/>
            <w:shd w:val="clear" w:color="auto" w:fill="CCFFCC"/>
          </w:tcPr>
          <w:p>
            <w:pPr>
              <w:spacing w:after="0"/>
              <w:rPr>
                <w:sz w:val="20"/>
                <w:szCs w:val="20"/>
                <w:color w:val="auto"/>
              </w:rPr>
            </w:pPr>
          </w:p>
        </w:tc>
        <w:tc>
          <w:tcPr>
            <w:tcW w:w="320" w:type="dxa"/>
            <w:vAlign w:val="bottom"/>
            <w:gridSpan w:val="2"/>
            <w:shd w:val="clear" w:color="auto" w:fill="CCFFCC"/>
          </w:tcPr>
          <w:p>
            <w:pPr>
              <w:jc w:val="right"/>
              <w:ind w:right="7"/>
              <w:spacing w:after="0" w:line="193"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2.18</w:t>
            </w:r>
          </w:p>
        </w:tc>
        <w:tc>
          <w:tcPr>
            <w:tcW w:w="2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320" w:type="dxa"/>
            <w:vAlign w:val="bottom"/>
            <w:shd w:val="clear" w:color="auto" w:fill="CCFFCC"/>
          </w:tcPr>
          <w:p>
            <w:pPr>
              <w:jc w:val="right"/>
              <w:ind w:right="21"/>
              <w:spacing w:after="0" w:line="193" w:lineRule="exact"/>
              <w:rPr>
                <w:sz w:val="20"/>
                <w:szCs w:val="20"/>
                <w:color w:val="auto"/>
              </w:rPr>
            </w:pPr>
            <w:r>
              <w:rPr>
                <w:rFonts w:ascii="Arial" w:cs="Arial" w:eastAsia="Arial" w:hAnsi="Arial"/>
                <w:sz w:val="17"/>
                <w:szCs w:val="17"/>
                <w:color w:val="auto"/>
              </w:rPr>
              <w:t>0.01 – 5.50</w:t>
            </w:r>
          </w:p>
        </w:tc>
        <w:tc>
          <w:tcPr>
            <w:tcW w:w="0" w:type="dxa"/>
            <w:vAlign w:val="bottom"/>
          </w:tcPr>
          <w:p>
            <w:pPr>
              <w:spacing w:after="0"/>
              <w:rPr>
                <w:sz w:val="1"/>
                <w:szCs w:val="1"/>
                <w:color w:val="auto"/>
              </w:rPr>
            </w:pPr>
          </w:p>
        </w:tc>
      </w:tr>
      <w:tr>
        <w:trPr>
          <w:trHeight w:val="191"/>
        </w:trPr>
        <w:tc>
          <w:tcPr>
            <w:tcW w:w="308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Exercisable at March 31, 2012</w:t>
            </w: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886,442</w:t>
            </w:r>
          </w:p>
        </w:tc>
        <w:tc>
          <w:tcPr>
            <w:tcW w:w="16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2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4837430" cy="1911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837430" cy="19113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the option activity for the year 2012 by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No. of options</w:t>
            </w:r>
          </w:p>
        </w:tc>
        <w:tc>
          <w:tcPr>
            <w:tcW w:w="140" w:type="dxa"/>
            <w:vAlign w:val="bottom"/>
          </w:tcPr>
          <w:p>
            <w:pPr>
              <w:spacing w:after="0"/>
              <w:rPr>
                <w:sz w:val="13"/>
                <w:szCs w:val="13"/>
                <w:color w:val="auto"/>
              </w:rPr>
            </w:pPr>
          </w:p>
        </w:tc>
        <w:tc>
          <w:tcPr>
            <w:tcW w:w="1040" w:type="dxa"/>
            <w:vAlign w:val="bottom"/>
          </w:tcPr>
          <w:p>
            <w:pPr>
              <w:jc w:val="right"/>
              <w:ind w:right="48"/>
              <w:spacing w:after="0"/>
              <w:rPr>
                <w:sz w:val="20"/>
                <w:szCs w:val="20"/>
                <w:color w:val="auto"/>
              </w:rPr>
            </w:pPr>
            <w:r>
              <w:rPr>
                <w:rFonts w:ascii="Arial" w:cs="Arial" w:eastAsia="Arial" w:hAnsi="Arial"/>
                <w:sz w:val="13"/>
                <w:szCs w:val="13"/>
                <w:b w:val="1"/>
                <w:bCs w:val="1"/>
                <w:color w:val="auto"/>
              </w:rPr>
              <w:t>No. of options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3"/>
                <w:szCs w:val="13"/>
                <w:b w:val="1"/>
                <w:bCs w:val="1"/>
                <w:color w:val="auto"/>
                <w:w w:val="88"/>
              </w:rPr>
              <w:t>Exercise price</w:t>
            </w:r>
          </w:p>
        </w:tc>
        <w:tc>
          <w:tcPr>
            <w:tcW w:w="1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Average fair value</w:t>
            </w: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to Employees,</w:t>
            </w:r>
          </w:p>
        </w:tc>
        <w:tc>
          <w:tcPr>
            <w:tcW w:w="140" w:type="dxa"/>
            <w:vAlign w:val="bottom"/>
          </w:tcPr>
          <w:p>
            <w:pPr>
              <w:spacing w:after="0"/>
              <w:rPr>
                <w:sz w:val="11"/>
                <w:szCs w:val="11"/>
                <w:color w:val="auto"/>
              </w:rPr>
            </w:pPr>
          </w:p>
        </w:tc>
        <w:tc>
          <w:tcPr>
            <w:tcW w:w="1040" w:type="dxa"/>
            <w:vAlign w:val="bottom"/>
          </w:tcPr>
          <w:p>
            <w:pPr>
              <w:jc w:val="right"/>
              <w:ind w:right="28"/>
              <w:spacing w:after="0" w:line="138" w:lineRule="exact"/>
              <w:rPr>
                <w:sz w:val="20"/>
                <w:szCs w:val="20"/>
                <w:color w:val="auto"/>
              </w:rPr>
            </w:pPr>
            <w:r>
              <w:rPr>
                <w:rFonts w:ascii="Arial" w:cs="Arial" w:eastAsia="Arial" w:hAnsi="Arial"/>
                <w:sz w:val="13"/>
                <w:szCs w:val="13"/>
                <w:b w:val="1"/>
                <w:bCs w:val="1"/>
                <w:color w:val="auto"/>
              </w:rPr>
              <w:t>to Consultants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of granted option</w:t>
            </w: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04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Management</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and Directors</w:t>
            </w: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vMerge w:val="restart"/>
          </w:tcPr>
          <w:p>
            <w:pPr>
              <w:spacing w:after="0"/>
              <w:rPr>
                <w:sz w:val="20"/>
                <w:szCs w:val="20"/>
                <w:color w:val="auto"/>
              </w:rPr>
            </w:pPr>
            <w:r>
              <w:rPr>
                <w:rFonts w:ascii="Arial" w:cs="Arial" w:eastAsia="Arial" w:hAnsi="Arial"/>
                <w:sz w:val="17"/>
                <w:szCs w:val="17"/>
                <w:color w:val="auto"/>
              </w:rPr>
              <w:t>January 2012</w:t>
            </w:r>
          </w:p>
        </w:tc>
        <w:tc>
          <w:tcPr>
            <w:tcW w:w="1040" w:type="dxa"/>
            <w:vAlign w:val="bottom"/>
            <w:vMerge w:val="restart"/>
          </w:tcPr>
          <w:p>
            <w:pPr>
              <w:jc w:val="right"/>
              <w:ind w:right="5"/>
              <w:spacing w:after="0"/>
              <w:rPr>
                <w:sz w:val="20"/>
                <w:szCs w:val="20"/>
                <w:color w:val="auto"/>
              </w:rPr>
            </w:pPr>
            <w:r>
              <w:rPr>
                <w:rFonts w:ascii="Arial" w:cs="Arial" w:eastAsia="Arial" w:hAnsi="Arial"/>
                <w:sz w:val="17"/>
                <w:szCs w:val="17"/>
                <w:color w:val="auto"/>
              </w:rPr>
              <w:t>599,500</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23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62"/>
              <w:spacing w:after="0" w:line="193" w:lineRule="exact"/>
              <w:rPr>
                <w:sz w:val="20"/>
                <w:szCs w:val="20"/>
                <w:color w:val="auto"/>
              </w:rPr>
            </w:pPr>
            <w:r>
              <w:rPr>
                <w:rFonts w:ascii="Arial" w:cs="Arial" w:eastAsia="Arial" w:hAnsi="Arial"/>
                <w:sz w:val="17"/>
                <w:szCs w:val="17"/>
                <w:color w:val="auto"/>
              </w:rPr>
              <w:t>0.96</w:t>
            </w:r>
          </w:p>
        </w:tc>
        <w:tc>
          <w:tcPr>
            <w:tcW w:w="16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0"/>
        </w:trPr>
        <w:tc>
          <w:tcPr>
            <w:tcW w:w="2300" w:type="dxa"/>
            <w:vAlign w:val="bottom"/>
            <w:shd w:val="clear" w:color="auto" w:fill="CCFFCC"/>
          </w:tcPr>
          <w:p>
            <w:pPr>
              <w:spacing w:after="0"/>
              <w:rPr>
                <w:sz w:val="20"/>
                <w:szCs w:val="20"/>
                <w:color w:val="auto"/>
              </w:rPr>
            </w:pPr>
            <w:r>
              <w:rPr>
                <w:rFonts w:ascii="Arial" w:cs="Arial" w:eastAsia="Arial" w:hAnsi="Arial"/>
                <w:sz w:val="17"/>
                <w:szCs w:val="17"/>
                <w:color w:val="auto"/>
              </w:rPr>
              <w:t>January – February 2012</w:t>
            </w:r>
          </w:p>
        </w:tc>
        <w:tc>
          <w:tcPr>
            <w:tcW w:w="10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20,000</w:t>
            </w:r>
          </w:p>
        </w:tc>
        <w:tc>
          <w:tcPr>
            <w:tcW w:w="1180" w:type="dxa"/>
            <w:vAlign w:val="bottom"/>
            <w:gridSpan w:val="2"/>
            <w:shd w:val="clear" w:color="auto" w:fill="CCFFCC"/>
          </w:tcPr>
          <w:p>
            <w:pPr>
              <w:jc w:val="right"/>
              <w:ind w:right="8"/>
              <w:spacing w:after="0"/>
              <w:rPr>
                <w:sz w:val="20"/>
                <w:szCs w:val="20"/>
                <w:color w:val="auto"/>
              </w:rPr>
            </w:pPr>
            <w:r>
              <w:rPr>
                <w:rFonts w:ascii="Arial" w:cs="Arial" w:eastAsia="Arial" w:hAnsi="Arial"/>
                <w:sz w:val="17"/>
                <w:szCs w:val="17"/>
                <w:color w:val="auto"/>
              </w:rPr>
              <w:t>61,300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0.01</w:t>
            </w:r>
          </w:p>
        </w:tc>
        <w:tc>
          <w:tcPr>
            <w:tcW w:w="340" w:type="dxa"/>
            <w:vAlign w:val="bottom"/>
            <w:gridSpan w:val="2"/>
            <w:shd w:val="clear" w:color="auto" w:fill="CCFFCC"/>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6"/>
              </w:rPr>
              <w:t>0.95 – $1.2</w:t>
            </w:r>
          </w:p>
        </w:tc>
        <w:tc>
          <w:tcPr>
            <w:tcW w:w="0" w:type="dxa"/>
            <w:vAlign w:val="bottom"/>
          </w:tcPr>
          <w:p>
            <w:pPr>
              <w:spacing w:after="0"/>
              <w:rPr>
                <w:sz w:val="1"/>
                <w:szCs w:val="1"/>
                <w:color w:val="auto"/>
              </w:rPr>
            </w:pPr>
          </w:p>
        </w:tc>
      </w:tr>
      <w:tr>
        <w:trPr>
          <w:trHeight w:val="200"/>
        </w:trPr>
        <w:tc>
          <w:tcPr>
            <w:tcW w:w="2300" w:type="dxa"/>
            <w:vAlign w:val="bottom"/>
          </w:tcPr>
          <w:p>
            <w:pPr>
              <w:spacing w:after="0"/>
              <w:rPr>
                <w:sz w:val="20"/>
                <w:szCs w:val="20"/>
                <w:color w:val="auto"/>
              </w:rPr>
            </w:pPr>
            <w:r>
              <w:rPr>
                <w:rFonts w:ascii="Arial" w:cs="Arial" w:eastAsia="Arial" w:hAnsi="Arial"/>
                <w:sz w:val="17"/>
                <w:szCs w:val="17"/>
                <w:color w:val="auto"/>
              </w:rPr>
              <w:t>February 2012</w:t>
            </w:r>
          </w:p>
        </w:tc>
        <w:tc>
          <w:tcPr>
            <w:tcW w:w="1040" w:type="dxa"/>
            <w:vAlign w:val="bottom"/>
          </w:tcPr>
          <w:p>
            <w:pPr>
              <w:jc w:val="right"/>
              <w:ind w:right="5"/>
              <w:spacing w:after="0"/>
              <w:rPr>
                <w:sz w:val="20"/>
                <w:szCs w:val="20"/>
                <w:color w:val="auto"/>
              </w:rPr>
            </w:pPr>
            <w:r>
              <w:rPr>
                <w:rFonts w:ascii="Arial" w:cs="Arial" w:eastAsia="Arial" w:hAnsi="Arial"/>
                <w:sz w:val="17"/>
                <w:szCs w:val="17"/>
                <w:color w:val="auto"/>
              </w:rPr>
              <w:t>130,000</w:t>
            </w:r>
          </w:p>
        </w:tc>
        <w:tc>
          <w:tcPr>
            <w:tcW w:w="14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62"/>
              <w:spacing w:after="0"/>
              <w:rPr>
                <w:sz w:val="20"/>
                <w:szCs w:val="20"/>
                <w:color w:val="auto"/>
              </w:rPr>
            </w:pPr>
            <w:r>
              <w:rPr>
                <w:rFonts w:ascii="Arial" w:cs="Arial" w:eastAsia="Arial" w:hAnsi="Arial"/>
                <w:sz w:val="17"/>
                <w:szCs w:val="17"/>
                <w:color w:val="auto"/>
              </w:rPr>
              <w:t>1.21</w:t>
            </w:r>
          </w:p>
        </w:tc>
        <w:tc>
          <w:tcPr>
            <w:tcW w:w="340" w:type="dxa"/>
            <w:vAlign w:val="bottom"/>
            <w:gridSpan w:val="2"/>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0"/>
        </w:trPr>
        <w:tc>
          <w:tcPr>
            <w:tcW w:w="2300" w:type="dxa"/>
            <w:vAlign w:val="bottom"/>
            <w:shd w:val="clear" w:color="auto" w:fill="CCFFCC"/>
          </w:tcPr>
          <w:p>
            <w:pPr>
              <w:spacing w:after="0"/>
              <w:rPr>
                <w:sz w:val="20"/>
                <w:szCs w:val="20"/>
                <w:color w:val="auto"/>
              </w:rPr>
            </w:pPr>
            <w:r>
              <w:rPr>
                <w:rFonts w:ascii="Arial" w:cs="Arial" w:eastAsia="Arial" w:hAnsi="Arial"/>
                <w:sz w:val="17"/>
                <w:szCs w:val="17"/>
                <w:color w:val="auto"/>
              </w:rPr>
              <w:t>March 2012</w:t>
            </w:r>
          </w:p>
        </w:tc>
        <w:tc>
          <w:tcPr>
            <w:tcW w:w="1040" w:type="dxa"/>
            <w:vAlign w:val="bottom"/>
            <w:shd w:val="clear" w:color="auto" w:fill="CCFFCC"/>
          </w:tcPr>
          <w:p>
            <w:pPr>
              <w:jc w:val="right"/>
              <w:ind w:right="5"/>
              <w:spacing w:after="0"/>
              <w:rPr>
                <w:sz w:val="20"/>
                <w:szCs w:val="20"/>
                <w:color w:val="auto"/>
              </w:rPr>
            </w:pPr>
            <w:r>
              <w:rPr>
                <w:rFonts w:ascii="Arial" w:cs="Arial" w:eastAsia="Arial" w:hAnsi="Arial"/>
                <w:sz w:val="17"/>
                <w:szCs w:val="17"/>
                <w:color w:val="auto"/>
              </w:rPr>
              <w:t>1,600,000</w:t>
            </w:r>
          </w:p>
        </w:tc>
        <w:tc>
          <w:tcPr>
            <w:tcW w:w="1180" w:type="dxa"/>
            <w:vAlign w:val="bottom"/>
            <w:gridSpan w:val="2"/>
            <w:shd w:val="clear" w:color="auto" w:fill="CCFFCC"/>
          </w:tcPr>
          <w:p>
            <w:pPr>
              <w:jc w:val="right"/>
              <w:ind w:right="8"/>
              <w:spacing w:after="0"/>
              <w:rPr>
                <w:sz w:val="20"/>
                <w:szCs w:val="20"/>
                <w:color w:val="auto"/>
              </w:rPr>
            </w:pPr>
            <w:r>
              <w:rPr>
                <w:rFonts w:ascii="Arial" w:cs="Arial" w:eastAsia="Arial" w:hAnsi="Arial"/>
                <w:sz w:val="17"/>
                <w:szCs w:val="17"/>
                <w:color w:val="auto"/>
              </w:rPr>
              <w:t>100,000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1.65</w:t>
            </w:r>
          </w:p>
        </w:tc>
        <w:tc>
          <w:tcPr>
            <w:tcW w:w="340" w:type="dxa"/>
            <w:vAlign w:val="bottom"/>
            <w:gridSpan w:val="2"/>
            <w:shd w:val="clear" w:color="auto" w:fill="CCFFCC"/>
          </w:tcPr>
          <w:p>
            <w:pPr>
              <w:jc w:val="right"/>
              <w:ind w:right="3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color w:val="auto"/>
              </w:rPr>
              <w:t>0.99</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Warrants Exercise and New Issuance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Between February 6 and February 14, 2012, the Company entered into agreements with Holders, pursuant to which the Holders exercised 2,274,235 Special Bridge and 1,554,758 Conversion Warrants to purchase an aggregate of 3,828,993 shares of our common stock for aggregate proceeds of $3.65 million. In addition, the Company issued new warrants to purchase an aggregate of 2,660,922 shares of common stock at an exercise price of $1.76 per share, in consideration for the immediate exercise of the warrants (“Reload Warrants”). 1,392,972 of the Reload Warrants bear down-round protection clauses; as a result, they were classified as a long term derivative liability and recorded at fair value (“Preferential Reload Warrants”). Fair value of the Preferential Reload Warrants, in the total amount of $1,476 thousand was calculated using the Black-Scholes-Merton and the Monte-Carlo models, using the following assumptions: 72.89% expected volatility, a risk-free interest rate of 0.79%, estimated life of 5 years and no dividend yield. The fair value of the common stock was $1.76. The Company estimated there is a 30% probability that down-round protection will be activated in September 2012. The remaining 1,268,950 non-Preferential Reload Warrants were recorded as equity. The transaction was accounted for as an inducement to convert convertible debt, due to the fact that the exercised Special Bridge and Conversion Warrants were recorded as a derivative long-term liability. According to ASC 470-20-40-16, the Company recorded additional non-operating expense, in the total amount of $2,567 thousand, equal to the fair value of both the Preferential and the non-Preferential Reload Warrants on the date of the induced exercise of the above mentioned Special Bridge and Conversion Warrants.</w:t>
      </w:r>
    </w:p>
    <w:p>
      <w:pPr>
        <w:spacing w:after="0" w:line="200" w:lineRule="exact"/>
        <w:rPr>
          <w:sz w:val="20"/>
          <w:szCs w:val="20"/>
          <w:color w:val="auto"/>
        </w:rPr>
      </w:pPr>
    </w:p>
    <w:p>
      <w:pPr>
        <w:spacing w:after="0" w:line="28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 Stockholders’ Equity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summarizes information about warrant activity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44081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No. of warrants</w:t>
            </w:r>
          </w:p>
        </w:tc>
        <w:tc>
          <w:tcPr>
            <w:tcW w:w="16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44"/>
              <w:spacing w:after="0"/>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1"/>
              </w:rPr>
              <w:t>price range</w:t>
            </w:r>
          </w:p>
        </w:tc>
        <w:tc>
          <w:tcPr>
            <w:tcW w:w="0" w:type="dxa"/>
            <w:vAlign w:val="bottom"/>
          </w:tcPr>
          <w:p>
            <w:pPr>
              <w:spacing w:after="0"/>
              <w:rPr>
                <w:sz w:val="1"/>
                <w:szCs w:val="1"/>
                <w:color w:val="auto"/>
              </w:rPr>
            </w:pPr>
          </w:p>
        </w:tc>
      </w:tr>
      <w:tr>
        <w:trPr>
          <w:trHeight w:val="180"/>
        </w:trPr>
        <w:tc>
          <w:tcPr>
            <w:tcW w:w="3320" w:type="dxa"/>
            <w:vAlign w:val="bottom"/>
            <w:gridSpan w:val="2"/>
            <w:vMerge w:val="restart"/>
          </w:tcPr>
          <w:p>
            <w:pPr>
              <w:ind w:left="160"/>
              <w:spacing w:after="0"/>
              <w:rPr>
                <w:sz w:val="20"/>
                <w:szCs w:val="20"/>
                <w:color w:val="auto"/>
              </w:rPr>
            </w:pPr>
            <w:r>
              <w:rPr>
                <w:rFonts w:ascii="Arial" w:cs="Arial" w:eastAsia="Arial" w:hAnsi="Arial"/>
                <w:sz w:val="17"/>
                <w:szCs w:val="17"/>
                <w:color w:val="auto"/>
              </w:rPr>
              <w:t>Outstanding at January 1, 2012</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9,096,943</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33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62"/>
              <w:spacing w:after="0" w:line="193" w:lineRule="exact"/>
              <w:rPr>
                <w:sz w:val="20"/>
                <w:szCs w:val="20"/>
                <w:color w:val="auto"/>
              </w:rPr>
            </w:pPr>
            <w:r>
              <w:rPr>
                <w:rFonts w:ascii="Arial" w:cs="Arial" w:eastAsia="Arial" w:hAnsi="Arial"/>
                <w:sz w:val="17"/>
                <w:szCs w:val="17"/>
                <w:color w:val="auto"/>
              </w:rPr>
              <w:t>3.10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24"/>
              <w:spacing w:after="0" w:line="193" w:lineRule="exact"/>
              <w:rPr>
                <w:sz w:val="20"/>
                <w:szCs w:val="20"/>
                <w:color w:val="auto"/>
              </w:rPr>
            </w:pPr>
            <w:r>
              <w:rPr>
                <w:rFonts w:ascii="Arial" w:cs="Arial" w:eastAsia="Arial" w:hAnsi="Arial"/>
                <w:sz w:val="17"/>
                <w:szCs w:val="17"/>
                <w:color w:val="auto"/>
                <w:w w:val="86"/>
              </w:rPr>
              <w:t>$0.94 – 5.06</w:t>
            </w:r>
          </w:p>
        </w:tc>
        <w:tc>
          <w:tcPr>
            <w:tcW w:w="0" w:type="dxa"/>
            <w:vAlign w:val="bottom"/>
          </w:tcPr>
          <w:p>
            <w:pPr>
              <w:spacing w:after="0"/>
              <w:rPr>
                <w:sz w:val="1"/>
                <w:szCs w:val="1"/>
                <w:color w:val="auto"/>
              </w:rPr>
            </w:pPr>
          </w:p>
        </w:tc>
      </w:tr>
      <w:tr>
        <w:trPr>
          <w:trHeight w:val="200"/>
        </w:trPr>
        <w:tc>
          <w:tcPr>
            <w:tcW w:w="332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Granted</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2,672,756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FFCC"/>
          </w:tcPr>
          <w:p>
            <w:pPr>
              <w:jc w:val="right"/>
              <w:ind w:right="62"/>
              <w:spacing w:after="0"/>
              <w:rPr>
                <w:sz w:val="20"/>
                <w:szCs w:val="20"/>
                <w:color w:val="auto"/>
              </w:rPr>
            </w:pPr>
            <w:r>
              <w:rPr>
                <w:rFonts w:ascii="Arial" w:cs="Arial" w:eastAsia="Arial" w:hAnsi="Arial"/>
                <w:sz w:val="17"/>
                <w:szCs w:val="17"/>
                <w:color w:val="auto"/>
              </w:rPr>
              <w:t>1.76</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0"/>
        </w:trPr>
        <w:tc>
          <w:tcPr>
            <w:tcW w:w="332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(3,884,657)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62"/>
              <w:spacing w:after="0"/>
              <w:rPr>
                <w:sz w:val="20"/>
                <w:szCs w:val="20"/>
                <w:color w:val="auto"/>
              </w:rPr>
            </w:pPr>
            <w:r>
              <w:rPr>
                <w:rFonts w:ascii="Arial" w:cs="Arial" w:eastAsia="Arial" w:hAnsi="Arial"/>
                <w:sz w:val="17"/>
                <w:szCs w:val="17"/>
                <w:color w:val="auto"/>
              </w:rPr>
              <w:t>0.94</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0.94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32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March 31, 2012</w:t>
            </w:r>
          </w:p>
        </w:tc>
        <w:tc>
          <w:tcPr>
            <w:tcW w:w="10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7,885,042</w:t>
            </w:r>
          </w:p>
        </w:tc>
        <w:tc>
          <w:tcPr>
            <w:tcW w:w="2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940" w:type="dxa"/>
            <w:vAlign w:val="bottom"/>
            <w:shd w:val="clear" w:color="auto" w:fill="CCFFCC"/>
          </w:tcPr>
          <w:p>
            <w:pPr>
              <w:jc w:val="right"/>
              <w:ind w:right="62"/>
              <w:spacing w:after="0" w:line="193" w:lineRule="exact"/>
              <w:rPr>
                <w:sz w:val="20"/>
                <w:szCs w:val="20"/>
                <w:color w:val="auto"/>
              </w:rPr>
            </w:pPr>
            <w:r>
              <w:rPr>
                <w:rFonts w:ascii="Arial" w:cs="Arial" w:eastAsia="Arial" w:hAnsi="Arial"/>
                <w:sz w:val="17"/>
                <w:szCs w:val="17"/>
                <w:color w:val="auto"/>
              </w:rPr>
              <w:t>3.72</w:t>
            </w:r>
          </w:p>
        </w:tc>
        <w:tc>
          <w:tcPr>
            <w:tcW w:w="1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40" w:type="dxa"/>
            <w:vAlign w:val="bottom"/>
            <w:shd w:val="clear" w:color="auto" w:fill="CCFFCC"/>
          </w:tcPr>
          <w:p>
            <w:pPr>
              <w:jc w:val="center"/>
              <w:ind w:right="24"/>
              <w:spacing w:after="0" w:line="193" w:lineRule="exact"/>
              <w:rPr>
                <w:sz w:val="20"/>
                <w:szCs w:val="20"/>
                <w:color w:val="auto"/>
              </w:rPr>
            </w:pPr>
            <w:r>
              <w:rPr>
                <w:rFonts w:ascii="Arial" w:cs="Arial" w:eastAsia="Arial" w:hAnsi="Arial"/>
                <w:sz w:val="17"/>
                <w:szCs w:val="17"/>
                <w:color w:val="auto"/>
                <w:w w:val="86"/>
              </w:rPr>
              <w:t>$0.94 – 5.06</w:t>
            </w:r>
          </w:p>
        </w:tc>
        <w:tc>
          <w:tcPr>
            <w:tcW w:w="0" w:type="dxa"/>
            <w:vAlign w:val="bottom"/>
          </w:tcPr>
          <w:p>
            <w:pPr>
              <w:spacing w:after="0"/>
              <w:rPr>
                <w:sz w:val="1"/>
                <w:szCs w:val="1"/>
                <w:color w:val="auto"/>
              </w:rPr>
            </w:pPr>
          </w:p>
        </w:tc>
      </w:tr>
      <w:tr>
        <w:trPr>
          <w:trHeight w:val="246"/>
        </w:trPr>
        <w:tc>
          <w:tcPr>
            <w:tcW w:w="900" w:type="dxa"/>
            <w:vAlign w:val="bottom"/>
            <w:tcBorders>
              <w:top w:val="single" w:sz="8" w:color="CCFFCC"/>
              <w:bottom w:val="single" w:sz="8" w:color="auto"/>
            </w:tcBorders>
          </w:tcPr>
          <w:p>
            <w:pPr>
              <w:spacing w:after="0"/>
              <w:rPr>
                <w:sz w:val="21"/>
                <w:szCs w:val="21"/>
                <w:color w:val="auto"/>
              </w:rPr>
            </w:pPr>
          </w:p>
        </w:tc>
        <w:tc>
          <w:tcPr>
            <w:tcW w:w="2420" w:type="dxa"/>
            <w:vAlign w:val="bottom"/>
            <w:tcBorders>
              <w:top w:val="single" w:sz="8" w:color="CCFFCC"/>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04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4408170" cy="317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218" w:lineRule="exact"/>
        <w:rPr>
          <w:sz w:val="20"/>
          <w:szCs w:val="20"/>
          <w:color w:val="auto"/>
        </w:rPr>
      </w:pPr>
    </w:p>
    <w:p>
      <w:pPr>
        <w:ind w:left="140" w:right="1239" w:hanging="130"/>
        <w:spacing w:after="0" w:line="267" w:lineRule="auto"/>
        <w:tabs>
          <w:tab w:leader="none" w:pos="1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opening balance includes 4,784,000 warrants issued in connection with our IPO (see also Note 1), as well as 2,528,615 Special Bridge and 1,784,328 Conversion Warrants.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 Commitments and Contingencies</w:t>
      </w:r>
    </w:p>
    <w:p>
      <w:pPr>
        <w:spacing w:after="0" w:line="109" w:lineRule="exact"/>
        <w:rPr>
          <w:sz w:val="20"/>
          <w:szCs w:val="20"/>
          <w:color w:val="auto"/>
        </w:rPr>
      </w:pPr>
    </w:p>
    <w:p>
      <w:pPr>
        <w:ind w:left="40" w:right="1239" w:firstLine="251"/>
        <w:spacing w:after="0" w:line="264" w:lineRule="auto"/>
        <w:rPr>
          <w:sz w:val="20"/>
          <w:szCs w:val="20"/>
          <w:color w:val="auto"/>
        </w:rPr>
      </w:pPr>
      <w:r>
        <w:rPr>
          <w:rFonts w:ascii="Arial" w:cs="Arial" w:eastAsia="Arial" w:hAnsi="Arial"/>
          <w:sz w:val="17"/>
          <w:szCs w:val="17"/>
          <w:color w:val="auto"/>
        </w:rPr>
        <w:t>Future minimum lease payments under non-cancelable operating leases for office space and cars, as of March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6700" w:type="dxa"/>
            <w:vAlign w:val="bottom"/>
          </w:tcPr>
          <w:p>
            <w:pPr>
              <w:spacing w:after="0"/>
              <w:rPr>
                <w:sz w:val="12"/>
                <w:szCs w:val="12"/>
                <w:color w:val="auto"/>
              </w:rPr>
            </w:pP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U.S.$</w:t>
            </w:r>
          </w:p>
        </w:tc>
      </w:tr>
      <w:tr>
        <w:trPr>
          <w:trHeight w:val="158"/>
        </w:trPr>
        <w:tc>
          <w:tcPr>
            <w:tcW w:w="670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thousands</w:t>
            </w:r>
          </w:p>
        </w:tc>
      </w:tr>
      <w:tr>
        <w:trPr>
          <w:trHeight w:val="193"/>
        </w:trPr>
        <w:tc>
          <w:tcPr>
            <w:tcW w:w="67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Year ending December 31,</w:t>
            </w:r>
          </w:p>
        </w:tc>
        <w:tc>
          <w:tcPr>
            <w:tcW w:w="7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00"/>
        </w:trPr>
        <w:tc>
          <w:tcPr>
            <w:tcW w:w="6700" w:type="dxa"/>
            <w:vAlign w:val="bottom"/>
          </w:tcPr>
          <w:p>
            <w:pPr>
              <w:ind w:left="160"/>
              <w:spacing w:after="0"/>
              <w:rPr>
                <w:sz w:val="20"/>
                <w:szCs w:val="20"/>
                <w:color w:val="auto"/>
              </w:rPr>
            </w:pPr>
            <w:r>
              <w:rPr>
                <w:rFonts w:ascii="Arial" w:cs="Arial" w:eastAsia="Arial" w:hAnsi="Arial"/>
                <w:sz w:val="17"/>
                <w:szCs w:val="17"/>
                <w:color w:val="auto"/>
              </w:rPr>
              <w:t>2012 (nine month period from April 1, 2012 through December 31, 2012)</w:t>
            </w: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c>
          <w:tcPr>
            <w:tcW w:w="180" w:type="dxa"/>
            <w:vAlign w:val="bottom"/>
          </w:tcPr>
          <w:p>
            <w:pPr>
              <w:spacing w:after="0"/>
              <w:rPr>
                <w:sz w:val="17"/>
                <w:szCs w:val="17"/>
                <w:color w:val="auto"/>
              </w:rPr>
            </w:pPr>
          </w:p>
        </w:tc>
      </w:tr>
      <w:tr>
        <w:trPr>
          <w:trHeight w:val="200"/>
        </w:trPr>
        <w:tc>
          <w:tcPr>
            <w:tcW w:w="67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2013</w:t>
            </w:r>
          </w:p>
        </w:tc>
        <w:tc>
          <w:tcPr>
            <w:tcW w:w="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180" w:type="dxa"/>
            <w:vAlign w:val="bottom"/>
            <w:tcBorders>
              <w:bottom w:val="single" w:sz="8" w:color="CCFFCC"/>
            </w:tcBorders>
            <w:shd w:val="clear" w:color="auto" w:fill="CCFFCC"/>
          </w:tcPr>
          <w:p>
            <w:pPr>
              <w:spacing w:after="0"/>
              <w:rPr>
                <w:sz w:val="17"/>
                <w:szCs w:val="17"/>
                <w:color w:val="auto"/>
              </w:rPr>
            </w:pPr>
          </w:p>
        </w:tc>
      </w:tr>
      <w:tr>
        <w:trPr>
          <w:trHeight w:val="193"/>
        </w:trPr>
        <w:tc>
          <w:tcPr>
            <w:tcW w:w="670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64</w:t>
            </w:r>
          </w:p>
        </w:tc>
        <w:tc>
          <w:tcPr>
            <w:tcW w:w="180" w:type="dxa"/>
            <w:vAlign w:val="bottom"/>
          </w:tcPr>
          <w:p>
            <w:pPr>
              <w:spacing w:after="0"/>
              <w:rPr>
                <w:sz w:val="16"/>
                <w:szCs w:val="16"/>
                <w:color w:val="auto"/>
              </w:rPr>
            </w:pPr>
          </w:p>
        </w:tc>
      </w:tr>
      <w:tr>
        <w:trPr>
          <w:trHeight w:val="20"/>
        </w:trPr>
        <w:tc>
          <w:tcPr>
            <w:tcW w:w="6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Rental expense for operating leases for both office space and cars for the three month period ended March 31, 2012 and 2011 was $34 thousand, and $33 thousand, respectively.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Risks and Uncertainties</w:t>
      </w:r>
    </w:p>
    <w:p>
      <w:pPr>
        <w:spacing w:after="0" w:line="109" w:lineRule="exact"/>
        <w:rPr>
          <w:sz w:val="20"/>
          <w:szCs w:val="20"/>
          <w:color w:val="auto"/>
        </w:rPr>
      </w:pPr>
    </w:p>
    <w:p>
      <w:pPr>
        <w:jc w:val="both"/>
        <w:ind w:left="520" w:right="1239" w:hanging="260"/>
        <w:spacing w:after="0" w:line="250"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1"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02" w:lineRule="exact"/>
        <w:rPr>
          <w:rFonts w:ascii="Arial" w:cs="Arial" w:eastAsia="Arial" w:hAnsi="Arial"/>
          <w:sz w:val="17"/>
          <w:szCs w:val="17"/>
          <w:color w:val="auto"/>
        </w:rPr>
      </w:pPr>
    </w:p>
    <w:p>
      <w:pPr>
        <w:jc w:val="both"/>
        <w:ind w:left="520" w:right="1239" w:hanging="260"/>
        <w:spacing w:after="0" w:line="224" w:lineRule="auto"/>
        <w:tabs>
          <w:tab w:leader="none" w:pos="520" w:val="left"/>
        </w:tabs>
        <w:numPr>
          <w:ilvl w:val="0"/>
          <w:numId w:val="159"/>
        </w:numPr>
        <w:rPr>
          <w:rFonts w:ascii="Arial" w:cs="Arial" w:eastAsia="Arial" w:hAnsi="Arial"/>
          <w:sz w:val="31"/>
          <w:szCs w:val="31"/>
          <w:color w:val="auto"/>
          <w:vertAlign w:val="superscript"/>
        </w:rPr>
      </w:pPr>
      <w:r>
        <w:rPr>
          <w:rFonts w:ascii="Arial" w:cs="Arial" w:eastAsia="Arial" w:hAnsi="Arial"/>
          <w:sz w:val="16"/>
          <w:szCs w:val="16"/>
          <w:color w:val="auto"/>
        </w:rPr>
        <w:t>The Company’s Facetones</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(Unaudited)</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Risks and Uncertainties – (continued)</w:t>
      </w:r>
    </w:p>
    <w:p>
      <w:pPr>
        <w:spacing w:after="0" w:line="109" w:lineRule="exact"/>
        <w:rPr>
          <w:sz w:val="20"/>
          <w:szCs w:val="20"/>
          <w:color w:val="auto"/>
        </w:rPr>
      </w:pPr>
    </w:p>
    <w:p>
      <w:pPr>
        <w:jc w:val="both"/>
        <w:ind w:left="520" w:right="1239" w:hanging="260"/>
        <w:spacing w:after="0" w:line="251" w:lineRule="auto"/>
        <w:tabs>
          <w:tab w:leader="none" w:pos="5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0"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Subsequent Events</w:t>
      </w:r>
    </w:p>
    <w:p>
      <w:pPr>
        <w:spacing w:after="0" w:line="109" w:lineRule="exact"/>
        <w:rPr>
          <w:sz w:val="20"/>
          <w:szCs w:val="20"/>
          <w:color w:val="auto"/>
        </w:rPr>
      </w:pPr>
    </w:p>
    <w:p>
      <w:pPr>
        <w:jc w:val="both"/>
        <w:ind w:left="520" w:right="1239" w:hanging="260"/>
        <w:spacing w:after="0" w:line="287" w:lineRule="auto"/>
        <w:tabs>
          <w:tab w:leader="none" w:pos="5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On April 26, 2012, the NYSE Amex notified the Company that it had resolved the continued listing deficiency referenced in the NYSE Amex’s letter dated May 24, 2011, which stated that the Company was not in compliance with Section 1003(a)</w:t>
      </w:r>
    </w:p>
    <w:p>
      <w:pPr>
        <w:jc w:val="both"/>
        <w:ind w:left="520" w:right="1239" w:hanging="9"/>
        <w:spacing w:after="0" w:line="249" w:lineRule="auto"/>
        <w:tabs>
          <w:tab w:leader="none" w:pos="82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of the NYSE Amex’s continued listing standards. The NYSE Amex’s conclusion was based on a review of available information with respect to the Company, including its filings with the Securities and Exchange Commission. The Company’s continued listing eligibility will be assessed on an ongoing basis.</w:t>
      </w:r>
    </w:p>
    <w:p>
      <w:pPr>
        <w:spacing w:after="0" w:line="80"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On April 6, 2012, the Company filed a Form S-4 Registration Statement with the Securities Exchange Commission regarding the proposed Merger with I/P, and is currently addressing comments received from the Securities Exchange Commission regarding this Registration Statement.</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2" w:name="page233"/>
    <w:bookmarkEnd w:id="2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23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The Board of Directors and Stockholders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Vringo, Inc. (a Development Stage Company):</w:t>
      </w:r>
    </w:p>
    <w:p>
      <w:pPr>
        <w:spacing w:after="0" w:line="93"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6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81"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80" w:lineRule="exact"/>
        <w:rPr>
          <w:sz w:val="20"/>
          <w:szCs w:val="20"/>
          <w:color w:val="auto"/>
        </w:rPr>
      </w:pPr>
    </w:p>
    <w:p>
      <w:pPr>
        <w:ind w:right="1239" w:firstLine="301"/>
        <w:spacing w:after="0" w:line="250"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 /s/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-202565</wp:posOffset>
            </wp:positionV>
            <wp:extent cx="48215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8215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2625725"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25725" cy="158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Somekh Chaikin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 (Isr.)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 member firm of KPMG International</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Jerusalem, Israel</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30, 2012</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left="41"/>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3"/>
                <w:szCs w:val="13"/>
                <w:color w:val="auto"/>
              </w:rPr>
            </w:pPr>
          </w:p>
        </w:tc>
        <w:tc>
          <w:tcPr>
            <w:tcW w:w="940" w:type="dxa"/>
            <w:vAlign w:val="bottom"/>
            <w:gridSpan w:val="2"/>
          </w:tcPr>
          <w:p>
            <w:pPr>
              <w:jc w:val="center"/>
              <w:ind w:left="198"/>
              <w:spacing w:after="0"/>
              <w:rPr>
                <w:sz w:val="20"/>
                <w:szCs w:val="20"/>
                <w:color w:val="auto"/>
              </w:rPr>
            </w:pPr>
            <w:r>
              <w:rPr>
                <w:rFonts w:ascii="Arial" w:cs="Arial" w:eastAsia="Arial" w:hAnsi="Arial"/>
                <w:sz w:val="13"/>
                <w:szCs w:val="13"/>
                <w:b w:val="1"/>
                <w:bCs w:val="1"/>
                <w:color w:val="auto"/>
                <w:w w:val="89"/>
              </w:rPr>
              <w:t>2010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Current assets</w:t>
            </w: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Note</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100" w:type="dxa"/>
            <w:vAlign w:val="bottom"/>
            <w:vMerge w:val="continue"/>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00" w:type="dxa"/>
            <w:vAlign w:val="bottom"/>
            <w:shd w:val="clear" w:color="auto" w:fill="CCFFCC"/>
          </w:tcPr>
          <w:p>
            <w:pPr>
              <w:spacing w:after="0"/>
              <w:rPr>
                <w:sz w:val="20"/>
                <w:szCs w:val="20"/>
                <w:color w:val="auto"/>
              </w:rPr>
            </w:pPr>
            <w:r>
              <w:rPr>
                <w:rFonts w:ascii="Arial" w:cs="Arial" w:eastAsia="Arial" w:hAnsi="Arial"/>
                <w:sz w:val="17"/>
                <w:szCs w:val="17"/>
                <w:color w:val="auto"/>
              </w:rPr>
              <w:t>Cash and cash equivalents</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1,190</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Short-term deposit (restricted)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0"/>
        </w:trPr>
        <w:tc>
          <w:tcPr>
            <w:tcW w:w="5100" w:type="dxa"/>
            <w:vAlign w:val="bottom"/>
            <w:shd w:val="clear" w:color="auto" w:fill="CCFFCC"/>
          </w:tcPr>
          <w:p>
            <w:pPr>
              <w:spacing w:after="0"/>
              <w:rPr>
                <w:sz w:val="20"/>
                <w:szCs w:val="20"/>
                <w:color w:val="auto"/>
              </w:rPr>
            </w:pPr>
            <w:r>
              <w:rPr>
                <w:rFonts w:ascii="Arial" w:cs="Arial" w:eastAsia="Arial" w:hAnsi="Arial"/>
                <w:sz w:val="17"/>
                <w:szCs w:val="17"/>
                <w:color w:val="auto"/>
              </w:rPr>
              <w:t>Accounts receivable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341</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0"/>
        </w:trPr>
        <w:tc>
          <w:tcPr>
            <w:tcW w:w="51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50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187</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current assets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1,718</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5,675</w:t>
            </w:r>
          </w:p>
        </w:tc>
        <w:tc>
          <w:tcPr>
            <w:tcW w:w="0" w:type="dxa"/>
            <w:vAlign w:val="bottom"/>
          </w:tcPr>
          <w:p>
            <w:pPr>
              <w:spacing w:after="0"/>
              <w:rPr>
                <w:sz w:val="1"/>
                <w:szCs w:val="1"/>
                <w:color w:val="auto"/>
              </w:rPr>
            </w:pPr>
          </w:p>
        </w:tc>
      </w:tr>
      <w:tr>
        <w:trPr>
          <w:trHeight w:val="20"/>
        </w:trPr>
        <w:tc>
          <w:tcPr>
            <w:tcW w:w="51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tcPr>
          <w:p>
            <w:pPr>
              <w:spacing w:after="0" w:line="193" w:lineRule="exact"/>
              <w:rPr>
                <w:sz w:val="20"/>
                <w:szCs w:val="20"/>
                <w:color w:val="auto"/>
              </w:rPr>
            </w:pPr>
            <w:r>
              <w:rPr>
                <w:rFonts w:ascii="Arial" w:cs="Arial" w:eastAsia="Arial" w:hAnsi="Arial"/>
                <w:sz w:val="17"/>
                <w:szCs w:val="17"/>
                <w:b w:val="1"/>
                <w:bCs w:val="1"/>
                <w:color w:val="auto"/>
              </w:rPr>
              <w:t>Long-term deposit</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8</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Property and equipment</w:t>
            </w:r>
          </w:p>
        </w:tc>
        <w:tc>
          <w:tcPr>
            <w:tcW w:w="5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5</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144</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51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tcPr>
          <w:p>
            <w:pPr>
              <w:spacing w:after="0" w:line="193" w:lineRule="exact"/>
              <w:rPr>
                <w:sz w:val="20"/>
                <w:szCs w:val="20"/>
                <w:color w:val="auto"/>
              </w:rPr>
            </w:pPr>
            <w:r>
              <w:rPr>
                <w:rFonts w:ascii="Arial" w:cs="Arial" w:eastAsia="Arial" w:hAnsi="Arial"/>
                <w:sz w:val="17"/>
                <w:szCs w:val="17"/>
                <w:b w:val="1"/>
                <w:bCs w:val="1"/>
                <w:color w:val="auto"/>
              </w:rPr>
              <w:t>Deferred tax assets – long-term</w:t>
            </w:r>
          </w:p>
        </w:tc>
        <w:tc>
          <w:tcPr>
            <w:tcW w:w="500" w:type="dxa"/>
            <w:vAlign w:val="bottom"/>
          </w:tcPr>
          <w:p>
            <w:pPr>
              <w:jc w:val="right"/>
              <w:spacing w:after="0" w:line="193"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line="193" w:lineRule="exact"/>
              <w:rPr>
                <w:sz w:val="20"/>
                <w:szCs w:val="20"/>
                <w:color w:val="auto"/>
              </w:rPr>
            </w:pPr>
            <w:r>
              <w:rPr>
                <w:rFonts w:ascii="Arial" w:cs="Arial" w:eastAsia="Arial" w:hAnsi="Arial"/>
                <w:sz w:val="17"/>
                <w:szCs w:val="17"/>
                <w:b w:val="1"/>
                <w:bCs w:val="1"/>
                <w:color w:val="auto"/>
              </w:rPr>
              <w:t>25</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1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1,895</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5,889</w:t>
            </w:r>
          </w:p>
        </w:tc>
        <w:tc>
          <w:tcPr>
            <w:tcW w:w="0" w:type="dxa"/>
            <w:vAlign w:val="bottom"/>
          </w:tcPr>
          <w:p>
            <w:pPr>
              <w:spacing w:after="0"/>
              <w:rPr>
                <w:sz w:val="1"/>
                <w:szCs w:val="1"/>
                <w:color w:val="auto"/>
              </w:rPr>
            </w:pPr>
          </w:p>
        </w:tc>
      </w:tr>
      <w:tr>
        <w:trPr>
          <w:trHeight w:val="20"/>
        </w:trPr>
        <w:tc>
          <w:tcPr>
            <w:tcW w:w="5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-572135</wp:posOffset>
            </wp:positionV>
            <wp:extent cx="4837430" cy="1435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-301625</wp:posOffset>
            </wp:positionV>
            <wp:extent cx="4837430" cy="1435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left="19"/>
              <w:spacing w:after="0"/>
              <w:rPr>
                <w:sz w:val="20"/>
                <w:szCs w:val="20"/>
                <w:color w:val="auto"/>
              </w:rPr>
            </w:pPr>
            <w:r>
              <w:rPr>
                <w:rFonts w:ascii="Arial" w:cs="Arial" w:eastAsia="Arial" w:hAnsi="Arial"/>
                <w:sz w:val="13"/>
                <w:szCs w:val="13"/>
                <w:b w:val="1"/>
                <w:bCs w:val="1"/>
                <w:color w:val="auto"/>
                <w:w w:val="89"/>
              </w:rPr>
              <w:t>2011</w:t>
            </w:r>
          </w:p>
        </w:tc>
        <w:tc>
          <w:tcPr>
            <w:tcW w:w="80" w:type="dxa"/>
            <w:vAlign w:val="bottom"/>
          </w:tcPr>
          <w:p>
            <w:pPr>
              <w:spacing w:after="0"/>
              <w:rPr>
                <w:sz w:val="13"/>
                <w:szCs w:val="13"/>
                <w:color w:val="auto"/>
              </w:rPr>
            </w:pPr>
          </w:p>
        </w:tc>
        <w:tc>
          <w:tcPr>
            <w:tcW w:w="900" w:type="dxa"/>
            <w:vAlign w:val="bottom"/>
            <w:gridSpan w:val="2"/>
          </w:tcPr>
          <w:p>
            <w:pPr>
              <w:jc w:val="center"/>
              <w:ind w:left="238"/>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Current liabilities</w:t>
            </w:r>
          </w:p>
        </w:tc>
        <w:tc>
          <w:tcPr>
            <w:tcW w:w="6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Note</w:t>
            </w: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5100" w:type="dxa"/>
            <w:vAlign w:val="bottom"/>
            <w:gridSpan w:val="2"/>
            <w:vMerge w:val="continue"/>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Deferred tax liabilities, net – short-term</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67</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Accounts payable and accrued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428</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Accrued employee compensation</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228</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Accrued short-term severance pay</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Current maturities of venture loan</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1,262</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723</w:t>
            </w:r>
          </w:p>
        </w:tc>
        <w:tc>
          <w:tcPr>
            <w:tcW w:w="1060" w:type="dxa"/>
            <w:vAlign w:val="bottom"/>
            <w:gridSpan w:val="3"/>
          </w:tcPr>
          <w:p>
            <w:pPr>
              <w:jc w:val="right"/>
              <w:ind w:right="160"/>
              <w:spacing w:after="0" w:line="193" w:lineRule="exact"/>
              <w:rPr>
                <w:sz w:val="20"/>
                <w:szCs w:val="20"/>
                <w:color w:val="auto"/>
              </w:rPr>
            </w:pPr>
            <w:r>
              <w:rPr>
                <w:rFonts w:ascii="Arial" w:cs="Arial" w:eastAsia="Arial" w:hAnsi="Arial"/>
                <w:sz w:val="17"/>
                <w:szCs w:val="17"/>
                <w:color w:val="auto"/>
              </w:rPr>
              <w:t>2,269</w:t>
            </w:r>
          </w:p>
        </w:tc>
        <w:tc>
          <w:tcPr>
            <w:tcW w:w="0" w:type="dxa"/>
            <w:vAlign w:val="bottom"/>
          </w:tcPr>
          <w:p>
            <w:pPr>
              <w:spacing w:after="0"/>
              <w:rPr>
                <w:sz w:val="1"/>
                <w:szCs w:val="1"/>
                <w:color w:val="auto"/>
              </w:rPr>
            </w:pPr>
          </w:p>
        </w:tc>
      </w:tr>
      <w:tr>
        <w:trPr>
          <w:trHeight w:val="19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Long-term liabilities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Accrued severance pay</w:t>
            </w:r>
          </w:p>
        </w:tc>
        <w:tc>
          <w:tcPr>
            <w:tcW w:w="500" w:type="dxa"/>
            <w:vAlign w:val="bottom"/>
          </w:tcPr>
          <w:p>
            <w:pPr>
              <w:jc w:val="right"/>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165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Venture loan</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1,911</w:t>
            </w: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Derivative liabilities on account of warrants</w:t>
            </w:r>
          </w:p>
        </w:tc>
        <w:tc>
          <w:tcPr>
            <w:tcW w:w="500" w:type="dxa"/>
            <w:vAlign w:val="bottom"/>
          </w:tcPr>
          <w:p>
            <w:pPr>
              <w:jc w:val="right"/>
              <w:spacing w:after="0"/>
              <w:rPr>
                <w:sz w:val="20"/>
                <w:szCs w:val="20"/>
                <w:color w:val="auto"/>
              </w:rPr>
            </w:pPr>
            <w:r>
              <w:rPr>
                <w:rFonts w:ascii="Arial" w:cs="Arial" w:eastAsia="Arial" w:hAnsi="Arial"/>
                <w:sz w:val="17"/>
                <w:szCs w:val="17"/>
                <w:color w:val="auto"/>
              </w:rPr>
              <w:t>10,11</w:t>
            </w: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2,172</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long-term liabilities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2,337</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3,859</w:t>
            </w:r>
          </w:p>
        </w:tc>
        <w:tc>
          <w:tcPr>
            <w:tcW w:w="0" w:type="dxa"/>
            <w:vAlign w:val="bottom"/>
          </w:tcPr>
          <w:p>
            <w:pPr>
              <w:spacing w:after="0"/>
              <w:rPr>
                <w:sz w:val="1"/>
                <w:szCs w:val="1"/>
                <w:color w:val="auto"/>
              </w:rPr>
            </w:pPr>
          </w:p>
        </w:tc>
      </w:tr>
      <w:tr>
        <w:trPr>
          <w:trHeight w:val="193"/>
        </w:trPr>
        <w:tc>
          <w:tcPr>
            <w:tcW w:w="51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Commitments and contingencies</w:t>
            </w:r>
          </w:p>
        </w:tc>
        <w:tc>
          <w:tcPr>
            <w:tcW w:w="500" w:type="dxa"/>
            <w:vAlign w:val="bottom"/>
            <w:tcBorders>
              <w:top w:val="single" w:sz="8" w:color="CCFFCC"/>
            </w:tcBorders>
          </w:tcPr>
          <w:p>
            <w:pPr>
              <w:jc w:val="right"/>
              <w:spacing w:after="0" w:line="193" w:lineRule="exact"/>
              <w:rPr>
                <w:sz w:val="20"/>
                <w:szCs w:val="20"/>
                <w:color w:val="auto"/>
              </w:rPr>
            </w:pPr>
            <w:r>
              <w:rPr>
                <w:rFonts w:ascii="Arial" w:cs="Arial" w:eastAsia="Arial" w:hAnsi="Arial"/>
                <w:sz w:val="17"/>
                <w:szCs w:val="17"/>
                <w:color w:val="auto"/>
              </w:rPr>
              <w:t>15</w:t>
            </w:r>
          </w:p>
        </w:tc>
        <w:tc>
          <w:tcPr>
            <w:tcW w:w="16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b w:val="1"/>
                <w:bCs w:val="1"/>
                <w:color w:val="auto"/>
              </w:rPr>
              <w:t>Deficit in stockholders’ equity</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gridSpan w:val="2"/>
          </w:tcPr>
          <w:p>
            <w:pPr>
              <w:spacing w:after="0" w:line="188" w:lineRule="exact"/>
              <w:rPr>
                <w:sz w:val="20"/>
                <w:szCs w:val="20"/>
                <w:color w:val="auto"/>
              </w:rPr>
            </w:pPr>
            <w:r>
              <w:rPr>
                <w:rFonts w:ascii="Arial" w:cs="Arial" w:eastAsia="Arial" w:hAnsi="Arial"/>
                <w:sz w:val="17"/>
                <w:szCs w:val="17"/>
                <w:color w:val="auto"/>
                <w:w w:val="94"/>
              </w:rPr>
              <w:t>Preferred stock, $0.01 par value per share; 5,000,000 authorized; none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100" w:type="dxa"/>
            <w:vAlign w:val="bottom"/>
            <w:gridSpan w:val="2"/>
          </w:tcPr>
          <w:p>
            <w:pPr>
              <w:ind w:left="160"/>
              <w:spacing w:after="0"/>
              <w:rPr>
                <w:sz w:val="20"/>
                <w:szCs w:val="20"/>
                <w:color w:val="auto"/>
              </w:rPr>
            </w:pPr>
            <w:r>
              <w:rPr>
                <w:rFonts w:ascii="Arial" w:cs="Arial" w:eastAsia="Arial" w:hAnsi="Arial"/>
                <w:sz w:val="17"/>
                <w:szCs w:val="17"/>
                <w:color w:val="auto"/>
                <w:w w:val="90"/>
              </w:rPr>
              <w:t>issued and outstanding as of December 31, 2011 and 2010, respectively</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Common stock, $0.01 par value per share 28,000,000 authorized;</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100</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w w:val="94"/>
              </w:rPr>
              <w:t>9,954,516 and 5,405,080 issued and outstanding as of December 31,</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2011 and 2010, respectively</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0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36,281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29,774</w:t>
            </w:r>
          </w:p>
        </w:tc>
        <w:tc>
          <w:tcPr>
            <w:tcW w:w="0" w:type="dxa"/>
            <w:vAlign w:val="bottom"/>
          </w:tcPr>
          <w:p>
            <w:pPr>
              <w:spacing w:after="0"/>
              <w:rPr>
                <w:sz w:val="1"/>
                <w:szCs w:val="1"/>
                <w:color w:val="auto"/>
              </w:rPr>
            </w:pPr>
          </w:p>
        </w:tc>
      </w:tr>
      <w:tr>
        <w:trPr>
          <w:trHeight w:val="200"/>
        </w:trPr>
        <w:tc>
          <w:tcPr>
            <w:tcW w:w="5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Deficit accumulated during the development stage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(37,546)</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(30,067)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Total deficit in stockholders’ equity</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(1,165)</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liabilities and deficit in stockholders’ equity</w:t>
            </w:r>
          </w:p>
        </w:tc>
        <w:tc>
          <w:tcPr>
            <w:tcW w:w="5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1,895</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5,889</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4200" w:type="dxa"/>
            <w:vAlign w:val="bottom"/>
            <w:tcBorders>
              <w:top w:val="single" w:sz="8" w:color="CCFFCC"/>
            </w:tcBorders>
          </w:tcPr>
          <w:p>
            <w:pPr>
              <w:spacing w:after="0"/>
              <w:rPr>
                <w:sz w:val="20"/>
                <w:szCs w:val="20"/>
                <w:color w:val="auto"/>
              </w:rPr>
            </w:pPr>
          </w:p>
        </w:tc>
        <w:tc>
          <w:tcPr>
            <w:tcW w:w="50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-2410460</wp:posOffset>
            </wp:positionV>
            <wp:extent cx="4837430" cy="1435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-1622425</wp:posOffset>
            </wp:positionV>
            <wp:extent cx="4837430" cy="135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-468630</wp:posOffset>
            </wp:positionV>
            <wp:extent cx="4837430" cy="143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1480" w:right="2659" w:hanging="1470"/>
        <w:spacing w:after="0" w:line="985" w:lineRule="auto"/>
        <w:tabs>
          <w:tab w:leader="none" w:pos="26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Amounts recorded as of December 31, 2011 and 2010 include $10 and $20 to a related party, respectively. The accompanying notes form an integral part of these consolidated financial statements.</w:t>
      </w:r>
    </w:p>
    <w:p>
      <w:pPr>
        <w:ind w:left="416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restart"/>
          </w:tcPr>
          <w:p>
            <w:pPr>
              <w:jc w:val="right"/>
              <w:ind w:right="36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4"/>
          </w:tcPr>
          <w:p>
            <w:pPr>
              <w:jc w:val="right"/>
              <w:ind w:right="50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gridSpan w:val="2"/>
            <w:vMerge w:val="restart"/>
          </w:tcPr>
          <w:p>
            <w:pPr>
              <w:jc w:val="center"/>
              <w:ind w:left="197"/>
              <w:spacing w:after="0"/>
              <w:rPr>
                <w:sz w:val="20"/>
                <w:szCs w:val="20"/>
                <w:color w:val="auto"/>
              </w:rPr>
            </w:pPr>
            <w:r>
              <w:rPr>
                <w:rFonts w:ascii="Arial" w:cs="Arial" w:eastAsia="Arial" w:hAnsi="Arial"/>
                <w:sz w:val="13"/>
                <w:szCs w:val="13"/>
                <w:b w:val="1"/>
                <w:bCs w:val="1"/>
                <w:color w:val="auto"/>
                <w:w w:val="89"/>
              </w:rPr>
              <w:t>2011</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3"/>
                <w:szCs w:val="13"/>
                <w:b w:val="1"/>
                <w:bCs w:val="1"/>
                <w:color w:val="auto"/>
              </w:rPr>
              <w:t>2011</w:t>
            </w:r>
          </w:p>
        </w:tc>
        <w:tc>
          <w:tcPr>
            <w:tcW w:w="960" w:type="dxa"/>
            <w:vAlign w:val="bottom"/>
            <w:gridSpan w:val="2"/>
            <w:vMerge w:val="restart"/>
          </w:tcPr>
          <w:p>
            <w:pPr>
              <w:jc w:val="right"/>
              <w:ind w:right="102"/>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Note</w:t>
            </w: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U.S.$</w:t>
            </w:r>
          </w:p>
        </w:tc>
        <w:tc>
          <w:tcPr>
            <w:tcW w:w="200" w:type="dxa"/>
            <w:vAlign w:val="bottom"/>
          </w:tcPr>
          <w:p>
            <w:pPr>
              <w:spacing w:after="0"/>
              <w:rPr>
                <w:sz w:val="15"/>
                <w:szCs w:val="15"/>
                <w:color w:val="auto"/>
              </w:rPr>
            </w:pPr>
          </w:p>
        </w:tc>
        <w:tc>
          <w:tcPr>
            <w:tcW w:w="86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0" w:type="dxa"/>
            <w:vAlign w:val="bottom"/>
          </w:tcPr>
          <w:p>
            <w:pPr>
              <w:spacing w:after="0"/>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FFCC"/>
          </w:tcPr>
          <w:p>
            <w:pPr>
              <w:jc w:val="right"/>
              <w:ind w:right="19"/>
              <w:spacing w:after="0" w:line="193" w:lineRule="exact"/>
              <w:rPr>
                <w:sz w:val="20"/>
                <w:szCs w:val="20"/>
                <w:color w:val="auto"/>
              </w:rPr>
            </w:pPr>
            <w:r>
              <w:rPr>
                <w:rFonts w:ascii="Arial" w:cs="Arial" w:eastAsia="Arial" w:hAnsi="Arial"/>
                <w:sz w:val="17"/>
                <w:szCs w:val="17"/>
                <w:color w:val="auto"/>
              </w:rPr>
              <w:t>12</w:t>
            </w: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718</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211</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193"/>
        </w:trPr>
        <w:tc>
          <w:tcPr>
            <w:tcW w:w="4100" w:type="dxa"/>
            <w:vAlign w:val="bottom"/>
            <w:tcBorders>
              <w:top w:val="single" w:sz="8" w:color="CCFFCC"/>
            </w:tcBorders>
            <w:gridSpan w:val="2"/>
          </w:tcPr>
          <w:p>
            <w:pPr>
              <w:spacing w:after="0" w:line="193" w:lineRule="exact"/>
              <w:rPr>
                <w:sz w:val="20"/>
                <w:szCs w:val="20"/>
                <w:color w:val="auto"/>
              </w:rPr>
            </w:pPr>
            <w:r>
              <w:rPr>
                <w:rFonts w:ascii="Arial" w:cs="Arial" w:eastAsia="Arial" w:hAnsi="Arial"/>
                <w:sz w:val="17"/>
                <w:szCs w:val="17"/>
                <w:b w:val="1"/>
                <w:bCs w:val="1"/>
                <w:color w:val="auto"/>
              </w:rPr>
              <w:t>Costs and Expenses*</w:t>
            </w:r>
          </w:p>
        </w:tc>
        <w:tc>
          <w:tcPr>
            <w:tcW w:w="5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Cost of revenue</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155</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180</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2,503</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13,371</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Marketing</w:t>
            </w:r>
          </w:p>
        </w:tc>
        <w:tc>
          <w:tcPr>
            <w:tcW w:w="5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2,193</w:t>
            </w:r>
          </w:p>
        </w:tc>
        <w:tc>
          <w:tcPr>
            <w:tcW w:w="106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2,183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11,211</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2,777</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1,840</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8,269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operating expenses</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7,142</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6,706</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33,217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Operating loss</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(6,424)</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(6,495)</w:t>
            </w:r>
          </w:p>
        </w:tc>
        <w:tc>
          <w:tcPr>
            <w:tcW w:w="106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(32,268)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Non-operating income</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13</w:t>
            </w:r>
          </w:p>
        </w:tc>
        <w:tc>
          <w:tcPr>
            <w:tcW w:w="1060" w:type="dxa"/>
            <w:vAlign w:val="bottom"/>
            <w:tcBorders>
              <w:left w:val="single" w:sz="8" w:color="CCFFCC"/>
            </w:tcBorders>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13</w:t>
            </w:r>
          </w:p>
        </w:tc>
        <w:tc>
          <w:tcPr>
            <w:tcW w:w="10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Non-operating expenses</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(73)</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Interest and amortization of debt discount expense</w:t>
            </w:r>
          </w:p>
        </w:tc>
        <w:tc>
          <w:tcPr>
            <w:tcW w:w="50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(1,525)</w:t>
            </w:r>
          </w:p>
        </w:tc>
        <w:tc>
          <w:tcPr>
            <w:tcW w:w="106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7"/>
                <w:szCs w:val="17"/>
                <w:color w:val="auto"/>
              </w:rPr>
              <w:t>(4,304)</w:t>
            </w: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Gain (loss) on revaluation of warrants</w:t>
            </w:r>
          </w:p>
        </w:tc>
        <w:tc>
          <w:tcPr>
            <w:tcW w:w="500" w:type="dxa"/>
            <w:vAlign w:val="bottom"/>
          </w:tcPr>
          <w:p>
            <w:pPr>
              <w:jc w:val="right"/>
              <w:ind w:right="19"/>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952</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0"/>
        </w:trPr>
        <w:tc>
          <w:tcPr>
            <w:tcW w:w="41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500" w:type="dxa"/>
            <w:vAlign w:val="bottom"/>
            <w:shd w:val="clear" w:color="auto" w:fill="CCFFCC"/>
          </w:tcPr>
          <w:p>
            <w:pPr>
              <w:jc w:val="right"/>
              <w:ind w:right="19"/>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963</w:t>
            </w:r>
          </w:p>
        </w:tc>
        <w:tc>
          <w:tcPr>
            <w:tcW w:w="200" w:type="dxa"/>
            <w:vAlign w:val="bottom"/>
            <w:tcBorders>
              <w:left w:val="single" w:sz="8" w:color="CCFFCC"/>
            </w:tcBorders>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0"/>
        </w:trPr>
        <w:tc>
          <w:tcPr>
            <w:tcW w:w="410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Loss before taxes on income</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(7,389)</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(9,907)</w:t>
            </w:r>
          </w:p>
        </w:tc>
        <w:tc>
          <w:tcPr>
            <w:tcW w:w="1060" w:type="dxa"/>
            <w:vAlign w:val="bottom"/>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3200" w:type="dxa"/>
            <w:vAlign w:val="bottom"/>
            <w:shd w:val="clear" w:color="auto" w:fill="CCFFCC"/>
          </w:tcPr>
          <w:p>
            <w:pPr>
              <w:spacing w:after="0" w:line="20" w:lineRule="exact"/>
              <w:rPr>
                <w:sz w:val="1"/>
                <w:szCs w:val="1"/>
                <w:color w:val="auto"/>
              </w:rPr>
            </w:pPr>
          </w:p>
        </w:tc>
        <w:tc>
          <w:tcPr>
            <w:tcW w:w="5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100" w:type="dxa"/>
            <w:vAlign w:val="bottom"/>
            <w:gridSpan w:val="2"/>
          </w:tcPr>
          <w:p>
            <w:pPr>
              <w:spacing w:after="0" w:line="193" w:lineRule="exact"/>
              <w:rPr>
                <w:sz w:val="20"/>
                <w:szCs w:val="20"/>
                <w:color w:val="auto"/>
              </w:rPr>
            </w:pPr>
            <w:r>
              <w:rPr>
                <w:rFonts w:ascii="Arial" w:cs="Arial" w:eastAsia="Arial" w:hAnsi="Arial"/>
                <w:sz w:val="17"/>
                <w:szCs w:val="17"/>
                <w:color w:val="auto"/>
              </w:rPr>
              <w:t>Income tax expense</w:t>
            </w:r>
          </w:p>
        </w:tc>
        <w:tc>
          <w:tcPr>
            <w:tcW w:w="500" w:type="dxa"/>
            <w:vAlign w:val="bottom"/>
          </w:tcPr>
          <w:p>
            <w:pPr>
              <w:jc w:val="right"/>
              <w:ind w:right="19"/>
              <w:spacing w:after="0" w:line="193"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060" w:type="dxa"/>
            <w:vAlign w:val="bottom"/>
            <w:gridSpan w:val="3"/>
          </w:tcPr>
          <w:p>
            <w:pPr>
              <w:jc w:val="right"/>
              <w:ind w:right="40"/>
              <w:spacing w:after="0" w:line="193" w:lineRule="exact"/>
              <w:rPr>
                <w:sz w:val="20"/>
                <w:szCs w:val="20"/>
                <w:color w:val="auto"/>
              </w:rPr>
            </w:pPr>
            <w:r>
              <w:rPr>
                <w:rFonts w:ascii="Arial" w:cs="Arial" w:eastAsia="Arial" w:hAnsi="Arial"/>
                <w:sz w:val="17"/>
                <w:szCs w:val="17"/>
                <w:color w:val="auto"/>
              </w:rPr>
              <w:t>(35)</w:t>
            </w:r>
          </w:p>
        </w:tc>
        <w:tc>
          <w:tcPr>
            <w:tcW w:w="1060" w:type="dxa"/>
            <w:vAlign w:val="bottom"/>
            <w:gridSpan w:val="3"/>
          </w:tcPr>
          <w:p>
            <w:pPr>
              <w:jc w:val="right"/>
              <w:ind w:right="60"/>
              <w:spacing w:after="0" w:line="193"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loss</w:t>
            </w: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(7,479)</w:t>
            </w:r>
          </w:p>
        </w:tc>
        <w:tc>
          <w:tcPr>
            <w:tcW w:w="1060" w:type="dxa"/>
            <w:vAlign w:val="bottom"/>
            <w:tcBorders>
              <w:left w:val="single" w:sz="8" w:color="CCFFCC"/>
            </w:tcBorders>
            <w:gridSpan w:val="3"/>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(9,942)</w:t>
            </w:r>
          </w:p>
        </w:tc>
        <w:tc>
          <w:tcPr>
            <w:tcW w:w="1060" w:type="dxa"/>
            <w:vAlign w:val="bottom"/>
            <w:gridSpan w:val="3"/>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0"/>
        </w:trPr>
        <w:tc>
          <w:tcPr>
            <w:tcW w:w="900" w:type="dxa"/>
            <w:vAlign w:val="bottom"/>
            <w:tcBorders>
              <w:top w:val="single" w:sz="8" w:color="CCFFCC"/>
            </w:tcBorders>
            <w:shd w:val="clear" w:color="auto" w:fill="CCFFCC"/>
          </w:tcPr>
          <w:p>
            <w:pPr>
              <w:spacing w:after="0" w:line="20" w:lineRule="exact"/>
              <w:rPr>
                <w:sz w:val="1"/>
                <w:szCs w:val="1"/>
                <w:color w:val="auto"/>
              </w:rPr>
            </w:pPr>
          </w:p>
        </w:tc>
        <w:tc>
          <w:tcPr>
            <w:tcW w:w="3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00" w:type="dxa"/>
            <w:vAlign w:val="bottom"/>
            <w:gridSpan w:val="2"/>
          </w:tcPr>
          <w:p>
            <w:pPr>
              <w:spacing w:after="0" w:line="191" w:lineRule="exact"/>
              <w:rPr>
                <w:sz w:val="20"/>
                <w:szCs w:val="20"/>
                <w:color w:val="auto"/>
              </w:rPr>
            </w:pPr>
            <w:r>
              <w:rPr>
                <w:rFonts w:ascii="Arial" w:cs="Arial" w:eastAsia="Arial" w:hAnsi="Arial"/>
                <w:sz w:val="17"/>
                <w:szCs w:val="17"/>
                <w:color w:val="auto"/>
              </w:rPr>
              <w:t>Basic and diluted net loss per common share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(1.17)</w:t>
            </w:r>
          </w:p>
        </w:tc>
        <w:tc>
          <w:tcPr>
            <w:tcW w:w="1060" w:type="dxa"/>
            <w:vAlign w:val="bottom"/>
            <w:gridSpan w:val="3"/>
          </w:tcPr>
          <w:p>
            <w:pPr>
              <w:jc w:val="right"/>
              <w:ind w:right="40"/>
              <w:spacing w:after="0" w:line="191" w:lineRule="exact"/>
              <w:rPr>
                <w:sz w:val="20"/>
                <w:szCs w:val="20"/>
                <w:color w:val="auto"/>
              </w:rPr>
            </w:pPr>
            <w:r>
              <w:rPr>
                <w:rFonts w:ascii="Arial" w:cs="Arial" w:eastAsia="Arial" w:hAnsi="Arial"/>
                <w:sz w:val="17"/>
                <w:szCs w:val="17"/>
                <w:color w:val="auto"/>
              </w:rPr>
              <w:t>(3.15)</w:t>
            </w:r>
          </w:p>
        </w:tc>
        <w:tc>
          <w:tcPr>
            <w:tcW w:w="1060" w:type="dxa"/>
            <w:vAlign w:val="bottom"/>
            <w:gridSpan w:val="3"/>
          </w:tcPr>
          <w:p>
            <w:pPr>
              <w:jc w:val="right"/>
              <w:ind w:right="60"/>
              <w:spacing w:after="0" w:line="191" w:lineRule="exact"/>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00" w:type="dxa"/>
            <w:vAlign w:val="bottom"/>
            <w:gridSpan w:val="2"/>
            <w:shd w:val="clear" w:color="auto" w:fill="CCFFCC"/>
          </w:tcPr>
          <w:p>
            <w:pPr>
              <w:spacing w:after="0" w:line="178" w:lineRule="exact"/>
              <w:rPr>
                <w:sz w:val="20"/>
                <w:szCs w:val="20"/>
                <w:color w:val="auto"/>
              </w:rPr>
            </w:pPr>
            <w:r>
              <w:rPr>
                <w:rFonts w:ascii="Arial" w:cs="Arial" w:eastAsia="Arial" w:hAnsi="Arial"/>
                <w:sz w:val="17"/>
                <w:szCs w:val="17"/>
                <w:color w:val="auto"/>
                <w:w w:val="97"/>
              </w:rPr>
              <w:t>Weighted average number of shares used in computing</w:t>
            </w:r>
          </w:p>
        </w:tc>
        <w:tc>
          <w:tcPr>
            <w:tcW w:w="5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40" w:type="dxa"/>
            <w:vAlign w:val="bottom"/>
            <w:shd w:val="clear" w:color="auto" w:fill="CCFFCC"/>
          </w:tcPr>
          <w:p>
            <w:pPr>
              <w:jc w:val="right"/>
              <w:spacing w:after="0" w:line="178" w:lineRule="exact"/>
              <w:rPr>
                <w:sz w:val="20"/>
                <w:szCs w:val="20"/>
                <w:color w:val="auto"/>
              </w:rPr>
            </w:pPr>
            <w:r>
              <w:rPr>
                <w:rFonts w:ascii="Arial" w:cs="Arial" w:eastAsia="Arial" w:hAnsi="Arial"/>
                <w:sz w:val="17"/>
                <w:szCs w:val="17"/>
                <w:b w:val="1"/>
                <w:bCs w:val="1"/>
                <w:color w:val="auto"/>
                <w:w w:val="97"/>
              </w:rPr>
              <w:t>6,372,659</w:t>
            </w:r>
          </w:p>
        </w:tc>
        <w:tc>
          <w:tcPr>
            <w:tcW w:w="1060" w:type="dxa"/>
            <w:vAlign w:val="bottom"/>
            <w:tcBorders>
              <w:left w:val="single" w:sz="8" w:color="CCFFCC"/>
            </w:tcBorders>
            <w:gridSpan w:val="3"/>
            <w:shd w:val="clear" w:color="auto" w:fill="CCFFCC"/>
          </w:tcPr>
          <w:p>
            <w:pPr>
              <w:jc w:val="right"/>
              <w:ind w:right="100"/>
              <w:spacing w:after="0" w:line="178" w:lineRule="exact"/>
              <w:rPr>
                <w:sz w:val="20"/>
                <w:szCs w:val="20"/>
                <w:color w:val="auto"/>
              </w:rPr>
            </w:pPr>
            <w:r>
              <w:rPr>
                <w:rFonts w:ascii="Arial" w:cs="Arial" w:eastAsia="Arial" w:hAnsi="Arial"/>
                <w:sz w:val="17"/>
                <w:szCs w:val="17"/>
                <w:color w:val="auto"/>
              </w:rPr>
              <w:t>3,154,489</w:t>
            </w:r>
          </w:p>
        </w:tc>
        <w:tc>
          <w:tcPr>
            <w:tcW w:w="1060" w:type="dxa"/>
            <w:vAlign w:val="bottom"/>
            <w:gridSpan w:val="3"/>
            <w:shd w:val="clear" w:color="auto" w:fill="CCFFCC"/>
          </w:tcPr>
          <w:p>
            <w:pPr>
              <w:jc w:val="right"/>
              <w:ind w:right="120"/>
              <w:spacing w:after="0" w:line="178" w:lineRule="exact"/>
              <w:rPr>
                <w:sz w:val="20"/>
                <w:szCs w:val="20"/>
                <w:color w:val="auto"/>
              </w:rPr>
            </w:pPr>
            <w:r>
              <w:rPr>
                <w:rFonts w:ascii="Arial" w:cs="Arial" w:eastAsia="Arial" w:hAnsi="Arial"/>
                <w:sz w:val="17"/>
                <w:szCs w:val="17"/>
                <w:color w:val="auto"/>
              </w:rPr>
              <w:t>1,853,077</w:t>
            </w:r>
          </w:p>
        </w:tc>
        <w:tc>
          <w:tcPr>
            <w:tcW w:w="0" w:type="dxa"/>
            <w:vAlign w:val="bottom"/>
          </w:tcPr>
          <w:p>
            <w:pPr>
              <w:spacing w:after="0"/>
              <w:rPr>
                <w:sz w:val="1"/>
                <w:szCs w:val="1"/>
                <w:color w:val="auto"/>
              </w:rPr>
            </w:pPr>
          </w:p>
        </w:tc>
      </w:tr>
      <w:tr>
        <w:trPr>
          <w:trHeight w:val="253"/>
        </w:trPr>
        <w:tc>
          <w:tcPr>
            <w:tcW w:w="410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7"/>
                <w:szCs w:val="17"/>
                <w:color w:val="auto"/>
              </w:rPr>
              <w:t>basic and dilutive net loss per common share</w:t>
            </w:r>
          </w:p>
        </w:tc>
        <w:tc>
          <w:tcPr>
            <w:tcW w:w="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spacing w:after="0"/>
              <w:rPr>
                <w:sz w:val="21"/>
                <w:szCs w:val="21"/>
                <w:color w:val="auto"/>
              </w:rPr>
            </w:pPr>
          </w:p>
        </w:tc>
        <w:tc>
          <w:tcPr>
            <w:tcW w:w="200" w:type="dxa"/>
            <w:vAlign w:val="bottom"/>
            <w:tcBorders>
              <w:left w:val="single" w:sz="8" w:color="CCFFCC"/>
              <w:bottom w:val="single" w:sz="8" w:color="CCFFCC"/>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00" w:type="dxa"/>
            <w:vAlign w:val="bottom"/>
            <w:tcBorders>
              <w:bottom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-2736215</wp:posOffset>
            </wp:positionV>
            <wp:extent cx="4837430" cy="135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-1956435</wp:posOffset>
            </wp:positionV>
            <wp:extent cx="4837430" cy="1435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-914400</wp:posOffset>
            </wp:positionV>
            <wp:extent cx="4837430" cy="1435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-643890</wp:posOffset>
            </wp:positionV>
            <wp:extent cx="4837430" cy="1911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837430" cy="1911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Includes expenses in the total amount of $53, $450 and $1,103 to related parties for the years ended 2011 and 2010 and for the cumulative period from inception until December 31, 2011, respectively.</w:t>
      </w:r>
    </w:p>
    <w:p>
      <w:pPr>
        <w:spacing w:after="0" w:line="200" w:lineRule="exact"/>
        <w:rPr>
          <w:sz w:val="20"/>
          <w:szCs w:val="20"/>
          <w:color w:val="auto"/>
        </w:rPr>
      </w:pP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accompanying notes form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4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convertible</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paid-in</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2"/>
              </w:rPr>
              <w:t>stage</w:t>
            </w: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as of January 9, 2006</w:t>
            </w: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U.S.$</w:t>
            </w:r>
          </w:p>
        </w:tc>
        <w:tc>
          <w:tcPr>
            <w:tcW w:w="14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77"/>
        </w:trPr>
        <w:tc>
          <w:tcPr>
            <w:tcW w:w="2900" w:type="dxa"/>
            <w:vAlign w:val="bottom"/>
            <w:gridSpan w:val="2"/>
            <w:vMerge w:val="continue"/>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7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900" w:type="dxa"/>
            <w:vAlign w:val="bottom"/>
            <w:gridSpan w:val="2"/>
          </w:tcPr>
          <w:p>
            <w:pPr>
              <w:ind w:left="160"/>
              <w:spacing w:after="0"/>
              <w:rPr>
                <w:sz w:val="20"/>
                <w:szCs w:val="20"/>
                <w:color w:val="auto"/>
              </w:rPr>
            </w:pPr>
            <w:r>
              <w:rPr>
                <w:rFonts w:ascii="Arial" w:cs="Arial" w:eastAsia="Arial" w:hAnsi="Arial"/>
                <w:sz w:val="17"/>
                <w:szCs w:val="17"/>
                <w:b w:val="1"/>
                <w:bCs w:val="1"/>
                <w:color w:val="auto"/>
              </w:rPr>
              <w:t>(inception)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Issuance of series A convertible</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00"/>
        </w:trPr>
        <w:tc>
          <w:tcPr>
            <w:tcW w:w="2900" w:type="dxa"/>
            <w:vAlign w:val="bottom"/>
            <w:gridSpan w:val="2"/>
          </w:tcPr>
          <w:p>
            <w:pPr>
              <w:ind w:left="160"/>
              <w:spacing w:after="0"/>
              <w:rPr>
                <w:sz w:val="20"/>
                <w:szCs w:val="20"/>
                <w:color w:val="auto"/>
              </w:rPr>
            </w:pPr>
            <w:r>
              <w:rPr>
                <w:rFonts w:ascii="Arial" w:cs="Arial" w:eastAsia="Arial" w:hAnsi="Arial"/>
                <w:sz w:val="17"/>
                <w:szCs w:val="17"/>
                <w:color w:val="auto"/>
                <w:w w:val="96"/>
              </w:rPr>
              <w:t>preferred stock, net of issuance costs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of $33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 dividend</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(44)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gridSpan w:val="2"/>
          </w:tcPr>
          <w:p>
            <w:pPr>
              <w:spacing w:after="0"/>
              <w:rPr>
                <w:sz w:val="20"/>
                <w:szCs w:val="20"/>
                <w:color w:val="auto"/>
              </w:rPr>
            </w:pPr>
            <w:r>
              <w:rPr>
                <w:rFonts w:ascii="Arial" w:cs="Arial" w:eastAsia="Arial" w:hAnsi="Arial"/>
                <w:sz w:val="17"/>
                <w:szCs w:val="17"/>
                <w:color w:val="auto"/>
              </w:rPr>
              <w:t>Net loss for the period</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(1,481)</w:t>
            </w:r>
          </w:p>
        </w:tc>
        <w:tc>
          <w:tcPr>
            <w:tcW w:w="1060" w:type="dxa"/>
            <w:vAlign w:val="bottom"/>
            <w:gridSpan w:val="3"/>
          </w:tcPr>
          <w:p>
            <w:pPr>
              <w:jc w:val="right"/>
              <w:ind w:right="12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2006</w:t>
            </w: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20</w:t>
            </w:r>
          </w:p>
        </w:tc>
        <w:tc>
          <w:tcPr>
            <w:tcW w:w="9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24</w:t>
            </w:r>
          </w:p>
        </w:tc>
        <w:tc>
          <w:tcPr>
            <w:tcW w:w="94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2,288</w:t>
            </w:r>
          </w:p>
        </w:tc>
        <w:tc>
          <w:tcPr>
            <w:tcW w:w="9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(1,481)</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gridSpan w:val="2"/>
          </w:tcPr>
          <w:p>
            <w:pPr>
              <w:spacing w:after="0" w:line="180" w:lineRule="exact"/>
              <w:rPr>
                <w:sz w:val="20"/>
                <w:szCs w:val="20"/>
                <w:color w:val="auto"/>
              </w:rPr>
            </w:pPr>
            <w:r>
              <w:rPr>
                <w:rFonts w:ascii="Arial" w:cs="Arial" w:eastAsia="Arial" w:hAnsi="Arial"/>
                <w:sz w:val="17"/>
                <w:szCs w:val="17"/>
                <w:color w:val="auto"/>
              </w:rPr>
              <w:t>Issuance of common stock as part of</w:t>
            </w: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2</w:t>
            </w:r>
          </w:p>
        </w:tc>
        <w:tc>
          <w:tcPr>
            <w:tcW w:w="160" w:type="dxa"/>
            <w:vAlign w:val="bottom"/>
          </w:tcPr>
          <w:p>
            <w:pPr>
              <w:spacing w:after="0"/>
              <w:rPr>
                <w:sz w:val="15"/>
                <w:szCs w:val="15"/>
                <w:color w:val="auto"/>
              </w:rPr>
            </w:pPr>
          </w:p>
        </w:tc>
        <w:tc>
          <w:tcPr>
            <w:tcW w:w="8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138</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0"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conversion of convertible loan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Discounts to temporary equity</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(4)</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(5,163)</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(5,163)</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Balance as of December 31, 2007</w:t>
            </w:r>
          </w:p>
        </w:tc>
        <w:tc>
          <w:tcPr>
            <w:tcW w:w="8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22</w:t>
            </w:r>
          </w:p>
        </w:tc>
        <w:tc>
          <w:tcPr>
            <w:tcW w:w="9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24</w:t>
            </w:r>
          </w:p>
        </w:tc>
        <w:tc>
          <w:tcPr>
            <w:tcW w:w="940" w:type="dxa"/>
            <w:vAlign w:val="bottom"/>
            <w:gridSpan w:val="3"/>
          </w:tcPr>
          <w:p>
            <w:pPr>
              <w:jc w:val="right"/>
              <w:ind w:right="160"/>
              <w:spacing w:after="0" w:line="193" w:lineRule="exact"/>
              <w:rPr>
                <w:sz w:val="20"/>
                <w:szCs w:val="20"/>
                <w:color w:val="auto"/>
              </w:rPr>
            </w:pPr>
            <w:r>
              <w:rPr>
                <w:rFonts w:ascii="Arial" w:cs="Arial" w:eastAsia="Arial" w:hAnsi="Arial"/>
                <w:sz w:val="17"/>
                <w:szCs w:val="17"/>
                <w:color w:val="auto"/>
              </w:rPr>
              <w:t>2,578</w:t>
            </w:r>
          </w:p>
        </w:tc>
        <w:tc>
          <w:tcPr>
            <w:tcW w:w="9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(6,644)</w:t>
            </w:r>
          </w:p>
        </w:tc>
        <w:tc>
          <w:tcPr>
            <w:tcW w:w="106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0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Issuance of warrants</w:t>
            </w: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360</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w w:val="99"/>
              </w:rPr>
              <w:t>Amortization of discounts to temporary</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shd w:val="clear" w:color="auto" w:fill="CCFFCC"/>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3"/>
        </w:trPr>
        <w:tc>
          <w:tcPr>
            <w:tcW w:w="290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forfeitures – employees</w:t>
            </w: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gridSpan w:val="2"/>
          </w:tcPr>
          <w:p>
            <w:pPr>
              <w:spacing w:after="0" w:line="188" w:lineRule="exact"/>
              <w:rPr>
                <w:sz w:val="20"/>
                <w:szCs w:val="20"/>
                <w:color w:val="auto"/>
              </w:rPr>
            </w:pPr>
            <w:r>
              <w:rPr>
                <w:rFonts w:ascii="Arial" w:cs="Arial" w:eastAsia="Arial" w:hAnsi="Arial"/>
                <w:sz w:val="17"/>
                <w:szCs w:val="17"/>
                <w:color w:val="auto"/>
              </w:rPr>
              <w:t>Grants of stock options, net of</w:t>
            </w: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line="188"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900" w:type="dxa"/>
            <w:vAlign w:val="bottom"/>
            <w:gridSpan w:val="2"/>
          </w:tcPr>
          <w:p>
            <w:pPr>
              <w:ind w:left="160"/>
              <w:spacing w:after="0"/>
              <w:rPr>
                <w:sz w:val="20"/>
                <w:szCs w:val="20"/>
                <w:color w:val="auto"/>
              </w:rPr>
            </w:pPr>
            <w:r>
              <w:rPr>
                <w:rFonts w:ascii="Arial" w:cs="Arial" w:eastAsia="Arial" w:hAnsi="Arial"/>
                <w:sz w:val="17"/>
                <w:szCs w:val="17"/>
                <w:color w:val="auto"/>
              </w:rPr>
              <w:t>forfeitures – non employees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0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Net loss for the year</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(7,332)</w:t>
            </w:r>
          </w:p>
        </w:tc>
        <w:tc>
          <w:tcPr>
            <w:tcW w:w="10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(7,332)</w:t>
            </w:r>
          </w:p>
        </w:tc>
        <w:tc>
          <w:tcPr>
            <w:tcW w:w="0" w:type="dxa"/>
            <w:vAlign w:val="bottom"/>
          </w:tcPr>
          <w:p>
            <w:pPr>
              <w:spacing w:after="0"/>
              <w:rPr>
                <w:sz w:val="1"/>
                <w:szCs w:val="1"/>
                <w:color w:val="auto"/>
              </w:rPr>
            </w:pPr>
          </w:p>
        </w:tc>
      </w:tr>
      <w:tr>
        <w:trPr>
          <w:trHeight w:val="243"/>
        </w:trPr>
        <w:tc>
          <w:tcPr>
            <w:tcW w:w="900" w:type="dxa"/>
            <w:vAlign w:val="bottom"/>
            <w:tcBorders>
              <w:top w:val="single" w:sz="8" w:color="CCFFCC"/>
              <w:bottom w:val="single" w:sz="8" w:color="auto"/>
            </w:tcBorders>
          </w:tcPr>
          <w:p>
            <w:pPr>
              <w:spacing w:after="0"/>
              <w:rPr>
                <w:sz w:val="21"/>
                <w:szCs w:val="21"/>
                <w:color w:val="auto"/>
              </w:rPr>
            </w:pPr>
          </w:p>
        </w:tc>
        <w:tc>
          <w:tcPr>
            <w:tcW w:w="2000" w:type="dxa"/>
            <w:vAlign w:val="bottom"/>
            <w:tcBorders>
              <w:top w:val="single" w:sz="8" w:color="CCFFCC"/>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-2617470</wp:posOffset>
            </wp:positionV>
            <wp:extent cx="4837430" cy="262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37430" cy="262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-1336040</wp:posOffset>
            </wp:positionV>
            <wp:extent cx="4837430" cy="1435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48374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7" w:name="page238"/>
    <w:bookmarkEnd w:id="2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STATEMENT OF CHANGES IN STOCKHOLDERS’ EQUITY (DEFICIT)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8"/>
              </w:rPr>
              <w:t>Series A</w:t>
            </w:r>
          </w:p>
        </w:tc>
        <w:tc>
          <w:tcPr>
            <w:tcW w:w="140" w:type="dxa"/>
            <w:vAlign w:val="bottom"/>
          </w:tcPr>
          <w:p>
            <w:pPr>
              <w:spacing w:after="0"/>
              <w:rPr>
                <w:sz w:val="11"/>
                <w:szCs w:val="11"/>
                <w:color w:val="auto"/>
              </w:rPr>
            </w:pP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7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1"/>
                <w:szCs w:val="11"/>
                <w:color w:val="auto"/>
              </w:rPr>
            </w:pPr>
          </w:p>
        </w:tc>
        <w:tc>
          <w:tcPr>
            <w:tcW w:w="820" w:type="dxa"/>
            <w:vAlign w:val="bottom"/>
            <w:gridSpan w:val="2"/>
          </w:tcPr>
          <w:p>
            <w:pPr>
              <w:jc w:val="right"/>
              <w:ind w:right="260"/>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gridSpan w:val="2"/>
          </w:tcPr>
          <w:p>
            <w:pPr>
              <w:jc w:val="right"/>
              <w:ind w:right="200"/>
              <w:spacing w:after="0" w:line="138" w:lineRule="exact"/>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convertible</w:t>
            </w:r>
          </w:p>
        </w:tc>
        <w:tc>
          <w:tcPr>
            <w:tcW w:w="14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paid-in</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preferred</w:t>
            </w:r>
          </w:p>
        </w:tc>
        <w:tc>
          <w:tcPr>
            <w:tcW w:w="14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during the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8"/>
              </w:rPr>
              <w:t>stock</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development</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stage</w:t>
            </w:r>
          </w:p>
        </w:tc>
        <w:tc>
          <w:tcPr>
            <w:tcW w:w="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3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 as of December 31, 2008</w:t>
            </w: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80"/>
        </w:trPr>
        <w:tc>
          <w:tcPr>
            <w:tcW w:w="3360" w:type="dxa"/>
            <w:vAlign w:val="bottom"/>
            <w:gridSpan w:val="2"/>
            <w:vMerge w:val="continue"/>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2,960</w:t>
            </w:r>
          </w:p>
        </w:tc>
        <w:tc>
          <w:tcPr>
            <w:tcW w:w="1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(13,976)</w:t>
            </w: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(10,970)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Issuance of warrants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60</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Loan modification</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500</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Amortization of discounts to temporary equity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(7)</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178</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(6,149)</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(6,149)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2009</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22</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5"/>
                <w:szCs w:val="15"/>
                <w:color w:val="auto"/>
              </w:rPr>
              <w:t>24</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3,701</w:t>
            </w:r>
          </w:p>
        </w:tc>
        <w:tc>
          <w:tcPr>
            <w:tcW w:w="900" w:type="dxa"/>
            <w:vAlign w:val="bottom"/>
            <w:gridSpan w:val="3"/>
            <w:shd w:val="clear" w:color="auto" w:fill="CCFFCC"/>
          </w:tcPr>
          <w:p>
            <w:pPr>
              <w:jc w:val="right"/>
              <w:ind w:right="40"/>
              <w:spacing w:after="0"/>
              <w:rPr>
                <w:sz w:val="20"/>
                <w:szCs w:val="20"/>
                <w:color w:val="auto"/>
              </w:rPr>
            </w:pPr>
            <w:r>
              <w:rPr>
                <w:rFonts w:ascii="Arial" w:cs="Arial" w:eastAsia="Arial" w:hAnsi="Arial"/>
                <w:sz w:val="15"/>
                <w:szCs w:val="15"/>
                <w:color w:val="auto"/>
              </w:rPr>
              <w:t>(20,125)</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(16,378)</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gridSpan w:val="2"/>
          </w:tcPr>
          <w:p>
            <w:pPr>
              <w:spacing w:after="0"/>
              <w:rPr>
                <w:sz w:val="20"/>
                <w:szCs w:val="20"/>
                <w:color w:val="auto"/>
              </w:rPr>
            </w:pPr>
            <w:r>
              <w:rPr>
                <w:rFonts w:ascii="Arial" w:cs="Arial" w:eastAsia="Arial" w:hAnsi="Arial"/>
                <w:sz w:val="15"/>
                <w:szCs w:val="15"/>
                <w:color w:val="auto"/>
                <w:w w:val="97"/>
              </w:rPr>
              <w:t>Issuance of common stock, net of issuance costs of</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9,239</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9,263</w:t>
            </w:r>
          </w:p>
        </w:tc>
        <w:tc>
          <w:tcPr>
            <w:tcW w:w="0" w:type="dxa"/>
            <w:vAlign w:val="bottom"/>
          </w:tcPr>
          <w:p>
            <w:pPr>
              <w:spacing w:after="0"/>
              <w:rPr>
                <w:sz w:val="1"/>
                <w:szCs w:val="1"/>
                <w:color w:val="auto"/>
              </w:rPr>
            </w:pPr>
          </w:p>
        </w:tc>
      </w:tr>
      <w:tr>
        <w:trPr>
          <w:trHeight w:val="193"/>
        </w:trPr>
        <w:tc>
          <w:tcPr>
            <w:tcW w:w="900" w:type="dxa"/>
            <w:vAlign w:val="bottom"/>
          </w:tcPr>
          <w:p>
            <w:pPr>
              <w:ind w:left="160"/>
              <w:spacing w:after="0"/>
              <w:rPr>
                <w:sz w:val="20"/>
                <w:szCs w:val="20"/>
                <w:color w:val="auto"/>
              </w:rPr>
            </w:pPr>
            <w:r>
              <w:rPr>
                <w:rFonts w:ascii="Arial" w:cs="Arial" w:eastAsia="Arial" w:hAnsi="Arial"/>
                <w:sz w:val="15"/>
                <w:szCs w:val="15"/>
                <w:color w:val="auto"/>
              </w:rPr>
              <w:t>$1,768</w:t>
            </w:r>
          </w:p>
        </w:tc>
        <w:tc>
          <w:tcPr>
            <w:tcW w:w="2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6"/>
              </w:rPr>
              <w:t>Exchange of series A convertible preferred stock for</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24</w:t>
            </w:r>
          </w:p>
        </w:tc>
        <w:tc>
          <w:tcPr>
            <w:tcW w:w="860" w:type="dxa"/>
            <w:vAlign w:val="bottom"/>
            <w:gridSpan w:val="3"/>
            <w:shd w:val="clear" w:color="auto" w:fill="CCFFCC"/>
          </w:tcPr>
          <w:p>
            <w:pPr>
              <w:jc w:val="right"/>
              <w:ind w:right="140"/>
              <w:spacing w:after="0"/>
              <w:rPr>
                <w:sz w:val="20"/>
                <w:szCs w:val="20"/>
                <w:color w:val="auto"/>
              </w:rPr>
            </w:pPr>
            <w:r>
              <w:rPr>
                <w:rFonts w:ascii="Arial" w:cs="Arial" w:eastAsia="Arial" w:hAnsi="Arial"/>
                <w:sz w:val="15"/>
                <w:szCs w:val="15"/>
                <w:color w:val="auto"/>
              </w:rPr>
              <w:t>(24)</w:t>
            </w:r>
          </w:p>
        </w:tc>
        <w:tc>
          <w:tcPr>
            <w:tcW w:w="14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common stock</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Conversion of Bridge notes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2,536</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2,545</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Amortization of discounts to temporary equity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883</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883</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29</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forfeitures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 to charity</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warrants to lead investors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1,342</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1,342</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warrants to charity</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37</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Exercise of stock options</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Stock dividend</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60"/>
              <w:spacing w:after="0"/>
              <w:rPr>
                <w:sz w:val="20"/>
                <w:szCs w:val="20"/>
                <w:color w:val="auto"/>
              </w:rPr>
            </w:pPr>
            <w:r>
              <w:rPr>
                <w:rFonts w:ascii="Arial" w:cs="Arial" w:eastAsia="Arial" w:hAnsi="Arial"/>
                <w:sz w:val="15"/>
                <w:szCs w:val="15"/>
                <w:color w:val="auto"/>
              </w:rPr>
              <w:t>(19)</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Reverse stock split</w:t>
            </w: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6"/>
              </w:rPr>
              <w:t>Exchange of series B convertible preferred stock for</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46</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11,925</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11,971</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common stock</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5"/>
                <w:szCs w:val="15"/>
                <w:color w:val="auto"/>
              </w:rPr>
              <w:t>(9,942)</w:t>
            </w:r>
          </w:p>
        </w:tc>
        <w:tc>
          <w:tcPr>
            <w:tcW w:w="960" w:type="dxa"/>
            <w:vAlign w:val="bottom"/>
            <w:gridSpan w:val="3"/>
          </w:tcPr>
          <w:p>
            <w:pPr>
              <w:jc w:val="right"/>
              <w:ind w:right="80"/>
              <w:spacing w:after="0"/>
              <w:rPr>
                <w:sz w:val="20"/>
                <w:szCs w:val="20"/>
                <w:color w:val="auto"/>
              </w:rPr>
            </w:pPr>
            <w:r>
              <w:rPr>
                <w:rFonts w:ascii="Arial" w:cs="Arial" w:eastAsia="Arial" w:hAnsi="Arial"/>
                <w:sz w:val="15"/>
                <w:szCs w:val="15"/>
                <w:color w:val="auto"/>
              </w:rPr>
              <w:t>(9,942)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2010</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54</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29,774</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(30,067)</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(239)</w:t>
            </w:r>
          </w:p>
        </w:tc>
        <w:tc>
          <w:tcPr>
            <w:tcW w:w="0" w:type="dxa"/>
            <w:vAlign w:val="bottom"/>
          </w:tcPr>
          <w:p>
            <w:pPr>
              <w:spacing w:after="0"/>
              <w:rPr>
                <w:sz w:val="1"/>
                <w:szCs w:val="1"/>
                <w:color w:val="auto"/>
              </w:rPr>
            </w:pPr>
          </w:p>
        </w:tc>
      </w:tr>
      <w:tr>
        <w:trPr>
          <w:trHeight w:val="20"/>
        </w:trPr>
        <w:tc>
          <w:tcPr>
            <w:tcW w:w="90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gridSpan w:val="2"/>
          </w:tcPr>
          <w:p>
            <w:pPr>
              <w:spacing w:after="0"/>
              <w:rPr>
                <w:sz w:val="20"/>
                <w:szCs w:val="20"/>
                <w:color w:val="auto"/>
              </w:rPr>
            </w:pPr>
            <w:r>
              <w:rPr>
                <w:rFonts w:ascii="Arial" w:cs="Arial" w:eastAsia="Arial" w:hAnsi="Arial"/>
                <w:sz w:val="15"/>
                <w:szCs w:val="15"/>
                <w:color w:val="auto"/>
              </w:rPr>
              <w:t>Grants of stock options, net of forfeitures –</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1,300</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1,300</w:t>
            </w:r>
          </w:p>
        </w:tc>
        <w:tc>
          <w:tcPr>
            <w:tcW w:w="0" w:type="dxa"/>
            <w:vAlign w:val="bottom"/>
          </w:tcPr>
          <w:p>
            <w:pPr>
              <w:spacing w:after="0"/>
              <w:rPr>
                <w:sz w:val="1"/>
                <w:szCs w:val="1"/>
                <w:color w:val="auto"/>
              </w:rPr>
            </w:pPr>
          </w:p>
        </w:tc>
      </w:tr>
      <w:tr>
        <w:trPr>
          <w:trHeight w:val="193"/>
        </w:trPr>
        <w:tc>
          <w:tcPr>
            <w:tcW w:w="3360" w:type="dxa"/>
            <w:vAlign w:val="bottom"/>
            <w:gridSpan w:val="2"/>
          </w:tcPr>
          <w:p>
            <w:pPr>
              <w:ind w:left="200"/>
              <w:spacing w:after="0"/>
              <w:rPr>
                <w:sz w:val="20"/>
                <w:szCs w:val="20"/>
                <w:color w:val="auto"/>
              </w:rPr>
            </w:pPr>
            <w:r>
              <w:rPr>
                <w:rFonts w:ascii="Arial" w:cs="Arial" w:eastAsia="Arial" w:hAnsi="Arial"/>
                <w:sz w:val="15"/>
                <w:szCs w:val="15"/>
                <w:color w:val="auto"/>
              </w:rPr>
              <w:t>employees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stock options, net of</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131</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131</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forfeitures – non employees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warrants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5"/>
              </w:rPr>
              <w:t>Conversion of convertible notes and accrued interest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27</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2,484</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2,511</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Issuance of shares, net of issuance costs of $65</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777</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785</w:t>
            </w:r>
          </w:p>
        </w:tc>
        <w:tc>
          <w:tcPr>
            <w:tcW w:w="0" w:type="dxa"/>
            <w:vAlign w:val="bottom"/>
          </w:tcPr>
          <w:p>
            <w:pPr>
              <w:spacing w:after="0"/>
              <w:rPr>
                <w:sz w:val="1"/>
                <w:szCs w:val="1"/>
                <w:color w:val="auto"/>
              </w:rPr>
            </w:pPr>
          </w:p>
        </w:tc>
      </w:tr>
      <w:tr>
        <w:trPr>
          <w:trHeight w:val="188"/>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Issuance of shares to a consultant</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2</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295</w:t>
            </w:r>
          </w:p>
        </w:tc>
        <w:tc>
          <w:tcPr>
            <w:tcW w:w="0" w:type="dxa"/>
            <w:vAlign w:val="bottom"/>
          </w:tcPr>
          <w:p>
            <w:pPr>
              <w:spacing w:after="0"/>
              <w:rPr>
                <w:sz w:val="1"/>
                <w:szCs w:val="1"/>
                <w:color w:val="auto"/>
              </w:rPr>
            </w:pPr>
          </w:p>
        </w:tc>
      </w:tr>
      <w:tr>
        <w:trPr>
          <w:trHeight w:val="180"/>
        </w:trPr>
        <w:tc>
          <w:tcPr>
            <w:tcW w:w="3360" w:type="dxa"/>
            <w:vAlign w:val="bottom"/>
            <w:gridSpan w:val="2"/>
          </w:tcPr>
          <w:p>
            <w:pPr>
              <w:spacing w:after="0"/>
              <w:rPr>
                <w:sz w:val="20"/>
                <w:szCs w:val="20"/>
                <w:color w:val="auto"/>
              </w:rPr>
            </w:pPr>
            <w:r>
              <w:rPr>
                <w:rFonts w:ascii="Arial" w:cs="Arial" w:eastAsia="Arial" w:hAnsi="Arial"/>
                <w:sz w:val="15"/>
                <w:szCs w:val="15"/>
                <w:color w:val="auto"/>
                <w:w w:val="94"/>
              </w:rPr>
              <w:t>Issuance of shares in connection with restructuring of</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210</w:t>
            </w:r>
          </w:p>
        </w:tc>
        <w:tc>
          <w:tcPr>
            <w:tcW w:w="1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213</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60"/>
              <w:spacing w:after="0"/>
              <w:rPr>
                <w:sz w:val="20"/>
                <w:szCs w:val="20"/>
                <w:color w:val="auto"/>
              </w:rPr>
            </w:pPr>
            <w:r>
              <w:rPr>
                <w:rFonts w:ascii="Arial" w:cs="Arial" w:eastAsia="Arial" w:hAnsi="Arial"/>
                <w:sz w:val="15"/>
                <w:szCs w:val="15"/>
                <w:color w:val="auto"/>
              </w:rPr>
              <w:t>venture loan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rPr>
              <w:t>Grants of warrants to charity</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6"/>
                <w:szCs w:val="16"/>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43</w:t>
            </w:r>
          </w:p>
        </w:tc>
        <w:tc>
          <w:tcPr>
            <w:tcW w:w="16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43</w:t>
            </w: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Exercise of stock options</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color w:val="auto"/>
                <w:w w:val="95"/>
              </w:rPr>
              <w:t>Beneficial conversion feature recorded in connection</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FFCC"/>
          </w:tcPr>
          <w:p>
            <w:pPr>
              <w:spacing w:after="0"/>
              <w:rPr>
                <w:sz w:val="15"/>
                <w:szCs w:val="15"/>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1,269</w:t>
            </w:r>
          </w:p>
        </w:tc>
        <w:tc>
          <w:tcPr>
            <w:tcW w:w="160" w:type="dxa"/>
            <w:vAlign w:val="bottom"/>
            <w:shd w:val="clear" w:color="auto" w:fill="CCFFCC"/>
          </w:tcPr>
          <w:p>
            <w:pPr>
              <w:spacing w:after="0"/>
              <w:rPr>
                <w:sz w:val="15"/>
                <w:szCs w:val="15"/>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1,269</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FFCC"/>
          </w:tcPr>
          <w:p>
            <w:pPr>
              <w:ind w:left="160"/>
              <w:spacing w:after="0"/>
              <w:rPr>
                <w:sz w:val="20"/>
                <w:szCs w:val="20"/>
                <w:color w:val="auto"/>
              </w:rPr>
            </w:pPr>
            <w:r>
              <w:rPr>
                <w:rFonts w:ascii="Arial" w:cs="Arial" w:eastAsia="Arial" w:hAnsi="Arial"/>
                <w:sz w:val="15"/>
                <w:szCs w:val="15"/>
                <w:color w:val="auto"/>
              </w:rPr>
              <w:t>with convertible notes</w:t>
            </w:r>
          </w:p>
        </w:tc>
        <w:tc>
          <w:tcPr>
            <w:tcW w:w="5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360" w:type="dxa"/>
            <w:vAlign w:val="bottom"/>
            <w:gridSpan w:val="2"/>
          </w:tcPr>
          <w:p>
            <w:pPr>
              <w:spacing w:after="0"/>
              <w:rPr>
                <w:sz w:val="20"/>
                <w:szCs w:val="20"/>
                <w:color w:val="auto"/>
              </w:rPr>
            </w:pPr>
            <w:r>
              <w:rPr>
                <w:rFonts w:ascii="Arial" w:cs="Arial" w:eastAsia="Arial" w:hAnsi="Arial"/>
                <w:sz w:val="15"/>
                <w:szCs w:val="15"/>
                <w:color w:val="auto"/>
              </w:rPr>
              <w:t>Net loss for the year</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5"/>
                <w:szCs w:val="15"/>
                <w:b w:val="1"/>
                <w:bCs w:val="1"/>
                <w:color w:val="auto"/>
              </w:rPr>
              <w:t>(7,479)</w:t>
            </w:r>
          </w:p>
        </w:tc>
        <w:tc>
          <w:tcPr>
            <w:tcW w:w="96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(7,479)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gridSpan w:val="2"/>
            <w:shd w:val="clear" w:color="auto" w:fill="CCFFCC"/>
          </w:tcPr>
          <w:p>
            <w:pPr>
              <w:spacing w:after="0"/>
              <w:rPr>
                <w:sz w:val="20"/>
                <w:szCs w:val="20"/>
                <w:color w:val="auto"/>
              </w:rPr>
            </w:pPr>
            <w:r>
              <w:rPr>
                <w:rFonts w:ascii="Arial" w:cs="Arial" w:eastAsia="Arial" w:hAnsi="Arial"/>
                <w:sz w:val="15"/>
                <w:szCs w:val="15"/>
                <w:b w:val="1"/>
                <w:bCs w:val="1"/>
                <w:color w:val="auto"/>
              </w:rPr>
              <w:t>Balance as of December 31, 2011</w:t>
            </w: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100</w:t>
            </w:r>
          </w:p>
        </w:tc>
        <w:tc>
          <w:tcPr>
            <w:tcW w:w="16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36,281</w:t>
            </w:r>
          </w:p>
        </w:tc>
        <w:tc>
          <w:tcPr>
            <w:tcW w:w="900" w:type="dxa"/>
            <w:vAlign w:val="bottom"/>
            <w:gridSpan w:val="3"/>
            <w:shd w:val="clear" w:color="auto" w:fill="CCFFCC"/>
          </w:tcPr>
          <w:p>
            <w:pPr>
              <w:jc w:val="right"/>
              <w:ind w:right="100"/>
              <w:spacing w:after="0"/>
              <w:rPr>
                <w:sz w:val="20"/>
                <w:szCs w:val="20"/>
                <w:color w:val="auto"/>
              </w:rPr>
            </w:pPr>
            <w:r>
              <w:rPr>
                <w:rFonts w:ascii="Arial" w:cs="Arial" w:eastAsia="Arial" w:hAnsi="Arial"/>
                <w:sz w:val="15"/>
                <w:szCs w:val="15"/>
                <w:b w:val="1"/>
                <w:bCs w:val="1"/>
                <w:color w:val="auto"/>
              </w:rPr>
              <w:t>(37,546)</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(1,165)</w:t>
            </w:r>
          </w:p>
        </w:tc>
        <w:tc>
          <w:tcPr>
            <w:tcW w:w="0" w:type="dxa"/>
            <w:vAlign w:val="bottom"/>
          </w:tcPr>
          <w:p>
            <w:pPr>
              <w:spacing w:after="0"/>
              <w:rPr>
                <w:sz w:val="1"/>
                <w:szCs w:val="1"/>
                <w:color w:val="auto"/>
              </w:rPr>
            </w:pPr>
          </w:p>
        </w:tc>
      </w:tr>
      <w:tr>
        <w:trPr>
          <w:trHeight w:val="241"/>
        </w:trPr>
        <w:tc>
          <w:tcPr>
            <w:tcW w:w="900" w:type="dxa"/>
            <w:vAlign w:val="bottom"/>
            <w:tcBorders>
              <w:top w:val="single" w:sz="8" w:color="CCFFCC"/>
              <w:bottom w:val="single" w:sz="8" w:color="auto"/>
            </w:tcBorders>
          </w:tcPr>
          <w:p>
            <w:pPr>
              <w:spacing w:after="0"/>
              <w:rPr>
                <w:sz w:val="20"/>
                <w:szCs w:val="20"/>
                <w:color w:val="auto"/>
              </w:rPr>
            </w:pPr>
          </w:p>
        </w:tc>
        <w:tc>
          <w:tcPr>
            <w:tcW w:w="2460" w:type="dxa"/>
            <w:vAlign w:val="bottom"/>
            <w:tcBorders>
              <w:top w:val="single" w:sz="8" w:color="CCFFCC"/>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-4646295</wp:posOffset>
            </wp:positionV>
            <wp:extent cx="4837430" cy="2463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837430" cy="2463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-2123440</wp:posOffset>
            </wp:positionV>
            <wp:extent cx="4837430" cy="2463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837430" cy="2463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-198120</wp:posOffset>
            </wp:positionV>
            <wp:extent cx="4837430" cy="317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18"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Consideration for less than $1.</w:t>
      </w:r>
    </w:p>
    <w:p>
      <w:pPr>
        <w:spacing w:after="0" w:line="200" w:lineRule="exact"/>
        <w:rPr>
          <w:sz w:val="20"/>
          <w:szCs w:val="20"/>
          <w:color w:val="auto"/>
        </w:rPr>
      </w:pPr>
    </w:p>
    <w:p>
      <w:pPr>
        <w:spacing w:after="0" w:line="30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8" w:name="page239"/>
    <w:bookmarkEnd w:id="2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r>
      <w:tr>
        <w:trPr>
          <w:trHeight w:val="138"/>
        </w:trPr>
        <w:tc>
          <w:tcPr>
            <w:tcW w:w="4800" w:type="dxa"/>
            <w:vAlign w:val="bottom"/>
          </w:tcPr>
          <w:p>
            <w:pPr>
              <w:spacing w:after="0"/>
              <w:rPr>
                <w:sz w:val="11"/>
                <w:szCs w:val="11"/>
                <w:color w:val="auto"/>
              </w:rPr>
            </w:pPr>
          </w:p>
        </w:tc>
        <w:tc>
          <w:tcPr>
            <w:tcW w:w="1760" w:type="dxa"/>
            <w:vAlign w:val="bottom"/>
            <w:gridSpan w:val="4"/>
          </w:tcPr>
          <w:p>
            <w:pPr>
              <w:jc w:val="right"/>
              <w:ind w:right="48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r>
      <w:tr>
        <w:trPr>
          <w:trHeight w:val="138"/>
        </w:trPr>
        <w:tc>
          <w:tcPr>
            <w:tcW w:w="4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48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80"/>
        </w:trPr>
        <w:tc>
          <w:tcPr>
            <w:tcW w:w="4800" w:type="dxa"/>
            <w:vAlign w:val="bottom"/>
          </w:tcPr>
          <w:p>
            <w:pPr>
              <w:spacing w:after="0"/>
              <w:rPr>
                <w:sz w:val="15"/>
                <w:szCs w:val="15"/>
                <w:color w:val="auto"/>
              </w:rPr>
            </w:pPr>
          </w:p>
        </w:tc>
        <w:tc>
          <w:tcPr>
            <w:tcW w:w="740" w:type="dxa"/>
            <w:vAlign w:val="bottom"/>
          </w:tcPr>
          <w:p>
            <w:pPr>
              <w:jc w:val="right"/>
              <w:ind w:right="120"/>
              <w:spacing w:after="0"/>
              <w:rPr>
                <w:sz w:val="20"/>
                <w:szCs w:val="20"/>
                <w:color w:val="auto"/>
              </w:rPr>
            </w:pPr>
            <w:r>
              <w:rPr>
                <w:rFonts w:ascii="Arial" w:cs="Arial" w:eastAsia="Arial" w:hAnsi="Arial"/>
                <w:sz w:val="13"/>
                <w:szCs w:val="13"/>
                <w:b w:val="1"/>
                <w:bCs w:val="1"/>
                <w:color w:val="auto"/>
              </w:rPr>
              <w:t>2011</w:t>
            </w:r>
          </w:p>
        </w:tc>
        <w:tc>
          <w:tcPr>
            <w:tcW w:w="880" w:type="dxa"/>
            <w:vAlign w:val="bottom"/>
            <w:gridSpan w:val="2"/>
          </w:tcPr>
          <w:p>
            <w:pPr>
              <w:jc w:val="right"/>
              <w:ind w:right="38"/>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900" w:type="dxa"/>
            <w:vAlign w:val="bottom"/>
            <w:gridSpan w:val="2"/>
          </w:tcPr>
          <w:p>
            <w:pPr>
              <w:jc w:val="center"/>
              <w:ind w:left="23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r>
      <w:tr>
        <w:trPr>
          <w:trHeight w:val="180"/>
        </w:trPr>
        <w:tc>
          <w:tcPr>
            <w:tcW w:w="4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U.S.$</w:t>
            </w: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operating activities</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Net loss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(7,479)</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(9,942)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(37,546)</w:t>
            </w:r>
          </w:p>
        </w:tc>
      </w:tr>
      <w:tr>
        <w:trPr>
          <w:trHeight w:val="184"/>
        </w:trPr>
        <w:tc>
          <w:tcPr>
            <w:tcW w:w="4800" w:type="dxa"/>
            <w:vAlign w:val="bottom"/>
            <w:shd w:val="clear" w:color="auto" w:fill="CCFFCC"/>
          </w:tcPr>
          <w:p>
            <w:pPr>
              <w:spacing w:after="0" w:line="184" w:lineRule="exact"/>
              <w:rPr>
                <w:sz w:val="20"/>
                <w:szCs w:val="20"/>
                <w:color w:val="auto"/>
              </w:rPr>
            </w:pPr>
            <w:r>
              <w:rPr>
                <w:rFonts w:ascii="Arial" w:cs="Arial" w:eastAsia="Arial" w:hAnsi="Arial"/>
                <w:sz w:val="17"/>
                <w:szCs w:val="17"/>
                <w:b w:val="1"/>
                <w:bCs w:val="1"/>
                <w:color w:val="auto"/>
              </w:rPr>
              <w:t>Adjustments to reconcile net cash flows used in operating</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17"/>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b w:val="1"/>
                <w:bCs w:val="1"/>
                <w:color w:val="auto"/>
              </w:rPr>
              <w:t>activities: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b w:val="1"/>
                <w:bCs w:val="1"/>
                <w:color w:val="auto"/>
              </w:rPr>
              <w:t>Items not affecting cash flows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Depreciation and amortization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87</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454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Change in deferred tax assets and liabilities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132</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52</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accrued severance pay</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(177)</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150</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Share-based payment expenses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1,769</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2,291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4,462</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Accrued interest expense</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98</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2,512</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2,855</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Loss (gain) on revaluation of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402</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(952)</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(550)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Gain on restructuring of venture loan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(963)</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(963)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321</w:t>
            </w:r>
          </w:p>
        </w:tc>
      </w:tr>
      <w:tr>
        <w:trPr>
          <w:trHeight w:val="188"/>
        </w:trPr>
        <w:tc>
          <w:tcPr>
            <w:tcW w:w="480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5"/>
              </w:rPr>
              <w:t>Interest and amortization of discount in connection with convertible</w:t>
            </w: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1,280</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1,280</w:t>
            </w:r>
          </w:p>
        </w:tc>
      </w:tr>
      <w:tr>
        <w:trPr>
          <w:trHeight w:val="213"/>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color w:val="auto"/>
              </w:rPr>
              <w:t>notes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Exchange rate (gains) losses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(15)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81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Changes in current assets and liabilities</w:t>
            </w:r>
          </w:p>
        </w:tc>
        <w:tc>
          <w:tcPr>
            <w:tcW w:w="740" w:type="dxa"/>
            <w:vAlign w:val="bottom"/>
            <w:shd w:val="clear" w:color="auto" w:fill="CCFFCC"/>
          </w:tcPr>
          <w:p>
            <w:pPr>
              <w:spacing w:after="0"/>
              <w:rPr>
                <w:sz w:val="17"/>
                <w:szCs w:val="17"/>
                <w:color w:val="auto"/>
              </w:rPr>
            </w:pPr>
          </w:p>
        </w:tc>
        <w:tc>
          <w:tcPr>
            <w:tcW w:w="220" w:type="dxa"/>
            <w:vAlign w:val="bottom"/>
            <w:tcBorders>
              <w:left w:val="single" w:sz="8" w:color="CCFFCC"/>
            </w:tcBorders>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188"/>
        </w:trPr>
        <w:tc>
          <w:tcPr>
            <w:tcW w:w="4800" w:type="dxa"/>
            <w:vAlign w:val="bottom"/>
          </w:tcPr>
          <w:p>
            <w:pPr>
              <w:spacing w:after="0" w:line="188" w:lineRule="exact"/>
              <w:rPr>
                <w:sz w:val="20"/>
                <w:szCs w:val="20"/>
                <w:color w:val="auto"/>
              </w:rPr>
            </w:pPr>
            <w:r>
              <w:rPr>
                <w:rFonts w:ascii="Arial" w:cs="Arial" w:eastAsia="Arial" w:hAnsi="Arial"/>
                <w:sz w:val="17"/>
                <w:szCs w:val="17"/>
                <w:color w:val="auto"/>
                <w:w w:val="92"/>
              </w:rPr>
              <w:t>Increase in accounts receivable, prepaid expenses and other current</w:t>
            </w:r>
          </w:p>
        </w:tc>
        <w:tc>
          <w:tcPr>
            <w:tcW w:w="74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(283)</w:t>
            </w:r>
          </w:p>
        </w:tc>
        <w:tc>
          <w:tcPr>
            <w:tcW w:w="102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(98)</w:t>
            </w:r>
          </w:p>
        </w:tc>
        <w:tc>
          <w:tcPr>
            <w:tcW w:w="106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(532)</w:t>
            </w:r>
          </w:p>
        </w:tc>
      </w:tr>
      <w:tr>
        <w:trPr>
          <w:trHeight w:val="213"/>
        </w:trPr>
        <w:tc>
          <w:tcPr>
            <w:tcW w:w="4800" w:type="dxa"/>
            <w:vAlign w:val="bottom"/>
          </w:tcPr>
          <w:p>
            <w:pPr>
              <w:ind w:left="160"/>
              <w:spacing w:after="0"/>
              <w:rPr>
                <w:sz w:val="20"/>
                <w:szCs w:val="20"/>
                <w:color w:val="auto"/>
              </w:rPr>
            </w:pPr>
            <w:r>
              <w:rPr>
                <w:rFonts w:ascii="Arial" w:cs="Arial" w:eastAsia="Arial" w:hAnsi="Arial"/>
                <w:sz w:val="17"/>
                <w:szCs w:val="17"/>
                <w:color w:val="auto"/>
              </w:rPr>
              <w:t>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payables and accruals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(141)</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(376)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633</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3"/>
        </w:trPr>
        <w:tc>
          <w:tcPr>
            <w:tcW w:w="4800" w:type="dxa"/>
            <w:vAlign w:val="bottom"/>
          </w:tcPr>
          <w:p>
            <w:pPr>
              <w:spacing w:after="0" w:line="193" w:lineRule="exact"/>
              <w:rPr>
                <w:sz w:val="20"/>
                <w:szCs w:val="20"/>
                <w:color w:val="auto"/>
              </w:rPr>
            </w:pPr>
            <w:r>
              <w:rPr>
                <w:rFonts w:ascii="Arial" w:cs="Arial" w:eastAsia="Arial" w:hAnsi="Arial"/>
                <w:sz w:val="17"/>
                <w:szCs w:val="17"/>
                <w:color w:val="auto"/>
              </w:rPr>
              <w:t>Net cash used in operating activities</w:t>
            </w: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(5,380)</w:t>
            </w:r>
          </w:p>
        </w:tc>
        <w:tc>
          <w:tcPr>
            <w:tcW w:w="220" w:type="dxa"/>
            <w:vAlign w:val="bottom"/>
          </w:tcPr>
          <w:p>
            <w:pPr>
              <w:spacing w:after="0"/>
              <w:rPr>
                <w:sz w:val="16"/>
                <w:szCs w:val="16"/>
                <w:color w:val="auto"/>
              </w:rPr>
            </w:pPr>
          </w:p>
        </w:tc>
        <w:tc>
          <w:tcPr>
            <w:tcW w:w="80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(6,361)</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(29,303)</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investing activities</w:t>
            </w:r>
          </w:p>
        </w:tc>
        <w:tc>
          <w:tcPr>
            <w:tcW w:w="740" w:type="dxa"/>
            <w:vAlign w:val="bottom"/>
            <w:tcBorders>
              <w:top w:val="single" w:sz="8" w:color="auto"/>
            </w:tcBorders>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Acquisition of property and equipment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020" w:type="dxa"/>
            <w:vAlign w:val="bottom"/>
            <w:gridSpan w:val="3"/>
          </w:tcPr>
          <w:p>
            <w:pPr>
              <w:jc w:val="right"/>
              <w:ind w:right="80"/>
              <w:spacing w:after="0"/>
              <w:rPr>
                <w:sz w:val="20"/>
                <w:szCs w:val="20"/>
                <w:color w:val="auto"/>
              </w:rPr>
            </w:pPr>
            <w:r>
              <w:rPr>
                <w:rFonts w:ascii="Arial" w:cs="Arial" w:eastAsia="Arial" w:hAnsi="Arial"/>
                <w:sz w:val="17"/>
                <w:szCs w:val="17"/>
                <w:color w:val="auto"/>
              </w:rPr>
              <w:t>(86)</w:t>
            </w: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(598)</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Decrease (increase) in lease deposits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(8)</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Proceeds from investment in restricted short-term deposits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2,582</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Net cash provided by (used in) investing activities</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(6)</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2,499</w:t>
            </w:r>
          </w:p>
        </w:tc>
        <w:tc>
          <w:tcPr>
            <w:tcW w:w="1060" w:type="dxa"/>
            <w:vAlign w:val="bottom"/>
            <w:gridSpan w:val="3"/>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(606)</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-795020</wp:posOffset>
            </wp:positionV>
            <wp:extent cx="4837430" cy="1435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483743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39" w:name="page240"/>
    <w:bookmarkEnd w:id="2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3743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00" w:type="dxa"/>
            <w:vAlign w:val="bottom"/>
          </w:tcPr>
          <w:p>
            <w:pPr>
              <w:spacing w:after="0"/>
              <w:rPr>
                <w:sz w:val="13"/>
                <w:szCs w:val="13"/>
                <w:color w:val="auto"/>
              </w:rPr>
            </w:pPr>
          </w:p>
        </w:tc>
        <w:tc>
          <w:tcPr>
            <w:tcW w:w="176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For the year ended</w:t>
            </w:r>
          </w:p>
        </w:tc>
        <w:tc>
          <w:tcPr>
            <w:tcW w:w="14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Cumulative</w:t>
            </w:r>
          </w:p>
        </w:tc>
      </w:tr>
      <w:tr>
        <w:trPr>
          <w:trHeight w:val="138"/>
        </w:trPr>
        <w:tc>
          <w:tcPr>
            <w:tcW w:w="4800" w:type="dxa"/>
            <w:vAlign w:val="bottom"/>
          </w:tcPr>
          <w:p>
            <w:pPr>
              <w:spacing w:after="0"/>
              <w:rPr>
                <w:sz w:val="11"/>
                <w:szCs w:val="11"/>
                <w:color w:val="auto"/>
              </w:rPr>
            </w:pPr>
          </w:p>
        </w:tc>
        <w:tc>
          <w:tcPr>
            <w:tcW w:w="1760" w:type="dxa"/>
            <w:vAlign w:val="bottom"/>
            <w:gridSpan w:val="4"/>
          </w:tcPr>
          <w:p>
            <w:pPr>
              <w:jc w:val="right"/>
              <w:ind w:right="480"/>
              <w:spacing w:after="0" w:line="13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6"/>
              </w:rPr>
              <w:t>from</w:t>
            </w:r>
          </w:p>
        </w:tc>
      </w:tr>
      <w:tr>
        <w:trPr>
          <w:trHeight w:val="138"/>
        </w:trPr>
        <w:tc>
          <w:tcPr>
            <w:tcW w:w="4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48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r>
      <w:tr>
        <w:trPr>
          <w:trHeight w:val="180"/>
        </w:trPr>
        <w:tc>
          <w:tcPr>
            <w:tcW w:w="4800" w:type="dxa"/>
            <w:vAlign w:val="bottom"/>
          </w:tcPr>
          <w:p>
            <w:pPr>
              <w:spacing w:after="0"/>
              <w:rPr>
                <w:sz w:val="15"/>
                <w:szCs w:val="15"/>
                <w:color w:val="auto"/>
              </w:rPr>
            </w:pPr>
          </w:p>
        </w:tc>
        <w:tc>
          <w:tcPr>
            <w:tcW w:w="740" w:type="dxa"/>
            <w:vAlign w:val="bottom"/>
          </w:tcPr>
          <w:p>
            <w:pPr>
              <w:jc w:val="right"/>
              <w:ind w:right="119"/>
              <w:spacing w:after="0"/>
              <w:rPr>
                <w:sz w:val="20"/>
                <w:szCs w:val="20"/>
                <w:color w:val="auto"/>
              </w:rPr>
            </w:pPr>
            <w:r>
              <w:rPr>
                <w:rFonts w:ascii="Arial" w:cs="Arial" w:eastAsia="Arial" w:hAnsi="Arial"/>
                <w:sz w:val="13"/>
                <w:szCs w:val="13"/>
                <w:b w:val="1"/>
                <w:bCs w:val="1"/>
                <w:color w:val="auto"/>
              </w:rPr>
              <w:t>2011</w:t>
            </w:r>
          </w:p>
        </w:tc>
        <w:tc>
          <w:tcPr>
            <w:tcW w:w="8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5"/>
                <w:szCs w:val="15"/>
                <w:color w:val="auto"/>
              </w:rPr>
            </w:pPr>
          </w:p>
        </w:tc>
        <w:tc>
          <w:tcPr>
            <w:tcW w:w="900" w:type="dxa"/>
            <w:vAlign w:val="bottom"/>
            <w:gridSpan w:val="2"/>
          </w:tcPr>
          <w:p>
            <w:pPr>
              <w:jc w:val="center"/>
              <w:ind w:left="237"/>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r>
      <w:tr>
        <w:trPr>
          <w:trHeight w:val="180"/>
        </w:trPr>
        <w:tc>
          <w:tcPr>
            <w:tcW w:w="48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U.S.$</w:t>
            </w:r>
          </w:p>
        </w:tc>
        <w:tc>
          <w:tcPr>
            <w:tcW w:w="220" w:type="dxa"/>
            <w:vAlign w:val="bottom"/>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U.S.$</w:t>
            </w:r>
          </w:p>
        </w:tc>
        <w:tc>
          <w:tcPr>
            <w:tcW w:w="14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Cash flows from financing activities</w:t>
            </w:r>
          </w:p>
        </w:tc>
        <w:tc>
          <w:tcPr>
            <w:tcW w:w="74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Receipt of venture loan</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5,000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Repayment on account of venture loan</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(2,095)</w:t>
            </w:r>
          </w:p>
        </w:tc>
        <w:tc>
          <w:tcPr>
            <w:tcW w:w="102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(757)</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7"/>
                <w:szCs w:val="17"/>
                <w:color w:val="auto"/>
              </w:rPr>
              <w:t>(3,651)</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Receipt of convertible notes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2,500</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2,500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and warrants, net</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9,263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9,263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1,070</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Receipt of convertible loans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3,976</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convertible preferred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12,195</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Exercise of common stock options and 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22</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Issuance of common stock, net of issuance expenses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785</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785</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1,198</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8,520</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31,160</w:t>
            </w:r>
          </w:p>
        </w:tc>
      </w:tr>
      <w:tr>
        <w:trPr>
          <w:trHeight w:val="20"/>
        </w:trPr>
        <w:tc>
          <w:tcPr>
            <w:tcW w:w="48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193"/>
        </w:trPr>
        <w:tc>
          <w:tcPr>
            <w:tcW w:w="4800" w:type="dxa"/>
            <w:vAlign w:val="bottom"/>
          </w:tcPr>
          <w:p>
            <w:pPr>
              <w:spacing w:after="0" w:line="193" w:lineRule="exact"/>
              <w:rPr>
                <w:sz w:val="20"/>
                <w:szCs w:val="20"/>
                <w:color w:val="auto"/>
              </w:rPr>
            </w:pPr>
            <w:r>
              <w:rPr>
                <w:rFonts w:ascii="Arial" w:cs="Arial" w:eastAsia="Arial" w:hAnsi="Arial"/>
                <w:sz w:val="17"/>
                <w:szCs w:val="17"/>
                <w:color w:val="auto"/>
              </w:rPr>
              <w:t>Effect of exchange rate changes on cash and cash equivalents</w:t>
            </w:r>
          </w:p>
        </w:tc>
        <w:tc>
          <w:tcPr>
            <w:tcW w:w="7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(29)</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5</w:t>
            </w:r>
          </w:p>
        </w:tc>
        <w:tc>
          <w:tcPr>
            <w:tcW w:w="1060" w:type="dxa"/>
            <w:vAlign w:val="bottom"/>
            <w:gridSpan w:val="3"/>
          </w:tcPr>
          <w:p>
            <w:pPr>
              <w:jc w:val="right"/>
              <w:ind w:right="100"/>
              <w:spacing w:after="0" w:line="193" w:lineRule="exact"/>
              <w:rPr>
                <w:sz w:val="20"/>
                <w:szCs w:val="20"/>
                <w:color w:val="auto"/>
              </w:rPr>
            </w:pPr>
            <w:r>
              <w:rPr>
                <w:rFonts w:ascii="Arial" w:cs="Arial" w:eastAsia="Arial" w:hAnsi="Arial"/>
                <w:sz w:val="17"/>
                <w:szCs w:val="17"/>
                <w:color w:val="auto"/>
              </w:rPr>
              <w:t>(61)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Increase (decrease) in cash and cash equivalents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(4,217)</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4,663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1,190</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Cash and cash equivalents at beginning of period</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5,407</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744</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3"/>
        </w:trPr>
        <w:tc>
          <w:tcPr>
            <w:tcW w:w="48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and cash equivalents at end of period</w:t>
            </w:r>
          </w:p>
        </w:tc>
        <w:tc>
          <w:tcPr>
            <w:tcW w:w="7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1,190</w:t>
            </w:r>
          </w:p>
        </w:tc>
        <w:tc>
          <w:tcPr>
            <w:tcW w:w="220" w:type="dxa"/>
            <w:vAlign w:val="bottom"/>
            <w:tcBorders>
              <w:left w:val="single" w:sz="8" w:color="CCFFCC"/>
            </w:tcBorders>
            <w:shd w:val="clear" w:color="auto" w:fill="CCFFCC"/>
          </w:tcPr>
          <w:p>
            <w:pPr>
              <w:spacing w:after="0"/>
              <w:rPr>
                <w:sz w:val="20"/>
                <w:szCs w:val="20"/>
                <w:color w:val="auto"/>
              </w:rPr>
            </w:pPr>
          </w:p>
        </w:tc>
        <w:tc>
          <w:tcPr>
            <w:tcW w:w="8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5,407</w:t>
            </w:r>
          </w:p>
        </w:tc>
        <w:tc>
          <w:tcPr>
            <w:tcW w:w="10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1,190</w:t>
            </w:r>
          </w:p>
        </w:tc>
      </w:tr>
      <w:tr>
        <w:trPr>
          <w:trHeight w:val="191"/>
        </w:trPr>
        <w:tc>
          <w:tcPr>
            <w:tcW w:w="480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Supplemental disclosure of cash flows information</w:t>
            </w: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Interest paid</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151</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386</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1,137</w:t>
            </w:r>
          </w:p>
        </w:tc>
      </w:tr>
      <w:tr>
        <w:trPr>
          <w:trHeight w:val="200"/>
        </w:trPr>
        <w:tc>
          <w:tcPr>
            <w:tcW w:w="4800" w:type="dxa"/>
            <w:vAlign w:val="bottom"/>
          </w:tcPr>
          <w:p>
            <w:pPr>
              <w:spacing w:after="0"/>
              <w:rPr>
                <w:sz w:val="20"/>
                <w:szCs w:val="20"/>
                <w:color w:val="auto"/>
              </w:rPr>
            </w:pPr>
            <w:r>
              <w:rPr>
                <w:rFonts w:ascii="Arial" w:cs="Arial" w:eastAsia="Arial" w:hAnsi="Arial"/>
                <w:sz w:val="17"/>
                <w:szCs w:val="17"/>
                <w:b w:val="1"/>
                <w:bCs w:val="1"/>
                <w:color w:val="auto"/>
              </w:rPr>
              <w:t>Non-cash investing and financing transactions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Conversion of convertible loan into convertible preferred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1,964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Extinguishment of debt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321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Discount to the series B convertible preferred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43</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Allocation of fair value of loan warrants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334</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Allocation of fair value of conversion 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1,564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1,564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w w:val="94"/>
              </w:rPr>
              <w:t>Exchange of series B convertible preferred stock for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11,971</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11,971</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w w:val="94"/>
              </w:rPr>
              <w:t>Exchange of series A convertible preferred stock for common stock</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24</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24</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rPr>
              <w:t>Conversion of bridge notes into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2,545</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2,545</w:t>
            </w:r>
          </w:p>
        </w:tc>
      </w:tr>
      <w:tr>
        <w:trPr>
          <w:trHeight w:val="200"/>
        </w:trPr>
        <w:tc>
          <w:tcPr>
            <w:tcW w:w="480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discounts to temporary equity</w:t>
            </w: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left w:val="single" w:sz="8" w:color="CCFFCC"/>
            </w:tcBorders>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3</w:t>
            </w:r>
          </w:p>
        </w:tc>
        <w:tc>
          <w:tcPr>
            <w:tcW w:w="10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21</w:t>
            </w:r>
          </w:p>
        </w:tc>
      </w:tr>
      <w:tr>
        <w:trPr>
          <w:trHeight w:val="200"/>
        </w:trPr>
        <w:tc>
          <w:tcPr>
            <w:tcW w:w="4800" w:type="dxa"/>
            <w:vAlign w:val="bottom"/>
          </w:tcPr>
          <w:p>
            <w:pPr>
              <w:spacing w:after="0"/>
              <w:rPr>
                <w:sz w:val="20"/>
                <w:szCs w:val="20"/>
                <w:color w:val="auto"/>
              </w:rPr>
            </w:pPr>
            <w:r>
              <w:rPr>
                <w:rFonts w:ascii="Arial" w:cs="Arial" w:eastAsia="Arial" w:hAnsi="Arial"/>
                <w:sz w:val="17"/>
                <w:szCs w:val="17"/>
                <w:color w:val="auto"/>
                <w:w w:val="95"/>
              </w:rPr>
              <w:t>Issuance of shares in consideration of restructuring of venture loan</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213</w:t>
            </w:r>
          </w:p>
        </w:tc>
        <w:tc>
          <w:tcPr>
            <w:tcW w:w="2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213</w:t>
            </w:r>
          </w:p>
        </w:tc>
      </w:tr>
      <w:tr>
        <w:trPr>
          <w:trHeight w:val="188"/>
        </w:trPr>
        <w:tc>
          <w:tcPr>
            <w:tcW w:w="480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recorded in connection with</w:t>
            </w:r>
          </w:p>
        </w:tc>
        <w:tc>
          <w:tcPr>
            <w:tcW w:w="740" w:type="dxa"/>
            <w:vAlign w:val="bottom"/>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1,269</w:t>
            </w:r>
          </w:p>
        </w:tc>
        <w:tc>
          <w:tcPr>
            <w:tcW w:w="220" w:type="dxa"/>
            <w:vAlign w:val="bottom"/>
            <w:tcBorders>
              <w:left w:val="single" w:sz="8" w:color="CCFFCC"/>
            </w:tcBorders>
            <w:shd w:val="clear" w:color="auto" w:fill="CCFFCC"/>
          </w:tcPr>
          <w:p>
            <w:pPr>
              <w:spacing w:after="0"/>
              <w:rPr>
                <w:sz w:val="16"/>
                <w:szCs w:val="16"/>
                <w:color w:val="auto"/>
              </w:rPr>
            </w:pPr>
          </w:p>
        </w:tc>
        <w:tc>
          <w:tcPr>
            <w:tcW w:w="800" w:type="dxa"/>
            <w:vAlign w:val="bottom"/>
            <w:gridSpan w:val="2"/>
            <w:shd w:val="clear" w:color="auto" w:fill="CCFFCC"/>
          </w:tcPr>
          <w:p>
            <w:pPr>
              <w:jc w:val="right"/>
              <w:ind w:right="1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1,269</w:t>
            </w:r>
          </w:p>
        </w:tc>
      </w:tr>
      <w:tr>
        <w:trPr>
          <w:trHeight w:val="213"/>
        </w:trPr>
        <w:tc>
          <w:tcPr>
            <w:tcW w:w="480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convertible notes</w:t>
            </w:r>
          </w:p>
        </w:tc>
        <w:tc>
          <w:tcPr>
            <w:tcW w:w="74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7"/>
        </w:trPr>
        <w:tc>
          <w:tcPr>
            <w:tcW w:w="4800" w:type="dxa"/>
            <w:vAlign w:val="bottom"/>
          </w:tcPr>
          <w:p>
            <w:pPr>
              <w:spacing w:after="0"/>
              <w:rPr>
                <w:sz w:val="20"/>
                <w:szCs w:val="20"/>
                <w:color w:val="auto"/>
              </w:rPr>
            </w:pPr>
            <w:r>
              <w:rPr>
                <w:rFonts w:ascii="Arial" w:cs="Arial" w:eastAsia="Arial" w:hAnsi="Arial"/>
                <w:sz w:val="17"/>
                <w:szCs w:val="17"/>
                <w:color w:val="auto"/>
              </w:rPr>
              <w:t>Conversion of convertible notes into common stock</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2,511</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-2603500</wp:posOffset>
            </wp:positionV>
            <wp:extent cx="4837430" cy="135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-2078355</wp:posOffset>
            </wp:positionV>
            <wp:extent cx="4837430" cy="1593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837430" cy="1593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accompanying notes form an integral part of these consolidated financial statements.</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0" w:name="page241"/>
    <w:bookmarkEnd w:id="2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 — General</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6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62" w:lineRule="exact"/>
        <w:rPr>
          <w:sz w:val="20"/>
          <w:szCs w:val="20"/>
          <w:color w:val="auto"/>
        </w:rPr>
      </w:pPr>
    </w:p>
    <w:p>
      <w:pPr>
        <w:jc w:val="both"/>
        <w:ind w:left="40" w:right="1239" w:firstLine="251"/>
        <w:spacing w:after="0" w:line="248" w:lineRule="auto"/>
        <w:rPr>
          <w:sz w:val="20"/>
          <w:szCs w:val="20"/>
          <w:color w:val="auto"/>
        </w:rPr>
      </w:pPr>
      <w:r>
        <w:rPr>
          <w:rFonts w:ascii="Arial" w:cs="Arial" w:eastAsia="Arial" w:hAnsi="Arial"/>
          <w:sz w:val="17"/>
          <w:szCs w:val="17"/>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200" w:lineRule="exact"/>
        <w:rPr>
          <w:sz w:val="20"/>
          <w:szCs w:val="20"/>
          <w:color w:val="auto"/>
        </w:rPr>
      </w:pPr>
    </w:p>
    <w:p>
      <w:pPr>
        <w:spacing w:after="0" w:line="31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1" w:name="page242"/>
    <w:bookmarkEnd w:id="2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 General – (continued)</w:t>
      </w:r>
    </w:p>
    <w:p>
      <w:pPr>
        <w:jc w:val="both"/>
        <w:ind w:left="40" w:right="1239" w:firstLine="251"/>
        <w:spacing w:after="0" w:line="286" w:lineRule="auto"/>
        <w:rPr>
          <w:sz w:val="20"/>
          <w:szCs w:val="20"/>
          <w:color w:val="auto"/>
        </w:rPr>
      </w:pPr>
      <w:r>
        <w:rPr>
          <w:rFonts w:ascii="Arial" w:cs="Arial" w:eastAsia="Arial" w:hAnsi="Arial"/>
          <w:sz w:val="15"/>
          <w:szCs w:val="15"/>
          <w:color w:val="auto"/>
        </w:rPr>
        <w:t>The Company believes that following the February 2012 warrant exercise, its current cash levels will be sufficient to support its activity into the fourth quarter of 2012. On March 12,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6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As of December 31, 2011, approximately $303 thousand of the Company’s net assets were located outside of the United States.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 Significant Accounting and Reporting Policies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(a) Basis of presentation and principles of consolidation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(b) Development stage enterprise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 Translation into U.S. dollars</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(d) Use of estimates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w:t>
      </w: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spacing w:after="0" w:line="267" w:lineRule="auto"/>
        <w:rPr>
          <w:sz w:val="20"/>
          <w:szCs w:val="20"/>
          <w:color w:val="auto"/>
        </w:rPr>
      </w:pPr>
      <w:r>
        <w:rPr>
          <w:rFonts w:ascii="Arial" w:cs="Arial" w:eastAsia="Arial" w:hAnsi="Arial"/>
          <w:sz w:val="17"/>
          <w:szCs w:val="17"/>
          <w:color w:val="auto"/>
        </w:rPr>
        <w:t>derivative instruments, share-based payments, warrants, income tax uncertainties and other contingencies. The current economic environment has increased the degree of uncertainty inherent in those estimates and assumptions.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 Cash and cash equivalents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For the purpose of these financial statements, all highly liquid investments with original maturities of three months or less are considered cash equivalents.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(f) Accounts receivables and allowance for doubtful accounts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(g) Derivative instruments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(h) Property and equipment</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r>
      <w:tr>
        <w:trPr>
          <w:trHeight w:val="193"/>
        </w:trPr>
        <w:tc>
          <w:tcPr>
            <w:tcW w:w="60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Office furniture and equipment</w:t>
            </w:r>
          </w:p>
        </w:tc>
        <w:tc>
          <w:tcPr>
            <w:tcW w:w="900" w:type="dxa"/>
            <w:vAlign w:val="bottom"/>
            <w:shd w:val="clear" w:color="auto" w:fill="CCFFCC"/>
          </w:tcPr>
          <w:p>
            <w:pPr>
              <w:jc w:val="right"/>
              <w:ind w:right="2"/>
              <w:spacing w:after="0" w:line="193" w:lineRule="exact"/>
              <w:rPr>
                <w:sz w:val="20"/>
                <w:szCs w:val="20"/>
                <w:color w:val="auto"/>
              </w:rPr>
            </w:pPr>
            <w:r>
              <w:rPr>
                <w:rFonts w:ascii="Arial" w:cs="Arial" w:eastAsia="Arial" w:hAnsi="Arial"/>
                <w:sz w:val="17"/>
                <w:szCs w:val="17"/>
                <w:color w:val="auto"/>
              </w:rPr>
              <w:t>7 – 33</w:t>
            </w:r>
          </w:p>
        </w:tc>
      </w:t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Computers and related equipment</w:t>
            </w:r>
          </w:p>
        </w:tc>
        <w:tc>
          <w:tcPr>
            <w:tcW w:w="900" w:type="dxa"/>
            <w:vAlign w:val="bottom"/>
          </w:tcPr>
          <w:p>
            <w:pPr>
              <w:jc w:val="right"/>
              <w:ind w:right="2"/>
              <w:spacing w:after="0"/>
              <w:rPr>
                <w:sz w:val="20"/>
                <w:szCs w:val="20"/>
                <w:color w:val="auto"/>
              </w:rPr>
            </w:pPr>
            <w:r>
              <w:rPr>
                <w:rFonts w:ascii="Arial" w:cs="Arial" w:eastAsia="Arial" w:hAnsi="Arial"/>
                <w:sz w:val="17"/>
                <w:szCs w:val="17"/>
                <w:color w:val="auto"/>
              </w:rPr>
              <w:t>33</w:t>
            </w:r>
          </w:p>
        </w:tc>
      </w:tr>
    </w:tbl>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Leasehold improvements are amortized over the shorter of the useful life of the asset or the term of the lease.</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 Revenue recognition</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3" w:name="page244"/>
    <w:bookmarkEnd w:id="2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96" w:lineRule="auto"/>
        <w:rPr>
          <w:sz w:val="20"/>
          <w:szCs w:val="20"/>
          <w:color w:val="auto"/>
        </w:rPr>
      </w:pPr>
      <w:r>
        <w:rPr>
          <w:rFonts w:ascii="Arial" w:cs="Arial" w:eastAsia="Arial" w:hAnsi="Arial"/>
          <w:sz w:val="17"/>
          <w:szCs w:val="17"/>
          <w:b w:val="1"/>
          <w:bCs w:val="1"/>
          <w:color w:val="auto"/>
        </w:rPr>
        <w:t xml:space="preserve">NOTES TO CONSOLIDATED FINANCIAL STATEMENTS Note 2 — Significant Accounting and Reporting Policies – (continued) </w:t>
      </w:r>
      <w:r>
        <w:rPr>
          <w:rFonts w:ascii="Arial" w:cs="Arial" w:eastAsia="Arial" w:hAnsi="Arial"/>
          <w:sz w:val="17"/>
          <w:szCs w:val="17"/>
          <w:b w:val="1"/>
          <w:bCs w:val="1"/>
          <w:i w:val="1"/>
          <w:iCs w:val="1"/>
          <w:color w:val="auto"/>
        </w:rPr>
        <w:t>(j) Cost of revenue</w:t>
      </w:r>
    </w:p>
    <w:p>
      <w:pPr>
        <w:spacing w:after="0" w:line="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 Research and development</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Research and development expenses are expensed as incurred and consist primarily of payroll and facilities charges associated with the research, development and integration of our current and future products.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 Advertising and Promotional costs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(m) Accounting for share-based payments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(n) Income taxes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71"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4" w:name="page245"/>
    <w:bookmarkEnd w:id="2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 Reverse stock split</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 Net loss per share data</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Cumulative</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2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from inception</w:t>
            </w: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to December 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gridSpan w:val="2"/>
            <w:vMerge w:val="restart"/>
          </w:tcPr>
          <w:p>
            <w:pPr>
              <w:jc w:val="center"/>
              <w:ind w:left="219"/>
              <w:spacing w:after="0"/>
              <w:rPr>
                <w:sz w:val="20"/>
                <w:szCs w:val="20"/>
                <w:color w:val="auto"/>
              </w:rPr>
            </w:pPr>
            <w:r>
              <w:rPr>
                <w:rFonts w:ascii="Arial" w:cs="Arial" w:eastAsia="Arial" w:hAnsi="Arial"/>
                <w:sz w:val="13"/>
                <w:szCs w:val="13"/>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760" w:type="dxa"/>
            <w:vAlign w:val="bottom"/>
            <w:vMerge w:val="restart"/>
          </w:tcPr>
          <w:p>
            <w:pPr>
              <w:jc w:val="right"/>
              <w:ind w:right="143"/>
              <w:spacing w:after="0"/>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76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20" w:type="dxa"/>
            <w:vAlign w:val="bottom"/>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2920" w:type="dxa"/>
            <w:vAlign w:val="bottom"/>
            <w:gridSpan w:val="8"/>
          </w:tcPr>
          <w:p>
            <w:pPr>
              <w:jc w:val="right"/>
              <w:ind w:right="200"/>
              <w:spacing w:after="0"/>
              <w:rPr>
                <w:sz w:val="20"/>
                <w:szCs w:val="20"/>
                <w:color w:val="auto"/>
              </w:rPr>
            </w:pPr>
            <w:r>
              <w:rPr>
                <w:rFonts w:ascii="Arial" w:cs="Arial" w:eastAsia="Arial" w:hAnsi="Arial"/>
                <w:sz w:val="13"/>
                <w:szCs w:val="13"/>
                <w:color w:val="auto"/>
                <w:w w:val="97"/>
              </w:rPr>
              <w:t>(in thousands, except share and per share data)</w:t>
            </w:r>
          </w:p>
        </w:tc>
        <w:tc>
          <w:tcPr>
            <w:tcW w:w="0" w:type="dxa"/>
            <w:vAlign w:val="bottom"/>
          </w:tcPr>
          <w:p>
            <w:pPr>
              <w:spacing w:after="0"/>
              <w:rPr>
                <w:sz w:val="1"/>
                <w:szCs w:val="1"/>
                <w:color w:val="auto"/>
              </w:rPr>
            </w:pPr>
          </w:p>
        </w:tc>
      </w:tr>
      <w:tr>
        <w:trPr>
          <w:trHeight w:val="206"/>
        </w:trPr>
        <w:tc>
          <w:tcPr>
            <w:tcW w:w="40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Numerator:</w:t>
            </w:r>
          </w:p>
        </w:tc>
        <w:tc>
          <w:tcPr>
            <w:tcW w:w="7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line="188" w:lineRule="exact"/>
              <w:rPr>
                <w:sz w:val="20"/>
                <w:szCs w:val="20"/>
                <w:color w:val="auto"/>
              </w:rPr>
            </w:pPr>
            <w:r>
              <w:rPr>
                <w:rFonts w:ascii="Arial" w:cs="Arial" w:eastAsia="Arial" w:hAnsi="Arial"/>
                <w:sz w:val="17"/>
                <w:szCs w:val="17"/>
                <w:color w:val="auto"/>
              </w:rPr>
              <w:t>Net loss attributable to common stock shares</w:t>
            </w:r>
          </w:p>
        </w:tc>
        <w:tc>
          <w:tcPr>
            <w:tcW w:w="80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rPr>
              <w:t>(7,479)</w:t>
            </w:r>
          </w:p>
        </w:tc>
        <w:tc>
          <w:tcPr>
            <w:tcW w:w="1020" w:type="dxa"/>
            <w:vAlign w:val="bottom"/>
            <w:gridSpan w:val="3"/>
          </w:tcPr>
          <w:p>
            <w:pPr>
              <w:jc w:val="right"/>
              <w:ind w:right="40"/>
              <w:spacing w:after="0" w:line="188" w:lineRule="exact"/>
              <w:rPr>
                <w:sz w:val="20"/>
                <w:szCs w:val="20"/>
                <w:color w:val="auto"/>
              </w:rPr>
            </w:pPr>
            <w:r>
              <w:rPr>
                <w:rFonts w:ascii="Arial" w:cs="Arial" w:eastAsia="Arial" w:hAnsi="Arial"/>
                <w:sz w:val="17"/>
                <w:szCs w:val="17"/>
                <w:color w:val="auto"/>
              </w:rPr>
              <w:t>(9,942)</w:t>
            </w:r>
          </w:p>
        </w:tc>
        <w:tc>
          <w:tcPr>
            <w:tcW w:w="1100" w:type="dxa"/>
            <w:vAlign w:val="bottom"/>
            <w:gridSpan w:val="3"/>
          </w:tcPr>
          <w:p>
            <w:pPr>
              <w:jc w:val="right"/>
              <w:ind w:right="80"/>
              <w:spacing w:after="0" w:line="188" w:lineRule="exact"/>
              <w:rPr>
                <w:sz w:val="20"/>
                <w:szCs w:val="20"/>
                <w:color w:val="auto"/>
              </w:rPr>
            </w:pPr>
            <w:r>
              <w:rPr>
                <w:rFonts w:ascii="Arial" w:cs="Arial" w:eastAsia="Arial" w:hAnsi="Arial"/>
                <w:sz w:val="17"/>
                <w:szCs w:val="17"/>
                <w:color w:val="auto"/>
              </w:rPr>
              <w:t>(37,546)</w:t>
            </w:r>
          </w:p>
        </w:tc>
        <w:tc>
          <w:tcPr>
            <w:tcW w:w="0" w:type="dxa"/>
            <w:vAlign w:val="bottom"/>
          </w:tcPr>
          <w:p>
            <w:pPr>
              <w:spacing w:after="0"/>
              <w:rPr>
                <w:sz w:val="1"/>
                <w:szCs w:val="1"/>
                <w:color w:val="auto"/>
              </w:rPr>
            </w:pPr>
          </w:p>
        </w:tc>
      </w:tr>
      <w:tr>
        <w:trPr>
          <w:trHeight w:val="213"/>
        </w:trPr>
        <w:tc>
          <w:tcPr>
            <w:tcW w:w="4020" w:type="dxa"/>
            <w:vAlign w:val="bottom"/>
          </w:tcPr>
          <w:p>
            <w:pPr>
              <w:ind w:left="160"/>
              <w:spacing w:after="0"/>
              <w:rPr>
                <w:sz w:val="20"/>
                <w:szCs w:val="20"/>
                <w:color w:val="auto"/>
              </w:rPr>
            </w:pPr>
            <w:r>
              <w:rPr>
                <w:rFonts w:ascii="Arial" w:cs="Arial" w:eastAsia="Arial" w:hAnsi="Arial"/>
                <w:sz w:val="17"/>
                <w:szCs w:val="17"/>
                <w:color w:val="auto"/>
              </w:rPr>
              <w:t>(basic and diluted)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Denominator:</w:t>
            </w:r>
          </w:p>
        </w:tc>
        <w:tc>
          <w:tcPr>
            <w:tcW w:w="7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20" w:type="dxa"/>
            <w:vAlign w:val="bottom"/>
          </w:tcPr>
          <w:p>
            <w:pPr>
              <w:spacing w:after="0" w:line="188" w:lineRule="exact"/>
              <w:rPr>
                <w:sz w:val="20"/>
                <w:szCs w:val="20"/>
                <w:color w:val="auto"/>
              </w:rPr>
            </w:pPr>
            <w:r>
              <w:rPr>
                <w:rFonts w:ascii="Arial" w:cs="Arial" w:eastAsia="Arial" w:hAnsi="Arial"/>
                <w:sz w:val="17"/>
                <w:szCs w:val="17"/>
                <w:color w:val="auto"/>
              </w:rPr>
              <w:t>Weighted average number of common stock shares</w:t>
            </w:r>
          </w:p>
        </w:tc>
        <w:tc>
          <w:tcPr>
            <w:tcW w:w="800" w:type="dxa"/>
            <w:vAlign w:val="bottom"/>
            <w:gridSpan w:val="2"/>
          </w:tcPr>
          <w:p>
            <w:pPr>
              <w:jc w:val="right"/>
              <w:ind w:right="40"/>
              <w:spacing w:after="0" w:line="188" w:lineRule="exact"/>
              <w:rPr>
                <w:sz w:val="20"/>
                <w:szCs w:val="20"/>
                <w:color w:val="auto"/>
              </w:rPr>
            </w:pPr>
            <w:r>
              <w:rPr>
                <w:rFonts w:ascii="Arial" w:cs="Arial" w:eastAsia="Arial" w:hAnsi="Arial"/>
                <w:sz w:val="17"/>
                <w:szCs w:val="17"/>
                <w:b w:val="1"/>
                <w:bCs w:val="1"/>
                <w:color w:val="auto"/>
                <w:w w:val="97"/>
              </w:rPr>
              <w:t>6,241,048</w:t>
            </w:r>
          </w:p>
        </w:tc>
        <w:tc>
          <w:tcPr>
            <w:tcW w:w="1020" w:type="dxa"/>
            <w:vAlign w:val="bottom"/>
            <w:gridSpan w:val="3"/>
          </w:tcPr>
          <w:p>
            <w:pPr>
              <w:jc w:val="right"/>
              <w:ind w:right="100"/>
              <w:spacing w:after="0" w:line="188" w:lineRule="exact"/>
              <w:rPr>
                <w:sz w:val="20"/>
                <w:szCs w:val="20"/>
                <w:color w:val="auto"/>
              </w:rPr>
            </w:pPr>
            <w:r>
              <w:rPr>
                <w:rFonts w:ascii="Arial" w:cs="Arial" w:eastAsia="Arial" w:hAnsi="Arial"/>
                <w:sz w:val="17"/>
                <w:szCs w:val="17"/>
                <w:color w:val="auto"/>
              </w:rPr>
              <w:t>2,958,568</w:t>
            </w:r>
          </w:p>
        </w:tc>
        <w:tc>
          <w:tcPr>
            <w:tcW w:w="110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1,797,582</w:t>
            </w:r>
          </w:p>
        </w:tc>
        <w:tc>
          <w:tcPr>
            <w:tcW w:w="0" w:type="dxa"/>
            <w:vAlign w:val="bottom"/>
          </w:tcPr>
          <w:p>
            <w:pPr>
              <w:spacing w:after="0"/>
              <w:rPr>
                <w:sz w:val="1"/>
                <w:szCs w:val="1"/>
                <w:color w:val="auto"/>
              </w:rPr>
            </w:pPr>
          </w:p>
        </w:tc>
      </w:tr>
      <w:tr>
        <w:trPr>
          <w:trHeight w:val="213"/>
        </w:trPr>
        <w:tc>
          <w:tcPr>
            <w:tcW w:w="4020" w:type="dxa"/>
            <w:vAlign w:val="bottom"/>
          </w:tcPr>
          <w:p>
            <w:pPr>
              <w:ind w:left="160"/>
              <w:spacing w:after="0"/>
              <w:rPr>
                <w:sz w:val="20"/>
                <w:szCs w:val="20"/>
                <w:color w:val="auto"/>
              </w:rPr>
            </w:pPr>
            <w:r>
              <w:rPr>
                <w:rFonts w:ascii="Arial" w:cs="Arial" w:eastAsia="Arial" w:hAnsi="Arial"/>
                <w:sz w:val="17"/>
                <w:szCs w:val="17"/>
                <w:color w:val="auto"/>
              </w:rPr>
              <w:t>outstanding during the period (basic and diluted)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2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8"/>
              </w:rPr>
              <w:t>Weighted average number of penny stock options and</w:t>
            </w:r>
          </w:p>
        </w:tc>
        <w:tc>
          <w:tcPr>
            <w:tcW w:w="800" w:type="dxa"/>
            <w:vAlign w:val="bottom"/>
            <w:gridSpan w:val="2"/>
            <w:shd w:val="clear" w:color="auto" w:fill="CCFFCC"/>
          </w:tcPr>
          <w:p>
            <w:pPr>
              <w:jc w:val="right"/>
              <w:ind w:right="40"/>
              <w:spacing w:after="0" w:line="188" w:lineRule="exact"/>
              <w:rPr>
                <w:sz w:val="20"/>
                <w:szCs w:val="20"/>
                <w:color w:val="auto"/>
              </w:rPr>
            </w:pPr>
            <w:r>
              <w:rPr>
                <w:rFonts w:ascii="Arial" w:cs="Arial" w:eastAsia="Arial" w:hAnsi="Arial"/>
                <w:sz w:val="17"/>
                <w:szCs w:val="17"/>
                <w:b w:val="1"/>
                <w:bCs w:val="1"/>
                <w:color w:val="auto"/>
              </w:rPr>
              <w:t>131,611</w:t>
            </w:r>
          </w:p>
        </w:tc>
        <w:tc>
          <w:tcPr>
            <w:tcW w:w="102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195,921</w:t>
            </w:r>
          </w:p>
        </w:tc>
        <w:tc>
          <w:tcPr>
            <w:tcW w:w="11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55,495</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warrants (basic and diluted)</w:t>
            </w:r>
          </w:p>
        </w:tc>
        <w:tc>
          <w:tcPr>
            <w:tcW w:w="76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line="194" w:lineRule="exact"/>
              <w:rPr>
                <w:sz w:val="20"/>
                <w:szCs w:val="20"/>
                <w:color w:val="auto"/>
              </w:rPr>
            </w:pPr>
            <w:r>
              <w:rPr>
                <w:rFonts w:ascii="Arial" w:cs="Arial" w:eastAsia="Arial" w:hAnsi="Arial"/>
                <w:sz w:val="17"/>
                <w:szCs w:val="17"/>
                <w:b w:val="1"/>
                <w:bCs w:val="1"/>
                <w:color w:val="auto"/>
                <w:highlight w:val="white"/>
                <w:w w:val="89"/>
              </w:rPr>
              <w:t>Basic and diluted shares of common stock outstanding</w:t>
            </w:r>
          </w:p>
        </w:tc>
        <w:tc>
          <w:tcPr>
            <w:tcW w:w="800" w:type="dxa"/>
            <w:vAlign w:val="bottom"/>
            <w:gridSpan w:val="2"/>
          </w:tcPr>
          <w:p>
            <w:pPr>
              <w:jc w:val="right"/>
              <w:ind w:right="40"/>
              <w:spacing w:after="0" w:line="194" w:lineRule="exact"/>
              <w:rPr>
                <w:sz w:val="20"/>
                <w:szCs w:val="20"/>
                <w:color w:val="auto"/>
              </w:rPr>
            </w:pPr>
            <w:r>
              <w:rPr>
                <w:rFonts w:ascii="Arial" w:cs="Arial" w:eastAsia="Arial" w:hAnsi="Arial"/>
                <w:sz w:val="17"/>
                <w:szCs w:val="17"/>
                <w:b w:val="1"/>
                <w:bCs w:val="1"/>
                <w:color w:val="auto"/>
                <w:w w:val="97"/>
              </w:rPr>
              <w:t>6,372,659</w:t>
            </w:r>
          </w:p>
        </w:tc>
        <w:tc>
          <w:tcPr>
            <w:tcW w:w="10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3,154,489</w:t>
            </w:r>
          </w:p>
        </w:tc>
        <w:tc>
          <w:tcPr>
            <w:tcW w:w="1100" w:type="dxa"/>
            <w:vAlign w:val="bottom"/>
            <w:gridSpan w:val="3"/>
          </w:tcPr>
          <w:p>
            <w:pPr>
              <w:jc w:val="right"/>
              <w:ind w:right="120"/>
              <w:spacing w:after="0" w:line="194" w:lineRule="exact"/>
              <w:rPr>
                <w:sz w:val="20"/>
                <w:szCs w:val="20"/>
                <w:color w:val="auto"/>
              </w:rPr>
            </w:pPr>
            <w:r>
              <w:rPr>
                <w:rFonts w:ascii="Arial" w:cs="Arial" w:eastAsia="Arial" w:hAnsi="Arial"/>
                <w:sz w:val="17"/>
                <w:szCs w:val="17"/>
                <w:color w:val="auto"/>
              </w:rPr>
              <w:t>1,853,077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shd w:val="clear" w:color="auto" w:fill="CCFFCC"/>
          </w:tcPr>
          <w:p>
            <w:pPr>
              <w:spacing w:after="0" w:line="176" w:lineRule="exact"/>
              <w:rPr>
                <w:sz w:val="20"/>
                <w:szCs w:val="20"/>
                <w:color w:val="auto"/>
              </w:rPr>
            </w:pPr>
            <w:r>
              <w:rPr>
                <w:rFonts w:ascii="Arial" w:cs="Arial" w:eastAsia="Arial" w:hAnsi="Arial"/>
                <w:sz w:val="17"/>
                <w:szCs w:val="17"/>
                <w:b w:val="1"/>
                <w:bCs w:val="1"/>
                <w:color w:val="auto"/>
              </w:rPr>
              <w:t>Basic and diluted net losses per share of</w:t>
            </w:r>
          </w:p>
        </w:tc>
        <w:tc>
          <w:tcPr>
            <w:tcW w:w="80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7"/>
                <w:szCs w:val="17"/>
                <w:b w:val="1"/>
                <w:bCs w:val="1"/>
                <w:color w:val="auto"/>
              </w:rPr>
              <w:t>(1.17)</w:t>
            </w:r>
          </w:p>
        </w:tc>
        <w:tc>
          <w:tcPr>
            <w:tcW w:w="1020" w:type="dxa"/>
            <w:vAlign w:val="bottom"/>
            <w:gridSpan w:val="3"/>
            <w:shd w:val="clear" w:color="auto" w:fill="CCFFCC"/>
          </w:tcPr>
          <w:p>
            <w:pPr>
              <w:jc w:val="right"/>
              <w:ind w:right="40"/>
              <w:spacing w:after="0" w:line="176" w:lineRule="exact"/>
              <w:rPr>
                <w:sz w:val="20"/>
                <w:szCs w:val="20"/>
                <w:color w:val="auto"/>
              </w:rPr>
            </w:pPr>
            <w:r>
              <w:rPr>
                <w:rFonts w:ascii="Arial" w:cs="Arial" w:eastAsia="Arial" w:hAnsi="Arial"/>
                <w:sz w:val="17"/>
                <w:szCs w:val="17"/>
                <w:color w:val="auto"/>
              </w:rPr>
              <w:t>(3.15)</w:t>
            </w:r>
          </w:p>
        </w:tc>
        <w:tc>
          <w:tcPr>
            <w:tcW w:w="110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7"/>
                <w:szCs w:val="17"/>
                <w:color w:val="auto"/>
              </w:rPr>
              <w:t>(20.26)</w:t>
            </w:r>
          </w:p>
        </w:tc>
        <w:tc>
          <w:tcPr>
            <w:tcW w:w="0" w:type="dxa"/>
            <w:vAlign w:val="bottom"/>
          </w:tcPr>
          <w:p>
            <w:pPr>
              <w:spacing w:after="0"/>
              <w:rPr>
                <w:sz w:val="1"/>
                <w:szCs w:val="1"/>
                <w:color w:val="auto"/>
              </w:rPr>
            </w:pPr>
          </w:p>
        </w:tc>
      </w:tr>
      <w:tr>
        <w:trPr>
          <w:trHeight w:val="257"/>
        </w:trPr>
        <w:tc>
          <w:tcPr>
            <w:tcW w:w="40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b w:val="1"/>
                <w:bCs w:val="1"/>
                <w:color w:val="auto"/>
              </w:rPr>
              <w:t>common stock</w:t>
            </w:r>
          </w:p>
        </w:tc>
        <w:tc>
          <w:tcPr>
            <w:tcW w:w="760" w:type="dxa"/>
            <w:vAlign w:val="bottom"/>
            <w:tcBorders>
              <w:bottom w:val="single" w:sz="8" w:color="auto"/>
            </w:tcBorders>
            <w:shd w:val="clear" w:color="auto" w:fill="CCFFCC"/>
          </w:tcPr>
          <w:p>
            <w:pPr>
              <w:spacing w:after="0"/>
              <w:rPr>
                <w:sz w:val="22"/>
                <w:szCs w:val="22"/>
                <w:color w:val="auto"/>
              </w:rPr>
            </w:pPr>
          </w:p>
        </w:tc>
        <w:tc>
          <w:tcPr>
            <w:tcW w:w="4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82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-429260</wp:posOffset>
            </wp:positionV>
            <wp:extent cx="9525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5250" cy="8255"/>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-429260</wp:posOffset>
            </wp:positionV>
            <wp:extent cx="1270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-429260</wp:posOffset>
            </wp:positionV>
            <wp:extent cx="15938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-429260</wp:posOffset>
            </wp:positionV>
            <wp:extent cx="7937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93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(q) Long lived assets</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5" w:name="page246"/>
    <w:bookmarkEnd w:id="2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2 — Significant Accounting and Reporting Policies – (continued)</w:t>
      </w:r>
    </w:p>
    <w:p>
      <w:pPr>
        <w:jc w:val="both"/>
        <w:ind w:left="40" w:right="1239"/>
        <w:spacing w:after="0" w:line="299" w:lineRule="auto"/>
        <w:rPr>
          <w:sz w:val="20"/>
          <w:szCs w:val="20"/>
          <w:color w:val="auto"/>
        </w:rPr>
      </w:pPr>
      <w:r>
        <w:rPr>
          <w:rFonts w:ascii="Arial" w:cs="Arial" w:eastAsia="Arial" w:hAnsi="Arial"/>
          <w:sz w:val="16"/>
          <w:szCs w:val="16"/>
          <w:color w:val="auto"/>
        </w:rPr>
        <w:t>the carrying value exceeds its fair value. Fair value is to be determined through various valuation techniques including discounted cash flow models, quoted market values and third-party independent appraisals, as considered necessary.</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 Commitments and Contingencies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Liabilities for loss contingencies arising from assessments, estimates or other sources are to be recorded when it is probable that a liability has been incurred and the amount can be reasonably estimated.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 Fair value measurements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49" w:lineRule="exact"/>
        <w:rPr>
          <w:sz w:val="20"/>
          <w:szCs w:val="20"/>
          <w:color w:val="auto"/>
        </w:rPr>
      </w:pPr>
    </w:p>
    <w:p>
      <w:pPr>
        <w:jc w:val="both"/>
        <w:ind w:left="300" w:right="1239" w:firstLine="251"/>
        <w:spacing w:after="0" w:line="272" w:lineRule="auto"/>
        <w:rPr>
          <w:sz w:val="20"/>
          <w:szCs w:val="20"/>
          <w:color w:val="auto"/>
        </w:rPr>
      </w:pPr>
      <w:r>
        <w:rPr>
          <w:rFonts w:ascii="Arial" w:cs="Arial" w:eastAsia="Arial" w:hAnsi="Arial"/>
          <w:sz w:val="17"/>
          <w:szCs w:val="17"/>
          <w:b w:val="1"/>
          <w:bCs w:val="1"/>
          <w:color w:val="auto"/>
        </w:rPr>
        <w:t xml:space="preserve">Level 1 — </w:t>
      </w:r>
      <w:r>
        <w:rPr>
          <w:rFonts w:ascii="Arial" w:cs="Arial" w:eastAsia="Arial" w:hAnsi="Arial"/>
          <w:sz w:val="17"/>
          <w:szCs w:val="17"/>
          <w:color w:val="auto"/>
        </w:rPr>
        <w:t>Unadjusted quoted prices in active markets for identical assets or liabilities accessible to the reporting entity at</w:t>
      </w:r>
      <w:r>
        <w:rPr>
          <w:rFonts w:ascii="Arial" w:cs="Arial" w:eastAsia="Arial" w:hAnsi="Arial"/>
          <w:sz w:val="17"/>
          <w:szCs w:val="17"/>
          <w:b w:val="1"/>
          <w:bCs w:val="1"/>
          <w:color w:val="auto"/>
        </w:rPr>
        <w:t xml:space="preserve"> </w:t>
      </w:r>
      <w:r>
        <w:rPr>
          <w:rFonts w:ascii="Arial" w:cs="Arial" w:eastAsia="Arial" w:hAnsi="Arial"/>
          <w:sz w:val="17"/>
          <w:szCs w:val="17"/>
          <w:color w:val="auto"/>
        </w:rPr>
        <w:t>the measurement date.</w:t>
      </w:r>
    </w:p>
    <w:p>
      <w:pPr>
        <w:spacing w:after="0" w:line="58" w:lineRule="exact"/>
        <w:rPr>
          <w:sz w:val="20"/>
          <w:szCs w:val="20"/>
          <w:color w:val="auto"/>
        </w:rPr>
      </w:pPr>
    </w:p>
    <w:p>
      <w:pPr>
        <w:jc w:val="both"/>
        <w:ind w:left="300" w:right="1239" w:firstLine="251"/>
        <w:spacing w:after="0" w:line="272"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Other than quoted prices included in Level 1 inputs that are observable for the asset or liability, either directly or</w:t>
      </w:r>
      <w:r>
        <w:rPr>
          <w:rFonts w:ascii="Arial" w:cs="Arial" w:eastAsia="Arial" w:hAnsi="Arial"/>
          <w:sz w:val="17"/>
          <w:szCs w:val="17"/>
          <w:b w:val="1"/>
          <w:bCs w:val="1"/>
          <w:color w:val="auto"/>
        </w:rPr>
        <w:t xml:space="preserve"> </w:t>
      </w:r>
      <w:r>
        <w:rPr>
          <w:rFonts w:ascii="Arial" w:cs="Arial" w:eastAsia="Arial" w:hAnsi="Arial"/>
          <w:sz w:val="17"/>
          <w:szCs w:val="17"/>
          <w:color w:val="auto"/>
        </w:rPr>
        <w:t>indirectly, for substantially the full term of the asset or liability.</w:t>
      </w:r>
    </w:p>
    <w:p>
      <w:pPr>
        <w:spacing w:after="0" w:line="58"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Level 3 — </w:t>
      </w:r>
      <w:r>
        <w:rPr>
          <w:rFonts w:ascii="Arial" w:cs="Arial" w:eastAsia="Arial" w:hAnsi="Arial"/>
          <w:sz w:val="17"/>
          <w:szCs w:val="17"/>
          <w:color w:val="auto"/>
        </w:rPr>
        <w:t>Unobservable inputs for the asset or liability used to measure fair value to the extent that observable inputs are</w:t>
      </w:r>
      <w:r>
        <w:rPr>
          <w:rFonts w:ascii="Arial" w:cs="Arial" w:eastAsia="Arial" w:hAnsi="Arial"/>
          <w:sz w:val="17"/>
          <w:szCs w:val="17"/>
          <w:b w:val="1"/>
          <w:bCs w:val="1"/>
          <w:color w:val="auto"/>
        </w:rPr>
        <w:t xml:space="preserve"> </w:t>
      </w:r>
      <w:r>
        <w:rPr>
          <w:rFonts w:ascii="Arial" w:cs="Arial" w:eastAsia="Arial" w:hAnsi="Arial"/>
          <w:sz w:val="17"/>
          <w:szCs w:val="17"/>
          <w:color w:val="auto"/>
        </w:rPr>
        <w:t>not available, thereby allowing for situations in which there is little, if any, market activity for the asset or liability at measurement date.</w:t>
      </w:r>
    </w:p>
    <w:p>
      <w:pPr>
        <w:spacing w:after="0" w:line="7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fair value hierarchy also requires an entity to maximize the use of observable inputs and minimize the use of unobservable inputs when measuring fair value.</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 Recently issued and adopted accounting standards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96" w:lineRule="exact"/>
        <w:rPr>
          <w:sz w:val="20"/>
          <w:szCs w:val="20"/>
          <w:color w:val="auto"/>
        </w:rPr>
      </w:pPr>
    </w:p>
    <w:p>
      <w:pPr>
        <w:ind w:left="300" w:hanging="253"/>
        <w:spacing w:after="0"/>
        <w:tabs>
          <w:tab w:leader="none" w:pos="300" w:val="left"/>
        </w:tabs>
        <w:numPr>
          <w:ilvl w:val="0"/>
          <w:numId w:val="1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Reclassification</w:t>
      </w:r>
    </w:p>
    <w:p>
      <w:pPr>
        <w:spacing w:after="0" w:line="105" w:lineRule="exact"/>
        <w:rPr>
          <w:rFonts w:ascii="Arial" w:cs="Arial" w:eastAsia="Arial" w:hAnsi="Arial"/>
          <w:sz w:val="17"/>
          <w:szCs w:val="17"/>
          <w:b w:val="1"/>
          <w:bCs w:val="1"/>
          <w:i w:val="1"/>
          <w:iCs w:val="1"/>
          <w:color w:val="auto"/>
        </w:rPr>
      </w:pPr>
    </w:p>
    <w:p>
      <w:pPr>
        <w:ind w:left="300"/>
        <w:spacing w:after="0"/>
        <w:rPr>
          <w:rFonts w:ascii="Arial" w:cs="Arial" w:eastAsia="Arial" w:hAnsi="Arial"/>
          <w:sz w:val="17"/>
          <w:szCs w:val="17"/>
          <w:b w:val="1"/>
          <w:bCs w:val="1"/>
          <w:i w:val="1"/>
          <w:iCs w:val="1"/>
          <w:color w:val="auto"/>
        </w:rPr>
      </w:pPr>
      <w:r>
        <w:rPr>
          <w:rFonts w:ascii="Arial" w:cs="Arial" w:eastAsia="Arial" w:hAnsi="Arial"/>
          <w:sz w:val="17"/>
          <w:szCs w:val="17"/>
          <w:color w:val="auto"/>
        </w:rPr>
        <w:t>Certain balances have been reclassified to conform to current year presentation.</w:t>
      </w: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6" w:name="page247"/>
    <w:bookmarkEnd w:id="2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43" w:lineRule="auto"/>
        <w:rPr>
          <w:sz w:val="20"/>
          <w:szCs w:val="20"/>
          <w:color w:val="auto"/>
        </w:rPr>
      </w:pPr>
      <w:r>
        <w:rPr>
          <w:rFonts w:ascii="Arial" w:cs="Arial" w:eastAsia="Arial" w:hAnsi="Arial"/>
          <w:sz w:val="17"/>
          <w:szCs w:val="17"/>
          <w:b w:val="1"/>
          <w:bCs w:val="1"/>
          <w:color w:val="auto"/>
        </w:rPr>
        <w:t>NOTES TO CONSOLIDATED FINANCIAL STATEMENTS Note 3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Cash</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779</w:t>
            </w:r>
          </w:p>
        </w:tc>
        <w:tc>
          <w:tcPr>
            <w:tcW w:w="160" w:type="dxa"/>
            <w:vAlign w:val="bottom"/>
            <w:tcBorders>
              <w:left w:val="single" w:sz="8" w:color="CCFFCC"/>
            </w:tcBorders>
            <w:shd w:val="clear" w:color="auto" w:fill="CCFFCC"/>
          </w:tcPr>
          <w:p>
            <w:pPr>
              <w:spacing w:after="0"/>
              <w:rPr>
                <w:sz w:val="17"/>
                <w:szCs w:val="17"/>
                <w:color w:val="auto"/>
              </w:rPr>
            </w:pPr>
          </w:p>
        </w:tc>
        <w:tc>
          <w:tcPr>
            <w:tcW w:w="1260" w:type="dxa"/>
            <w:vAlign w:val="bottom"/>
            <w:gridSpan w:val="3"/>
            <w:shd w:val="clear" w:color="auto" w:fill="CCFFCC"/>
          </w:tcPr>
          <w:p>
            <w:pPr>
              <w:jc w:val="right"/>
              <w:ind w:right="14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Cash equivalents (money market funds)</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4,542</w:t>
            </w:r>
          </w:p>
        </w:tc>
        <w:tc>
          <w:tcPr>
            <w:tcW w:w="0" w:type="dxa"/>
            <w:vAlign w:val="bottom"/>
          </w:tcPr>
          <w:p>
            <w:pPr>
              <w:spacing w:after="0"/>
              <w:rPr>
                <w:sz w:val="1"/>
                <w:szCs w:val="1"/>
                <w:color w:val="auto"/>
              </w:rPr>
            </w:pPr>
          </w:p>
        </w:tc>
      </w:tr>
      <w:tr>
        <w:trPr>
          <w:trHeight w:val="200"/>
        </w:trPr>
        <w:tc>
          <w:tcPr>
            <w:tcW w:w="5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In currency other than U.S. dollars</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b w:val="1"/>
                <w:bCs w:val="1"/>
                <w:color w:val="auto"/>
              </w:rPr>
              <w:t>411</w:t>
            </w:r>
          </w:p>
        </w:tc>
        <w:tc>
          <w:tcPr>
            <w:tcW w:w="160" w:type="dxa"/>
            <w:vAlign w:val="bottom"/>
            <w:tcBorders>
              <w:left w:val="single" w:sz="8" w:color="CCFFCC"/>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268</w:t>
            </w:r>
          </w:p>
        </w:tc>
        <w:tc>
          <w:tcPr>
            <w:tcW w:w="200" w:type="dxa"/>
            <w:vAlign w:val="bottom"/>
            <w:tcBorders>
              <w:left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1,190</w:t>
            </w:r>
          </w:p>
        </w:tc>
        <w:tc>
          <w:tcPr>
            <w:tcW w:w="160" w:type="dxa"/>
            <w:vAlign w:val="bottom"/>
          </w:tcPr>
          <w:p>
            <w:pPr>
              <w:spacing w:after="0"/>
              <w:rPr>
                <w:sz w:val="16"/>
                <w:szCs w:val="16"/>
                <w:color w:val="auto"/>
              </w:rPr>
            </w:pPr>
          </w:p>
        </w:tc>
        <w:tc>
          <w:tcPr>
            <w:tcW w:w="1260" w:type="dxa"/>
            <w:vAlign w:val="bottom"/>
            <w:gridSpan w:val="3"/>
          </w:tcPr>
          <w:p>
            <w:pPr>
              <w:jc w:val="right"/>
              <w:ind w:right="140"/>
              <w:spacing w:after="0" w:line="193" w:lineRule="exact"/>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Note 4 — Prepaid Expenses and Other Current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Government institutions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6</w:t>
            </w:r>
          </w:p>
        </w:tc>
        <w:tc>
          <w:tcPr>
            <w:tcW w:w="160" w:type="dxa"/>
            <w:vAlign w:val="bottom"/>
            <w:tcBorders>
              <w:left w:val="single" w:sz="8" w:color="CCFFCC"/>
            </w:tcBorders>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30</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Prepaid expenses and others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181</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187</w:t>
            </w:r>
          </w:p>
        </w:tc>
        <w:tc>
          <w:tcPr>
            <w:tcW w:w="160" w:type="dxa"/>
            <w:vAlign w:val="bottom"/>
            <w:tcBorders>
              <w:left w:val="single" w:sz="8" w:color="CCFFCC"/>
            </w:tcBorders>
            <w:shd w:val="clear" w:color="auto" w:fill="CCFFCC"/>
          </w:tcPr>
          <w:p>
            <w:pPr>
              <w:spacing w:after="0"/>
              <w:rPr>
                <w:sz w:val="20"/>
                <w:szCs w:val="20"/>
                <w:color w:val="auto"/>
              </w:rPr>
            </w:pPr>
          </w:p>
        </w:tc>
        <w:tc>
          <w:tcPr>
            <w:tcW w:w="1060" w:type="dxa"/>
            <w:vAlign w:val="bottom"/>
            <w:tcBorders>
              <w:righ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168</w:t>
            </w:r>
          </w:p>
        </w:tc>
        <w:tc>
          <w:tcPr>
            <w:tcW w:w="200" w:type="dxa"/>
            <w:vAlign w:val="bottom"/>
            <w:tcBorders>
              <w:left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5360" w:type="dxa"/>
            <w:vAlign w:val="bottom"/>
            <w:tcBorders>
              <w:top w:val="single" w:sz="8" w:color="CCFFCC"/>
            </w:tcBorders>
          </w:tcPr>
          <w:p>
            <w:pPr>
              <w:ind w:left="40"/>
              <w:spacing w:after="0"/>
              <w:rPr>
                <w:sz w:val="20"/>
                <w:szCs w:val="20"/>
                <w:color w:val="auto"/>
              </w:rPr>
            </w:pPr>
            <w:r>
              <w:rPr>
                <w:rFonts w:ascii="Arial" w:cs="Arial" w:eastAsia="Arial" w:hAnsi="Arial"/>
                <w:sz w:val="17"/>
                <w:szCs w:val="17"/>
                <w:b w:val="1"/>
                <w:bCs w:val="1"/>
                <w:color w:val="auto"/>
              </w:rPr>
              <w:t>Note 5 — Property and Equipment</w:t>
            </w: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840" w:type="dxa"/>
            <w:vAlign w:val="bottom"/>
          </w:tcPr>
          <w:p>
            <w:pPr>
              <w:jc w:val="center"/>
              <w:ind w:left="103"/>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5"/>
                <w:szCs w:val="15"/>
                <w:color w:val="auto"/>
              </w:rPr>
            </w:pPr>
          </w:p>
        </w:tc>
        <w:tc>
          <w:tcPr>
            <w:tcW w:w="1060" w:type="dxa"/>
            <w:vAlign w:val="bottom"/>
            <w:gridSpan w:val="2"/>
          </w:tcPr>
          <w:p>
            <w:pPr>
              <w:jc w:val="center"/>
              <w:ind w:left="281"/>
              <w:spacing w:after="0"/>
              <w:rPr>
                <w:sz w:val="20"/>
                <w:szCs w:val="20"/>
                <w:color w:val="auto"/>
              </w:rPr>
            </w:pPr>
            <w:r>
              <w:rPr>
                <w:rFonts w:ascii="Arial" w:cs="Arial" w:eastAsia="Arial" w:hAnsi="Arial"/>
                <w:sz w:val="13"/>
                <w:szCs w:val="13"/>
                <w:b w:val="1"/>
                <w:bCs w:val="1"/>
                <w:color w:val="auto"/>
                <w:w w:val="89"/>
              </w:rPr>
              <w:t>2010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Computers, software and equipment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475</w:t>
            </w:r>
          </w:p>
        </w:tc>
        <w:tc>
          <w:tcPr>
            <w:tcW w:w="160" w:type="dxa"/>
            <w:vAlign w:val="bottom"/>
            <w:tcBorders>
              <w:left w:val="single" w:sz="8" w:color="CCFFCC"/>
            </w:tcBorders>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color w:val="auto"/>
              </w:rPr>
              <w:t>452</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42</w:t>
            </w: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Leasehold improvements</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81</w:t>
            </w:r>
          </w:p>
        </w:tc>
        <w:tc>
          <w:tcPr>
            <w:tcW w:w="160" w:type="dxa"/>
            <w:vAlign w:val="bottom"/>
            <w:tcBorders>
              <w:lef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81</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598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571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depreciation and amortization</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(454)</w:t>
            </w:r>
          </w:p>
        </w:tc>
        <w:tc>
          <w:tcPr>
            <w:tcW w:w="160" w:type="dxa"/>
            <w:vAlign w:val="bottom"/>
            <w:tcBorders>
              <w:lef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(393)</w:t>
            </w:r>
          </w:p>
        </w:tc>
        <w:tc>
          <w:tcPr>
            <w:tcW w:w="200" w:type="dxa"/>
            <w:vAlign w:val="bottom"/>
            <w:tcBorders>
              <w:lef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6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178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-2593340</wp:posOffset>
            </wp:positionV>
            <wp:extent cx="4837430" cy="1670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-1439545</wp:posOffset>
            </wp:positionV>
            <wp:extent cx="4837430" cy="317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-429260</wp:posOffset>
            </wp:positionV>
            <wp:extent cx="4837430" cy="135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-2282825</wp:posOffset>
            </wp:positionV>
            <wp:extent cx="483743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8374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-1264285</wp:posOffset>
            </wp:positionV>
            <wp:extent cx="483743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3"/>
                <w:szCs w:val="13"/>
                <w:b w:val="1"/>
                <w:bCs w:val="1"/>
                <w:color w:val="auto"/>
              </w:rPr>
              <w:t>As of December 31,</w:t>
            </w:r>
          </w:p>
        </w:tc>
      </w:tr>
      <w:tr>
        <w:trPr>
          <w:trHeight w:val="180"/>
        </w:trPr>
        <w:tc>
          <w:tcPr>
            <w:tcW w:w="536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5"/>
                <w:szCs w:val="15"/>
                <w:color w:val="auto"/>
              </w:rPr>
            </w:pPr>
          </w:p>
        </w:tc>
        <w:tc>
          <w:tcPr>
            <w:tcW w:w="110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r>
      <w:tr>
        <w:trPr>
          <w:trHeight w:val="188"/>
        </w:trPr>
        <w:tc>
          <w:tcPr>
            <w:tcW w:w="53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U.S.$ thousands</w:t>
            </w:r>
          </w:p>
        </w:tc>
      </w:tr>
      <w:tr>
        <w:trPr>
          <w:trHeight w:val="206"/>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Accounts payable and accrued expenses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428</w:t>
            </w:r>
          </w:p>
        </w:tc>
        <w:tc>
          <w:tcPr>
            <w:tcW w:w="126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403</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Deferred revenue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r>
      <w:tr>
        <w:trPr>
          <w:trHeight w:val="20"/>
        </w:trPr>
        <w:tc>
          <w:tcPr>
            <w:tcW w:w="5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53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428</w:t>
            </w:r>
          </w:p>
        </w:tc>
        <w:tc>
          <w:tcPr>
            <w:tcW w:w="126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421</w:t>
            </w: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 Accrued Severance Pay</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7" w:name="page248"/>
    <w:bookmarkEnd w:id="2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7 — Accrued Severance Pay – (continued)</w:t>
      </w:r>
    </w:p>
    <w:p>
      <w:pPr>
        <w:jc w:val="both"/>
        <w:ind w:left="40" w:right="1239" w:firstLine="251"/>
        <w:spacing w:after="0" w:line="253" w:lineRule="auto"/>
        <w:rPr>
          <w:sz w:val="20"/>
          <w:szCs w:val="20"/>
          <w:color w:val="auto"/>
        </w:rPr>
      </w:pPr>
      <w:r>
        <w:rPr>
          <w:rFonts w:ascii="Arial" w:cs="Arial" w:eastAsia="Arial" w:hAnsi="Arial"/>
          <w:sz w:val="17"/>
          <w:szCs w:val="17"/>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Venture Loan</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4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82"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66"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200" w:lineRule="exact"/>
        <w:rPr>
          <w:sz w:val="20"/>
          <w:szCs w:val="20"/>
          <w:color w:val="auto"/>
        </w:rPr>
      </w:pP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8" w:name="page249"/>
    <w:bookmarkEnd w:id="2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 Venture Loan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Changes in the balance of the venture loan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6"/>
              </w:rPr>
              <w:t>U.S.$ thousands</w:t>
            </w:r>
          </w:p>
        </w:tc>
      </w:tr>
      <w:tr>
        <w:trPr>
          <w:trHeight w:val="193"/>
        </w:trPr>
        <w:tc>
          <w:tcPr>
            <w:tcW w:w="584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Loan balance at January 1, 2010</w:t>
            </w:r>
          </w:p>
        </w:tc>
        <w:tc>
          <w:tcPr>
            <w:tcW w:w="8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3,703</w:t>
            </w:r>
          </w:p>
        </w:tc>
        <w:tc>
          <w:tcPr>
            <w:tcW w:w="220" w:type="dxa"/>
            <w:vAlign w:val="bottom"/>
            <w:shd w:val="clear" w:color="auto" w:fill="CCFFCC"/>
          </w:tcPr>
          <w:p>
            <w:pPr>
              <w:spacing w:after="0"/>
              <w:rPr>
                <w:sz w:val="16"/>
                <w:szCs w:val="16"/>
                <w:color w:val="auto"/>
              </w:rPr>
            </w:pP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Loan repayments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(757)</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loan discount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227</w:t>
            </w:r>
          </w:p>
        </w:tc>
      </w:tr>
      <w:tr>
        <w:trPr>
          <w:trHeight w:val="193"/>
        </w:trPr>
        <w:tc>
          <w:tcPr>
            <w:tcW w:w="584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b w:val="1"/>
                <w:bCs w:val="1"/>
                <w:color w:val="auto"/>
              </w:rPr>
              <w:t>Loan balance at December 31, 2010</w:t>
            </w: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b w:val="1"/>
                <w:bCs w:val="1"/>
                <w:color w:val="auto"/>
              </w:rPr>
              <w:t>3,173</w:t>
            </w:r>
          </w:p>
        </w:tc>
        <w:tc>
          <w:tcPr>
            <w:tcW w:w="220" w:type="dxa"/>
            <w:vAlign w:val="bottom"/>
            <w:tcBorders>
              <w:top w:val="single" w:sz="8" w:color="CCFFCC"/>
            </w:tcBorders>
          </w:tcPr>
          <w:p>
            <w:pPr>
              <w:spacing w:after="0"/>
              <w:rPr>
                <w:sz w:val="16"/>
                <w:szCs w:val="16"/>
                <w:color w:val="auto"/>
              </w:rPr>
            </w:pP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Repayment as per Settlement Agreement</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(1,382)</w:t>
            </w: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Loan repayments</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(713)</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Amortization of loan discount</w:t>
            </w:r>
          </w:p>
        </w:tc>
        <w:tc>
          <w:tcPr>
            <w:tcW w:w="8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98</w:t>
            </w:r>
          </w:p>
        </w:tc>
        <w:tc>
          <w:tcPr>
            <w:tcW w:w="220" w:type="dxa"/>
            <w:vAlign w:val="bottom"/>
            <w:shd w:val="clear" w:color="auto" w:fill="CCFFCC"/>
          </w:tcPr>
          <w:p>
            <w:pPr>
              <w:spacing w:after="0"/>
              <w:rPr>
                <w:sz w:val="17"/>
                <w:szCs w:val="17"/>
                <w:color w:val="auto"/>
              </w:rPr>
            </w:pPr>
          </w:p>
        </w:tc>
      </w:tr>
      <w:tr>
        <w:trPr>
          <w:trHeight w:val="200"/>
        </w:trPr>
        <w:tc>
          <w:tcPr>
            <w:tcW w:w="5840" w:type="dxa"/>
            <w:vAlign w:val="bottom"/>
          </w:tcPr>
          <w:p>
            <w:pPr>
              <w:spacing w:after="0"/>
              <w:rPr>
                <w:sz w:val="20"/>
                <w:szCs w:val="20"/>
                <w:color w:val="auto"/>
              </w:rPr>
            </w:pPr>
            <w:r>
              <w:rPr>
                <w:rFonts w:ascii="Arial" w:cs="Arial" w:eastAsia="Arial" w:hAnsi="Arial"/>
                <w:sz w:val="17"/>
                <w:szCs w:val="17"/>
                <w:color w:val="auto"/>
              </w:rPr>
              <w:t>Gain on restructuring of venture loan</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(963)</w:t>
            </w:r>
          </w:p>
        </w:tc>
      </w:tr>
      <w:tr>
        <w:trPr>
          <w:trHeight w:val="200"/>
        </w:trPr>
        <w:tc>
          <w:tcPr>
            <w:tcW w:w="5840" w:type="dxa"/>
            <w:vAlign w:val="bottom"/>
            <w:shd w:val="clear" w:color="auto" w:fill="CCFFCC"/>
          </w:tcPr>
          <w:p>
            <w:pPr>
              <w:spacing w:after="0"/>
              <w:rPr>
                <w:sz w:val="20"/>
                <w:szCs w:val="20"/>
                <w:color w:val="auto"/>
              </w:rPr>
            </w:pPr>
            <w:r>
              <w:rPr>
                <w:rFonts w:ascii="Arial" w:cs="Arial" w:eastAsia="Arial" w:hAnsi="Arial"/>
                <w:sz w:val="17"/>
                <w:szCs w:val="17"/>
                <w:color w:val="auto"/>
              </w:rPr>
              <w:t>Issuance of shares in consideration of restructuring of venture loan</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7"/>
                <w:szCs w:val="17"/>
                <w:color w:val="auto"/>
              </w:rPr>
              <w:t>(213)</w:t>
            </w:r>
          </w:p>
        </w:tc>
      </w:tr>
      <w:tr>
        <w:trPr>
          <w:trHeight w:val="20"/>
        </w:trPr>
        <w:tc>
          <w:tcPr>
            <w:tcW w:w="58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3"/>
        </w:trPr>
        <w:tc>
          <w:tcPr>
            <w:tcW w:w="5840" w:type="dxa"/>
            <w:vAlign w:val="bottom"/>
          </w:tcPr>
          <w:p>
            <w:pPr>
              <w:spacing w:after="0" w:line="193" w:lineRule="exact"/>
              <w:rPr>
                <w:sz w:val="20"/>
                <w:szCs w:val="20"/>
                <w:color w:val="auto"/>
              </w:rPr>
            </w:pPr>
            <w:r>
              <w:rPr>
                <w:rFonts w:ascii="Arial" w:cs="Arial" w:eastAsia="Arial" w:hAnsi="Arial"/>
                <w:sz w:val="17"/>
                <w:szCs w:val="17"/>
                <w:b w:val="1"/>
                <w:bCs w:val="1"/>
                <w:color w:val="auto"/>
              </w:rPr>
              <w:t>Loan balance at December 31, 2011</w:t>
            </w:r>
          </w:p>
        </w:tc>
        <w:tc>
          <w:tcPr>
            <w:tcW w:w="110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auto"/>
              </w:rPr>
              <w:t>—</w:t>
            </w:r>
          </w:p>
        </w:tc>
      </w:tr>
      <w:tr>
        <w:trPr>
          <w:trHeight w:val="20"/>
        </w:trPr>
        <w:tc>
          <w:tcPr>
            <w:tcW w:w="5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-938530</wp:posOffset>
            </wp:positionV>
            <wp:extent cx="4408170" cy="135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 Convertible Notes</w:t>
      </w:r>
    </w:p>
    <w:p>
      <w:pPr>
        <w:spacing w:after="0" w:line="109"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6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7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49" w:name="page250"/>
    <w:bookmarkEnd w:id="2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 Fair Value Measurements</w:t>
      </w:r>
    </w:p>
    <w:p>
      <w:pPr>
        <w:jc w:val="both"/>
        <w:ind w:left="40" w:right="1239" w:firstLine="251"/>
        <w:spacing w:after="0" w:line="290" w:lineRule="auto"/>
        <w:rPr>
          <w:sz w:val="20"/>
          <w:szCs w:val="20"/>
          <w:color w:val="auto"/>
        </w:rPr>
      </w:pPr>
      <w:r>
        <w:rPr>
          <w:rFonts w:ascii="Arial" w:cs="Arial" w:eastAsia="Arial" w:hAnsi="Arial"/>
          <w:sz w:val="15"/>
          <w:szCs w:val="15"/>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11)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5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presents the placement in the fair value hierarchy of assets and liabilities that are measured at fair value on a recurring basis as of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Fair value measurement at reporting date using</w:t>
            </w:r>
          </w:p>
        </w:tc>
      </w:tr>
      <w:tr>
        <w:trPr>
          <w:trHeight w:val="148"/>
        </w:trPr>
        <w:tc>
          <w:tcPr>
            <w:tcW w:w="22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1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 in</w:t>
            </w:r>
          </w:p>
        </w:tc>
        <w:tc>
          <w:tcPr>
            <w:tcW w:w="16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220" w:type="dxa"/>
            <w:vAlign w:val="bottom"/>
          </w:tcPr>
          <w:p>
            <w:pPr>
              <w:spacing w:after="0"/>
              <w:rPr>
                <w:sz w:val="11"/>
                <w:szCs w:val="11"/>
                <w:color w:val="auto"/>
              </w:rPr>
            </w:pPr>
          </w:p>
        </w:tc>
        <w:tc>
          <w:tcPr>
            <w:tcW w:w="1000" w:type="dxa"/>
            <w:vAlign w:val="bottom"/>
            <w:gridSpan w:val="2"/>
          </w:tcPr>
          <w:p>
            <w:pPr>
              <w:jc w:val="center"/>
              <w:ind w:left="183"/>
              <w:spacing w:after="0" w:line="138" w:lineRule="exact"/>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active markets for</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4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2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188"/>
        </w:trPr>
        <w:tc>
          <w:tcPr>
            <w:tcW w:w="2220" w:type="dxa"/>
            <w:vAlign w:val="bottom"/>
          </w:tcPr>
          <w:p>
            <w:pPr>
              <w:spacing w:after="0" w:line="188" w:lineRule="exact"/>
              <w:rPr>
                <w:sz w:val="20"/>
                <w:szCs w:val="20"/>
                <w:color w:val="auto"/>
              </w:rPr>
            </w:pPr>
            <w:r>
              <w:rPr>
                <w:rFonts w:ascii="Arial" w:cs="Arial" w:eastAsia="Arial" w:hAnsi="Arial"/>
                <w:sz w:val="17"/>
                <w:szCs w:val="17"/>
                <w:color w:val="auto"/>
                <w:w w:val="94"/>
              </w:rPr>
              <w:t>Derivative liabilities on account</w:t>
            </w:r>
          </w:p>
        </w:tc>
        <w:tc>
          <w:tcPr>
            <w:tcW w:w="1000" w:type="dxa"/>
            <w:vAlign w:val="bottom"/>
            <w:gridSpan w:val="2"/>
          </w:tcPr>
          <w:p>
            <w:pPr>
              <w:jc w:val="right"/>
              <w:spacing w:after="0" w:line="188" w:lineRule="exact"/>
              <w:rPr>
                <w:sz w:val="20"/>
                <w:szCs w:val="20"/>
                <w:color w:val="auto"/>
              </w:rPr>
            </w:pPr>
            <w:r>
              <w:rPr>
                <w:rFonts w:ascii="Arial" w:cs="Arial" w:eastAsia="Arial" w:hAnsi="Arial"/>
                <w:sz w:val="17"/>
                <w:szCs w:val="17"/>
                <w:b w:val="1"/>
                <w:bCs w:val="1"/>
                <w:color w:val="auto"/>
              </w:rPr>
              <w:t>2,172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0"/>
              <w:spacing w:after="0" w:line="188"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ind w:left="620"/>
              <w:spacing w:after="0" w:line="188" w:lineRule="exact"/>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120"/>
              <w:spacing w:after="0" w:line="188" w:lineRule="exact"/>
              <w:rPr>
                <w:sz w:val="20"/>
                <w:szCs w:val="20"/>
                <w:color w:val="auto"/>
              </w:rPr>
            </w:pPr>
            <w:r>
              <w:rPr>
                <w:rFonts w:ascii="Arial" w:cs="Arial" w:eastAsia="Arial" w:hAnsi="Arial"/>
                <w:sz w:val="17"/>
                <w:szCs w:val="17"/>
                <w:color w:val="auto"/>
              </w:rPr>
              <w:t>2,172</w:t>
            </w:r>
          </w:p>
        </w:tc>
      </w:tr>
      <w:tr>
        <w:trPr>
          <w:trHeight w:val="213"/>
        </w:trPr>
        <w:tc>
          <w:tcPr>
            <w:tcW w:w="2220" w:type="dxa"/>
            <w:vAlign w:val="bottom"/>
          </w:tcPr>
          <w:p>
            <w:pPr>
              <w:ind w:left="160"/>
              <w:spacing w:after="0"/>
              <w:rPr>
                <w:sz w:val="20"/>
                <w:szCs w:val="20"/>
                <w:color w:val="auto"/>
              </w:rPr>
            </w:pPr>
            <w:r>
              <w:rPr>
                <w:rFonts w:ascii="Arial" w:cs="Arial" w:eastAsia="Arial" w:hAnsi="Arial"/>
                <w:sz w:val="17"/>
                <w:szCs w:val="17"/>
                <w:color w:val="auto"/>
              </w:rPr>
              <w:t>of warrants</w:t>
            </w:r>
          </w:p>
        </w:tc>
        <w:tc>
          <w:tcPr>
            <w:tcW w:w="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2220" w:type="dxa"/>
            <w:vAlign w:val="bottom"/>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line="191" w:lineRule="exact"/>
              <w:rPr>
                <w:sz w:val="20"/>
                <w:szCs w:val="20"/>
                <w:color w:val="auto"/>
              </w:rPr>
            </w:pPr>
            <w:r>
              <w:rPr>
                <w:rFonts w:ascii="Arial" w:cs="Arial" w:eastAsia="Arial" w:hAnsi="Arial"/>
                <w:sz w:val="17"/>
                <w:szCs w:val="17"/>
                <w:b w:val="1"/>
                <w:bCs w:val="1"/>
                <w:color w:val="auto"/>
              </w:rPr>
              <w:t>2,172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ind w:left="800"/>
              <w:spacing w:after="0" w:line="191"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620"/>
              <w:spacing w:after="0" w:line="191" w:lineRule="exact"/>
              <w:rPr>
                <w:sz w:val="20"/>
                <w:szCs w:val="20"/>
                <w:color w:val="auto"/>
              </w:rPr>
            </w:pPr>
            <w:r>
              <w:rPr>
                <w:rFonts w:ascii="Arial" w:cs="Arial" w:eastAsia="Arial" w:hAnsi="Arial"/>
                <w:sz w:val="17"/>
                <w:szCs w:val="17"/>
                <w:color w:val="auto"/>
              </w:rPr>
              <w:t>—</w:t>
            </w:r>
          </w:p>
        </w:tc>
        <w:tc>
          <w:tcPr>
            <w:tcW w:w="1200" w:type="dxa"/>
            <w:vAlign w:val="bottom"/>
            <w:gridSpan w:val="3"/>
            <w:shd w:val="clear" w:color="auto" w:fill="CCFFCC"/>
          </w:tcPr>
          <w:p>
            <w:pPr>
              <w:jc w:val="right"/>
              <w:ind w:right="120"/>
              <w:spacing w:after="0" w:line="191" w:lineRule="exact"/>
              <w:rPr>
                <w:sz w:val="20"/>
                <w:szCs w:val="20"/>
                <w:color w:val="auto"/>
              </w:rPr>
            </w:pPr>
            <w:r>
              <w:rPr>
                <w:rFonts w:ascii="Arial" w:cs="Arial" w:eastAsia="Arial" w:hAnsi="Arial"/>
                <w:sz w:val="17"/>
                <w:szCs w:val="17"/>
                <w:color w:val="auto"/>
              </w:rPr>
              <w:t>2,172</w:t>
            </w:r>
          </w:p>
        </w:tc>
      </w:tr>
      <w:tr>
        <w:trPr>
          <w:trHeight w:val="20"/>
        </w:trPr>
        <w:tc>
          <w:tcPr>
            <w:tcW w:w="2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178"/>
        </w:trPr>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Borders>
              <w:bottom w:val="single" w:sz="8" w:color="auto"/>
            </w:tcBorders>
            <w:gridSpan w:val="8"/>
          </w:tcPr>
          <w:p>
            <w:pPr>
              <w:jc w:val="right"/>
              <w:ind w:right="380"/>
              <w:spacing w:after="0"/>
              <w:rPr>
                <w:sz w:val="20"/>
                <w:szCs w:val="20"/>
                <w:color w:val="auto"/>
              </w:rPr>
            </w:pPr>
            <w:r>
              <w:rPr>
                <w:rFonts w:ascii="Arial" w:cs="Arial" w:eastAsia="Arial" w:hAnsi="Arial"/>
                <w:sz w:val="13"/>
                <w:szCs w:val="13"/>
                <w:b w:val="1"/>
                <w:bCs w:val="1"/>
                <w:color w:val="auto"/>
              </w:rPr>
              <w:t>Fair value measurement at reporting date using</w:t>
            </w:r>
          </w:p>
        </w:tc>
      </w:tr>
      <w:tr>
        <w:trPr>
          <w:trHeight w:val="148"/>
        </w:trPr>
        <w:tc>
          <w:tcPr>
            <w:tcW w:w="2220" w:type="dxa"/>
            <w:vAlign w:val="bottom"/>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160" w:type="dxa"/>
            <w:vAlign w:val="bottom"/>
          </w:tcPr>
          <w:p>
            <w:pPr>
              <w:spacing w:after="0"/>
              <w:rPr>
                <w:sz w:val="12"/>
                <w:szCs w:val="12"/>
                <w:color w:val="auto"/>
              </w:rPr>
            </w:pPr>
          </w:p>
        </w:tc>
        <w:tc>
          <w:tcPr>
            <w:tcW w:w="1100" w:type="dxa"/>
            <w:vAlign w:val="bottom"/>
            <w:gridSpan w:val="3"/>
          </w:tcPr>
          <w:p>
            <w:pPr>
              <w:jc w:val="center"/>
              <w:ind w:right="160"/>
              <w:spacing w:after="0" w:line="148" w:lineRule="exact"/>
              <w:rPr>
                <w:sz w:val="20"/>
                <w:szCs w:val="20"/>
                <w:color w:val="auto"/>
              </w:rPr>
            </w:pPr>
            <w:r>
              <w:rPr>
                <w:rFonts w:ascii="Arial" w:cs="Arial" w:eastAsia="Arial" w:hAnsi="Arial"/>
                <w:sz w:val="13"/>
                <w:szCs w:val="13"/>
                <w:b w:val="1"/>
                <w:bCs w:val="1"/>
                <w:color w:val="auto"/>
                <w:w w:val="92"/>
              </w:rPr>
              <w:t>December 31,</w:t>
            </w:r>
          </w:p>
        </w:tc>
        <w:tc>
          <w:tcPr>
            <w:tcW w:w="114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1"/>
              </w:rPr>
              <w:t>Quoted prices in</w:t>
            </w:r>
          </w:p>
        </w:tc>
        <w:tc>
          <w:tcPr>
            <w:tcW w:w="160" w:type="dxa"/>
            <w:vAlign w:val="bottom"/>
          </w:tcPr>
          <w:p>
            <w:pPr>
              <w:spacing w:after="0"/>
              <w:rPr>
                <w:sz w:val="12"/>
                <w:szCs w:val="12"/>
                <w:color w:val="auto"/>
              </w:rPr>
            </w:pPr>
          </w:p>
        </w:tc>
        <w:tc>
          <w:tcPr>
            <w:tcW w:w="9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2"/>
                <w:szCs w:val="12"/>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Significant</w:t>
            </w:r>
          </w:p>
        </w:tc>
      </w:tr>
      <w:tr>
        <w:trPr>
          <w:trHeight w:val="138"/>
        </w:trPr>
        <w:tc>
          <w:tcPr>
            <w:tcW w:w="2220" w:type="dxa"/>
            <w:vAlign w:val="bottom"/>
          </w:tcPr>
          <w:p>
            <w:pPr>
              <w:spacing w:after="0"/>
              <w:rPr>
                <w:sz w:val="11"/>
                <w:szCs w:val="11"/>
                <w:color w:val="auto"/>
              </w:rPr>
            </w:pPr>
          </w:p>
        </w:tc>
        <w:tc>
          <w:tcPr>
            <w:tcW w:w="1000" w:type="dxa"/>
            <w:vAlign w:val="bottom"/>
            <w:gridSpan w:val="2"/>
          </w:tcPr>
          <w:p>
            <w:pPr>
              <w:jc w:val="center"/>
              <w:ind w:left="183"/>
              <w:spacing w:after="0" w:line="138" w:lineRule="exact"/>
              <w:rPr>
                <w:sz w:val="20"/>
                <w:szCs w:val="20"/>
                <w:color w:val="auto"/>
              </w:rPr>
            </w:pPr>
            <w:r>
              <w:rPr>
                <w:rFonts w:ascii="Arial" w:cs="Arial" w:eastAsia="Arial" w:hAnsi="Arial"/>
                <w:sz w:val="13"/>
                <w:szCs w:val="13"/>
                <w:b w:val="1"/>
                <w:bCs w:val="1"/>
                <w:color w:val="auto"/>
                <w:w w:val="89"/>
              </w:rPr>
              <w:t>2010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active markets for</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unobservable</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6"/>
              </w:rPr>
              <w:t>identical assets</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r>
      <w:tr>
        <w:trPr>
          <w:trHeight w:val="138"/>
        </w:trPr>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1"/>
                <w:szCs w:val="11"/>
                <w:color w:val="auto"/>
              </w:rPr>
            </w:pPr>
          </w:p>
        </w:tc>
        <w:tc>
          <w:tcPr>
            <w:tcW w:w="10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(Level 3)</w:t>
            </w:r>
          </w:p>
        </w:tc>
      </w:tr>
      <w:tr>
        <w:trPr>
          <w:trHeight w:val="158"/>
        </w:trPr>
        <w:tc>
          <w:tcPr>
            <w:tcW w:w="2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1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40"/>
              <w:spacing w:after="0"/>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222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tcBorders>
              <w:righ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00"/>
        </w:trPr>
        <w:tc>
          <w:tcPr>
            <w:tcW w:w="2220" w:type="dxa"/>
            <w:vAlign w:val="bottom"/>
          </w:tcPr>
          <w:p>
            <w:pPr>
              <w:spacing w:after="0"/>
              <w:rPr>
                <w:sz w:val="20"/>
                <w:szCs w:val="20"/>
                <w:color w:val="auto"/>
              </w:rPr>
            </w:pPr>
            <w:r>
              <w:rPr>
                <w:rFonts w:ascii="Arial" w:cs="Arial" w:eastAsia="Arial" w:hAnsi="Arial"/>
                <w:sz w:val="17"/>
                <w:szCs w:val="17"/>
                <w:color w:val="auto"/>
              </w:rPr>
              <w:t>Cash equivalents</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4,542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222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4,542</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20" w:type="dxa"/>
            <w:vAlign w:val="bottom"/>
            <w:tcBorders>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4,542</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gridSpan w:val="2"/>
            <w:shd w:val="clear" w:color="auto" w:fill="CCFFCC"/>
          </w:tcPr>
          <w:p>
            <w:pPr>
              <w:ind w:left="640"/>
              <w:spacing w:after="0" w:line="193" w:lineRule="exact"/>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r>
      <w:tr>
        <w:trPr>
          <w:trHeight w:val="191"/>
        </w:trPr>
        <w:tc>
          <w:tcPr>
            <w:tcW w:w="222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b w:val="1"/>
                <w:bCs w:val="1"/>
                <w:color w:val="auto"/>
              </w:rPr>
              <w:t>Liabilities</w:t>
            </w:r>
          </w:p>
        </w:tc>
        <w:tc>
          <w:tcPr>
            <w:tcW w:w="16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CCFFCC"/>
            </w:tcBorders>
          </w:tcPr>
          <w:p>
            <w:pPr>
              <w:spacing w:after="0"/>
              <w:rPr>
                <w:sz w:val="16"/>
                <w:szCs w:val="16"/>
                <w:color w:val="auto"/>
              </w:rPr>
            </w:pPr>
          </w:p>
        </w:tc>
      </w:tr>
      <w:tr>
        <w:trPr>
          <w:trHeight w:val="188"/>
        </w:trPr>
        <w:tc>
          <w:tcPr>
            <w:tcW w:w="222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2"/>
              </w:rPr>
              <w:t>Derivative liability on account of</w:t>
            </w:r>
          </w:p>
        </w:tc>
        <w:tc>
          <w:tcPr>
            <w:tcW w:w="1000" w:type="dxa"/>
            <w:vAlign w:val="bottom"/>
            <w:gridSpan w:val="2"/>
            <w:shd w:val="clear" w:color="auto" w:fill="CCFFCC"/>
          </w:tcPr>
          <w:p>
            <w:pPr>
              <w:jc w:val="right"/>
              <w:spacing w:after="0" w:line="188" w:lineRule="exact"/>
              <w:rPr>
                <w:sz w:val="20"/>
                <w:szCs w:val="20"/>
                <w:color w:val="auto"/>
              </w:rPr>
            </w:pPr>
            <w:r>
              <w:rPr>
                <w:rFonts w:ascii="Arial" w:cs="Arial" w:eastAsia="Arial" w:hAnsi="Arial"/>
                <w:sz w:val="17"/>
                <w:szCs w:val="17"/>
                <w:b w:val="1"/>
                <w:bCs w:val="1"/>
                <w:color w:val="auto"/>
              </w:rPr>
              <w:t>1,770</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6"/>
                <w:szCs w:val="16"/>
                <w:color w:val="auto"/>
              </w:rPr>
            </w:pPr>
          </w:p>
        </w:tc>
        <w:tc>
          <w:tcPr>
            <w:tcW w:w="960" w:type="dxa"/>
            <w:vAlign w:val="bottom"/>
            <w:gridSpan w:val="2"/>
            <w:shd w:val="clear" w:color="auto" w:fill="CCFFCC"/>
          </w:tcPr>
          <w:p>
            <w:pPr>
              <w:ind w:left="640"/>
              <w:spacing w:after="0" w:line="188"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FFCC"/>
          </w:tcPr>
          <w:p>
            <w:pPr>
              <w:jc w:val="right"/>
              <w:spacing w:after="0" w:line="188" w:lineRule="exact"/>
              <w:rPr>
                <w:sz w:val="20"/>
                <w:szCs w:val="20"/>
                <w:color w:val="auto"/>
              </w:rPr>
            </w:pPr>
            <w:r>
              <w:rPr>
                <w:rFonts w:ascii="Arial" w:cs="Arial" w:eastAsia="Arial" w:hAnsi="Arial"/>
                <w:sz w:val="17"/>
                <w:szCs w:val="17"/>
                <w:color w:val="auto"/>
              </w:rPr>
              <w:t>1,770</w:t>
            </w:r>
          </w:p>
        </w:tc>
        <w:tc>
          <w:tcPr>
            <w:tcW w:w="140" w:type="dxa"/>
            <w:vAlign w:val="bottom"/>
            <w:shd w:val="clear" w:color="auto" w:fill="CCFFCC"/>
          </w:tcPr>
          <w:p>
            <w:pPr>
              <w:spacing w:after="0"/>
              <w:rPr>
                <w:sz w:val="16"/>
                <w:szCs w:val="16"/>
                <w:color w:val="auto"/>
              </w:rPr>
            </w:pPr>
          </w:p>
        </w:tc>
      </w:tr>
      <w:tr>
        <w:trPr>
          <w:trHeight w:val="213"/>
        </w:trPr>
        <w:tc>
          <w:tcPr>
            <w:tcW w:w="222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warrants</w:t>
            </w:r>
          </w:p>
        </w:tc>
        <w:tc>
          <w:tcPr>
            <w:tcW w:w="16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right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auto"/>
              <w:right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r>
      <w:tr>
        <w:trPr>
          <w:trHeight w:val="193"/>
        </w:trPr>
        <w:tc>
          <w:tcPr>
            <w:tcW w:w="2220" w:type="dxa"/>
            <w:vAlign w:val="bottom"/>
          </w:tcPr>
          <w:p>
            <w:pPr>
              <w:spacing w:after="0" w:line="194" w:lineRule="exact"/>
              <w:rPr>
                <w:sz w:val="20"/>
                <w:szCs w:val="20"/>
                <w:color w:val="auto"/>
              </w:rPr>
            </w:pPr>
            <w:r>
              <w:rPr>
                <w:rFonts w:ascii="Arial" w:cs="Arial" w:eastAsia="Arial" w:hAnsi="Arial"/>
                <w:sz w:val="17"/>
                <w:szCs w:val="17"/>
                <w:b w:val="1"/>
                <w:bCs w:val="1"/>
                <w:color w:val="auto"/>
              </w:rPr>
              <w:t>Total liabilities</w:t>
            </w:r>
          </w:p>
        </w:tc>
        <w:tc>
          <w:tcPr>
            <w:tcW w:w="1000" w:type="dxa"/>
            <w:vAlign w:val="bottom"/>
            <w:gridSpan w:val="2"/>
          </w:tcPr>
          <w:p>
            <w:pPr>
              <w:jc w:val="right"/>
              <w:spacing w:after="0" w:line="194" w:lineRule="exact"/>
              <w:rPr>
                <w:sz w:val="20"/>
                <w:szCs w:val="20"/>
                <w:color w:val="auto"/>
              </w:rPr>
            </w:pPr>
            <w:r>
              <w:rPr>
                <w:rFonts w:ascii="Arial" w:cs="Arial" w:eastAsia="Arial" w:hAnsi="Arial"/>
                <w:sz w:val="17"/>
                <w:szCs w:val="17"/>
                <w:b w:val="1"/>
                <w:bCs w:val="1"/>
                <w:color w:val="auto"/>
              </w:rPr>
              <w:t>1,770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60" w:type="dxa"/>
            <w:vAlign w:val="bottom"/>
            <w:gridSpan w:val="2"/>
          </w:tcPr>
          <w:p>
            <w:pPr>
              <w:ind w:left="64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1,770</w:t>
            </w:r>
          </w:p>
        </w:tc>
        <w:tc>
          <w:tcPr>
            <w:tcW w:w="140" w:type="dxa"/>
            <w:vAlign w:val="bottom"/>
          </w:tcPr>
          <w:p>
            <w:pPr>
              <w:spacing w:after="0"/>
              <w:rPr>
                <w:sz w:val="16"/>
                <w:szCs w:val="16"/>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-1725930</wp:posOffset>
            </wp:positionV>
            <wp:extent cx="4408170" cy="317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-580390</wp:posOffset>
            </wp:positionV>
            <wp:extent cx="4408170" cy="1593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40817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-1765935</wp:posOffset>
            </wp:positionV>
            <wp:extent cx="44081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200" w:lineRule="exact"/>
        <w:rPr>
          <w:sz w:val="20"/>
          <w:szCs w:val="20"/>
          <w:color w:val="auto"/>
        </w:rPr>
      </w:pPr>
    </w:p>
    <w:p>
      <w:pPr>
        <w:spacing w:after="0" w:line="30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0" w:name="page251"/>
    <w:bookmarkEnd w:id="2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 Fair Value Measurements – (continued)</w:t>
      </w:r>
    </w:p>
    <w:p>
      <w:pPr>
        <w:ind w:left="40" w:right="1239" w:firstLine="251"/>
        <w:spacing w:after="0" w:line="264" w:lineRule="auto"/>
        <w:rPr>
          <w:sz w:val="20"/>
          <w:szCs w:val="20"/>
          <w:color w:val="auto"/>
        </w:rPr>
      </w:pPr>
      <w:r>
        <w:rPr>
          <w:rFonts w:ascii="Arial" w:cs="Arial" w:eastAsia="Arial" w:hAnsi="Arial"/>
          <w:sz w:val="17"/>
          <w:szCs w:val="17"/>
          <w:color w:val="auto"/>
        </w:rPr>
        <w:t>The following table summarizes the changes in the Company’s liabilities measured at fair value using significant unobservable inputs (Level 3)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8"/>
        </w:trPr>
        <w:tc>
          <w:tcPr>
            <w:tcW w:w="4180" w:type="dxa"/>
            <w:vAlign w:val="bottom"/>
          </w:tcPr>
          <w:p>
            <w:pPr>
              <w:spacing w:after="0"/>
              <w:rPr>
                <w:sz w:val="12"/>
                <w:szCs w:val="12"/>
                <w:color w:val="auto"/>
              </w:rPr>
            </w:pPr>
          </w:p>
        </w:tc>
        <w:tc>
          <w:tcPr>
            <w:tcW w:w="8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auto"/>
                <w:w w:val="90"/>
              </w:rPr>
              <w:t>Special Bridge</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8" w:lineRule="exact"/>
              <w:rPr>
                <w:sz w:val="20"/>
                <w:szCs w:val="20"/>
                <w:color w:val="auto"/>
              </w:rPr>
            </w:pPr>
            <w:r>
              <w:rPr>
                <w:rFonts w:ascii="Arial" w:cs="Arial" w:eastAsia="Arial" w:hAnsi="Arial"/>
                <w:sz w:val="13"/>
                <w:szCs w:val="13"/>
                <w:b w:val="1"/>
                <w:bCs w:val="1"/>
                <w:color w:val="auto"/>
              </w:rPr>
              <w:t>Conversion</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Total</w:t>
            </w:r>
          </w:p>
        </w:tc>
      </w:tr>
      <w:tr>
        <w:trPr>
          <w:trHeight w:val="158"/>
        </w:trPr>
        <w:tc>
          <w:tcPr>
            <w:tcW w:w="418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88"/>
        </w:trPr>
        <w:tc>
          <w:tcPr>
            <w:tcW w:w="4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w w:val="97"/>
              </w:rPr>
              <w:t>U.S.$ thousands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4180" w:type="dxa"/>
            <w:vAlign w:val="bottom"/>
            <w:shd w:val="clear" w:color="auto" w:fill="CCFFCC"/>
          </w:tcPr>
          <w:p>
            <w:pPr>
              <w:spacing w:after="0"/>
              <w:rPr>
                <w:sz w:val="20"/>
                <w:szCs w:val="20"/>
                <w:color w:val="auto"/>
              </w:rPr>
            </w:pPr>
            <w:r>
              <w:rPr>
                <w:rFonts w:ascii="Arial" w:cs="Arial" w:eastAsia="Arial" w:hAnsi="Arial"/>
                <w:sz w:val="17"/>
                <w:szCs w:val="17"/>
                <w:color w:val="auto"/>
              </w:rPr>
              <w:t>Original allocated amount</w:t>
            </w:r>
          </w:p>
        </w:tc>
        <w:tc>
          <w:tcPr>
            <w:tcW w:w="6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1,070</w:t>
            </w:r>
          </w:p>
        </w:tc>
        <w:tc>
          <w:tcPr>
            <w:tcW w:w="1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1,070</w:t>
            </w:r>
          </w:p>
        </w:tc>
      </w:tr>
      <w:tr>
        <w:trPr>
          <w:trHeight w:val="200"/>
        </w:trPr>
        <w:tc>
          <w:tcPr>
            <w:tcW w:w="4180" w:type="dxa"/>
            <w:vAlign w:val="bottom"/>
          </w:tcPr>
          <w:p>
            <w:pPr>
              <w:spacing w:after="0"/>
              <w:rPr>
                <w:sz w:val="20"/>
                <w:szCs w:val="20"/>
                <w:color w:val="auto"/>
              </w:rPr>
            </w:pPr>
            <w:r>
              <w:rPr>
                <w:rFonts w:ascii="Arial" w:cs="Arial" w:eastAsia="Arial" w:hAnsi="Arial"/>
                <w:sz w:val="17"/>
                <w:szCs w:val="17"/>
                <w:color w:val="auto"/>
              </w:rPr>
              <w:t>Additional allocated amount (upon IPO)</w:t>
            </w:r>
          </w:p>
        </w:tc>
        <w:tc>
          <w:tcPr>
            <w:tcW w:w="680" w:type="dxa"/>
            <w:vAlign w:val="bottom"/>
          </w:tcPr>
          <w:p>
            <w:pPr>
              <w:jc w:val="right"/>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7"/>
                <w:szCs w:val="17"/>
                <w:color w:val="auto"/>
              </w:rPr>
              <w:t>1,564</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1,652</w:t>
            </w:r>
          </w:p>
        </w:tc>
      </w:tr>
      <w:tr>
        <w:trPr>
          <w:trHeight w:val="188"/>
        </w:trPr>
        <w:tc>
          <w:tcPr>
            <w:tcW w:w="418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Fair value adjustment included in statement</w:t>
            </w:r>
          </w:p>
        </w:tc>
        <w:tc>
          <w:tcPr>
            <w:tcW w:w="860" w:type="dxa"/>
            <w:vAlign w:val="bottom"/>
            <w:gridSpan w:val="2"/>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(382)</w:t>
            </w:r>
          </w:p>
        </w:tc>
        <w:tc>
          <w:tcPr>
            <w:tcW w:w="10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(570)</w:t>
            </w:r>
          </w:p>
        </w:tc>
        <w:tc>
          <w:tcPr>
            <w:tcW w:w="900" w:type="dxa"/>
            <w:vAlign w:val="bottom"/>
            <w:gridSpan w:val="3"/>
            <w:shd w:val="clear" w:color="auto" w:fill="CCFFCC"/>
          </w:tcPr>
          <w:p>
            <w:pPr>
              <w:jc w:val="right"/>
              <w:ind w:right="100"/>
              <w:spacing w:after="0" w:line="188" w:lineRule="exact"/>
              <w:rPr>
                <w:sz w:val="20"/>
                <w:szCs w:val="20"/>
                <w:color w:val="auto"/>
              </w:rPr>
            </w:pPr>
            <w:r>
              <w:rPr>
                <w:rFonts w:ascii="Arial" w:cs="Arial" w:eastAsia="Arial" w:hAnsi="Arial"/>
                <w:sz w:val="17"/>
                <w:szCs w:val="17"/>
                <w:color w:val="auto"/>
              </w:rPr>
              <w:t>(952)</w:t>
            </w:r>
          </w:p>
        </w:tc>
      </w:tr>
      <w:tr>
        <w:trPr>
          <w:trHeight w:val="213"/>
        </w:trPr>
        <w:tc>
          <w:tcPr>
            <w:tcW w:w="41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at December 31, 2010</w:t>
            </w:r>
          </w:p>
        </w:tc>
        <w:tc>
          <w:tcPr>
            <w:tcW w:w="860" w:type="dxa"/>
            <w:vAlign w:val="bottom"/>
            <w:gridSpan w:val="2"/>
          </w:tcPr>
          <w:p>
            <w:pPr>
              <w:jc w:val="right"/>
              <w:ind w:right="180"/>
              <w:spacing w:after="0" w:line="194" w:lineRule="exact"/>
              <w:rPr>
                <w:sz w:val="20"/>
                <w:szCs w:val="20"/>
                <w:color w:val="auto"/>
              </w:rPr>
            </w:pPr>
            <w:r>
              <w:rPr>
                <w:rFonts w:ascii="Arial" w:cs="Arial" w:eastAsia="Arial" w:hAnsi="Arial"/>
                <w:sz w:val="17"/>
                <w:szCs w:val="17"/>
                <w:b w:val="1"/>
                <w:bCs w:val="1"/>
                <w:color w:val="auto"/>
              </w:rPr>
              <w:t>776</w:t>
            </w:r>
          </w:p>
        </w:tc>
        <w:tc>
          <w:tcPr>
            <w:tcW w:w="1000" w:type="dxa"/>
            <w:vAlign w:val="bottom"/>
            <w:gridSpan w:val="3"/>
          </w:tcPr>
          <w:p>
            <w:pPr>
              <w:jc w:val="right"/>
              <w:ind w:right="180"/>
              <w:spacing w:after="0" w:line="194" w:lineRule="exact"/>
              <w:rPr>
                <w:sz w:val="20"/>
                <w:szCs w:val="20"/>
                <w:color w:val="auto"/>
              </w:rPr>
            </w:pPr>
            <w:r>
              <w:rPr>
                <w:rFonts w:ascii="Arial" w:cs="Arial" w:eastAsia="Arial" w:hAnsi="Arial"/>
                <w:sz w:val="17"/>
                <w:szCs w:val="17"/>
                <w:b w:val="1"/>
                <w:bCs w:val="1"/>
                <w:color w:val="auto"/>
              </w:rPr>
              <w:t>994</w:t>
            </w:r>
          </w:p>
        </w:tc>
        <w:tc>
          <w:tcPr>
            <w:tcW w:w="90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1,770</w:t>
            </w:r>
          </w:p>
        </w:tc>
      </w:tr>
      <w:tr>
        <w:trPr>
          <w:trHeight w:val="188"/>
        </w:trPr>
        <w:tc>
          <w:tcPr>
            <w:tcW w:w="418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Fair value adjustment included in statement</w:t>
            </w:r>
          </w:p>
        </w:tc>
        <w:tc>
          <w:tcPr>
            <w:tcW w:w="860" w:type="dxa"/>
            <w:vAlign w:val="bottom"/>
            <w:gridSpan w:val="2"/>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511</w:t>
            </w:r>
          </w:p>
        </w:tc>
        <w:tc>
          <w:tcPr>
            <w:tcW w:w="100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(109)</w:t>
            </w:r>
          </w:p>
        </w:tc>
        <w:tc>
          <w:tcPr>
            <w:tcW w:w="900" w:type="dxa"/>
            <w:vAlign w:val="bottom"/>
            <w:gridSpan w:val="3"/>
            <w:shd w:val="clear" w:color="auto" w:fill="CCFFCC"/>
          </w:tcPr>
          <w:p>
            <w:pPr>
              <w:jc w:val="right"/>
              <w:ind w:right="160"/>
              <w:spacing w:after="0" w:line="188" w:lineRule="exact"/>
              <w:rPr>
                <w:sz w:val="20"/>
                <w:szCs w:val="20"/>
                <w:color w:val="auto"/>
              </w:rPr>
            </w:pPr>
            <w:r>
              <w:rPr>
                <w:rFonts w:ascii="Arial" w:cs="Arial" w:eastAsia="Arial" w:hAnsi="Arial"/>
                <w:sz w:val="17"/>
                <w:szCs w:val="17"/>
                <w:color w:val="auto"/>
              </w:rPr>
              <w:t>402</w:t>
            </w:r>
          </w:p>
        </w:tc>
      </w:tr>
      <w:tr>
        <w:trPr>
          <w:trHeight w:val="213"/>
        </w:trPr>
        <w:tc>
          <w:tcPr>
            <w:tcW w:w="41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of operations</w:t>
            </w: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r>
      <w:tr>
        <w:trPr>
          <w:trHeight w:val="193"/>
        </w:trPr>
        <w:tc>
          <w:tcPr>
            <w:tcW w:w="418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at December 31, 2011</w:t>
            </w:r>
          </w:p>
        </w:tc>
        <w:tc>
          <w:tcPr>
            <w:tcW w:w="6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1,287</w:t>
            </w:r>
          </w:p>
        </w:tc>
        <w:tc>
          <w:tcPr>
            <w:tcW w:w="180" w:type="dxa"/>
            <w:vAlign w:val="bottom"/>
          </w:tcPr>
          <w:p>
            <w:pPr>
              <w:spacing w:after="0"/>
              <w:rPr>
                <w:sz w:val="16"/>
                <w:szCs w:val="16"/>
                <w:color w:val="auto"/>
              </w:rPr>
            </w:pPr>
          </w:p>
        </w:tc>
        <w:tc>
          <w:tcPr>
            <w:tcW w:w="1000" w:type="dxa"/>
            <w:vAlign w:val="bottom"/>
            <w:gridSpan w:val="3"/>
          </w:tcPr>
          <w:p>
            <w:pPr>
              <w:jc w:val="right"/>
              <w:ind w:right="180"/>
              <w:spacing w:after="0" w:line="194" w:lineRule="exact"/>
              <w:rPr>
                <w:sz w:val="20"/>
                <w:szCs w:val="20"/>
                <w:color w:val="auto"/>
              </w:rPr>
            </w:pPr>
            <w:r>
              <w:rPr>
                <w:rFonts w:ascii="Arial" w:cs="Arial" w:eastAsia="Arial" w:hAnsi="Arial"/>
                <w:sz w:val="17"/>
                <w:szCs w:val="17"/>
                <w:b w:val="1"/>
                <w:bCs w:val="1"/>
                <w:color w:val="auto"/>
              </w:rPr>
              <w:t>885</w:t>
            </w:r>
          </w:p>
        </w:tc>
        <w:tc>
          <w:tcPr>
            <w:tcW w:w="900" w:type="dxa"/>
            <w:vAlign w:val="bottom"/>
            <w:gridSpan w:val="3"/>
          </w:tcPr>
          <w:p>
            <w:pPr>
              <w:jc w:val="right"/>
              <w:ind w:right="160"/>
              <w:spacing w:after="0" w:line="194" w:lineRule="exact"/>
              <w:rPr>
                <w:sz w:val="20"/>
                <w:szCs w:val="20"/>
                <w:color w:val="auto"/>
              </w:rPr>
            </w:pPr>
            <w:r>
              <w:rPr>
                <w:rFonts w:ascii="Arial" w:cs="Arial" w:eastAsia="Arial" w:hAnsi="Arial"/>
                <w:sz w:val="17"/>
                <w:szCs w:val="17"/>
                <w:b w:val="1"/>
                <w:bCs w:val="1"/>
                <w:color w:val="auto"/>
              </w:rPr>
              <w:t>2,172</w:t>
            </w:r>
          </w:p>
        </w:tc>
      </w:tr>
      <w:tr>
        <w:trPr>
          <w:trHeight w:val="20"/>
        </w:trPr>
        <w:tc>
          <w:tcPr>
            <w:tcW w:w="4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-556260</wp:posOffset>
            </wp:positionV>
            <wp:extent cx="4408170" cy="135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w:t>
      </w:r>
    </w:p>
    <w:p>
      <w:pPr>
        <w:spacing w:after="0" w:line="143" w:lineRule="exact"/>
        <w:rPr>
          <w:sz w:val="20"/>
          <w:szCs w:val="20"/>
          <w:color w:val="auto"/>
        </w:rPr>
      </w:pPr>
    </w:p>
    <w:p>
      <w:pPr>
        <w:ind w:left="280" w:hanging="233"/>
        <w:spacing w:after="0"/>
        <w:tabs>
          <w:tab w:leader="none" w:pos="2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109"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7"/>
          <w:szCs w:val="17"/>
          <w:color w:val="auto"/>
        </w:rPr>
        <w:t>In June 2010, the Company completed an IPO of 2,392,000 units (see Note 1).</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1" w:name="page252"/>
    <w:bookmarkEnd w:id="2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information about the Company’s issued and outstanding common stock from inception through December 31, 2011, on a post-split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3922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3922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10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8"/>
              </w:rPr>
              <w:t>Shares of common</w:t>
            </w:r>
          </w:p>
        </w:tc>
      </w:tr>
      <w:tr>
        <w:trPr>
          <w:trHeight w:val="138"/>
        </w:trPr>
        <w:tc>
          <w:tcPr>
            <w:tcW w:w="5860" w:type="dxa"/>
            <w:vAlign w:val="bottom"/>
          </w:tcPr>
          <w:p>
            <w:pPr>
              <w:spacing w:after="0"/>
              <w:rPr>
                <w:sz w:val="11"/>
                <w:szCs w:val="11"/>
                <w:color w:val="auto"/>
              </w:rPr>
            </w:pPr>
          </w:p>
        </w:tc>
        <w:tc>
          <w:tcPr>
            <w:tcW w:w="10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2"/>
              </w:rPr>
              <w:t>stock</w:t>
            </w:r>
          </w:p>
        </w:tc>
      </w:tr>
      <w:tr>
        <w:trPr>
          <w:trHeight w:val="158"/>
        </w:trPr>
        <w:tc>
          <w:tcPr>
            <w:tcW w:w="5860" w:type="dxa"/>
            <w:vAlign w:val="bottom"/>
          </w:tcPr>
          <w:p>
            <w:pPr>
              <w:spacing w:after="0"/>
              <w:rPr>
                <w:sz w:val="13"/>
                <w:szCs w:val="13"/>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0.01$ par value</w:t>
            </w:r>
          </w:p>
        </w:tc>
      </w:tr>
      <w:tr>
        <w:trPr>
          <w:trHeight w:val="19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January 9, 2006 (inception)</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to two founders for a net amount of $5</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1"/>
              </w:rPr>
              <w:t>Stock dividend of 3,999 shares for each share of outstanding stock in their respective</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333,250</w:t>
            </w:r>
          </w:p>
        </w:tc>
      </w:tr>
      <w:tr>
        <w:trPr>
          <w:trHeight w:val="213"/>
        </w:trPr>
        <w:tc>
          <w:tcPr>
            <w:tcW w:w="5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classes</w:t>
            </w:r>
          </w:p>
        </w:tc>
        <w:tc>
          <w:tcPr>
            <w:tcW w:w="10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3"/>
        </w:trPr>
        <w:tc>
          <w:tcPr>
            <w:tcW w:w="586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December 31, 2006</w:t>
            </w:r>
          </w:p>
        </w:tc>
        <w:tc>
          <w:tcPr>
            <w:tcW w:w="108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333,333</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w w:val="96"/>
              </w:rPr>
              <w:t>Issuance of common stock in lieu of beneficial conversion terms contained in the</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33,449</w:t>
            </w:r>
          </w:p>
        </w:tc>
      </w:tr>
      <w:tr>
        <w:trPr>
          <w:trHeight w:val="213"/>
        </w:trPr>
        <w:tc>
          <w:tcPr>
            <w:tcW w:w="5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7"/>
                <w:szCs w:val="17"/>
                <w:color w:val="auto"/>
              </w:rPr>
              <w:t>convertible loan agreement</w:t>
            </w:r>
          </w:p>
        </w:tc>
        <w:tc>
          <w:tcPr>
            <w:tcW w:w="100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r>
        <w:trPr>
          <w:trHeight w:val="193"/>
        </w:trPr>
        <w:tc>
          <w:tcPr>
            <w:tcW w:w="586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December 31, 2007</w:t>
            </w:r>
          </w:p>
        </w:tc>
        <w:tc>
          <w:tcPr>
            <w:tcW w:w="1080" w:type="dxa"/>
            <w:vAlign w:val="bottom"/>
            <w:gridSpan w:val="2"/>
          </w:tcPr>
          <w:p>
            <w:pPr>
              <w:jc w:val="right"/>
              <w:ind w:right="80"/>
              <w:spacing w:after="0" w:line="194"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58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860" w:type="dxa"/>
            <w:vAlign w:val="bottom"/>
          </w:tcPr>
          <w:p>
            <w:pPr>
              <w:spacing w:after="0" w:line="193" w:lineRule="exact"/>
              <w:rPr>
                <w:sz w:val="20"/>
                <w:szCs w:val="20"/>
                <w:color w:val="auto"/>
              </w:rPr>
            </w:pPr>
            <w:r>
              <w:rPr>
                <w:rFonts w:ascii="Arial" w:cs="Arial" w:eastAsia="Arial" w:hAnsi="Arial"/>
                <w:sz w:val="17"/>
                <w:szCs w:val="17"/>
                <w:b w:val="1"/>
                <w:bCs w:val="1"/>
                <w:color w:val="auto"/>
              </w:rPr>
              <w:t>Balance as of December 31, 2008</w:t>
            </w:r>
          </w:p>
        </w:tc>
        <w:tc>
          <w:tcPr>
            <w:tcW w:w="108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586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860" w:type="dxa"/>
            <w:vAlign w:val="bottom"/>
          </w:tcPr>
          <w:p>
            <w:pPr>
              <w:spacing w:after="0" w:line="193" w:lineRule="exact"/>
              <w:rPr>
                <w:sz w:val="20"/>
                <w:szCs w:val="20"/>
                <w:color w:val="auto"/>
              </w:rPr>
            </w:pPr>
            <w:r>
              <w:rPr>
                <w:rFonts w:ascii="Arial" w:cs="Arial" w:eastAsia="Arial" w:hAnsi="Arial"/>
                <w:sz w:val="17"/>
                <w:szCs w:val="17"/>
                <w:b w:val="1"/>
                <w:bCs w:val="1"/>
                <w:color w:val="auto"/>
              </w:rPr>
              <w:t>Balance as of December 31, 2009</w:t>
            </w:r>
          </w:p>
        </w:tc>
        <w:tc>
          <w:tcPr>
            <w:tcW w:w="108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366,782</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Issuance of common stock, in connection with IPO (see Note 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2,392,000</w:t>
            </w:r>
          </w:p>
        </w:tc>
      </w:tr>
      <w:tr>
        <w:trPr>
          <w:trHeight w:val="188"/>
        </w:trPr>
        <w:tc>
          <w:tcPr>
            <w:tcW w:w="5860" w:type="dxa"/>
            <w:vAlign w:val="bottom"/>
          </w:tcPr>
          <w:p>
            <w:pPr>
              <w:spacing w:after="0" w:line="188" w:lineRule="exact"/>
              <w:rPr>
                <w:sz w:val="20"/>
                <w:szCs w:val="20"/>
                <w:color w:val="auto"/>
              </w:rPr>
            </w:pPr>
            <w:r>
              <w:rPr>
                <w:rFonts w:ascii="Arial" w:cs="Arial" w:eastAsia="Arial" w:hAnsi="Arial"/>
                <w:sz w:val="17"/>
                <w:szCs w:val="17"/>
                <w:color w:val="auto"/>
              </w:rPr>
              <w:t>Exchange of series A convertible preferred stock for common stock</w:t>
            </w:r>
          </w:p>
        </w:tc>
        <w:tc>
          <w:tcPr>
            <w:tcW w:w="1080" w:type="dxa"/>
            <w:vAlign w:val="bottom"/>
            <w:gridSpan w:val="2"/>
          </w:tcPr>
          <w:p>
            <w:pPr>
              <w:jc w:val="right"/>
              <w:ind w:right="80"/>
              <w:spacing w:after="0" w:line="188" w:lineRule="exact"/>
              <w:rPr>
                <w:sz w:val="20"/>
                <w:szCs w:val="20"/>
                <w:color w:val="auto"/>
              </w:rPr>
            </w:pPr>
            <w:r>
              <w:rPr>
                <w:rFonts w:ascii="Arial" w:cs="Arial" w:eastAsia="Arial" w:hAnsi="Arial"/>
                <w:sz w:val="17"/>
                <w:szCs w:val="17"/>
                <w:color w:val="auto"/>
              </w:rPr>
              <w:t>392,315</w:t>
            </w:r>
          </w:p>
        </w:tc>
      </w:tr>
      <w:tr>
        <w:trPr>
          <w:trHeight w:val="213"/>
        </w:trPr>
        <w:tc>
          <w:tcPr>
            <w:tcW w:w="5860" w:type="dxa"/>
            <w:vAlign w:val="bottom"/>
          </w:tcPr>
          <w:p>
            <w:pPr>
              <w:ind w:left="160"/>
              <w:spacing w:after="0"/>
              <w:rPr>
                <w:sz w:val="20"/>
                <w:szCs w:val="20"/>
                <w:color w:val="auto"/>
              </w:rPr>
            </w:pPr>
            <w:r>
              <w:rPr>
                <w:rFonts w:ascii="Arial" w:cs="Arial" w:eastAsia="Arial" w:hAnsi="Arial"/>
                <w:sz w:val="17"/>
                <w:szCs w:val="17"/>
                <w:color w:val="auto"/>
              </w:rPr>
              <w:t>(see Note 11 b)</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Bridge notes (see Note 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864,332</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Stock dividend (see Note 11 b)</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311,451</w:t>
            </w:r>
          </w:p>
        </w:tc>
      </w:tr>
      <w:tr>
        <w:trPr>
          <w:trHeight w:val="188"/>
        </w:trPr>
        <w:tc>
          <w:tcPr>
            <w:tcW w:w="58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Exchange of series B convertible preferred stock for common stock</w:t>
            </w:r>
          </w:p>
        </w:tc>
        <w:tc>
          <w:tcPr>
            <w:tcW w:w="108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color w:val="auto"/>
              </w:rPr>
              <w:t>765,466</w:t>
            </w:r>
          </w:p>
        </w:tc>
      </w:tr>
      <w:tr>
        <w:trPr>
          <w:trHeight w:val="213"/>
        </w:trPr>
        <w:tc>
          <w:tcPr>
            <w:tcW w:w="58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(see Note 11 b)</w:t>
            </w: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charitable warrants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11,044</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lead investor warrants (see Note 11 f)</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241,173</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60,517</w:t>
            </w:r>
          </w:p>
        </w:tc>
      </w:tr>
      <w:tr>
        <w:trPr>
          <w:trHeight w:val="20"/>
        </w:trPr>
        <w:tc>
          <w:tcPr>
            <w:tcW w:w="5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2010</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5,405,080</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Exercise of lead investor warrants (see Note 11 f)</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241,173</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stock options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341,913</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w w:val="98"/>
              </w:rPr>
              <w:t>Issuance of common stock, in connection venture loan settlement (see Note 8)</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Exercise of charitable warrants</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19,862</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to consultants</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208,159</w:t>
            </w:r>
          </w:p>
        </w:tc>
      </w:tr>
      <w:tr>
        <w:trPr>
          <w:trHeight w:val="200"/>
        </w:trPr>
        <w:tc>
          <w:tcPr>
            <w:tcW w:w="5860" w:type="dxa"/>
            <w:vAlign w:val="bottom"/>
            <w:shd w:val="clear" w:color="auto" w:fill="CCFFCC"/>
          </w:tcPr>
          <w:p>
            <w:pPr>
              <w:spacing w:after="0"/>
              <w:rPr>
                <w:sz w:val="20"/>
                <w:szCs w:val="20"/>
                <w:color w:val="auto"/>
              </w:rPr>
            </w:pPr>
            <w:r>
              <w:rPr>
                <w:rFonts w:ascii="Arial" w:cs="Arial" w:eastAsia="Arial" w:hAnsi="Arial"/>
                <w:sz w:val="17"/>
                <w:szCs w:val="17"/>
                <w:color w:val="auto"/>
              </w:rPr>
              <w:t>Conversion of convertible notes (see Note 9)</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2,671,026</w:t>
            </w:r>
          </w:p>
        </w:tc>
      </w:tr>
      <w:tr>
        <w:trPr>
          <w:trHeight w:val="200"/>
        </w:trPr>
        <w:tc>
          <w:tcPr>
            <w:tcW w:w="5860" w:type="dxa"/>
            <w:vAlign w:val="bottom"/>
          </w:tcPr>
          <w:p>
            <w:pPr>
              <w:spacing w:after="0"/>
              <w:rPr>
                <w:sz w:val="20"/>
                <w:szCs w:val="20"/>
                <w:color w:val="auto"/>
              </w:rPr>
            </w:pPr>
            <w:r>
              <w:rPr>
                <w:rFonts w:ascii="Arial" w:cs="Arial" w:eastAsia="Arial" w:hAnsi="Arial"/>
                <w:sz w:val="17"/>
                <w:szCs w:val="17"/>
                <w:color w:val="auto"/>
              </w:rPr>
              <w:t>Issuance of common stock, in connection with December 2011 financing</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817,303</w:t>
            </w:r>
          </w:p>
        </w:tc>
      </w:tr>
      <w:tr>
        <w:trPr>
          <w:trHeight w:val="20"/>
        </w:trPr>
        <w:tc>
          <w:tcPr>
            <w:tcW w:w="5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3"/>
        </w:trPr>
        <w:tc>
          <w:tcPr>
            <w:tcW w:w="586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as of December 31, 2011</w:t>
            </w:r>
          </w:p>
        </w:tc>
        <w:tc>
          <w:tcPr>
            <w:tcW w:w="10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9,954,516</w:t>
            </w:r>
          </w:p>
        </w:tc>
      </w:tr>
      <w:tr>
        <w:trPr>
          <w:trHeight w:val="20"/>
        </w:trPr>
        <w:tc>
          <w:tcPr>
            <w:tcW w:w="58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-3515995</wp:posOffset>
            </wp:positionV>
            <wp:extent cx="4408170" cy="135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-3126105</wp:posOffset>
            </wp:positionV>
            <wp:extent cx="4408170" cy="135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-2863850</wp:posOffset>
            </wp:positionV>
            <wp:extent cx="4408170" cy="135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-2600960</wp:posOffset>
            </wp:positionV>
            <wp:extent cx="4408170" cy="135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 Preferred Stock</w:t>
      </w:r>
    </w:p>
    <w:p>
      <w:pPr>
        <w:spacing w:after="0" w:line="109"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200" w:lineRule="exact"/>
        <w:rPr>
          <w:sz w:val="20"/>
          <w:szCs w:val="20"/>
          <w:color w:val="auto"/>
        </w:rPr>
      </w:pPr>
    </w:p>
    <w:p>
      <w:pPr>
        <w:spacing w:after="0" w:line="26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2" w:name="page253"/>
    <w:bookmarkEnd w:id="2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53" w:lineRule="auto"/>
        <w:rPr>
          <w:sz w:val="20"/>
          <w:szCs w:val="20"/>
          <w:color w:val="auto"/>
        </w:rPr>
      </w:pPr>
      <w:r>
        <w:rPr>
          <w:rFonts w:ascii="Arial" w:cs="Arial" w:eastAsia="Arial" w:hAnsi="Arial"/>
          <w:sz w:val="17"/>
          <w:szCs w:val="17"/>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 Common stock reserved for issuance upon exercise of stock options</w:t>
      </w:r>
    </w:p>
    <w:p>
      <w:pPr>
        <w:spacing w:after="0" w:line="109"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 Stock options</w:t>
      </w:r>
    </w:p>
    <w:p>
      <w:pPr>
        <w:spacing w:after="0" w:line="109"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5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years ended December 31, 2011 and 2010 the Company recorded compensation expense of $1,769 thousand and $912 thousand, respectively. Cumulative from inception the Company has recorded compensation expense of $3,023 thousand, in respect of stock options granted.</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6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 – 4.25 years, a risk-free interest rate of 1.44% – 1.55% and an expected volatility of 52.21% – 47.89% and no dividend yield. The fair value of the common stock used for this calculation was $1.68.</w:t>
      </w:r>
    </w:p>
    <w:p>
      <w:pPr>
        <w:spacing w:after="0" w:line="68"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66"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In 2011, the fair value of options granted to consultants was calculated using the Black-Scholes-Merton model. The following assumptions were used: expected life of 2 – 6 years, a risk free interest rate of 0.29% – 2.38% and an expected volatility of 45.71% – 59.69% and no dividend yield. The fair value of the common stock used for this calculation was $0.99 – $1.70.</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December 31, 2011, there were approximately 11.5 million shares of common stock available for future grants.</w:t>
      </w:r>
    </w:p>
    <w:p>
      <w:pPr>
        <w:spacing w:after="0" w:line="200" w:lineRule="exact"/>
        <w:rPr>
          <w:sz w:val="20"/>
          <w:szCs w:val="20"/>
          <w:color w:val="auto"/>
        </w:rPr>
      </w:pPr>
    </w:p>
    <w:p>
      <w:pPr>
        <w:spacing w:after="0" w:line="33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3" w:name="page254"/>
    <w:bookmarkEnd w:id="2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firstLine="251"/>
        <w:spacing w:after="0" w:line="250" w:lineRule="auto"/>
        <w:rPr>
          <w:sz w:val="20"/>
          <w:szCs w:val="20"/>
          <w:color w:val="auto"/>
        </w:rPr>
      </w:pPr>
      <w:r>
        <w:rPr>
          <w:rFonts w:ascii="Arial" w:cs="Arial" w:eastAsia="Arial" w:hAnsi="Arial"/>
          <w:sz w:val="17"/>
          <w:szCs w:val="17"/>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8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 – 6 years, a risk-free interest rate of 2.11% – 2.83% and an expected volatility of 56.11% – 64.3% and no dividend yield. The fair value of the common stock used for this calculation was $2.49 – $2.62. The fair value of options to non-employees is calculated using the following assumptions: expected life of 3 – 5.5 years, a risk free interest rate of 0.71% – 2.64% and an expected volatility of 46% – 64% and no dividend yield.</w:t>
      </w:r>
    </w:p>
    <w:p>
      <w:pPr>
        <w:spacing w:after="0" w:line="73"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 – 6 years, a risk-free interest rate of 0.71% – 1.19% and an expected volatility of 67.26% – 75.78% and no dividend yield. The fair value of the common stock used for this calculation was $0.96 – $1.21 and no dividend yield. The Company expects that the total value of the options granted will be approximately $467 thousand.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(e) Stock option activity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7"/>
              </w:rPr>
              <w:t>No. of shares</w:t>
            </w:r>
          </w:p>
        </w:tc>
        <w:tc>
          <w:tcPr>
            <w:tcW w:w="14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No. of 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1"/>
              <w:spacing w:after="0"/>
              <w:rPr>
                <w:sz w:val="20"/>
                <w:szCs w:val="20"/>
                <w:color w:val="auto"/>
              </w:rPr>
            </w:pPr>
            <w:r>
              <w:rPr>
                <w:rFonts w:ascii="Arial" w:cs="Arial" w:eastAsia="Arial" w:hAnsi="Arial"/>
                <w:sz w:val="13"/>
                <w:szCs w:val="13"/>
                <w:b w:val="1"/>
                <w:bCs w:val="1"/>
                <w:color w:val="auto"/>
                <w:w w:val="92"/>
              </w:rPr>
              <w:t>Weighted</w:t>
            </w:r>
          </w:p>
        </w:tc>
        <w:tc>
          <w:tcPr>
            <w:tcW w:w="3100" w:type="dxa"/>
            <w:vAlign w:val="bottom"/>
          </w:tcPr>
          <w:p>
            <w:pPr>
              <w:spacing w:after="0"/>
              <w:rPr>
                <w:sz w:val="12"/>
                <w:szCs w:val="12"/>
                <w:color w:val="auto"/>
              </w:rPr>
            </w:pPr>
          </w:p>
        </w:tc>
      </w:tr>
      <w:tr>
        <w:trPr>
          <w:trHeight w:val="138"/>
        </w:trPr>
        <w:tc>
          <w:tcPr>
            <w:tcW w:w="1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2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Employees</w:t>
            </w: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w w:val="97"/>
              </w:rPr>
              <w:t>Non-Employees</w:t>
            </w:r>
          </w:p>
        </w:tc>
        <w:tc>
          <w:tcPr>
            <w:tcW w:w="160" w:type="dxa"/>
            <w:vAlign w:val="bottom"/>
          </w:tcPr>
          <w:p>
            <w:pPr>
              <w:spacing w:after="0"/>
              <w:rPr>
                <w:sz w:val="11"/>
                <w:szCs w:val="11"/>
                <w:color w:val="auto"/>
              </w:rPr>
            </w:pP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7"/>
              </w:rPr>
              <w:t>average exercise</w:t>
            </w:r>
          </w:p>
        </w:tc>
        <w:tc>
          <w:tcPr>
            <w:tcW w:w="310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5"/>
              </w:rPr>
              <w:t>price U.S.$</w:t>
            </w:r>
          </w:p>
        </w:tc>
        <w:tc>
          <w:tcPr>
            <w:tcW w:w="3100" w:type="dxa"/>
            <w:vAlign w:val="bottom"/>
          </w:tcPr>
          <w:p>
            <w:pPr>
              <w:spacing w:after="0"/>
              <w:rPr>
                <w:sz w:val="13"/>
                <w:szCs w:val="13"/>
                <w:color w:val="auto"/>
              </w:rPr>
            </w:pPr>
          </w:p>
        </w:tc>
      </w:tr>
      <w:tr>
        <w:trPr>
          <w:trHeight w:val="193"/>
        </w:trPr>
        <w:tc>
          <w:tcPr>
            <w:tcW w:w="368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rPr>
              <w:t>Outstanding at January 1, 2011</w:t>
            </w:r>
          </w:p>
        </w:tc>
        <w:tc>
          <w:tcPr>
            <w:tcW w:w="92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2,378,908</w:t>
            </w:r>
          </w:p>
        </w:tc>
        <w:tc>
          <w:tcPr>
            <w:tcW w:w="1180" w:type="dxa"/>
            <w:vAlign w:val="bottom"/>
            <w:gridSpan w:val="3"/>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128,000</w:t>
            </w:r>
          </w:p>
        </w:tc>
        <w:tc>
          <w:tcPr>
            <w:tcW w:w="30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line="193" w:lineRule="exact"/>
              <w:rPr>
                <w:sz w:val="20"/>
                <w:szCs w:val="20"/>
                <w:color w:val="auto"/>
              </w:rPr>
            </w:pPr>
            <w:r>
              <w:rPr>
                <w:rFonts w:ascii="Arial" w:cs="Arial" w:eastAsia="Arial" w:hAnsi="Arial"/>
                <w:sz w:val="17"/>
                <w:szCs w:val="17"/>
                <w:color w:val="auto"/>
              </w:rPr>
              <w:t>2.76</w:t>
            </w:r>
          </w:p>
        </w:tc>
        <w:tc>
          <w:tcPr>
            <w:tcW w:w="3100" w:type="dxa"/>
            <w:vAlign w:val="bottom"/>
          </w:tcPr>
          <w:p>
            <w:pPr>
              <w:spacing w:after="0"/>
              <w:rPr>
                <w:sz w:val="16"/>
                <w:szCs w:val="16"/>
                <w:color w:val="auto"/>
              </w:rPr>
            </w:pPr>
          </w:p>
        </w:tc>
      </w:tr>
      <w:tr>
        <w:trPr>
          <w:trHeight w:val="200"/>
        </w:trPr>
        <w:tc>
          <w:tcPr>
            <w:tcW w:w="368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496,500</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73,000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61"/>
              <w:spacing w:after="0"/>
              <w:rPr>
                <w:sz w:val="20"/>
                <w:szCs w:val="20"/>
                <w:color w:val="auto"/>
              </w:rPr>
            </w:pPr>
            <w:r>
              <w:rPr>
                <w:rFonts w:ascii="Arial" w:cs="Arial" w:eastAsia="Arial" w:hAnsi="Arial"/>
                <w:sz w:val="17"/>
                <w:szCs w:val="17"/>
                <w:color w:val="auto"/>
              </w:rPr>
              <w:t>3.04</w:t>
            </w:r>
          </w:p>
        </w:tc>
        <w:tc>
          <w:tcPr>
            <w:tcW w:w="3100" w:type="dxa"/>
            <w:vAlign w:val="bottom"/>
          </w:tcPr>
          <w:p>
            <w:pPr>
              <w:spacing w:after="0"/>
              <w:rPr>
                <w:sz w:val="17"/>
                <w:szCs w:val="17"/>
                <w:color w:val="auto"/>
              </w:rPr>
            </w:pPr>
          </w:p>
        </w:tc>
      </w:tr>
      <w:tr>
        <w:trPr>
          <w:trHeight w:val="200"/>
        </w:trPr>
        <w:tc>
          <w:tcPr>
            <w:tcW w:w="36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Exercised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(302,413)</w:t>
            </w:r>
          </w:p>
        </w:tc>
        <w:tc>
          <w:tcPr>
            <w:tcW w:w="1180" w:type="dxa"/>
            <w:vAlign w:val="bottom"/>
            <w:gridSpan w:val="3"/>
            <w:shd w:val="clear" w:color="auto" w:fill="CCFFCC"/>
          </w:tcPr>
          <w:p>
            <w:pPr>
              <w:jc w:val="right"/>
              <w:ind w:right="80"/>
              <w:spacing w:after="0"/>
              <w:rPr>
                <w:sz w:val="20"/>
                <w:szCs w:val="20"/>
                <w:color w:val="auto"/>
              </w:rPr>
            </w:pPr>
            <w:r>
              <w:rPr>
                <w:rFonts w:ascii="Arial" w:cs="Arial" w:eastAsia="Arial" w:hAnsi="Arial"/>
                <w:sz w:val="17"/>
                <w:szCs w:val="17"/>
                <w:color w:val="auto"/>
              </w:rPr>
              <w:t>(39,500)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rPr>
                <w:sz w:val="20"/>
                <w:szCs w:val="20"/>
                <w:color w:val="auto"/>
              </w:rPr>
            </w:pPr>
            <w:r>
              <w:rPr>
                <w:rFonts w:ascii="Arial" w:cs="Arial" w:eastAsia="Arial" w:hAnsi="Arial"/>
                <w:sz w:val="17"/>
                <w:szCs w:val="17"/>
                <w:color w:val="auto"/>
              </w:rPr>
              <w:t>0.01</w:t>
            </w:r>
          </w:p>
        </w:tc>
        <w:tc>
          <w:tcPr>
            <w:tcW w:w="3100" w:type="dxa"/>
            <w:vAlign w:val="bottom"/>
          </w:tcPr>
          <w:p>
            <w:pPr>
              <w:spacing w:after="0"/>
              <w:rPr>
                <w:sz w:val="17"/>
                <w:szCs w:val="17"/>
                <w:color w:val="auto"/>
              </w:rPr>
            </w:pPr>
          </w:p>
        </w:tc>
      </w:tr>
      <w:tr>
        <w:trPr>
          <w:trHeight w:val="200"/>
        </w:trPr>
        <w:tc>
          <w:tcPr>
            <w:tcW w:w="3680" w:type="dxa"/>
            <w:vAlign w:val="bottom"/>
            <w:gridSpan w:val="2"/>
          </w:tcPr>
          <w:p>
            <w:pPr>
              <w:ind w:left="160"/>
              <w:spacing w:after="0"/>
              <w:rPr>
                <w:sz w:val="20"/>
                <w:szCs w:val="20"/>
                <w:color w:val="auto"/>
              </w:rPr>
            </w:pPr>
            <w:r>
              <w:rPr>
                <w:rFonts w:ascii="Arial" w:cs="Arial" w:eastAsia="Arial" w:hAnsi="Arial"/>
                <w:sz w:val="17"/>
                <w:szCs w:val="17"/>
                <w:color w:val="auto"/>
              </w:rPr>
              <w:t>Expired</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(169,759)</w:t>
            </w: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(18,000)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61"/>
              <w:spacing w:after="0"/>
              <w:rPr>
                <w:sz w:val="20"/>
                <w:szCs w:val="20"/>
                <w:color w:val="auto"/>
              </w:rPr>
            </w:pPr>
            <w:r>
              <w:rPr>
                <w:rFonts w:ascii="Arial" w:cs="Arial" w:eastAsia="Arial" w:hAnsi="Arial"/>
                <w:sz w:val="17"/>
                <w:szCs w:val="17"/>
                <w:color w:val="auto"/>
              </w:rPr>
              <w:t>3.46</w:t>
            </w:r>
          </w:p>
        </w:tc>
        <w:tc>
          <w:tcPr>
            <w:tcW w:w="3100" w:type="dxa"/>
            <w:vAlign w:val="bottom"/>
          </w:tcPr>
          <w:p>
            <w:pPr>
              <w:spacing w:after="0"/>
              <w:rPr>
                <w:sz w:val="17"/>
                <w:szCs w:val="17"/>
                <w:color w:val="auto"/>
              </w:rPr>
            </w:pPr>
          </w:p>
        </w:tc>
      </w:tr>
      <w:tr>
        <w:trPr>
          <w:trHeight w:val="200"/>
        </w:trPr>
        <w:tc>
          <w:tcPr>
            <w:tcW w:w="3680" w:type="dxa"/>
            <w:vAlign w:val="bottom"/>
            <w:gridSpan w:val="2"/>
            <w:shd w:val="clear" w:color="auto" w:fill="CCFFCC"/>
          </w:tcPr>
          <w:p>
            <w:pPr>
              <w:ind w:left="160"/>
              <w:spacing w:after="0"/>
              <w:rPr>
                <w:sz w:val="20"/>
                <w:szCs w:val="20"/>
                <w:color w:val="auto"/>
              </w:rPr>
            </w:pPr>
            <w:r>
              <w:rPr>
                <w:rFonts w:ascii="Arial" w:cs="Arial" w:eastAsia="Arial" w:hAnsi="Arial"/>
                <w:sz w:val="17"/>
                <w:szCs w:val="17"/>
                <w:color w:val="auto"/>
              </w:rPr>
              <w:t>Forfeited</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(318,336)</w:t>
            </w:r>
          </w:p>
        </w:tc>
        <w:tc>
          <w:tcPr>
            <w:tcW w:w="14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FFCC"/>
          </w:tcPr>
          <w:p>
            <w:pPr>
              <w:jc w:val="right"/>
              <w:ind w:right="61"/>
              <w:spacing w:after="0"/>
              <w:rPr>
                <w:sz w:val="20"/>
                <w:szCs w:val="20"/>
                <w:color w:val="auto"/>
              </w:rPr>
            </w:pPr>
            <w:r>
              <w:rPr>
                <w:rFonts w:ascii="Arial" w:cs="Arial" w:eastAsia="Arial" w:hAnsi="Arial"/>
                <w:sz w:val="17"/>
                <w:szCs w:val="17"/>
                <w:color w:val="auto"/>
              </w:rPr>
              <w:t>3.23</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5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368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Outstanding at December 31, 2011</w:t>
            </w:r>
          </w:p>
        </w:tc>
        <w:tc>
          <w:tcPr>
            <w:tcW w:w="920" w:type="dxa"/>
            <w:vAlign w:val="bottom"/>
            <w:gridSpan w:val="2"/>
          </w:tcPr>
          <w:p>
            <w:pPr>
              <w:jc w:val="right"/>
              <w:ind w:right="120"/>
              <w:spacing w:after="0" w:line="193" w:lineRule="exact"/>
              <w:rPr>
                <w:sz w:val="20"/>
                <w:szCs w:val="20"/>
                <w:color w:val="auto"/>
              </w:rPr>
            </w:pPr>
            <w:r>
              <w:rPr>
                <w:rFonts w:ascii="Arial" w:cs="Arial" w:eastAsia="Arial" w:hAnsi="Arial"/>
                <w:sz w:val="17"/>
                <w:szCs w:val="17"/>
                <w:b w:val="1"/>
                <w:bCs w:val="1"/>
                <w:color w:val="auto"/>
              </w:rPr>
              <w:t>2,084,900</w:t>
            </w:r>
          </w:p>
        </w:tc>
        <w:tc>
          <w:tcPr>
            <w:tcW w:w="1180" w:type="dxa"/>
            <w:vAlign w:val="bottom"/>
            <w:gridSpan w:val="3"/>
          </w:tcPr>
          <w:p>
            <w:pPr>
              <w:jc w:val="right"/>
              <w:ind w:right="140"/>
              <w:spacing w:after="0" w:line="193" w:lineRule="exact"/>
              <w:rPr>
                <w:sz w:val="20"/>
                <w:szCs w:val="20"/>
                <w:color w:val="auto"/>
              </w:rPr>
            </w:pPr>
            <w:r>
              <w:rPr>
                <w:rFonts w:ascii="Arial" w:cs="Arial" w:eastAsia="Arial" w:hAnsi="Arial"/>
                <w:sz w:val="17"/>
                <w:szCs w:val="17"/>
                <w:b w:val="1"/>
                <w:bCs w:val="1"/>
                <w:color w:val="auto"/>
              </w:rPr>
              <w:t>143,500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11"/>
        </w:trPr>
        <w:tc>
          <w:tcPr>
            <w:tcW w:w="3680" w:type="dxa"/>
            <w:vAlign w:val="bottom"/>
            <w:gridSpan w:val="2"/>
            <w:shd w:val="clear" w:color="auto" w:fill="CCFFCC"/>
          </w:tcPr>
          <w:p>
            <w:pPr>
              <w:spacing w:after="0" w:line="191" w:lineRule="exact"/>
              <w:rPr>
                <w:sz w:val="20"/>
                <w:szCs w:val="20"/>
                <w:color w:val="auto"/>
              </w:rPr>
            </w:pPr>
            <w:r>
              <w:rPr>
                <w:rFonts w:ascii="Arial" w:cs="Arial" w:eastAsia="Arial" w:hAnsi="Arial"/>
                <w:sz w:val="17"/>
                <w:szCs w:val="17"/>
                <w:b w:val="1"/>
                <w:bCs w:val="1"/>
                <w:color w:val="auto"/>
              </w:rPr>
              <w:t>Exercisable at December 31, 2011</w:t>
            </w:r>
          </w:p>
        </w:tc>
        <w:tc>
          <w:tcPr>
            <w:tcW w:w="920" w:type="dxa"/>
            <w:vAlign w:val="bottom"/>
            <w:gridSpan w:val="2"/>
            <w:shd w:val="clear" w:color="auto" w:fill="CCFFCC"/>
          </w:tcPr>
          <w:p>
            <w:pPr>
              <w:jc w:val="right"/>
              <w:ind w:right="120"/>
              <w:spacing w:after="0" w:line="191" w:lineRule="exact"/>
              <w:rPr>
                <w:sz w:val="20"/>
                <w:szCs w:val="20"/>
                <w:color w:val="auto"/>
              </w:rPr>
            </w:pPr>
            <w:r>
              <w:rPr>
                <w:rFonts w:ascii="Arial" w:cs="Arial" w:eastAsia="Arial" w:hAnsi="Arial"/>
                <w:sz w:val="17"/>
                <w:szCs w:val="17"/>
                <w:b w:val="1"/>
                <w:bCs w:val="1"/>
                <w:color w:val="auto"/>
              </w:rPr>
              <w:t>690,121</w:t>
            </w:r>
          </w:p>
        </w:tc>
        <w:tc>
          <w:tcPr>
            <w:tcW w:w="1180" w:type="dxa"/>
            <w:vAlign w:val="bottom"/>
            <w:gridSpan w:val="3"/>
            <w:shd w:val="clear" w:color="auto" w:fill="CCFFCC"/>
          </w:tcPr>
          <w:p>
            <w:pPr>
              <w:jc w:val="right"/>
              <w:ind w:right="140"/>
              <w:spacing w:after="0" w:line="191" w:lineRule="exact"/>
              <w:rPr>
                <w:sz w:val="20"/>
                <w:szCs w:val="20"/>
                <w:color w:val="auto"/>
              </w:rPr>
            </w:pPr>
            <w:r>
              <w:rPr>
                <w:rFonts w:ascii="Arial" w:cs="Arial" w:eastAsia="Arial" w:hAnsi="Arial"/>
                <w:sz w:val="17"/>
                <w:szCs w:val="17"/>
                <w:b w:val="1"/>
                <w:bCs w:val="1"/>
                <w:color w:val="auto"/>
              </w:rPr>
              <w:t>50,074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F-41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-906145</wp:posOffset>
            </wp:positionV>
            <wp:extent cx="4408170" cy="1670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4" w:name="page255"/>
    <w:bookmarkEnd w:id="2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 – (continued)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information about stock option activity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440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34403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7"/>
              </w:rPr>
              <w:t>No. of shares</w:t>
            </w:r>
          </w:p>
        </w:tc>
        <w:tc>
          <w:tcPr>
            <w:tcW w:w="14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No. of shares</w:t>
            </w:r>
          </w:p>
        </w:tc>
        <w:tc>
          <w:tcPr>
            <w:tcW w:w="160" w:type="dxa"/>
            <w:vAlign w:val="bottom"/>
          </w:tcPr>
          <w:p>
            <w:pPr>
              <w:spacing w:after="0"/>
              <w:rPr>
                <w:sz w:val="13"/>
                <w:szCs w:val="13"/>
                <w:color w:val="auto"/>
              </w:rPr>
            </w:pP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Weighted average</w:t>
            </w:r>
          </w:p>
        </w:tc>
      </w:tr>
      <w:tr>
        <w:trPr>
          <w:trHeight w:val="138"/>
        </w:trPr>
        <w:tc>
          <w:tcPr>
            <w:tcW w:w="3680" w:type="dxa"/>
            <w:vAlign w:val="bottom"/>
          </w:tcPr>
          <w:p>
            <w:pPr>
              <w:spacing w:after="0"/>
              <w:rPr>
                <w:sz w:val="11"/>
                <w:szCs w:val="11"/>
                <w:color w:val="auto"/>
              </w:rPr>
            </w:pPr>
          </w:p>
        </w:tc>
        <w:tc>
          <w:tcPr>
            <w:tcW w:w="90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Employees</w:t>
            </w:r>
          </w:p>
        </w:tc>
        <w:tc>
          <w:tcPr>
            <w:tcW w:w="140" w:type="dxa"/>
            <w:vAlign w:val="bottom"/>
          </w:tcPr>
          <w:p>
            <w:pPr>
              <w:spacing w:after="0"/>
              <w:rPr>
                <w:sz w:val="11"/>
                <w:szCs w:val="11"/>
                <w:color w:val="auto"/>
              </w:rPr>
            </w:pPr>
          </w:p>
        </w:tc>
        <w:tc>
          <w:tcPr>
            <w:tcW w:w="960" w:type="dxa"/>
            <w:vAlign w:val="bottom"/>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93"/>
              </w:rPr>
              <w:t>Non-Employees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2"/>
              <w:spacing w:after="0" w:line="138" w:lineRule="exact"/>
              <w:rPr>
                <w:sz w:val="20"/>
                <w:szCs w:val="20"/>
                <w:color w:val="auto"/>
              </w:rPr>
            </w:pPr>
            <w:r>
              <w:rPr>
                <w:rFonts w:ascii="Arial" w:cs="Arial" w:eastAsia="Arial" w:hAnsi="Arial"/>
                <w:sz w:val="13"/>
                <w:szCs w:val="13"/>
                <w:b w:val="1"/>
                <w:bCs w:val="1"/>
                <w:color w:val="auto"/>
                <w:w w:val="89"/>
              </w:rPr>
              <w:t>exercise price</w:t>
            </w:r>
          </w:p>
        </w:tc>
      </w:tr>
      <w:tr>
        <w:trPr>
          <w:trHeight w:val="158"/>
        </w:trPr>
        <w:tc>
          <w:tcPr>
            <w:tcW w:w="36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U.S.$</w:t>
            </w:r>
          </w:p>
        </w:tc>
      </w:tr>
      <w:tr>
        <w:trPr>
          <w:trHeight w:val="193"/>
        </w:trPr>
        <w:tc>
          <w:tcPr>
            <w:tcW w:w="36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Outstanding at January 1, 2010</w:t>
            </w:r>
          </w:p>
        </w:tc>
        <w:tc>
          <w:tcPr>
            <w:tcW w:w="7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237,677</w:t>
            </w:r>
          </w:p>
        </w:tc>
        <w:tc>
          <w:tcPr>
            <w:tcW w:w="120" w:type="dxa"/>
            <w:vAlign w:val="bottom"/>
            <w:shd w:val="clear" w:color="auto" w:fill="CCFFCC"/>
          </w:tcPr>
          <w:p>
            <w:pPr>
              <w:spacing w:after="0"/>
              <w:rPr>
                <w:sz w:val="16"/>
                <w:szCs w:val="16"/>
                <w:color w:val="auto"/>
              </w:rPr>
            </w:pPr>
          </w:p>
        </w:tc>
        <w:tc>
          <w:tcPr>
            <w:tcW w:w="1100" w:type="dxa"/>
            <w:vAlign w:val="bottom"/>
            <w:gridSpan w:val="3"/>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45,250</w:t>
            </w:r>
          </w:p>
        </w:tc>
        <w:tc>
          <w:tcPr>
            <w:tcW w:w="2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980" w:type="dxa"/>
            <w:vAlign w:val="bottom"/>
            <w:shd w:val="clear" w:color="auto" w:fill="CCFFCC"/>
          </w:tcPr>
          <w:p>
            <w:pPr>
              <w:jc w:val="right"/>
              <w:ind w:right="82"/>
              <w:spacing w:after="0" w:line="193" w:lineRule="exact"/>
              <w:rPr>
                <w:sz w:val="20"/>
                <w:szCs w:val="20"/>
                <w:color w:val="auto"/>
              </w:rPr>
            </w:pPr>
            <w:r>
              <w:rPr>
                <w:rFonts w:ascii="Arial" w:cs="Arial" w:eastAsia="Arial" w:hAnsi="Arial"/>
                <w:sz w:val="17"/>
                <w:szCs w:val="17"/>
                <w:color w:val="auto"/>
              </w:rPr>
              <w:t>2.58</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2,708,000</w:t>
            </w:r>
          </w:p>
        </w:tc>
        <w:tc>
          <w:tcPr>
            <w:tcW w:w="12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7"/>
                <w:szCs w:val="17"/>
                <w:color w:val="auto"/>
              </w:rPr>
              <w:t>104,000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2"/>
              <w:spacing w:after="0"/>
              <w:rPr>
                <w:sz w:val="20"/>
                <w:szCs w:val="20"/>
                <w:color w:val="auto"/>
              </w:rPr>
            </w:pPr>
            <w:r>
              <w:rPr>
                <w:rFonts w:ascii="Arial" w:cs="Arial" w:eastAsia="Arial" w:hAnsi="Arial"/>
                <w:sz w:val="17"/>
                <w:szCs w:val="17"/>
                <w:color w:val="auto"/>
              </w:rPr>
              <w:t>2.74</w:t>
            </w:r>
          </w:p>
        </w:tc>
      </w:tr>
      <w:tr>
        <w:trPr>
          <w:trHeight w:val="200"/>
        </w:trPr>
        <w:tc>
          <w:tcPr>
            <w:tcW w:w="3680" w:type="dxa"/>
            <w:vAlign w:val="bottom"/>
            <w:shd w:val="clear" w:color="auto" w:fill="CCFFCC"/>
          </w:tcPr>
          <w:p>
            <w:pPr>
              <w:spacing w:after="0"/>
              <w:rPr>
                <w:sz w:val="20"/>
                <w:szCs w:val="20"/>
                <w:color w:val="auto"/>
              </w:rPr>
            </w:pPr>
            <w:r>
              <w:rPr>
                <w:rFonts w:ascii="Arial" w:cs="Arial" w:eastAsia="Arial" w:hAnsi="Arial"/>
                <w:sz w:val="17"/>
                <w:szCs w:val="17"/>
                <w:color w:val="auto"/>
              </w:rPr>
              <w:t>Exercised</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(60,517)</w:t>
            </w:r>
          </w:p>
        </w:tc>
        <w:tc>
          <w:tcPr>
            <w:tcW w:w="14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FFCC"/>
          </w:tcPr>
          <w:p>
            <w:pPr>
              <w:jc w:val="right"/>
              <w:ind w:right="82"/>
              <w:spacing w:after="0"/>
              <w:rPr>
                <w:sz w:val="20"/>
                <w:szCs w:val="20"/>
                <w:color w:val="auto"/>
              </w:rPr>
            </w:pPr>
            <w:r>
              <w:rPr>
                <w:rFonts w:ascii="Arial" w:cs="Arial" w:eastAsia="Arial" w:hAnsi="Arial"/>
                <w:sz w:val="17"/>
                <w:szCs w:val="17"/>
                <w:color w:val="auto"/>
              </w:rPr>
              <w:t>0.21</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Forfeited</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(506,252)</w:t>
            </w:r>
          </w:p>
        </w:tc>
        <w:tc>
          <w:tcPr>
            <w:tcW w:w="1100" w:type="dxa"/>
            <w:vAlign w:val="bottom"/>
            <w:gridSpan w:val="3"/>
          </w:tcPr>
          <w:p>
            <w:pPr>
              <w:jc w:val="right"/>
              <w:ind w:right="80"/>
              <w:spacing w:after="0"/>
              <w:rPr>
                <w:sz w:val="20"/>
                <w:szCs w:val="20"/>
                <w:color w:val="auto"/>
              </w:rPr>
            </w:pPr>
            <w:r>
              <w:rPr>
                <w:rFonts w:ascii="Arial" w:cs="Arial" w:eastAsia="Arial" w:hAnsi="Arial"/>
                <w:sz w:val="17"/>
                <w:szCs w:val="17"/>
                <w:color w:val="auto"/>
              </w:rPr>
              <w:t>(21,250)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2"/>
              <w:spacing w:after="0"/>
              <w:rPr>
                <w:sz w:val="20"/>
                <w:szCs w:val="20"/>
                <w:color w:val="auto"/>
              </w:rPr>
            </w:pPr>
            <w:r>
              <w:rPr>
                <w:rFonts w:ascii="Arial" w:cs="Arial" w:eastAsia="Arial" w:hAnsi="Arial"/>
                <w:sz w:val="17"/>
                <w:szCs w:val="17"/>
                <w:color w:val="auto"/>
              </w:rPr>
              <w:t>2.87</w:t>
            </w:r>
          </w:p>
        </w:tc>
      </w:tr>
      <w:tr>
        <w:trPr>
          <w:trHeight w:val="20"/>
        </w:trPr>
        <w:tc>
          <w:tcPr>
            <w:tcW w:w="3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3"/>
        </w:trPr>
        <w:tc>
          <w:tcPr>
            <w:tcW w:w="36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Outstanding at December 31, 2010</w:t>
            </w:r>
          </w:p>
        </w:tc>
        <w:tc>
          <w:tcPr>
            <w:tcW w:w="7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2,378,908</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128,000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0"/>
        </w:trPr>
        <w:tc>
          <w:tcPr>
            <w:tcW w:w="36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r>
      <w:tr>
        <w:trPr>
          <w:trHeight w:val="191"/>
        </w:trPr>
        <w:tc>
          <w:tcPr>
            <w:tcW w:w="3680" w:type="dxa"/>
            <w:vAlign w:val="bottom"/>
          </w:tcPr>
          <w:p>
            <w:pPr>
              <w:spacing w:after="0" w:line="191" w:lineRule="exact"/>
              <w:rPr>
                <w:sz w:val="20"/>
                <w:szCs w:val="20"/>
                <w:color w:val="auto"/>
              </w:rPr>
            </w:pPr>
            <w:r>
              <w:rPr>
                <w:rFonts w:ascii="Arial" w:cs="Arial" w:eastAsia="Arial" w:hAnsi="Arial"/>
                <w:sz w:val="17"/>
                <w:szCs w:val="17"/>
                <w:b w:val="1"/>
                <w:bCs w:val="1"/>
                <w:color w:val="auto"/>
              </w:rPr>
              <w:t>Exercisable at December 31, 2010</w:t>
            </w:r>
          </w:p>
        </w:tc>
        <w:tc>
          <w:tcPr>
            <w:tcW w:w="78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128,804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line="191" w:lineRule="exact"/>
              <w:rPr>
                <w:sz w:val="20"/>
                <w:szCs w:val="20"/>
                <w:color w:val="auto"/>
              </w:rPr>
            </w:pPr>
            <w:r>
              <w:rPr>
                <w:rFonts w:ascii="Arial" w:cs="Arial" w:eastAsia="Arial" w:hAnsi="Arial"/>
                <w:sz w:val="17"/>
                <w:szCs w:val="17"/>
                <w:b w:val="1"/>
                <w:bCs w:val="1"/>
                <w:color w:val="auto"/>
              </w:rPr>
              <w:t>32,150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4408170" cy="1911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408170" cy="19113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76"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The following table summarizes information about employee and non-employee stock options outstanding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Options outstanding</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02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Weighted</w:t>
            </w:r>
          </w:p>
        </w:tc>
        <w:tc>
          <w:tcPr>
            <w:tcW w:w="10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2"/>
                <w:szCs w:val="12"/>
                <w:color w:val="auto"/>
              </w:rPr>
            </w:pPr>
          </w:p>
        </w:tc>
        <w:tc>
          <w:tcPr>
            <w:tcW w:w="940" w:type="dxa"/>
            <w:vAlign w:val="bottom"/>
          </w:tcPr>
          <w:p>
            <w:pPr>
              <w:jc w:val="center"/>
              <w:ind w:left="8"/>
              <w:spacing w:after="0" w:line="148" w:lineRule="exact"/>
              <w:rPr>
                <w:sz w:val="20"/>
                <w:szCs w:val="20"/>
                <w:color w:val="auto"/>
              </w:rPr>
            </w:pPr>
            <w:r>
              <w:rPr>
                <w:rFonts w:ascii="Arial" w:cs="Arial" w:eastAsia="Arial" w:hAnsi="Arial"/>
                <w:sz w:val="13"/>
                <w:szCs w:val="13"/>
                <w:b w:val="1"/>
                <w:bCs w:val="1"/>
                <w:color w:val="auto"/>
                <w:w w:val="93"/>
              </w:rPr>
              <w:t>Number</w:t>
            </w:r>
          </w:p>
        </w:tc>
        <w:tc>
          <w:tcPr>
            <w:tcW w:w="22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
              <w:spacing w:after="0" w:line="148" w:lineRule="exact"/>
              <w:rPr>
                <w:sz w:val="20"/>
                <w:szCs w:val="20"/>
                <w:color w:val="auto"/>
              </w:rPr>
            </w:pPr>
            <w:r>
              <w:rPr>
                <w:rFonts w:ascii="Arial" w:cs="Arial" w:eastAsia="Arial" w:hAnsi="Arial"/>
                <w:sz w:val="13"/>
                <w:szCs w:val="13"/>
                <w:b w:val="1"/>
                <w:bCs w:val="1"/>
                <w:color w:val="auto"/>
                <w:w w:val="92"/>
              </w:rPr>
              <w:t>Weighted</w:t>
            </w:r>
          </w:p>
        </w:tc>
      </w:tr>
      <w:tr>
        <w:trPr>
          <w:trHeight w:val="138"/>
        </w:trPr>
        <w:tc>
          <w:tcPr>
            <w:tcW w:w="360" w:type="dxa"/>
            <w:vAlign w:val="bottom"/>
          </w:tcPr>
          <w:p>
            <w:pPr>
              <w:spacing w:after="0"/>
              <w:rPr>
                <w:sz w:val="11"/>
                <w:szCs w:val="11"/>
                <w:color w:val="auto"/>
              </w:rPr>
            </w:pPr>
          </w:p>
        </w:tc>
        <w:tc>
          <w:tcPr>
            <w:tcW w:w="1020" w:type="dxa"/>
            <w:vAlign w:val="bottom"/>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1"/>
                <w:szCs w:val="11"/>
                <w:color w:val="auto"/>
              </w:rPr>
            </w:pPr>
          </w:p>
        </w:tc>
        <w:tc>
          <w:tcPr>
            <w:tcW w:w="116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1"/>
                <w:szCs w:val="11"/>
                <w:color w:val="auto"/>
              </w:rPr>
            </w:pPr>
          </w:p>
        </w:tc>
        <w:tc>
          <w:tcPr>
            <w:tcW w:w="940" w:type="dxa"/>
            <w:vAlign w:val="bottom"/>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exercise price</w:t>
            </w:r>
          </w:p>
        </w:tc>
        <w:tc>
          <w:tcPr>
            <w:tcW w:w="140" w:type="dxa"/>
            <w:vAlign w:val="bottom"/>
          </w:tcPr>
          <w:p>
            <w:pPr>
              <w:spacing w:after="0"/>
              <w:rPr>
                <w:sz w:val="11"/>
                <w:szCs w:val="11"/>
                <w:color w:val="auto"/>
              </w:rPr>
            </w:pPr>
          </w:p>
        </w:tc>
        <w:tc>
          <w:tcPr>
            <w:tcW w:w="940" w:type="dxa"/>
            <w:vAlign w:val="bottom"/>
          </w:tcPr>
          <w:p>
            <w:pPr>
              <w:jc w:val="center"/>
              <w:ind w:left="8"/>
              <w:spacing w:after="0" w:line="138" w:lineRule="exact"/>
              <w:rPr>
                <w:sz w:val="20"/>
                <w:szCs w:val="20"/>
                <w:color w:val="auto"/>
              </w:rPr>
            </w:pPr>
            <w:r>
              <w:rPr>
                <w:rFonts w:ascii="Arial" w:cs="Arial" w:eastAsia="Arial" w:hAnsi="Arial"/>
                <w:sz w:val="13"/>
                <w:szCs w:val="13"/>
                <w:b w:val="1"/>
                <w:bCs w:val="1"/>
                <w:color w:val="auto"/>
                <w:w w:val="91"/>
              </w:rPr>
              <w:t>Outstanding</w:t>
            </w:r>
          </w:p>
        </w:tc>
        <w:tc>
          <w:tcPr>
            <w:tcW w:w="22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remaining contractual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3"/>
              <w:spacing w:after="0" w:line="138" w:lineRule="exact"/>
              <w:rPr>
                <w:sz w:val="20"/>
                <w:szCs w:val="20"/>
                <w:color w:val="auto"/>
              </w:rPr>
            </w:pPr>
            <w:r>
              <w:rPr>
                <w:rFonts w:ascii="Arial" w:cs="Arial" w:eastAsia="Arial" w:hAnsi="Arial"/>
                <w:sz w:val="13"/>
                <w:szCs w:val="13"/>
                <w:b w:val="1"/>
                <w:bCs w:val="1"/>
                <w:color w:val="auto"/>
                <w:w w:val="87"/>
              </w:rPr>
              <w:t>average exercise</w:t>
            </w:r>
          </w:p>
        </w:tc>
      </w:tr>
      <w:tr>
        <w:trPr>
          <w:trHeight w:val="138"/>
        </w:trPr>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remaining</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life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3"/>
              <w:spacing w:after="0" w:line="138" w:lineRule="exact"/>
              <w:rPr>
                <w:sz w:val="20"/>
                <w:szCs w:val="20"/>
                <w:color w:val="auto"/>
              </w:rPr>
            </w:pPr>
            <w:r>
              <w:rPr>
                <w:rFonts w:ascii="Arial" w:cs="Arial" w:eastAsia="Arial" w:hAnsi="Arial"/>
                <w:sz w:val="13"/>
                <w:szCs w:val="13"/>
                <w:b w:val="1"/>
                <w:bCs w:val="1"/>
                <w:color w:val="auto"/>
                <w:w w:val="89"/>
              </w:rPr>
              <w:t>price</w:t>
            </w:r>
          </w:p>
        </w:tc>
      </w:tr>
      <w:tr>
        <w:trPr>
          <w:trHeight w:val="138"/>
        </w:trPr>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2"/>
              </w:rPr>
              <w:t>contractual life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8"/>
        </w:trPr>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(years)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3"/>
        </w:trPr>
        <w:tc>
          <w:tcPr>
            <w:tcW w:w="3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1,218,563</w:t>
            </w:r>
          </w:p>
        </w:tc>
        <w:tc>
          <w:tcPr>
            <w:tcW w:w="140" w:type="dxa"/>
            <w:vAlign w:val="bottom"/>
          </w:tcPr>
          <w:p>
            <w:pPr>
              <w:spacing w:after="0"/>
              <w:rPr>
                <w:sz w:val="16"/>
                <w:szCs w:val="16"/>
                <w:color w:val="auto"/>
              </w:rPr>
            </w:pPr>
          </w:p>
        </w:tc>
        <w:tc>
          <w:tcPr>
            <w:tcW w:w="1000" w:type="dxa"/>
            <w:vAlign w:val="bottom"/>
            <w:tcBorders>
              <w:top w:val="single" w:sz="8" w:color="auto"/>
            </w:tcBorders>
          </w:tcPr>
          <w:p>
            <w:pPr>
              <w:jc w:val="right"/>
              <w:ind w:right="50"/>
              <w:spacing w:after="0" w:line="193" w:lineRule="exact"/>
              <w:rPr>
                <w:sz w:val="20"/>
                <w:szCs w:val="20"/>
                <w:color w:val="auto"/>
              </w:rPr>
            </w:pPr>
            <w:r>
              <w:rPr>
                <w:rFonts w:ascii="Arial" w:cs="Arial" w:eastAsia="Arial" w:hAnsi="Arial"/>
                <w:sz w:val="17"/>
                <w:szCs w:val="17"/>
                <w:color w:val="auto"/>
              </w:rPr>
              <w:t>4.38</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59"/>
              <w:spacing w:after="0" w:line="193" w:lineRule="exact"/>
              <w:rPr>
                <w:sz w:val="20"/>
                <w:szCs w:val="20"/>
                <w:color w:val="auto"/>
              </w:rPr>
            </w:pPr>
            <w:r>
              <w:rPr>
                <w:rFonts w:ascii="Arial" w:cs="Arial" w:eastAsia="Arial" w:hAnsi="Arial"/>
                <w:sz w:val="17"/>
                <w:szCs w:val="17"/>
                <w:color w:val="auto"/>
              </w:rPr>
              <w:t>5.5</w:t>
            </w:r>
          </w:p>
        </w:tc>
        <w:tc>
          <w:tcPr>
            <w:tcW w:w="140" w:type="dxa"/>
            <w:vAlign w:val="bottom"/>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472,355</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ind w:right="110"/>
              <w:spacing w:after="0" w:line="193" w:lineRule="exact"/>
              <w:rPr>
                <w:sz w:val="20"/>
                <w:szCs w:val="20"/>
                <w:color w:val="auto"/>
              </w:rPr>
            </w:pPr>
            <w:r>
              <w:rPr>
                <w:rFonts w:ascii="Arial" w:cs="Arial" w:eastAsia="Arial" w:hAnsi="Arial"/>
                <w:sz w:val="17"/>
                <w:szCs w:val="17"/>
                <w:color w:val="auto"/>
              </w:rPr>
              <w:t>4.35</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ind w:right="83"/>
              <w:spacing w:after="0" w:line="193" w:lineRule="exact"/>
              <w:rPr>
                <w:sz w:val="20"/>
                <w:szCs w:val="20"/>
                <w:color w:val="auto"/>
              </w:rPr>
            </w:pPr>
            <w:r>
              <w:rPr>
                <w:rFonts w:ascii="Arial" w:cs="Arial" w:eastAsia="Arial" w:hAnsi="Arial"/>
                <w:sz w:val="17"/>
                <w:szCs w:val="17"/>
                <w:color w:val="auto"/>
              </w:rPr>
              <w:t>5.5</w:t>
            </w:r>
          </w:p>
        </w:tc>
      </w:tr>
      <w:tr>
        <w:trPr>
          <w:trHeight w:val="200"/>
        </w:trPr>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40,001</w:t>
            </w: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7"/>
                <w:szCs w:val="17"/>
                <w:color w:val="auto"/>
              </w:rPr>
              <w:t>2.28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FFCC"/>
          </w:tcPr>
          <w:p>
            <w:pPr>
              <w:jc w:val="right"/>
              <w:ind w:right="59"/>
              <w:spacing w:after="0"/>
              <w:rPr>
                <w:sz w:val="20"/>
                <w:szCs w:val="20"/>
                <w:color w:val="auto"/>
              </w:rPr>
            </w:pPr>
            <w:r>
              <w:rPr>
                <w:rFonts w:ascii="Arial" w:cs="Arial" w:eastAsia="Arial" w:hAnsi="Arial"/>
                <w:sz w:val="17"/>
                <w:szCs w:val="17"/>
                <w:color w:val="auto"/>
              </w:rPr>
              <w:t>4.5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35,897</w:t>
            </w:r>
          </w:p>
        </w:tc>
        <w:tc>
          <w:tcPr>
            <w:tcW w:w="1560" w:type="dxa"/>
            <w:vAlign w:val="bottom"/>
            <w:tcBorders>
              <w:left w:val="single" w:sz="8" w:color="CCFFCC"/>
            </w:tcBorders>
            <w:gridSpan w:val="2"/>
            <w:shd w:val="clear" w:color="auto" w:fill="CCFFCC"/>
          </w:tcPr>
          <w:p>
            <w:pPr>
              <w:jc w:val="right"/>
              <w:ind w:right="110"/>
              <w:spacing w:after="0"/>
              <w:rPr>
                <w:sz w:val="20"/>
                <w:szCs w:val="20"/>
                <w:color w:val="auto"/>
              </w:rPr>
            </w:pPr>
            <w:r>
              <w:rPr>
                <w:rFonts w:ascii="Arial" w:cs="Arial" w:eastAsia="Arial" w:hAnsi="Arial"/>
                <w:sz w:val="17"/>
                <w:szCs w:val="17"/>
                <w:color w:val="auto"/>
              </w:rPr>
              <w:t>2.26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FFCC"/>
          </w:tcPr>
          <w:p>
            <w:pPr>
              <w:jc w:val="right"/>
              <w:ind w:right="83"/>
              <w:spacing w:after="0"/>
              <w:rPr>
                <w:sz w:val="20"/>
                <w:szCs w:val="20"/>
                <w:color w:val="auto"/>
              </w:rPr>
            </w:pPr>
            <w:r>
              <w:rPr>
                <w:rFonts w:ascii="Arial" w:cs="Arial" w:eastAsia="Arial" w:hAnsi="Arial"/>
                <w:sz w:val="17"/>
                <w:szCs w:val="17"/>
                <w:color w:val="auto"/>
              </w:rPr>
              <w:t>4.5</w:t>
            </w:r>
          </w:p>
        </w:tc>
      </w:tr>
      <w:tr>
        <w:trPr>
          <w:trHeight w:val="200"/>
        </w:trPr>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25,000</w:t>
            </w:r>
          </w:p>
        </w:tc>
        <w:tc>
          <w:tcPr>
            <w:tcW w:w="1140" w:type="dxa"/>
            <w:vAlign w:val="bottom"/>
            <w:gridSpan w:val="2"/>
          </w:tcPr>
          <w:p>
            <w:pPr>
              <w:jc w:val="right"/>
              <w:ind w:right="50"/>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25,000</w:t>
            </w:r>
          </w:p>
        </w:tc>
        <w:tc>
          <w:tcPr>
            <w:tcW w:w="1560" w:type="dxa"/>
            <w:vAlign w:val="bottom"/>
            <w:gridSpan w:val="2"/>
          </w:tcPr>
          <w:p>
            <w:pPr>
              <w:jc w:val="right"/>
              <w:ind w:right="110"/>
              <w:spacing w:after="0"/>
              <w:rPr>
                <w:sz w:val="20"/>
                <w:szCs w:val="20"/>
                <w:color w:val="auto"/>
              </w:rPr>
            </w:pPr>
            <w:r>
              <w:rPr>
                <w:rFonts w:ascii="Arial" w:cs="Arial" w:eastAsia="Arial" w:hAnsi="Arial"/>
                <w:sz w:val="17"/>
                <w:szCs w:val="17"/>
                <w:color w:val="auto"/>
              </w:rPr>
              <w:t>1.67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
              <w:spacing w:after="0"/>
              <w:rPr>
                <w:sz w:val="20"/>
                <w:szCs w:val="20"/>
                <w:color w:val="auto"/>
              </w:rPr>
            </w:pPr>
            <w:r>
              <w:rPr>
                <w:rFonts w:ascii="Arial" w:cs="Arial" w:eastAsia="Arial" w:hAnsi="Arial"/>
                <w:sz w:val="17"/>
                <w:szCs w:val="17"/>
                <w:color w:val="auto"/>
              </w:rPr>
              <w:t>3.0</w:t>
            </w:r>
          </w:p>
        </w:tc>
      </w:tr>
      <w:tr>
        <w:trPr>
          <w:trHeight w:val="200"/>
        </w:trPr>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7"/>
                <w:szCs w:val="17"/>
                <w:color w:val="auto"/>
              </w:rPr>
              <w:t>56,584</w:t>
            </w:r>
          </w:p>
        </w:tc>
        <w:tc>
          <w:tcPr>
            <w:tcW w:w="1140" w:type="dxa"/>
            <w:vAlign w:val="bottom"/>
            <w:gridSpan w:val="2"/>
            <w:shd w:val="clear" w:color="auto" w:fill="CCFFCC"/>
          </w:tcPr>
          <w:p>
            <w:pPr>
              <w:jc w:val="right"/>
              <w:ind w:right="50"/>
              <w:spacing w:after="0"/>
              <w:rPr>
                <w:sz w:val="20"/>
                <w:szCs w:val="20"/>
                <w:color w:val="auto"/>
              </w:rPr>
            </w:pPr>
            <w:r>
              <w:rPr>
                <w:rFonts w:ascii="Arial" w:cs="Arial" w:eastAsia="Arial" w:hAnsi="Arial"/>
                <w:sz w:val="17"/>
                <w:szCs w:val="17"/>
                <w:color w:val="auto"/>
              </w:rPr>
              <w:t>2.08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FFCC"/>
          </w:tcPr>
          <w:p>
            <w:pPr>
              <w:jc w:val="right"/>
              <w:ind w:right="59"/>
              <w:spacing w:after="0"/>
              <w:rPr>
                <w:sz w:val="20"/>
                <w:szCs w:val="20"/>
                <w:color w:val="auto"/>
              </w:rPr>
            </w:pPr>
            <w:r>
              <w:rPr>
                <w:rFonts w:ascii="Arial" w:cs="Arial" w:eastAsia="Arial" w:hAnsi="Arial"/>
                <w:sz w:val="17"/>
                <w:szCs w:val="17"/>
                <w:color w:val="auto"/>
              </w:rPr>
              <w:t>1.5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48,274</w:t>
            </w:r>
          </w:p>
        </w:tc>
        <w:tc>
          <w:tcPr>
            <w:tcW w:w="1560" w:type="dxa"/>
            <w:vAlign w:val="bottom"/>
            <w:tcBorders>
              <w:left w:val="single" w:sz="8" w:color="CCFFCC"/>
            </w:tcBorders>
            <w:gridSpan w:val="2"/>
            <w:shd w:val="clear" w:color="auto" w:fill="CCFFCC"/>
          </w:tcPr>
          <w:p>
            <w:pPr>
              <w:jc w:val="right"/>
              <w:ind w:right="110"/>
              <w:spacing w:after="0"/>
              <w:rPr>
                <w:sz w:val="20"/>
                <w:szCs w:val="20"/>
                <w:color w:val="auto"/>
              </w:rPr>
            </w:pPr>
            <w:r>
              <w:rPr>
                <w:rFonts w:ascii="Arial" w:cs="Arial" w:eastAsia="Arial" w:hAnsi="Arial"/>
                <w:sz w:val="17"/>
                <w:szCs w:val="17"/>
                <w:color w:val="auto"/>
              </w:rPr>
              <w:t>1.84</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FFCC"/>
          </w:tcPr>
          <w:p>
            <w:pPr>
              <w:jc w:val="right"/>
              <w:ind w:right="83"/>
              <w:spacing w:after="0"/>
              <w:rPr>
                <w:sz w:val="20"/>
                <w:szCs w:val="20"/>
                <w:color w:val="auto"/>
              </w:rPr>
            </w:pPr>
            <w:r>
              <w:rPr>
                <w:rFonts w:ascii="Arial" w:cs="Arial" w:eastAsia="Arial" w:hAnsi="Arial"/>
                <w:sz w:val="17"/>
                <w:szCs w:val="17"/>
                <w:color w:val="auto"/>
              </w:rPr>
              <w:t>1.5</w:t>
            </w:r>
          </w:p>
        </w:tc>
      </w:tr>
      <w:tr>
        <w:trPr>
          <w:trHeight w:val="200"/>
        </w:trPr>
        <w:tc>
          <w:tcPr>
            <w:tcW w:w="3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888,252</w:t>
            </w:r>
          </w:p>
        </w:tc>
        <w:tc>
          <w:tcPr>
            <w:tcW w:w="1140" w:type="dxa"/>
            <w:vAlign w:val="bottom"/>
            <w:gridSpan w:val="2"/>
          </w:tcPr>
          <w:p>
            <w:pPr>
              <w:jc w:val="right"/>
              <w:ind w:right="50"/>
              <w:spacing w:after="0"/>
              <w:rPr>
                <w:sz w:val="20"/>
                <w:szCs w:val="20"/>
                <w:color w:val="auto"/>
              </w:rPr>
            </w:pPr>
            <w:r>
              <w:rPr>
                <w:rFonts w:ascii="Arial" w:cs="Arial" w:eastAsia="Arial" w:hAnsi="Arial"/>
                <w:sz w:val="17"/>
                <w:szCs w:val="17"/>
                <w:color w:val="auto"/>
              </w:rPr>
              <w:t>4.37</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59"/>
              <w:spacing w:after="0"/>
              <w:rPr>
                <w:sz w:val="20"/>
                <w:szCs w:val="20"/>
                <w:color w:val="auto"/>
              </w:rPr>
            </w:pPr>
            <w:r>
              <w:rPr>
                <w:rFonts w:ascii="Arial" w:cs="Arial" w:eastAsia="Arial" w:hAnsi="Arial"/>
                <w:sz w:val="17"/>
                <w:szCs w:val="17"/>
                <w:color w:val="auto"/>
              </w:rPr>
              <w:t>0.01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158,669</w:t>
            </w:r>
          </w:p>
        </w:tc>
        <w:tc>
          <w:tcPr>
            <w:tcW w:w="1560" w:type="dxa"/>
            <w:vAlign w:val="bottom"/>
            <w:gridSpan w:val="2"/>
          </w:tcPr>
          <w:p>
            <w:pPr>
              <w:jc w:val="right"/>
              <w:ind w:right="110"/>
              <w:spacing w:after="0"/>
              <w:rPr>
                <w:sz w:val="20"/>
                <w:szCs w:val="20"/>
                <w:color w:val="auto"/>
              </w:rPr>
            </w:pPr>
            <w:r>
              <w:rPr>
                <w:rFonts w:ascii="Arial" w:cs="Arial" w:eastAsia="Arial" w:hAnsi="Arial"/>
                <w:sz w:val="17"/>
                <w:szCs w:val="17"/>
                <w:color w:val="auto"/>
              </w:rPr>
              <w:t>4.36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
              <w:spacing w:after="0"/>
              <w:rPr>
                <w:sz w:val="20"/>
                <w:szCs w:val="20"/>
                <w:color w:val="auto"/>
              </w:rPr>
            </w:pPr>
            <w:r>
              <w:rPr>
                <w:rFonts w:ascii="Arial" w:cs="Arial" w:eastAsia="Arial" w:hAnsi="Arial"/>
                <w:sz w:val="17"/>
                <w:szCs w:val="17"/>
                <w:color w:val="auto"/>
              </w:rPr>
              <w:t>0.01</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3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2,228,400</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740,195</w:t>
            </w:r>
          </w:p>
        </w:tc>
        <w:tc>
          <w:tcPr>
            <w:tcW w:w="220" w:type="dxa"/>
            <w:vAlign w:val="bottom"/>
            <w:tcBorders>
              <w:left w:val="single" w:sz="8" w:color="CCFFCC"/>
            </w:tcBorders>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r>
      <w:tr>
        <w:trPr>
          <w:trHeight w:val="20"/>
        </w:trPr>
        <w:tc>
          <w:tcPr>
            <w:tcW w:w="3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represents respective annual amortization of unrecognized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2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6"/>
              </w:rPr>
              <w:t>U.S.$ thousands</w:t>
            </w:r>
          </w:p>
        </w:tc>
        <w:tc>
          <w:tcPr>
            <w:tcW w:w="3100" w:type="dxa"/>
            <w:vAlign w:val="bottom"/>
          </w:tcPr>
          <w:p>
            <w:pPr>
              <w:spacing w:after="0"/>
              <w:rPr>
                <w:sz w:val="14"/>
                <w:szCs w:val="14"/>
                <w:color w:val="auto"/>
              </w:rPr>
            </w:pPr>
          </w:p>
        </w:tc>
      </w:tr>
      <w:tr>
        <w:trPr>
          <w:trHeight w:val="193"/>
        </w:trPr>
        <w:tc>
          <w:tcPr>
            <w:tcW w:w="11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1680" w:type="dxa"/>
            <w:vAlign w:val="bottom"/>
            <w:shd w:val="clear" w:color="auto" w:fill="CCFFCC"/>
          </w:tcPr>
          <w:p>
            <w:pPr>
              <w:spacing w:after="0"/>
              <w:rPr>
                <w:sz w:val="16"/>
                <w:szCs w:val="16"/>
                <w:color w:val="auto"/>
              </w:rPr>
            </w:pPr>
          </w:p>
        </w:tc>
        <w:tc>
          <w:tcPr>
            <w:tcW w:w="4120" w:type="dxa"/>
            <w:vAlign w:val="bottom"/>
            <w:gridSpan w:val="4"/>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1,015</w:t>
            </w:r>
          </w:p>
        </w:tc>
        <w:tc>
          <w:tcPr>
            <w:tcW w:w="3100" w:type="dxa"/>
            <w:vAlign w:val="bottom"/>
          </w:tcPr>
          <w:p>
            <w:pPr>
              <w:spacing w:after="0"/>
              <w:rPr>
                <w:sz w:val="16"/>
                <w:szCs w:val="16"/>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2013</w:t>
            </w:r>
          </w:p>
        </w:tc>
        <w:tc>
          <w:tcPr>
            <w:tcW w:w="1680" w:type="dxa"/>
            <w:vAlign w:val="bottom"/>
          </w:tcPr>
          <w:p>
            <w:pPr>
              <w:spacing w:after="0"/>
              <w:rPr>
                <w:sz w:val="17"/>
                <w:szCs w:val="17"/>
                <w:color w:val="auto"/>
              </w:rPr>
            </w:pPr>
          </w:p>
        </w:tc>
        <w:tc>
          <w:tcPr>
            <w:tcW w:w="4120" w:type="dxa"/>
            <w:vAlign w:val="bottom"/>
            <w:gridSpan w:val="4"/>
          </w:tcPr>
          <w:p>
            <w:pPr>
              <w:jc w:val="right"/>
              <w:ind w:right="140"/>
              <w:spacing w:after="0"/>
              <w:rPr>
                <w:sz w:val="20"/>
                <w:szCs w:val="20"/>
                <w:color w:val="auto"/>
              </w:rPr>
            </w:pPr>
            <w:r>
              <w:rPr>
                <w:rFonts w:ascii="Arial" w:cs="Arial" w:eastAsia="Arial" w:hAnsi="Arial"/>
                <w:sz w:val="17"/>
                <w:szCs w:val="17"/>
                <w:color w:val="auto"/>
              </w:rPr>
              <w:t>679</w:t>
            </w:r>
          </w:p>
        </w:tc>
        <w:tc>
          <w:tcPr>
            <w:tcW w:w="3100" w:type="dxa"/>
            <w:vAlign w:val="bottom"/>
          </w:tcPr>
          <w:p>
            <w:pPr>
              <w:spacing w:after="0"/>
              <w:rPr>
                <w:sz w:val="17"/>
                <w:szCs w:val="17"/>
                <w:color w:val="auto"/>
              </w:rPr>
            </w:pPr>
          </w:p>
        </w:tc>
      </w:tr>
      <w:tr>
        <w:trPr>
          <w:trHeight w:val="200"/>
        </w:trPr>
        <w:tc>
          <w:tcPr>
            <w:tcW w:w="1140" w:type="dxa"/>
            <w:vAlign w:val="bottom"/>
            <w:shd w:val="clear" w:color="auto" w:fill="CCFFCC"/>
          </w:tcPr>
          <w:p>
            <w:pPr>
              <w:spacing w:after="0"/>
              <w:rPr>
                <w:sz w:val="20"/>
                <w:szCs w:val="20"/>
                <w:color w:val="auto"/>
              </w:rPr>
            </w:pPr>
            <w:r>
              <w:rPr>
                <w:rFonts w:ascii="Arial" w:cs="Arial" w:eastAsia="Arial" w:hAnsi="Arial"/>
                <w:sz w:val="17"/>
                <w:szCs w:val="17"/>
                <w:color w:val="auto"/>
              </w:rPr>
              <w:t>2014</w:t>
            </w:r>
          </w:p>
        </w:tc>
        <w:tc>
          <w:tcPr>
            <w:tcW w:w="1680" w:type="dxa"/>
            <w:vAlign w:val="bottom"/>
            <w:shd w:val="clear" w:color="auto" w:fill="CCFFCC"/>
          </w:tcPr>
          <w:p>
            <w:pPr>
              <w:spacing w:after="0"/>
              <w:rPr>
                <w:sz w:val="17"/>
                <w:szCs w:val="17"/>
                <w:color w:val="auto"/>
              </w:rPr>
            </w:pPr>
          </w:p>
        </w:tc>
        <w:tc>
          <w:tcPr>
            <w:tcW w:w="3020" w:type="dxa"/>
            <w:vAlign w:val="bottom"/>
            <w:gridSpan w:val="2"/>
            <w:shd w:val="clear" w:color="auto" w:fill="CCFFCC"/>
          </w:tcPr>
          <w:p>
            <w:pPr>
              <w:spacing w:after="0"/>
              <w:rPr>
                <w:sz w:val="17"/>
                <w:szCs w:val="17"/>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158</w:t>
            </w:r>
          </w:p>
        </w:tc>
        <w:tc>
          <w:tcPr>
            <w:tcW w:w="310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28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20" w:type="dxa"/>
            <w:vAlign w:val="bottom"/>
            <w:gridSpan w:val="2"/>
          </w:tcPr>
          <w:p>
            <w:pPr>
              <w:spacing w:after="0"/>
              <w:rPr>
                <w:sz w:val="16"/>
                <w:szCs w:val="16"/>
                <w:color w:val="auto"/>
              </w:rPr>
            </w:pPr>
          </w:p>
        </w:tc>
        <w:tc>
          <w:tcPr>
            <w:tcW w:w="1100" w:type="dxa"/>
            <w:vAlign w:val="bottom"/>
            <w:gridSpan w:val="2"/>
          </w:tcPr>
          <w:p>
            <w:pPr>
              <w:jc w:val="right"/>
              <w:ind w:right="140"/>
              <w:spacing w:after="0" w:line="193" w:lineRule="exact"/>
              <w:rPr>
                <w:sz w:val="20"/>
                <w:szCs w:val="20"/>
                <w:color w:val="auto"/>
              </w:rPr>
            </w:pPr>
            <w:r>
              <w:rPr>
                <w:rFonts w:ascii="Arial" w:cs="Arial" w:eastAsia="Arial" w:hAnsi="Arial"/>
                <w:sz w:val="17"/>
                <w:szCs w:val="17"/>
                <w:b w:val="1"/>
                <w:bCs w:val="1"/>
                <w:color w:val="auto"/>
              </w:rPr>
              <w:t>1,852</w:t>
            </w:r>
          </w:p>
        </w:tc>
        <w:tc>
          <w:tcPr>
            <w:tcW w:w="310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717"/>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120" w:type="dxa"/>
            <w:vAlign w:val="bottom"/>
            <w:gridSpan w:val="4"/>
          </w:tcPr>
          <w:p>
            <w:pPr>
              <w:jc w:val="right"/>
              <w:ind w:right="2460"/>
              <w:spacing w:after="0"/>
              <w:rPr>
                <w:sz w:val="20"/>
                <w:szCs w:val="20"/>
                <w:color w:val="auto"/>
              </w:rPr>
            </w:pPr>
            <w:r>
              <w:rPr>
                <w:rFonts w:ascii="Arial" w:cs="Arial" w:eastAsia="Arial" w:hAnsi="Arial"/>
                <w:sz w:val="17"/>
                <w:szCs w:val="17"/>
                <w:color w:val="auto"/>
              </w:rPr>
              <w:t>F-42</w:t>
            </w: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-755015</wp:posOffset>
            </wp:positionV>
            <wp:extent cx="4408170" cy="1670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5" w:name="page256"/>
    <w:bookmarkEnd w:id="2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 Stockholders’ Equity (Deficit) – (continued)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 Warrants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Conversion Warrants, Special Bridge Warrants and Reload Warrants</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7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5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5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6" w:name="page257"/>
    <w:bookmarkEnd w:id="2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11 — Stockholders’ Equity (Deficit) – (continued)</w:t>
      </w:r>
    </w:p>
    <w:p>
      <w:pPr>
        <w:jc w:val="both"/>
        <w:ind w:left="40" w:right="1239"/>
        <w:spacing w:after="0" w:line="335" w:lineRule="auto"/>
        <w:rPr>
          <w:sz w:val="20"/>
          <w:szCs w:val="20"/>
          <w:color w:val="auto"/>
        </w:rPr>
      </w:pPr>
      <w:r>
        <w:rPr>
          <w:rFonts w:ascii="Arial" w:cs="Arial" w:eastAsia="Arial" w:hAnsi="Arial"/>
          <w:sz w:val="15"/>
          <w:szCs w:val="15"/>
          <w:color w:val="auto"/>
        </w:rPr>
        <w:t>consideration for the immediate exercise of the warrants (“Reload Warrants”). A portion of the Reload warrants bear down-round protection clauses as a result, they will be classified as a long-term derivative liability and recorded at fair value. See also Note 17.</w:t>
      </w:r>
    </w:p>
    <w:p>
      <w:pPr>
        <w:spacing w:after="0" w:line="2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Senior Lenders Warrants</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Lead Investor Warrants</w:t>
      </w:r>
    </w:p>
    <w:p>
      <w:pPr>
        <w:spacing w:after="0" w:line="105"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Placement Agent Warrants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IPO warrants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7" w:name="page258"/>
    <w:bookmarkEnd w:id="2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96" w:lineRule="auto"/>
        <w:rPr>
          <w:sz w:val="20"/>
          <w:szCs w:val="20"/>
          <w:color w:val="auto"/>
        </w:rPr>
      </w:pPr>
      <w:r>
        <w:rPr>
          <w:rFonts w:ascii="Arial" w:cs="Arial" w:eastAsia="Arial" w:hAnsi="Arial"/>
          <w:sz w:val="17"/>
          <w:szCs w:val="17"/>
          <w:b w:val="1"/>
          <w:bCs w:val="1"/>
          <w:color w:val="auto"/>
        </w:rPr>
        <w:t xml:space="preserve">NOTES TO CONSOLIDATED FINANCIAL STATEMENTS Note 11 — Stockholders’ Equity (Deficit) – (continued) </w:t>
      </w:r>
      <w:r>
        <w:rPr>
          <w:rFonts w:ascii="Arial" w:cs="Arial" w:eastAsia="Arial" w:hAnsi="Arial"/>
          <w:sz w:val="17"/>
          <w:szCs w:val="17"/>
          <w:b w:val="1"/>
          <w:bCs w:val="1"/>
          <w:i w:val="1"/>
          <w:iCs w:val="1"/>
          <w:color w:val="auto"/>
        </w:rPr>
        <w:t>Charitable warrants</w:t>
      </w:r>
    </w:p>
    <w:p>
      <w:pPr>
        <w:spacing w:after="0" w:line="1"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7421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40" w:type="dxa"/>
            <w:vAlign w:val="bottom"/>
            <w:gridSpan w:val="5"/>
            <w:vMerge w:val="restart"/>
          </w:tcPr>
          <w:p>
            <w:pPr>
              <w:ind w:left="120"/>
              <w:spacing w:after="0"/>
              <w:rPr>
                <w:sz w:val="20"/>
                <w:szCs w:val="20"/>
                <w:color w:val="auto"/>
              </w:rPr>
            </w:pPr>
            <w:r>
              <w:rPr>
                <w:rFonts w:ascii="Arial" w:cs="Arial" w:eastAsia="Arial" w:hAnsi="Arial"/>
                <w:sz w:val="13"/>
                <w:szCs w:val="13"/>
                <w:b w:val="1"/>
                <w:bCs w:val="1"/>
                <w:color w:val="auto"/>
                <w:w w:val="97"/>
              </w:rPr>
              <w:t>For the year ended December 31,</w:t>
            </w: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December 31,</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258"/>
              <w:spacing w:after="0"/>
              <w:rPr>
                <w:sz w:val="20"/>
                <w:szCs w:val="20"/>
                <w:color w:val="auto"/>
              </w:rPr>
            </w:pPr>
            <w:r>
              <w:rPr>
                <w:rFonts w:ascii="Arial" w:cs="Arial" w:eastAsia="Arial" w:hAnsi="Arial"/>
                <w:sz w:val="13"/>
                <w:szCs w:val="13"/>
                <w:b w:val="1"/>
                <w:bCs w:val="1"/>
                <w:color w:val="auto"/>
                <w:w w:val="89"/>
              </w:rPr>
              <w:t>2011</w:t>
            </w:r>
          </w:p>
        </w:tc>
        <w:tc>
          <w:tcPr>
            <w:tcW w:w="18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161"/>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color w:val="auto"/>
                <w:w w:val="93"/>
              </w:rPr>
              <w:t>U.S.$ thousands</w:t>
            </w:r>
          </w:p>
        </w:tc>
        <w:tc>
          <w:tcPr>
            <w:tcW w:w="16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600" w:type="dxa"/>
            <w:vAlign w:val="bottom"/>
            <w:tcBorders>
              <w:bottom w:val="single" w:sz="8" w:color="auto"/>
            </w:tcBorders>
            <w:gridSpan w:val="6"/>
            <w:shd w:val="clear" w:color="auto" w:fill="CCFFCC"/>
          </w:tcPr>
          <w:p>
            <w:pPr>
              <w:spacing w:after="0" w:line="168" w:lineRule="exact"/>
              <w:rPr>
                <w:sz w:val="20"/>
                <w:szCs w:val="20"/>
                <w:color w:val="auto"/>
              </w:rPr>
            </w:pPr>
            <w:r>
              <w:rPr>
                <w:rFonts w:ascii="Arial" w:cs="Arial" w:eastAsia="Arial" w:hAnsi="Arial"/>
                <w:sz w:val="17"/>
                <w:szCs w:val="17"/>
                <w:b w:val="1"/>
                <w:bCs w:val="1"/>
                <w:color w:val="auto"/>
                <w:w w:val="88"/>
              </w:rPr>
              <w:t>Information on sales by product exceeding 10% of</w:t>
            </w:r>
          </w:p>
        </w:tc>
        <w:tc>
          <w:tcPr>
            <w:tcW w:w="46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80" w:type="dxa"/>
            <w:vAlign w:val="bottom"/>
            <w:tcBorders>
              <w:bottom w:val="single" w:sz="8" w:color="CCFFCC"/>
            </w:tcBorders>
            <w:shd w:val="clear" w:color="auto" w:fill="CCFFCC"/>
          </w:tcPr>
          <w:p>
            <w:pPr>
              <w:spacing w:after="0"/>
              <w:rPr>
                <w:sz w:val="14"/>
                <w:szCs w:val="14"/>
                <w:color w:val="auto"/>
              </w:rPr>
            </w:pPr>
          </w:p>
        </w:tc>
        <w:tc>
          <w:tcPr>
            <w:tcW w:w="180" w:type="dxa"/>
            <w:vAlign w:val="bottom"/>
            <w:tcBorders>
              <w:bottom w:val="single" w:sz="8" w:color="CCFFCC"/>
            </w:tcBorders>
            <w:shd w:val="clear" w:color="auto" w:fill="CCFFCC"/>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0" w:type="dxa"/>
            <w:vAlign w:val="bottom"/>
            <w:tcBorders>
              <w:bottom w:val="single" w:sz="8" w:color="CCFFCC"/>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line="180" w:lineRule="exact"/>
              <w:rPr>
                <w:sz w:val="20"/>
                <w:szCs w:val="20"/>
                <w:color w:val="auto"/>
              </w:rPr>
            </w:pPr>
            <w:r>
              <w:rPr>
                <w:rFonts w:ascii="Arial" w:cs="Arial" w:eastAsia="Arial" w:hAnsi="Arial"/>
                <w:sz w:val="17"/>
                <w:szCs w:val="17"/>
                <w:b w:val="1"/>
                <w:bCs w:val="1"/>
                <w:color w:val="auto"/>
                <w:w w:val="83"/>
              </w:rPr>
              <w:t>Revenues:</w:t>
            </w:r>
          </w:p>
        </w:tc>
        <w:tc>
          <w:tcPr>
            <w:tcW w:w="3160" w:type="dxa"/>
            <w:vAlign w:val="bottom"/>
            <w:tcBorders>
              <w:bottom w:val="single" w:sz="8" w:color="CCFFCC"/>
            </w:tcBorders>
            <w:gridSpan w:val="5"/>
            <w:shd w:val="clear" w:color="auto" w:fill="CCFFCC"/>
          </w:tcPr>
          <w:p>
            <w:pPr>
              <w:spacing w:after="0"/>
              <w:rPr>
                <w:sz w:val="17"/>
                <w:szCs w:val="17"/>
                <w:color w:val="auto"/>
              </w:rPr>
            </w:pPr>
          </w:p>
        </w:tc>
        <w:tc>
          <w:tcPr>
            <w:tcW w:w="86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CCFFCC"/>
            </w:tcBorders>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Video Ringtones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514</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209</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743</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Development Projects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184</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184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580" w:type="dxa"/>
            <w:vAlign w:val="bottom"/>
            <w:tcBorders>
              <w:top w:val="single" w:sz="8" w:color="CCFFCC"/>
              <w:bottom w:val="single" w:sz="8" w:color="auto"/>
            </w:tcBorders>
            <w:gridSpan w:val="5"/>
          </w:tcPr>
          <w:p>
            <w:pPr>
              <w:spacing w:after="0" w:line="153" w:lineRule="exact"/>
              <w:rPr>
                <w:sz w:val="20"/>
                <w:szCs w:val="20"/>
                <w:color w:val="auto"/>
              </w:rPr>
            </w:pPr>
            <w:r>
              <w:rPr>
                <w:rFonts w:ascii="Arial" w:cs="Arial" w:eastAsia="Arial" w:hAnsi="Arial"/>
                <w:sz w:val="17"/>
                <w:szCs w:val="17"/>
                <w:b w:val="1"/>
                <w:bCs w:val="1"/>
                <w:color w:val="auto"/>
                <w:w w:val="85"/>
              </w:rPr>
              <w:t>Revenues from single customers exceeding 10% of</w:t>
            </w:r>
          </w:p>
        </w:tc>
        <w:tc>
          <w:tcPr>
            <w:tcW w:w="480" w:type="dxa"/>
            <w:vAlign w:val="bottom"/>
            <w:tcBorders>
              <w:top w:val="single" w:sz="8" w:color="CCFFCC"/>
            </w:tcBorders>
            <w:gridSpan w:val="2"/>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140" w:type="dxa"/>
            <w:vAlign w:val="bottom"/>
            <w:tcBorders>
              <w:top w:val="single" w:sz="8" w:color="CCFFC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c>
          <w:tcPr>
            <w:tcW w:w="160" w:type="dxa"/>
            <w:vAlign w:val="bottom"/>
            <w:tcBorders>
              <w:top w:val="single" w:sz="8" w:color="CCFFCC"/>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0" w:type="dxa"/>
            <w:vAlign w:val="bottom"/>
            <w:tcBorders>
              <w:top w:val="single" w:sz="8" w:color="CCFFCC"/>
            </w:tcBorders>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b w:val="1"/>
                <w:bCs w:val="1"/>
                <w:color w:val="auto"/>
                <w:w w:val="83"/>
              </w:rPr>
              <w:t>Revenues:</w:t>
            </w:r>
          </w:p>
        </w:tc>
        <w:tc>
          <w:tcPr>
            <w:tcW w:w="316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Customer A</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312</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95</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407</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Customer B</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90</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144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Customer C</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110</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110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206</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62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288</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60" w:type="dxa"/>
            <w:vAlign w:val="bottom"/>
            <w:tcBorders>
              <w:top w:val="single" w:sz="8" w:color="CCFFCC"/>
              <w:bottom w:val="single" w:sz="8" w:color="auto"/>
            </w:tcBorders>
            <w:gridSpan w:val="4"/>
          </w:tcPr>
          <w:p>
            <w:pPr>
              <w:spacing w:after="0" w:line="153" w:lineRule="exact"/>
              <w:rPr>
                <w:sz w:val="20"/>
                <w:szCs w:val="20"/>
                <w:color w:val="auto"/>
              </w:rPr>
            </w:pPr>
            <w:r>
              <w:rPr>
                <w:rFonts w:ascii="Arial" w:cs="Arial" w:eastAsia="Arial" w:hAnsi="Arial"/>
                <w:sz w:val="17"/>
                <w:szCs w:val="17"/>
                <w:b w:val="1"/>
                <w:bCs w:val="1"/>
                <w:color w:val="auto"/>
                <w:w w:val="87"/>
              </w:rPr>
              <w:t>Information on sales by geographic distribution:</w:t>
            </w:r>
          </w:p>
        </w:tc>
        <w:tc>
          <w:tcPr>
            <w:tcW w:w="600" w:type="dxa"/>
            <w:vAlign w:val="bottom"/>
            <w:tcBorders>
              <w:top w:val="single" w:sz="8" w:color="CCFFCC"/>
            </w:tcBorders>
            <w:gridSpan w:val="3"/>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South East Asia</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384</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105</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488</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Middle East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175</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54</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229</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shd w:val="clear" w:color="auto" w:fill="CCFFCC"/>
          </w:tcPr>
          <w:p>
            <w:pPr>
              <w:spacing w:after="0"/>
              <w:rPr>
                <w:sz w:val="20"/>
                <w:szCs w:val="20"/>
                <w:color w:val="auto"/>
              </w:rPr>
            </w:pPr>
            <w:r>
              <w:rPr>
                <w:rFonts w:ascii="Arial" w:cs="Arial" w:eastAsia="Arial" w:hAnsi="Arial"/>
                <w:sz w:val="17"/>
                <w:szCs w:val="17"/>
                <w:color w:val="auto"/>
              </w:rPr>
              <w:t>Europe</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b w:val="1"/>
                <w:bCs w:val="1"/>
                <w:color w:val="auto"/>
              </w:rPr>
              <w:t>82</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82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60" w:type="dxa"/>
            <w:vAlign w:val="bottom"/>
            <w:gridSpan w:val="7"/>
          </w:tcPr>
          <w:p>
            <w:pPr>
              <w:spacing w:after="0"/>
              <w:rPr>
                <w:sz w:val="20"/>
                <w:szCs w:val="20"/>
                <w:color w:val="auto"/>
              </w:rPr>
            </w:pPr>
            <w:r>
              <w:rPr>
                <w:rFonts w:ascii="Arial" w:cs="Arial" w:eastAsia="Arial" w:hAnsi="Arial"/>
                <w:sz w:val="17"/>
                <w:szCs w:val="17"/>
                <w:color w:val="auto"/>
              </w:rPr>
              <w:t>Others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77</w:t>
            </w:r>
          </w:p>
        </w:tc>
        <w:tc>
          <w:tcPr>
            <w:tcW w:w="1140" w:type="dxa"/>
            <w:vAlign w:val="bottom"/>
            <w:gridSpan w:val="3"/>
          </w:tcPr>
          <w:p>
            <w:pPr>
              <w:jc w:val="right"/>
              <w:ind w:right="120"/>
              <w:spacing w:after="0"/>
              <w:rPr>
                <w:sz w:val="20"/>
                <w:szCs w:val="20"/>
                <w:color w:val="auto"/>
              </w:rPr>
            </w:pPr>
            <w:r>
              <w:rPr>
                <w:rFonts w:ascii="Arial" w:cs="Arial" w:eastAsia="Arial" w:hAnsi="Arial"/>
                <w:sz w:val="17"/>
                <w:szCs w:val="17"/>
                <w:color w:val="auto"/>
              </w:rPr>
              <w:t>52</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150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23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718</w:t>
            </w:r>
          </w:p>
        </w:tc>
        <w:tc>
          <w:tcPr>
            <w:tcW w:w="114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211</w:t>
            </w:r>
          </w:p>
        </w:tc>
        <w:tc>
          <w:tcPr>
            <w:tcW w:w="142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949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32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460" w:type="dxa"/>
            <w:vAlign w:val="bottom"/>
            <w:tcBorders>
              <w:top w:val="single" w:sz="8" w:color="CCFFCC"/>
            </w:tcBorders>
          </w:tcPr>
          <w:p>
            <w:pPr>
              <w:spacing w:after="0"/>
              <w:rPr>
                <w:sz w:val="24"/>
                <w:szCs w:val="24"/>
                <w:color w:val="auto"/>
              </w:rPr>
            </w:pP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F-45</w:t>
            </w:r>
          </w:p>
        </w:tc>
        <w:tc>
          <w:tcPr>
            <w:tcW w:w="14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-2346325</wp:posOffset>
            </wp:positionV>
            <wp:extent cx="4837430" cy="2863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83743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-1415415</wp:posOffset>
            </wp:positionV>
            <wp:extent cx="4837430" cy="1593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8" w:name="page259"/>
    <w:bookmarkEnd w:id="2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43" w:lineRule="auto"/>
        <w:rPr>
          <w:sz w:val="20"/>
          <w:szCs w:val="20"/>
          <w:color w:val="auto"/>
        </w:rPr>
      </w:pPr>
      <w:r>
        <w:rPr>
          <w:rFonts w:ascii="Arial" w:cs="Arial" w:eastAsia="Arial" w:hAnsi="Arial"/>
          <w:sz w:val="17"/>
          <w:szCs w:val="17"/>
          <w:b w:val="1"/>
          <w:bCs w:val="1"/>
          <w:color w:val="auto"/>
        </w:rPr>
        <w:t>NOTES TO CONSOLIDATED FINANCIAL STATEMENTS Note 13 — Interest and Amortization of Debt Discount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750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75043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6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w w:val="98"/>
              </w:rPr>
              <w:t>For the year ended December 31,</w:t>
            </w:r>
          </w:p>
        </w:tc>
        <w:tc>
          <w:tcPr>
            <w:tcW w:w="160" w:type="dxa"/>
            <w:vAlign w:val="bottom"/>
          </w:tcPr>
          <w:p>
            <w:pPr>
              <w:spacing w:after="0"/>
              <w:rPr>
                <w:sz w:val="11"/>
                <w:szCs w:val="11"/>
                <w:color w:val="auto"/>
              </w:rPr>
            </w:pPr>
          </w:p>
        </w:tc>
        <w:tc>
          <w:tcPr>
            <w:tcW w:w="12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2"/>
              </w:rPr>
              <w:t>inception to</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center"/>
              <w:ind w:left="298"/>
              <w:spacing w:after="0"/>
              <w:rPr>
                <w:sz w:val="20"/>
                <w:szCs w:val="20"/>
                <w:color w:val="auto"/>
              </w:rPr>
            </w:pPr>
            <w:r>
              <w:rPr>
                <w:rFonts w:ascii="Arial" w:cs="Arial" w:eastAsia="Arial" w:hAnsi="Arial"/>
                <w:sz w:val="13"/>
                <w:szCs w:val="13"/>
                <w:b w:val="1"/>
                <w:bCs w:val="1"/>
                <w:color w:val="auto"/>
                <w:w w:val="89"/>
              </w:rPr>
              <w:t>2011</w:t>
            </w:r>
          </w:p>
        </w:tc>
        <w:tc>
          <w:tcPr>
            <w:tcW w:w="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90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01"/>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160" w:type="dxa"/>
            <w:vAlign w:val="bottom"/>
          </w:tcPr>
          <w:p>
            <w:pPr>
              <w:spacing w:after="0"/>
              <w:rPr>
                <w:sz w:val="16"/>
                <w:szCs w:val="16"/>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95"/>
              </w:rPr>
              <w:t>U.S.$ thousands</w:t>
            </w:r>
          </w:p>
        </w:tc>
        <w:tc>
          <w:tcPr>
            <w:tcW w:w="160" w:type="dxa"/>
            <w:vAlign w:val="bottom"/>
          </w:tcPr>
          <w:p>
            <w:pPr>
              <w:spacing w:after="0"/>
              <w:rPr>
                <w:sz w:val="16"/>
                <w:szCs w:val="16"/>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0" w:type="dxa"/>
            <w:vAlign w:val="bottom"/>
          </w:tcPr>
          <w:p>
            <w:pPr>
              <w:spacing w:after="0"/>
              <w:rPr>
                <w:sz w:val="1"/>
                <w:szCs w:val="1"/>
                <w:color w:val="auto"/>
              </w:rPr>
            </w:pPr>
          </w:p>
        </w:tc>
      </w:tr>
      <w:tr>
        <w:trPr>
          <w:trHeight w:val="193"/>
        </w:trPr>
        <w:tc>
          <w:tcPr>
            <w:tcW w:w="4060" w:type="dxa"/>
            <w:vAlign w:val="bottom"/>
            <w:shd w:val="clear" w:color="auto" w:fill="CCFFCC"/>
          </w:tcPr>
          <w:p>
            <w:pPr>
              <w:spacing w:after="0" w:line="194" w:lineRule="exact"/>
              <w:rPr>
                <w:sz w:val="20"/>
                <w:szCs w:val="20"/>
                <w:color w:val="auto"/>
              </w:rPr>
            </w:pPr>
            <w:r>
              <w:rPr>
                <w:rFonts w:ascii="Arial" w:cs="Arial" w:eastAsia="Arial" w:hAnsi="Arial"/>
                <w:sz w:val="17"/>
                <w:szCs w:val="17"/>
                <w:color w:val="auto"/>
              </w:rPr>
              <w:t>Interest and discount amortization expense from</w:t>
            </w:r>
          </w:p>
        </w:tc>
        <w:tc>
          <w:tcPr>
            <w:tcW w:w="100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(245)</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(604)</w:t>
            </w:r>
          </w:p>
        </w:tc>
        <w:tc>
          <w:tcPr>
            <w:tcW w:w="140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venture loan</w:t>
            </w: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Interest expense from Bridge Notes</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(161)</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Lead Investor warrants recorded at fair value</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(1,342)</w:t>
            </w:r>
          </w:p>
        </w:tc>
        <w:tc>
          <w:tcPr>
            <w:tcW w:w="140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Amortization of discount of Bridge Notes</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(1,070)</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(1,070)</w:t>
            </w:r>
          </w:p>
        </w:tc>
        <w:tc>
          <w:tcPr>
            <w:tcW w:w="0" w:type="dxa"/>
            <w:vAlign w:val="bottom"/>
          </w:tcPr>
          <w:p>
            <w:pPr>
              <w:spacing w:after="0"/>
              <w:rPr>
                <w:sz w:val="1"/>
                <w:szCs w:val="1"/>
                <w:color w:val="auto"/>
              </w:rPr>
            </w:pPr>
          </w:p>
        </w:tc>
      </w:tr>
      <w:tr>
        <w:trPr>
          <w:trHeight w:val="188"/>
        </w:trPr>
        <w:tc>
          <w:tcPr>
            <w:tcW w:w="4060" w:type="dxa"/>
            <w:vAlign w:val="bottom"/>
            <w:shd w:val="clear" w:color="auto" w:fill="CCFFCC"/>
          </w:tcPr>
          <w:p>
            <w:pPr>
              <w:spacing w:after="0" w:line="188" w:lineRule="exact"/>
              <w:rPr>
                <w:sz w:val="20"/>
                <w:szCs w:val="20"/>
                <w:color w:val="auto"/>
              </w:rPr>
            </w:pPr>
            <w:r>
              <w:rPr>
                <w:rFonts w:ascii="Arial" w:cs="Arial" w:eastAsia="Arial" w:hAnsi="Arial"/>
                <w:sz w:val="17"/>
                <w:szCs w:val="17"/>
                <w:color w:val="auto"/>
              </w:rPr>
              <w:t>Beneficial conversion feature in connection with</w:t>
            </w:r>
          </w:p>
        </w:tc>
        <w:tc>
          <w:tcPr>
            <w:tcW w:w="1000" w:type="dxa"/>
            <w:vAlign w:val="bottom"/>
            <w:gridSpan w:val="2"/>
            <w:shd w:val="clear" w:color="auto" w:fill="CCFFCC"/>
          </w:tcPr>
          <w:p>
            <w:pPr>
              <w:jc w:val="right"/>
              <w:ind w:right="80"/>
              <w:spacing w:after="0" w:line="188" w:lineRule="exact"/>
              <w:rPr>
                <w:sz w:val="20"/>
                <w:szCs w:val="20"/>
                <w:color w:val="auto"/>
              </w:rPr>
            </w:pPr>
            <w:r>
              <w:rPr>
                <w:rFonts w:ascii="Arial" w:cs="Arial" w:eastAsia="Arial" w:hAnsi="Arial"/>
                <w:sz w:val="17"/>
                <w:szCs w:val="17"/>
                <w:b w:val="1"/>
                <w:bCs w:val="1"/>
                <w:color w:val="auto"/>
              </w:rPr>
              <w:t>—</w:t>
            </w:r>
          </w:p>
        </w:tc>
        <w:tc>
          <w:tcPr>
            <w:tcW w:w="1160" w:type="dxa"/>
            <w:vAlign w:val="bottom"/>
            <w:gridSpan w:val="3"/>
            <w:shd w:val="clear" w:color="auto" w:fill="CCFFCC"/>
          </w:tcPr>
          <w:p>
            <w:pPr>
              <w:jc w:val="right"/>
              <w:ind w:right="120"/>
              <w:spacing w:after="0" w:line="188" w:lineRule="exact"/>
              <w:rPr>
                <w:sz w:val="20"/>
                <w:szCs w:val="20"/>
                <w:color w:val="auto"/>
              </w:rPr>
            </w:pPr>
            <w:r>
              <w:rPr>
                <w:rFonts w:ascii="Arial" w:cs="Arial" w:eastAsia="Arial" w:hAnsi="Arial"/>
                <w:sz w:val="17"/>
                <w:szCs w:val="17"/>
                <w:color w:val="auto"/>
              </w:rPr>
              <w:t>(1,127)</w:t>
            </w:r>
          </w:p>
        </w:tc>
        <w:tc>
          <w:tcPr>
            <w:tcW w:w="1400" w:type="dxa"/>
            <w:vAlign w:val="bottom"/>
            <w:gridSpan w:val="3"/>
            <w:shd w:val="clear" w:color="auto" w:fill="CCFFCC"/>
          </w:tcPr>
          <w:p>
            <w:pPr>
              <w:jc w:val="right"/>
              <w:ind w:right="180"/>
              <w:spacing w:after="0" w:line="188" w:lineRule="exact"/>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Bridge Notes</w:t>
            </w: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Interest expense from Series B convertible loan</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18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Interest expense from Convertible Notes</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w:t>
            </w:r>
          </w:p>
        </w:tc>
        <w:tc>
          <w:tcPr>
            <w:tcW w:w="1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7"/>
                <w:szCs w:val="17"/>
                <w:color w:val="auto"/>
              </w:rPr>
              <w:t>—</w:t>
            </w:r>
          </w:p>
        </w:tc>
        <w:tc>
          <w:tcPr>
            <w:tcW w:w="1400" w:type="dxa"/>
            <w:vAlign w:val="bottom"/>
            <w:gridSpan w:val="3"/>
            <w:shd w:val="clear" w:color="auto" w:fill="CCFFCC"/>
          </w:tcPr>
          <w:p>
            <w:pPr>
              <w:jc w:val="right"/>
              <w:ind w:right="1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8"/>
        </w:trPr>
        <w:tc>
          <w:tcPr>
            <w:tcW w:w="4060" w:type="dxa"/>
            <w:vAlign w:val="bottom"/>
          </w:tcPr>
          <w:p>
            <w:pPr>
              <w:spacing w:after="0" w:line="188" w:lineRule="exact"/>
              <w:rPr>
                <w:sz w:val="20"/>
                <w:szCs w:val="20"/>
                <w:color w:val="auto"/>
              </w:rPr>
            </w:pPr>
            <w:r>
              <w:rPr>
                <w:rFonts w:ascii="Arial" w:cs="Arial" w:eastAsia="Arial" w:hAnsi="Arial"/>
                <w:sz w:val="17"/>
                <w:szCs w:val="17"/>
                <w:color w:val="auto"/>
                <w:w w:val="95"/>
              </w:rPr>
              <w:t>Amortization of discount of Convertible Notes (beneficial</w:t>
            </w:r>
          </w:p>
        </w:tc>
        <w:tc>
          <w:tcPr>
            <w:tcW w:w="100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(1,269)</w:t>
            </w:r>
          </w:p>
        </w:tc>
        <w:tc>
          <w:tcPr>
            <w:tcW w:w="160" w:type="dxa"/>
            <w:vAlign w:val="bottom"/>
          </w:tcPr>
          <w:p>
            <w:pPr>
              <w:spacing w:after="0"/>
              <w:rPr>
                <w:sz w:val="16"/>
                <w:szCs w:val="16"/>
                <w:color w:val="auto"/>
              </w:rPr>
            </w:pPr>
          </w:p>
        </w:tc>
        <w:tc>
          <w:tcPr>
            <w:tcW w:w="1000" w:type="dxa"/>
            <w:vAlign w:val="bottom"/>
            <w:gridSpan w:val="2"/>
          </w:tcPr>
          <w:p>
            <w:pPr>
              <w:jc w:val="right"/>
              <w:ind w:right="180"/>
              <w:spacing w:after="0" w:line="188" w:lineRule="exact"/>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180"/>
              <w:spacing w:after="0" w:line="188"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13"/>
        </w:trPr>
        <w:tc>
          <w:tcPr>
            <w:tcW w:w="4060" w:type="dxa"/>
            <w:vAlign w:val="bottom"/>
          </w:tcPr>
          <w:p>
            <w:pPr>
              <w:ind w:left="160"/>
              <w:spacing w:after="0"/>
              <w:rPr>
                <w:sz w:val="20"/>
                <w:szCs w:val="20"/>
                <w:color w:val="auto"/>
              </w:rPr>
            </w:pPr>
            <w:r>
              <w:rPr>
                <w:rFonts w:ascii="Arial" w:cs="Arial" w:eastAsia="Arial" w:hAnsi="Arial"/>
                <w:sz w:val="17"/>
                <w:szCs w:val="17"/>
                <w:color w:val="auto"/>
              </w:rPr>
              <w:t>conversion feature)</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line="194" w:lineRule="exact"/>
              <w:rPr>
                <w:sz w:val="20"/>
                <w:szCs w:val="20"/>
                <w:color w:val="auto"/>
              </w:rPr>
            </w:pPr>
            <w:r>
              <w:rPr>
                <w:rFonts w:ascii="Arial" w:cs="Arial" w:eastAsia="Arial" w:hAnsi="Arial"/>
                <w:sz w:val="17"/>
                <w:szCs w:val="17"/>
                <w:b w:val="1"/>
                <w:bCs w:val="1"/>
                <w:color w:val="auto"/>
              </w:rPr>
              <w:t>(1,525)</w:t>
            </w:r>
          </w:p>
        </w:tc>
        <w:tc>
          <w:tcPr>
            <w:tcW w:w="1160" w:type="dxa"/>
            <w:vAlign w:val="bottom"/>
            <w:gridSpan w:val="3"/>
            <w:shd w:val="clear" w:color="auto" w:fill="CCFFCC"/>
          </w:tcPr>
          <w:p>
            <w:pPr>
              <w:jc w:val="right"/>
              <w:ind w:right="120"/>
              <w:spacing w:after="0" w:line="194" w:lineRule="exact"/>
              <w:rPr>
                <w:sz w:val="20"/>
                <w:szCs w:val="20"/>
                <w:color w:val="auto"/>
              </w:rPr>
            </w:pPr>
            <w:r>
              <w:rPr>
                <w:rFonts w:ascii="Arial" w:cs="Arial" w:eastAsia="Arial" w:hAnsi="Arial"/>
                <w:sz w:val="17"/>
                <w:szCs w:val="17"/>
                <w:color w:val="auto"/>
              </w:rPr>
              <w:t>(4,304)</w:t>
            </w:r>
          </w:p>
        </w:tc>
        <w:tc>
          <w:tcPr>
            <w:tcW w:w="1400" w:type="dxa"/>
            <w:vAlign w:val="bottom"/>
            <w:gridSpan w:val="3"/>
            <w:shd w:val="clear" w:color="auto" w:fill="CCFFCC"/>
          </w:tcPr>
          <w:p>
            <w:pPr>
              <w:jc w:val="right"/>
              <w:ind w:right="180"/>
              <w:spacing w:after="0" w:line="194" w:lineRule="exact"/>
              <w:rPr>
                <w:sz w:val="20"/>
                <w:szCs w:val="20"/>
                <w:color w:val="auto"/>
              </w:rPr>
            </w:pPr>
            <w:r>
              <w:rPr>
                <w:rFonts w:ascii="Arial" w:cs="Arial" w:eastAsia="Arial" w:hAnsi="Arial"/>
                <w:sz w:val="17"/>
                <w:szCs w:val="17"/>
                <w:color w:val="auto"/>
              </w:rPr>
              <w:t>(6,657)</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14 — Income Taxes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Components of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1228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216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7"/>
              </w:rPr>
              <w:t>For the year ended December 31,</w:t>
            </w: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138"/>
        </w:trPr>
        <w:tc>
          <w:tcPr>
            <w:tcW w:w="338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gridSpan w:val="2"/>
            <w:vMerge w:val="restart"/>
          </w:tcPr>
          <w:p>
            <w:pPr>
              <w:jc w:val="center"/>
              <w:ind w:left="281"/>
              <w:spacing w:after="0"/>
              <w:rPr>
                <w:sz w:val="20"/>
                <w:szCs w:val="20"/>
                <w:color w:val="auto"/>
              </w:rPr>
            </w:pPr>
            <w:r>
              <w:rPr>
                <w:rFonts w:ascii="Arial" w:cs="Arial" w:eastAsia="Arial" w:hAnsi="Arial"/>
                <w:sz w:val="13"/>
                <w:szCs w:val="13"/>
                <w:b w:val="1"/>
                <w:bCs w:val="1"/>
                <w:color w:val="auto"/>
                <w:w w:val="89"/>
              </w:rPr>
              <w:t>2011</w:t>
            </w:r>
          </w:p>
        </w:tc>
        <w:tc>
          <w:tcPr>
            <w:tcW w:w="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33"/>
              <w:spacing w:after="0"/>
              <w:rPr>
                <w:sz w:val="20"/>
                <w:szCs w:val="20"/>
                <w:color w:val="auto"/>
              </w:rPr>
            </w:pPr>
            <w:r>
              <w:rPr>
                <w:rFonts w:ascii="Arial" w:cs="Arial" w:eastAsia="Arial" w:hAnsi="Arial"/>
                <w:sz w:val="13"/>
                <w:szCs w:val="13"/>
                <w:b w:val="1"/>
                <w:bCs w:val="1"/>
                <w:color w:val="auto"/>
              </w:rPr>
              <w:t>2010</w:t>
            </w: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91"/>
              </w:rPr>
              <w:t>U.S.$ thousands</w:t>
            </w:r>
          </w:p>
        </w:tc>
        <w:tc>
          <w:tcPr>
            <w:tcW w:w="14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0" w:type="dxa"/>
            <w:vAlign w:val="bottom"/>
          </w:tcPr>
          <w:p>
            <w:pPr>
              <w:spacing w:after="0"/>
              <w:rPr>
                <w:sz w:val="1"/>
                <w:szCs w:val="1"/>
                <w:color w:val="auto"/>
              </w:rPr>
            </w:pPr>
          </w:p>
        </w:tc>
      </w:tr>
      <w:tr>
        <w:trPr>
          <w:trHeight w:val="206"/>
        </w:trPr>
        <w:tc>
          <w:tcPr>
            <w:tcW w:w="3380" w:type="dxa"/>
            <w:vAlign w:val="bottom"/>
            <w:shd w:val="clear" w:color="auto" w:fill="CCFFCC"/>
          </w:tcPr>
          <w:p>
            <w:pPr>
              <w:spacing w:after="0"/>
              <w:rPr>
                <w:sz w:val="20"/>
                <w:szCs w:val="20"/>
                <w:color w:val="auto"/>
              </w:rPr>
            </w:pPr>
            <w:r>
              <w:rPr>
                <w:rFonts w:ascii="Arial" w:cs="Arial" w:eastAsia="Arial" w:hAnsi="Arial"/>
                <w:sz w:val="17"/>
                <w:szCs w:val="17"/>
                <w:color w:val="auto"/>
              </w:rPr>
              <w:t>U.S.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(7,605)</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7"/>
                <w:szCs w:val="17"/>
                <w:color w:val="auto"/>
              </w:rPr>
              <w:t>(10,151)</w:t>
            </w:r>
          </w:p>
        </w:tc>
        <w:tc>
          <w:tcPr>
            <w:tcW w:w="1400" w:type="dxa"/>
            <w:vAlign w:val="bottom"/>
            <w:gridSpan w:val="3"/>
            <w:shd w:val="clear" w:color="auto" w:fill="CCFFCC"/>
          </w:tcPr>
          <w:p>
            <w:pPr>
              <w:jc w:val="right"/>
              <w:ind w:right="160"/>
              <w:spacing w:after="0"/>
              <w:rPr>
                <w:sz w:val="20"/>
                <w:szCs w:val="20"/>
                <w:color w:val="auto"/>
              </w:rPr>
            </w:pPr>
            <w:r>
              <w:rPr>
                <w:rFonts w:ascii="Arial" w:cs="Arial" w:eastAsia="Arial" w:hAnsi="Arial"/>
                <w:sz w:val="17"/>
                <w:szCs w:val="17"/>
                <w:color w:val="auto"/>
              </w:rPr>
              <w:t>(38,629)</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20"/>
                <w:szCs w:val="20"/>
                <w:color w:val="auto"/>
              </w:rPr>
            </w:pPr>
            <w:r>
              <w:rPr>
                <w:rFonts w:ascii="Arial" w:cs="Arial" w:eastAsia="Arial" w:hAnsi="Arial"/>
                <w:sz w:val="17"/>
                <w:szCs w:val="17"/>
                <w:color w:val="auto"/>
              </w:rPr>
              <w:t>Non-U.S.</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216</w:t>
            </w:r>
          </w:p>
        </w:tc>
        <w:tc>
          <w:tcPr>
            <w:tcW w:w="1160" w:type="dxa"/>
            <w:vAlign w:val="bottom"/>
            <w:gridSpan w:val="3"/>
          </w:tcPr>
          <w:p>
            <w:pPr>
              <w:jc w:val="right"/>
              <w:ind w:right="160"/>
              <w:spacing w:after="0"/>
              <w:rPr>
                <w:sz w:val="20"/>
                <w:szCs w:val="20"/>
                <w:color w:val="auto"/>
              </w:rPr>
            </w:pPr>
            <w:r>
              <w:rPr>
                <w:rFonts w:ascii="Arial" w:cs="Arial" w:eastAsia="Arial" w:hAnsi="Arial"/>
                <w:sz w:val="17"/>
                <w:szCs w:val="17"/>
                <w:color w:val="auto"/>
              </w:rPr>
              <w:t>244</w:t>
            </w:r>
          </w:p>
        </w:tc>
        <w:tc>
          <w:tcPr>
            <w:tcW w:w="1400" w:type="dxa"/>
            <w:vAlign w:val="bottom"/>
            <w:gridSpan w:val="3"/>
          </w:tcPr>
          <w:p>
            <w:pPr>
              <w:jc w:val="right"/>
              <w:ind w:right="220"/>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(7,389)</w:t>
            </w:r>
          </w:p>
        </w:tc>
        <w:tc>
          <w:tcPr>
            <w:tcW w:w="1160" w:type="dxa"/>
            <w:vAlign w:val="bottom"/>
            <w:gridSpan w:val="3"/>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(9,907)</w:t>
            </w:r>
          </w:p>
        </w:tc>
        <w:tc>
          <w:tcPr>
            <w:tcW w:w="1400" w:type="dxa"/>
            <w:vAlign w:val="bottom"/>
            <w:gridSpan w:val="3"/>
            <w:shd w:val="clear" w:color="auto" w:fill="CCFFCC"/>
          </w:tcPr>
          <w:p>
            <w:pPr>
              <w:jc w:val="right"/>
              <w:ind w:right="160"/>
              <w:spacing w:after="0" w:line="193" w:lineRule="exact"/>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
        </w:trPr>
        <w:tc>
          <w:tcPr>
            <w:tcW w:w="338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Income tax benefit (expense) attributable to the operating loss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1228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31228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Cumulative from</w:t>
            </w: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6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7"/>
              </w:rPr>
              <w:t>For the year ended December 31,</w:t>
            </w: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gridSpan w:val="2"/>
            <w:vMerge w:val="restart"/>
          </w:tcPr>
          <w:p>
            <w:pPr>
              <w:jc w:val="center"/>
              <w:ind w:left="380"/>
              <w:spacing w:after="0"/>
              <w:rPr>
                <w:sz w:val="20"/>
                <w:szCs w:val="20"/>
                <w:color w:val="auto"/>
              </w:rPr>
            </w:pPr>
            <w:r>
              <w:rPr>
                <w:rFonts w:ascii="Arial" w:cs="Arial" w:eastAsia="Arial" w:hAnsi="Arial"/>
                <w:sz w:val="13"/>
                <w:szCs w:val="13"/>
                <w:b w:val="1"/>
                <w:bCs w:val="1"/>
                <w:color w:val="auto"/>
                <w:w w:val="89"/>
              </w:rPr>
              <w:t>2011</w:t>
            </w:r>
          </w:p>
        </w:tc>
        <w:tc>
          <w:tcPr>
            <w:tcW w:w="3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61"/>
              <w:spacing w:after="0"/>
              <w:rPr>
                <w:sz w:val="20"/>
                <w:szCs w:val="20"/>
                <w:color w:val="auto"/>
              </w:rPr>
            </w:pPr>
            <w:r>
              <w:rPr>
                <w:rFonts w:ascii="Arial" w:cs="Arial" w:eastAsia="Arial" w:hAnsi="Arial"/>
                <w:sz w:val="13"/>
                <w:szCs w:val="13"/>
                <w:b w:val="1"/>
                <w:bCs w:val="1"/>
                <w:color w:val="auto"/>
              </w:rPr>
              <w:t>2010</w:t>
            </w:r>
          </w:p>
        </w:tc>
        <w:tc>
          <w:tcPr>
            <w:tcW w:w="2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color w:val="auto"/>
              </w:rPr>
              <w:t>U.S.$ thousands</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w w:val="97"/>
              </w:rPr>
              <w:t>U.S.$ thousands</w:t>
            </w:r>
          </w:p>
        </w:tc>
        <w:tc>
          <w:tcPr>
            <w:tcW w:w="14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Borders>
              <w:bottom w:val="single" w:sz="8" w:color="auto"/>
            </w:tcBorders>
            <w:shd w:val="clear" w:color="auto" w:fill="CCFFCC"/>
          </w:tcPr>
          <w:p>
            <w:pPr>
              <w:spacing w:after="0" w:line="168" w:lineRule="exact"/>
              <w:rPr>
                <w:sz w:val="20"/>
                <w:szCs w:val="20"/>
                <w:color w:val="auto"/>
              </w:rPr>
            </w:pPr>
            <w:r>
              <w:rPr>
                <w:rFonts w:ascii="Arial" w:cs="Arial" w:eastAsia="Arial" w:hAnsi="Arial"/>
                <w:sz w:val="17"/>
                <w:szCs w:val="17"/>
                <w:color w:val="auto"/>
                <w:w w:val="84"/>
              </w:rPr>
              <w:t>U.S.</w:t>
            </w:r>
          </w:p>
        </w:tc>
        <w:tc>
          <w:tcPr>
            <w:tcW w:w="3080" w:type="dxa"/>
            <w:vAlign w:val="bottom"/>
            <w:tcBorders>
              <w:bottom w:val="single" w:sz="8" w:color="CCFFCC"/>
            </w:tcBorders>
            <w:gridSpan w:val="3"/>
            <w:shd w:val="clear" w:color="auto" w:fill="CCFFCC"/>
          </w:tcPr>
          <w:p>
            <w:pPr>
              <w:spacing w:after="0"/>
              <w:rPr>
                <w:sz w:val="16"/>
                <w:szCs w:val="16"/>
                <w:color w:val="auto"/>
              </w:rPr>
            </w:pPr>
          </w:p>
        </w:tc>
        <w:tc>
          <w:tcPr>
            <w:tcW w:w="88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78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bottom w:val="single" w:sz="8" w:color="CCFFCC"/>
            </w:tcBorders>
            <w:shd w:val="clear" w:color="auto" w:fill="CCFFCC"/>
          </w:tcPr>
          <w:p>
            <w:pPr>
              <w:spacing w:after="0"/>
              <w:rPr>
                <w:sz w:val="16"/>
                <w:szCs w:val="16"/>
                <w:color w:val="auto"/>
              </w:rPr>
            </w:pPr>
          </w:p>
        </w:tc>
        <w:tc>
          <w:tcPr>
            <w:tcW w:w="320" w:type="dxa"/>
            <w:vAlign w:val="bottom"/>
            <w:tcBorders>
              <w:bottom w:val="single" w:sz="8" w:color="CCFFCC"/>
            </w:tcBorders>
            <w:shd w:val="clear" w:color="auto" w:fill="CCFFCC"/>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80" w:type="dxa"/>
            <w:vAlign w:val="bottom"/>
            <w:gridSpan w:val="4"/>
          </w:tcPr>
          <w:p>
            <w:pPr>
              <w:spacing w:after="0"/>
              <w:rPr>
                <w:sz w:val="20"/>
                <w:szCs w:val="20"/>
                <w:color w:val="auto"/>
              </w:rPr>
            </w:pPr>
            <w:r>
              <w:rPr>
                <w:rFonts w:ascii="Arial" w:cs="Arial" w:eastAsia="Arial" w:hAnsi="Arial"/>
                <w:sz w:val="17"/>
                <w:szCs w:val="17"/>
                <w:color w:val="auto"/>
              </w:rPr>
              <w:t>Current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(43)</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(43)</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8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Deferred</w:t>
            </w:r>
          </w:p>
        </w:tc>
        <w:tc>
          <w:tcPr>
            <w:tcW w:w="114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60" w:type="dxa"/>
            <w:vAlign w:val="bottom"/>
            <w:gridSpan w:val="2"/>
            <w:shd w:val="clear" w:color="auto" w:fill="CCFFCC"/>
          </w:tcPr>
          <w:p>
            <w:pPr>
              <w:jc w:val="right"/>
              <w:ind w:right="320"/>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00" w:type="dxa"/>
            <w:vAlign w:val="bottom"/>
            <w:tcBorders>
              <w:top w:val="single" w:sz="8" w:color="CCFFCC"/>
              <w:bottom w:val="single" w:sz="8" w:color="auto"/>
            </w:tcBorders>
            <w:gridSpan w:val="2"/>
          </w:tcPr>
          <w:p>
            <w:pPr>
              <w:spacing w:after="0" w:line="155" w:lineRule="exact"/>
              <w:rPr>
                <w:sz w:val="20"/>
                <w:szCs w:val="20"/>
                <w:color w:val="auto"/>
              </w:rPr>
            </w:pPr>
            <w:r>
              <w:rPr>
                <w:rFonts w:ascii="Arial" w:cs="Arial" w:eastAsia="Arial" w:hAnsi="Arial"/>
                <w:sz w:val="17"/>
                <w:szCs w:val="17"/>
                <w:color w:val="auto"/>
                <w:w w:val="88"/>
              </w:rPr>
              <w:t>Non-U.S</w:t>
            </w:r>
          </w:p>
        </w:tc>
        <w:tc>
          <w:tcPr>
            <w:tcW w:w="2780" w:type="dxa"/>
            <w:vAlign w:val="bottom"/>
            <w:tcBorders>
              <w:top w:val="single" w:sz="8" w:color="CCFFCC"/>
            </w:tcBorders>
            <w:gridSpan w:val="2"/>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CCFFCC"/>
            </w:tcBorders>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80" w:type="dxa"/>
            <w:vAlign w:val="bottom"/>
            <w:gridSpan w:val="4"/>
            <w:shd w:val="clear" w:color="auto" w:fill="CCFFCC"/>
          </w:tcPr>
          <w:p>
            <w:pPr>
              <w:spacing w:after="0"/>
              <w:rPr>
                <w:sz w:val="20"/>
                <w:szCs w:val="20"/>
                <w:color w:val="auto"/>
              </w:rPr>
            </w:pPr>
            <w:r>
              <w:rPr>
                <w:rFonts w:ascii="Arial" w:cs="Arial" w:eastAsia="Arial" w:hAnsi="Arial"/>
                <w:sz w:val="17"/>
                <w:szCs w:val="17"/>
                <w:color w:val="auto"/>
              </w:rPr>
              <w:t>Current</w:t>
            </w:r>
          </w:p>
        </w:tc>
        <w:tc>
          <w:tcPr>
            <w:tcW w:w="1140" w:type="dxa"/>
            <w:vAlign w:val="bottom"/>
            <w:gridSpan w:val="3"/>
            <w:shd w:val="clear" w:color="auto" w:fill="CCFFCC"/>
          </w:tcPr>
          <w:p>
            <w:pPr>
              <w:jc w:val="right"/>
              <w:ind w:right="26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7"/>
                <w:szCs w:val="17"/>
                <w:color w:val="auto"/>
              </w:rPr>
              <w:t>98</w:t>
            </w:r>
          </w:p>
        </w:tc>
        <w:tc>
          <w:tcPr>
            <w:tcW w:w="1400" w:type="dxa"/>
            <w:vAlign w:val="bottom"/>
            <w:gridSpan w:val="3"/>
            <w:shd w:val="clear" w:color="auto" w:fill="CCFFCC"/>
          </w:tcPr>
          <w:p>
            <w:pPr>
              <w:jc w:val="right"/>
              <w:ind w:right="320"/>
              <w:spacing w:after="0"/>
              <w:rPr>
                <w:sz w:val="20"/>
                <w:szCs w:val="20"/>
                <w:color w:val="auto"/>
              </w:rPr>
            </w:pPr>
            <w:r>
              <w:rPr>
                <w:rFonts w:ascii="Arial" w:cs="Arial" w:eastAsia="Arial" w:hAnsi="Arial"/>
                <w:sz w:val="17"/>
                <w:szCs w:val="17"/>
                <w:color w:val="auto"/>
              </w:rPr>
              <w:t>2</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80" w:type="dxa"/>
            <w:vAlign w:val="bottom"/>
            <w:gridSpan w:val="4"/>
          </w:tcPr>
          <w:p>
            <w:pPr>
              <w:spacing w:after="0"/>
              <w:rPr>
                <w:sz w:val="20"/>
                <w:szCs w:val="20"/>
                <w:color w:val="auto"/>
              </w:rPr>
            </w:pPr>
            <w:r>
              <w:rPr>
                <w:rFonts w:ascii="Arial" w:cs="Arial" w:eastAsia="Arial" w:hAnsi="Arial"/>
                <w:sz w:val="17"/>
                <w:szCs w:val="17"/>
                <w:color w:val="auto"/>
              </w:rPr>
              <w:t>Deferred</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(133)</w:t>
            </w:r>
          </w:p>
        </w:tc>
        <w:tc>
          <w:tcPr>
            <w:tcW w:w="1400" w:type="dxa"/>
            <w:vAlign w:val="bottom"/>
            <w:gridSpan w:val="3"/>
          </w:tcPr>
          <w:p>
            <w:pPr>
              <w:jc w:val="right"/>
              <w:ind w:right="260"/>
              <w:spacing w:after="0"/>
              <w:rPr>
                <w:sz w:val="20"/>
                <w:szCs w:val="20"/>
                <w:color w:val="auto"/>
              </w:rPr>
            </w:pPr>
            <w:r>
              <w:rPr>
                <w:rFonts w:ascii="Arial" w:cs="Arial" w:eastAsia="Arial" w:hAnsi="Arial"/>
                <w:sz w:val="17"/>
                <w:szCs w:val="17"/>
                <w:color w:val="auto"/>
              </w:rPr>
              <w:t>(78)</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80"/>
              <w:spacing w:after="0" w:line="193" w:lineRule="exact"/>
              <w:rPr>
                <w:sz w:val="20"/>
                <w:szCs w:val="20"/>
                <w:color w:val="auto"/>
              </w:rPr>
            </w:pPr>
            <w:r>
              <w:rPr>
                <w:rFonts w:ascii="Arial" w:cs="Arial" w:eastAsia="Arial" w:hAnsi="Arial"/>
                <w:sz w:val="17"/>
                <w:szCs w:val="17"/>
                <w:color w:val="auto"/>
              </w:rPr>
              <w:t>(35)</w:t>
            </w:r>
          </w:p>
        </w:tc>
        <w:tc>
          <w:tcPr>
            <w:tcW w:w="1400" w:type="dxa"/>
            <w:vAlign w:val="bottom"/>
            <w:gridSpan w:val="3"/>
            <w:shd w:val="clear" w:color="auto" w:fill="CCFFCC"/>
          </w:tcPr>
          <w:p>
            <w:pPr>
              <w:jc w:val="right"/>
              <w:ind w:right="260"/>
              <w:spacing w:after="0" w:line="193" w:lineRule="exact"/>
              <w:rPr>
                <w:sz w:val="20"/>
                <w:szCs w:val="20"/>
                <w:color w:val="auto"/>
              </w:rPr>
            </w:pPr>
            <w:r>
              <w:rPr>
                <w:rFonts w:ascii="Arial" w:cs="Arial" w:eastAsia="Arial" w:hAnsi="Arial"/>
                <w:sz w:val="17"/>
                <w:szCs w:val="17"/>
                <w:color w:val="auto"/>
              </w:rPr>
              <w:t>(119)</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24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gridSpan w:val="3"/>
          </w:tcPr>
          <w:p>
            <w:pPr>
              <w:ind w:left="780"/>
              <w:spacing w:after="0"/>
              <w:rPr>
                <w:sz w:val="20"/>
                <w:szCs w:val="20"/>
                <w:color w:val="auto"/>
              </w:rPr>
            </w:pPr>
            <w:r>
              <w:rPr>
                <w:rFonts w:ascii="Arial" w:cs="Arial" w:eastAsia="Arial" w:hAnsi="Arial"/>
                <w:sz w:val="17"/>
                <w:szCs w:val="17"/>
                <w:color w:val="auto"/>
                <w:w w:val="97"/>
              </w:rPr>
              <w:t>F-46</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-1137285</wp:posOffset>
            </wp:positionV>
            <wp:extent cx="4408170" cy="135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40817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59" w:name="page260"/>
    <w:bookmarkEnd w:id="2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firstLine="251"/>
        <w:spacing w:after="0" w:line="256" w:lineRule="auto"/>
        <w:rPr>
          <w:sz w:val="20"/>
          <w:szCs w:val="20"/>
          <w:color w:val="auto"/>
        </w:rPr>
      </w:pPr>
      <w:r>
        <w:rPr>
          <w:rFonts w:ascii="Arial" w:cs="Arial" w:eastAsia="Arial" w:hAnsi="Arial"/>
          <w:sz w:val="17"/>
          <w:szCs w:val="17"/>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47421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742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4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5"/>
              </w:rPr>
              <w:t>Cumulative from</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40" w:type="dxa"/>
            <w:vAlign w:val="bottom"/>
            <w:gridSpan w:val="5"/>
            <w:vMerge w:val="restart"/>
          </w:tcPr>
          <w:p>
            <w:pPr>
              <w:jc w:val="right"/>
              <w:ind w:right="120"/>
              <w:spacing w:after="0"/>
              <w:rPr>
                <w:sz w:val="20"/>
                <w:szCs w:val="20"/>
                <w:color w:val="auto"/>
              </w:rPr>
            </w:pPr>
            <w:r>
              <w:rPr>
                <w:rFonts w:ascii="Arial" w:cs="Arial" w:eastAsia="Arial" w:hAnsi="Arial"/>
                <w:sz w:val="13"/>
                <w:szCs w:val="13"/>
                <w:b w:val="1"/>
                <w:bCs w:val="1"/>
                <w:color w:val="auto"/>
                <w:w w:val="97"/>
              </w:rPr>
              <w:t>For the year ended December 31,</w:t>
            </w: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inception to</w:t>
            </w: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December 31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gridSpan w:val="2"/>
            <w:vMerge w:val="restart"/>
          </w:tcPr>
          <w:p>
            <w:pPr>
              <w:jc w:val="center"/>
              <w:ind w:left="418"/>
              <w:spacing w:after="0"/>
              <w:rPr>
                <w:sz w:val="20"/>
                <w:szCs w:val="20"/>
                <w:color w:val="auto"/>
              </w:rPr>
            </w:pPr>
            <w:r>
              <w:rPr>
                <w:rFonts w:ascii="Arial" w:cs="Arial" w:eastAsia="Arial" w:hAnsi="Arial"/>
                <w:sz w:val="13"/>
                <w:szCs w:val="13"/>
                <w:b w:val="1"/>
                <w:bCs w:val="1"/>
                <w:color w:val="auto"/>
                <w:w w:val="89"/>
              </w:rPr>
              <w:t>2011</w:t>
            </w:r>
          </w:p>
        </w:tc>
        <w:tc>
          <w:tcPr>
            <w:tcW w:w="3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2010</w:t>
            </w:r>
          </w:p>
        </w:tc>
        <w:tc>
          <w:tcPr>
            <w:tcW w:w="2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40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color w:val="auto"/>
                <w:w w:val="95"/>
              </w:rPr>
              <w:t>U.S.$ thousands</w:t>
            </w:r>
          </w:p>
        </w:tc>
        <w:tc>
          <w:tcPr>
            <w:tcW w:w="140" w:type="dxa"/>
            <w:vAlign w:val="bottom"/>
          </w:tcPr>
          <w:p>
            <w:pPr>
              <w:spacing w:after="0"/>
              <w:rPr>
                <w:sz w:val="16"/>
                <w:szCs w:val="16"/>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160" w:type="dxa"/>
            <w:vAlign w:val="bottom"/>
          </w:tcPr>
          <w:p>
            <w:pPr>
              <w:spacing w:after="0"/>
              <w:rPr>
                <w:sz w:val="16"/>
                <w:szCs w:val="16"/>
                <w:color w:val="auto"/>
              </w:rPr>
            </w:pPr>
          </w:p>
        </w:tc>
        <w:tc>
          <w:tcPr>
            <w:tcW w:w="12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9"/>
              </w:rPr>
              <w:t>U.S.$ thousands</w:t>
            </w:r>
          </w:p>
        </w:tc>
        <w:tc>
          <w:tcPr>
            <w:tcW w:w="0" w:type="dxa"/>
            <w:vAlign w:val="bottom"/>
          </w:tcPr>
          <w:p>
            <w:pPr>
              <w:spacing w:after="0"/>
              <w:rPr>
                <w:sz w:val="1"/>
                <w:szCs w:val="1"/>
                <w:color w:val="auto"/>
              </w:rPr>
            </w:pPr>
          </w:p>
        </w:tc>
      </w:tr>
      <w:tr>
        <w:trPr>
          <w:trHeight w:val="206"/>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Loss before income taxes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(7,389)</w:t>
            </w:r>
          </w:p>
        </w:tc>
        <w:tc>
          <w:tcPr>
            <w:tcW w:w="100" w:type="dxa"/>
            <w:vAlign w:val="bottom"/>
            <w:shd w:val="clear" w:color="auto" w:fill="CCFFCC"/>
          </w:tcPr>
          <w:p>
            <w:pPr>
              <w:spacing w:after="0"/>
              <w:rPr>
                <w:sz w:val="17"/>
                <w:szCs w:val="17"/>
                <w:color w:val="auto"/>
              </w:rPr>
            </w:pP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(9,907)</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(37,427)</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Tax rate</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420" w:type="dxa"/>
            <w:vAlign w:val="bottom"/>
            <w:gridSpan w:val="3"/>
          </w:tcPr>
          <w:p>
            <w:pPr>
              <w:jc w:val="right"/>
              <w:ind w:right="20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Computed “expected” tax benefit</w:t>
            </w: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2,586</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280"/>
              <w:spacing w:after="0" w:line="193" w:lineRule="exact"/>
              <w:rPr>
                <w:sz w:val="20"/>
                <w:szCs w:val="20"/>
                <w:color w:val="auto"/>
              </w:rPr>
            </w:pPr>
            <w:r>
              <w:rPr>
                <w:rFonts w:ascii="Arial" w:cs="Arial" w:eastAsia="Arial" w:hAnsi="Arial"/>
                <w:sz w:val="17"/>
                <w:szCs w:val="17"/>
                <w:color w:val="auto"/>
              </w:rPr>
              <w:t>3,368</w:t>
            </w:r>
          </w:p>
        </w:tc>
        <w:tc>
          <w:tcPr>
            <w:tcW w:w="1420" w:type="dxa"/>
            <w:vAlign w:val="bottom"/>
            <w:gridSpan w:val="3"/>
            <w:shd w:val="clear" w:color="auto" w:fill="CCFFCC"/>
          </w:tcPr>
          <w:p>
            <w:pPr>
              <w:jc w:val="right"/>
              <w:ind w:right="340"/>
              <w:spacing w:after="0" w:line="193" w:lineRule="exact"/>
              <w:rPr>
                <w:sz w:val="20"/>
                <w:szCs w:val="20"/>
                <w:color w:val="auto"/>
              </w:rPr>
            </w:pPr>
            <w:r>
              <w:rPr>
                <w:rFonts w:ascii="Arial" w:cs="Arial" w:eastAsia="Arial" w:hAnsi="Arial"/>
                <w:sz w:val="17"/>
                <w:szCs w:val="17"/>
                <w:color w:val="auto"/>
              </w:rPr>
              <w:t>13,099</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Foreign tax rate differential</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7"/>
                <w:szCs w:val="17"/>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22</w:t>
            </w: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Tax benefit of “Beneficiary Enterprise” tax holiday</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3"/>
            <w:shd w:val="clear" w:color="auto" w:fill="CCFFCC"/>
          </w:tcPr>
          <w:p>
            <w:pPr>
              <w:jc w:val="right"/>
              <w:ind w:right="3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Decrease in tax expenses for prior year</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7"/>
                <w:szCs w:val="17"/>
                <w:color w:val="auto"/>
              </w:rPr>
              <w:t>220</w:t>
            </w: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Change in valuation allowance</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(2,319)</w:t>
            </w:r>
          </w:p>
        </w:tc>
        <w:tc>
          <w:tcPr>
            <w:tcW w:w="100" w:type="dxa"/>
            <w:vAlign w:val="bottom"/>
            <w:shd w:val="clear" w:color="auto" w:fill="CCFFCC"/>
          </w:tcPr>
          <w:p>
            <w:pPr>
              <w:spacing w:after="0"/>
              <w:rPr>
                <w:sz w:val="17"/>
                <w:szCs w:val="17"/>
                <w:color w:val="auto"/>
              </w:rPr>
            </w:pP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7"/>
                <w:szCs w:val="17"/>
                <w:color w:val="auto"/>
              </w:rPr>
              <w:t>(2,141)</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(11,271)</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7"/>
                <w:szCs w:val="17"/>
                <w:color w:val="auto"/>
              </w:rPr>
              <w:t>Non-deductible expenses</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(344)</w:t>
            </w:r>
          </w:p>
        </w:tc>
        <w:tc>
          <w:tcPr>
            <w:tcW w:w="100" w:type="dxa"/>
            <w:vAlign w:val="bottom"/>
          </w:tcPr>
          <w:p>
            <w:pPr>
              <w:spacing w:after="0"/>
              <w:rPr>
                <w:sz w:val="17"/>
                <w:szCs w:val="17"/>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7"/>
                <w:szCs w:val="17"/>
                <w:color w:val="auto"/>
              </w:rPr>
              <w:t>(1,314)</w:t>
            </w:r>
          </w:p>
        </w:tc>
        <w:tc>
          <w:tcPr>
            <w:tcW w:w="1420" w:type="dxa"/>
            <w:vAlign w:val="bottom"/>
            <w:gridSpan w:val="3"/>
          </w:tcPr>
          <w:p>
            <w:pPr>
              <w:jc w:val="right"/>
              <w:ind w:right="280"/>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00"/>
        </w:trPr>
        <w:tc>
          <w:tcPr>
            <w:tcW w:w="4060" w:type="dxa"/>
            <w:vAlign w:val="bottom"/>
            <w:shd w:val="clear" w:color="auto" w:fill="CCFFCC"/>
          </w:tcPr>
          <w:p>
            <w:pPr>
              <w:spacing w:after="0"/>
              <w:rPr>
                <w:sz w:val="20"/>
                <w:szCs w:val="20"/>
                <w:color w:val="auto"/>
              </w:rPr>
            </w:pPr>
            <w:r>
              <w:rPr>
                <w:rFonts w:ascii="Arial" w:cs="Arial" w:eastAsia="Arial" w:hAnsi="Arial"/>
                <w:sz w:val="17"/>
                <w:szCs w:val="17"/>
                <w:color w:val="auto"/>
              </w:rPr>
              <w:t>Other items</w:t>
            </w:r>
          </w:p>
        </w:tc>
        <w:tc>
          <w:tcPr>
            <w:tcW w:w="90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7"/>
                <w:szCs w:val="17"/>
                <w:color w:val="auto"/>
              </w:rPr>
              <w:t>(190)</w:t>
            </w:r>
          </w:p>
        </w:tc>
        <w:tc>
          <w:tcPr>
            <w:tcW w:w="142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
        </w:trPr>
        <w:tc>
          <w:tcPr>
            <w:tcW w:w="40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60" w:type="dxa"/>
            <w:vAlign w:val="bottom"/>
          </w:tcPr>
          <w:p>
            <w:pPr>
              <w:spacing w:after="0" w:line="193" w:lineRule="exact"/>
              <w:rPr>
                <w:sz w:val="20"/>
                <w:szCs w:val="20"/>
                <w:color w:val="auto"/>
              </w:rPr>
            </w:pPr>
            <w:r>
              <w:rPr>
                <w:rFonts w:ascii="Arial" w:cs="Arial" w:eastAsia="Arial" w:hAnsi="Arial"/>
                <w:sz w:val="17"/>
                <w:szCs w:val="17"/>
                <w:color w:val="auto"/>
              </w:rPr>
              <w:t>Income tax expense</w:t>
            </w:r>
          </w:p>
        </w:tc>
        <w:tc>
          <w:tcPr>
            <w:tcW w:w="90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auto"/>
              </w:rPr>
              <w:t>(35)</w:t>
            </w:r>
          </w:p>
        </w:tc>
        <w:tc>
          <w:tcPr>
            <w:tcW w:w="1420" w:type="dxa"/>
            <w:vAlign w:val="bottom"/>
            <w:gridSpan w:val="3"/>
          </w:tcPr>
          <w:p>
            <w:pPr>
              <w:jc w:val="right"/>
              <w:ind w:right="280"/>
              <w:spacing w:after="0" w:line="193"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200" w:lineRule="exact"/>
        <w:rPr>
          <w:sz w:val="20"/>
          <w:szCs w:val="20"/>
          <w:color w:val="auto"/>
        </w:rPr>
      </w:pPr>
    </w:p>
    <w:p>
      <w:pPr>
        <w:spacing w:after="0" w:line="29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0" w:name="page261"/>
    <w:bookmarkEnd w:id="2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firstLine="251"/>
        <w:spacing w:after="0" w:line="269" w:lineRule="auto"/>
        <w:rPr>
          <w:sz w:val="20"/>
          <w:szCs w:val="20"/>
          <w:color w:val="auto"/>
        </w:rPr>
      </w:pPr>
      <w:r>
        <w:rPr>
          <w:rFonts w:ascii="Arial" w:cs="Arial" w:eastAsia="Arial" w:hAnsi="Arial"/>
          <w:sz w:val="16"/>
          <w:szCs w:val="16"/>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rPr>
              <w:t>For the year ended December 31,</w:t>
            </w:r>
          </w:p>
        </w:tc>
      </w:tr>
      <w:tr>
        <w:trPr>
          <w:trHeight w:val="180"/>
        </w:trPr>
        <w:tc>
          <w:tcPr>
            <w:tcW w:w="4660" w:type="dxa"/>
            <w:vAlign w:val="bottom"/>
          </w:tcPr>
          <w:p>
            <w:pPr>
              <w:spacing w:after="0"/>
              <w:rPr>
                <w:sz w:val="15"/>
                <w:szCs w:val="15"/>
                <w:color w:val="auto"/>
              </w:rPr>
            </w:pPr>
          </w:p>
        </w:tc>
        <w:tc>
          <w:tcPr>
            <w:tcW w:w="920" w:type="dxa"/>
            <w:vAlign w:val="bottom"/>
          </w:tcPr>
          <w:p>
            <w:pPr>
              <w:jc w:val="right"/>
              <w:ind w:right="201"/>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5"/>
                <w:szCs w:val="15"/>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5"/>
                <w:szCs w:val="15"/>
                <w:color w:val="auto"/>
              </w:rPr>
            </w:pPr>
          </w:p>
        </w:tc>
      </w:tr>
      <w:tr>
        <w:trPr>
          <w:trHeight w:val="188"/>
        </w:trPr>
        <w:tc>
          <w:tcPr>
            <w:tcW w:w="466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color w:val="auto"/>
                <w:w w:val="97"/>
              </w:rPr>
              <w:t>U.S.$ thousands</w:t>
            </w:r>
          </w:p>
        </w:tc>
        <w:tc>
          <w:tcPr>
            <w:tcW w:w="16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99"/>
              </w:rPr>
              <w:t>U.S.$ thousands</w:t>
            </w:r>
          </w:p>
        </w:tc>
      </w:tr>
      <w:tr>
        <w:trPr>
          <w:trHeight w:val="206"/>
        </w:trPr>
        <w:tc>
          <w:tcPr>
            <w:tcW w:w="4660" w:type="dxa"/>
            <w:vAlign w:val="bottom"/>
            <w:shd w:val="clear" w:color="auto" w:fill="CCFFCC"/>
          </w:tcPr>
          <w:p>
            <w:pPr>
              <w:spacing w:after="0"/>
              <w:rPr>
                <w:sz w:val="20"/>
                <w:szCs w:val="20"/>
                <w:color w:val="auto"/>
              </w:rPr>
            </w:pPr>
            <w:r>
              <w:rPr>
                <w:rFonts w:ascii="Arial" w:cs="Arial" w:eastAsia="Arial" w:hAnsi="Arial"/>
                <w:sz w:val="17"/>
                <w:szCs w:val="17"/>
                <w:b w:val="1"/>
                <w:bCs w:val="1"/>
                <w:color w:val="auto"/>
              </w:rPr>
              <w:t>Deferred tax assets:</w:t>
            </w: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Liability for accrued employee vacation pay</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100" w:type="dxa"/>
            <w:vAlign w:val="bottom"/>
          </w:tcPr>
          <w:p>
            <w:pPr>
              <w:spacing w:after="0"/>
              <w:rPr>
                <w:sz w:val="17"/>
                <w:szCs w:val="17"/>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15</w:t>
            </w: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Liability for accrued severance pay</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shd w:val="clear" w:color="auto" w:fill="CCFFCC"/>
          </w:tcPr>
          <w:p>
            <w:pPr>
              <w:spacing w:after="0"/>
              <w:rPr>
                <w:sz w:val="17"/>
                <w:szCs w:val="17"/>
                <w:color w:val="auto"/>
              </w:rPr>
            </w:pPr>
          </w:p>
        </w:tc>
        <w:tc>
          <w:tcPr>
            <w:tcW w:w="1260" w:type="dxa"/>
            <w:vAlign w:val="bottom"/>
            <w:gridSpan w:val="3"/>
            <w:shd w:val="clear" w:color="auto" w:fill="CCFFCC"/>
          </w:tcPr>
          <w:p>
            <w:pPr>
              <w:jc w:val="right"/>
              <w:ind w:right="200"/>
              <w:spacing w:after="0"/>
              <w:rPr>
                <w:sz w:val="20"/>
                <w:szCs w:val="20"/>
                <w:color w:val="auto"/>
              </w:rPr>
            </w:pPr>
            <w:r>
              <w:rPr>
                <w:rFonts w:ascii="Arial" w:cs="Arial" w:eastAsia="Arial" w:hAnsi="Arial"/>
                <w:sz w:val="17"/>
                <w:szCs w:val="17"/>
                <w:color w:val="auto"/>
              </w:rPr>
              <w:t>53</w:t>
            </w: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Net operating loss carryforwards</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11,647</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8,945</w:t>
            </w:r>
          </w:p>
        </w:tc>
      </w:tr>
      <w:tr>
        <w:trPr>
          <w:trHeight w:val="20"/>
        </w:trPr>
        <w:tc>
          <w:tcPr>
            <w:tcW w:w="4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gross deferred tax assets</w:t>
            </w:r>
          </w:p>
        </w:tc>
        <w:tc>
          <w:tcPr>
            <w:tcW w:w="10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rPr>
              <w:t>11,685</w:t>
            </w:r>
          </w:p>
        </w:tc>
        <w:tc>
          <w:tcPr>
            <w:tcW w:w="126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9,013</w:t>
            </w:r>
          </w:p>
        </w:tc>
      </w:tr>
      <w:tr>
        <w:trPr>
          <w:trHeight w:val="200"/>
        </w:trPr>
        <w:tc>
          <w:tcPr>
            <w:tcW w:w="466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(11,628)</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(8,929)</w:t>
            </w:r>
          </w:p>
        </w:tc>
      </w:tr>
      <w:tr>
        <w:trPr>
          <w:trHeight w:val="193"/>
        </w:trPr>
        <w:tc>
          <w:tcPr>
            <w:tcW w:w="46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Total net deferred tax assets</w:t>
            </w:r>
          </w:p>
        </w:tc>
        <w:tc>
          <w:tcPr>
            <w:tcW w:w="920" w:type="dxa"/>
            <w:vAlign w:val="bottom"/>
            <w:tcBorders>
              <w:top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57</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84</w:t>
            </w:r>
          </w:p>
        </w:tc>
        <w:tc>
          <w:tcPr>
            <w:tcW w:w="200" w:type="dxa"/>
            <w:vAlign w:val="bottom"/>
            <w:shd w:val="clear" w:color="auto" w:fill="CCFFCC"/>
          </w:tcPr>
          <w:p>
            <w:pPr>
              <w:spacing w:after="0"/>
              <w:rPr>
                <w:sz w:val="16"/>
                <w:szCs w:val="16"/>
                <w:color w:val="auto"/>
              </w:rPr>
            </w:pPr>
          </w:p>
        </w:tc>
      </w:tr>
      <w:tr>
        <w:trPr>
          <w:trHeight w:val="200"/>
        </w:trPr>
        <w:tc>
          <w:tcPr>
            <w:tcW w:w="4660" w:type="dxa"/>
            <w:vAlign w:val="bottom"/>
          </w:tcPr>
          <w:p>
            <w:pPr>
              <w:spacing w:after="0"/>
              <w:rPr>
                <w:sz w:val="20"/>
                <w:szCs w:val="20"/>
                <w:color w:val="auto"/>
              </w:rPr>
            </w:pPr>
            <w:r>
              <w:rPr>
                <w:rFonts w:ascii="Arial" w:cs="Arial" w:eastAsia="Arial" w:hAnsi="Arial"/>
                <w:sz w:val="17"/>
                <w:szCs w:val="17"/>
                <w:b w:val="1"/>
                <w:bCs w:val="1"/>
                <w:color w:val="auto"/>
              </w:rPr>
              <w:t>Deferred tax liability:</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0"/>
        </w:trPr>
        <w:tc>
          <w:tcPr>
            <w:tcW w:w="4660" w:type="dxa"/>
            <w:vAlign w:val="bottom"/>
            <w:shd w:val="clear" w:color="auto" w:fill="CCFFCC"/>
          </w:tcPr>
          <w:p>
            <w:pPr>
              <w:spacing w:after="0"/>
              <w:rPr>
                <w:sz w:val="20"/>
                <w:szCs w:val="20"/>
                <w:color w:val="auto"/>
              </w:rPr>
            </w:pPr>
            <w:r>
              <w:rPr>
                <w:rFonts w:ascii="Arial" w:cs="Arial" w:eastAsia="Arial" w:hAnsi="Arial"/>
                <w:sz w:val="17"/>
                <w:szCs w:val="17"/>
                <w:color w:val="auto"/>
              </w:rPr>
              <w:t>Net assets deductible for tax purposes on cash basis</w:t>
            </w:r>
          </w:p>
        </w:tc>
        <w:tc>
          <w:tcPr>
            <w:tcW w:w="9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(99)</w:t>
            </w: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(107)</w:t>
            </w:r>
          </w:p>
        </w:tc>
      </w:tr>
      <w:tr>
        <w:trPr>
          <w:trHeight w:val="20"/>
        </w:trPr>
        <w:tc>
          <w:tcPr>
            <w:tcW w:w="466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3"/>
        </w:trPr>
        <w:tc>
          <w:tcPr>
            <w:tcW w:w="4660" w:type="dxa"/>
            <w:vAlign w:val="bottom"/>
          </w:tcPr>
          <w:p>
            <w:pPr>
              <w:spacing w:after="0" w:line="193" w:lineRule="exact"/>
              <w:rPr>
                <w:sz w:val="20"/>
                <w:szCs w:val="20"/>
                <w:color w:val="auto"/>
              </w:rPr>
            </w:pPr>
            <w:r>
              <w:rPr>
                <w:rFonts w:ascii="Arial" w:cs="Arial" w:eastAsia="Arial" w:hAnsi="Arial"/>
                <w:sz w:val="17"/>
                <w:szCs w:val="17"/>
                <w:b w:val="1"/>
                <w:bCs w:val="1"/>
                <w:color w:val="auto"/>
              </w:rPr>
              <w:t>Deferred tax assets (liabilities), net</w:t>
            </w:r>
          </w:p>
        </w:tc>
        <w:tc>
          <w:tcPr>
            <w:tcW w:w="9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40"/>
              <w:spacing w:after="0" w:line="193" w:lineRule="exact"/>
              <w:rPr>
                <w:sz w:val="20"/>
                <w:szCs w:val="20"/>
                <w:color w:val="auto"/>
              </w:rPr>
            </w:pPr>
            <w:r>
              <w:rPr>
                <w:rFonts w:ascii="Arial" w:cs="Arial" w:eastAsia="Arial" w:hAnsi="Arial"/>
                <w:sz w:val="17"/>
                <w:szCs w:val="17"/>
                <w:color w:val="auto"/>
              </w:rPr>
              <w:t>(23)</w:t>
            </w:r>
          </w:p>
        </w:tc>
      </w:tr>
      <w:tr>
        <w:trPr>
          <w:trHeight w:val="20"/>
        </w:trPr>
        <w:tc>
          <w:tcPr>
            <w:tcW w:w="4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Subsidiary tax benefits: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74"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 – 2008 and a reduced tax rate of 25% for the following five years.</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w:t>
      </w:r>
    </w:p>
    <w:p>
      <w:pPr>
        <w:spacing w:after="0" w:line="200" w:lineRule="exact"/>
        <w:rPr>
          <w:sz w:val="20"/>
          <w:szCs w:val="20"/>
          <w:color w:val="auto"/>
        </w:rPr>
      </w:pP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1" w:name="page262"/>
    <w:bookmarkEnd w:id="2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14 — Income Taxes – (continued)</w:t>
      </w:r>
    </w:p>
    <w:p>
      <w:pPr>
        <w:jc w:val="both"/>
        <w:ind w:left="40" w:right="1239"/>
        <w:spacing w:after="0" w:line="299" w:lineRule="auto"/>
        <w:rPr>
          <w:sz w:val="20"/>
          <w:szCs w:val="20"/>
          <w:color w:val="auto"/>
        </w:rPr>
      </w:pPr>
      <w:r>
        <w:rPr>
          <w:rFonts w:ascii="Arial" w:cs="Arial" w:eastAsia="Arial" w:hAnsi="Arial"/>
          <w:sz w:val="16"/>
          <w:szCs w:val="16"/>
          <w:color w:val="auto"/>
        </w:rPr>
        <w:t>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4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53"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Company did not record any provision for unrecognized tax benefits in 2011 and 2010, and does not expect this amount to change significantly within the next twelve months.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15 — Commitments and Contingencies</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Future minimum lease payments under non-cancelable operating leases for office space and cars, as of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366014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U.S.$ thousands</w:t>
            </w:r>
          </w:p>
        </w:tc>
      </w:tr>
      <w:tr>
        <w:trPr>
          <w:trHeight w:val="193"/>
        </w:trPr>
        <w:tc>
          <w:tcPr>
            <w:tcW w:w="380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Year ending December 31,</w:t>
            </w:r>
          </w:p>
        </w:tc>
        <w:tc>
          <w:tcPr>
            <w:tcW w:w="8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r>
      <w:tr>
        <w:trPr>
          <w:trHeight w:val="200"/>
        </w:trPr>
        <w:tc>
          <w:tcPr>
            <w:tcW w:w="3800" w:type="dxa"/>
            <w:vAlign w:val="bottom"/>
          </w:tcPr>
          <w:p>
            <w:pPr>
              <w:spacing w:after="0"/>
              <w:rPr>
                <w:sz w:val="20"/>
                <w:szCs w:val="20"/>
                <w:color w:val="auto"/>
              </w:rPr>
            </w:pPr>
            <w:r>
              <w:rPr>
                <w:rFonts w:ascii="Arial" w:cs="Arial" w:eastAsia="Arial" w:hAnsi="Arial"/>
                <w:sz w:val="17"/>
                <w:szCs w:val="17"/>
                <w:color w:val="auto"/>
              </w:rPr>
              <w:t>2012</w:t>
            </w:r>
          </w:p>
        </w:tc>
        <w:tc>
          <w:tcPr>
            <w:tcW w:w="800" w:type="dxa"/>
            <w:vAlign w:val="bottom"/>
          </w:tcPr>
          <w:p>
            <w:pPr>
              <w:jc w:val="right"/>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7"/>
                <w:szCs w:val="17"/>
                <w:color w:val="auto"/>
              </w:rPr>
            </w:pPr>
          </w:p>
        </w:tc>
      </w:tr>
      <w:tr>
        <w:trPr>
          <w:trHeight w:val="200"/>
        </w:trPr>
        <w:tc>
          <w:tcPr>
            <w:tcW w:w="3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7"/>
                <w:szCs w:val="17"/>
                <w:color w:val="auto"/>
              </w:rPr>
              <w:t>2013</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7"/>
                <w:szCs w:val="17"/>
                <w:color w:val="auto"/>
              </w:rPr>
              <w:t>27</w:t>
            </w:r>
          </w:p>
        </w:tc>
        <w:tc>
          <w:tcPr>
            <w:tcW w:w="160" w:type="dxa"/>
            <w:vAlign w:val="bottom"/>
            <w:tcBorders>
              <w:bottom w:val="single" w:sz="8" w:color="CCFFCC"/>
            </w:tcBorders>
            <w:shd w:val="clear" w:color="auto" w:fill="CCFFCC"/>
          </w:tcPr>
          <w:p>
            <w:pPr>
              <w:spacing w:after="0"/>
              <w:rPr>
                <w:sz w:val="17"/>
                <w:szCs w:val="17"/>
                <w:color w:val="auto"/>
              </w:rPr>
            </w:pPr>
          </w:p>
        </w:tc>
      </w:tr>
      <w:tr>
        <w:trPr>
          <w:trHeight w:val="193"/>
        </w:trPr>
        <w:tc>
          <w:tcPr>
            <w:tcW w:w="3800" w:type="dxa"/>
            <w:vAlign w:val="bottom"/>
          </w:tcPr>
          <w:p>
            <w:pPr>
              <w:spacing w:after="0"/>
              <w:rPr>
                <w:sz w:val="16"/>
                <w:szCs w:val="16"/>
                <w:color w:val="auto"/>
              </w:rPr>
            </w:pPr>
          </w:p>
        </w:tc>
        <w:tc>
          <w:tcPr>
            <w:tcW w:w="8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93</w:t>
            </w:r>
          </w:p>
        </w:tc>
        <w:tc>
          <w:tcPr>
            <w:tcW w:w="160" w:type="dxa"/>
            <w:vAlign w:val="bottom"/>
          </w:tcPr>
          <w:p>
            <w:pPr>
              <w:spacing w:after="0"/>
              <w:rPr>
                <w:sz w:val="16"/>
                <w:szCs w:val="16"/>
                <w:color w:val="auto"/>
              </w:rPr>
            </w:pPr>
          </w:p>
        </w:tc>
      </w:tr>
      <w:tr>
        <w:trPr>
          <w:trHeight w:val="20"/>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3023235" cy="1670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23235" cy="16700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16 — Risks and Uncertainties</w:t>
      </w:r>
    </w:p>
    <w:p>
      <w:pPr>
        <w:spacing w:after="0" w:line="109" w:lineRule="exact"/>
        <w:rPr>
          <w:sz w:val="20"/>
          <w:szCs w:val="20"/>
          <w:color w:val="auto"/>
        </w:rPr>
      </w:pPr>
    </w:p>
    <w:p>
      <w:pPr>
        <w:jc w:val="both"/>
        <w:ind w:left="520" w:right="1239" w:hanging="260"/>
        <w:spacing w:after="0" w:line="250" w:lineRule="auto"/>
        <w:tabs>
          <w:tab w:leader="none" w:pos="5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1"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02" w:lineRule="exact"/>
        <w:rPr>
          <w:rFonts w:ascii="Arial" w:cs="Arial" w:eastAsia="Arial" w:hAnsi="Arial"/>
          <w:sz w:val="17"/>
          <w:szCs w:val="17"/>
          <w:color w:val="auto"/>
        </w:rPr>
      </w:pPr>
    </w:p>
    <w:p>
      <w:pPr>
        <w:jc w:val="both"/>
        <w:ind w:left="520" w:right="1239" w:hanging="260"/>
        <w:spacing w:after="0" w:line="211" w:lineRule="auto"/>
        <w:tabs>
          <w:tab w:leader="none" w:pos="520" w:val="left"/>
        </w:tabs>
        <w:numPr>
          <w:ilvl w:val="0"/>
          <w:numId w:val="166"/>
        </w:numPr>
        <w:rPr>
          <w:rFonts w:ascii="Arial" w:cs="Arial" w:eastAsia="Arial" w:hAnsi="Arial"/>
          <w:sz w:val="33"/>
          <w:szCs w:val="33"/>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2" w:name="page263"/>
    <w:bookmarkEnd w:id="2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16 — Risks and Uncertainties – (continued)</w:t>
      </w:r>
    </w:p>
    <w:p>
      <w:pPr>
        <w:jc w:val="both"/>
        <w:ind w:left="520" w:right="1239" w:hanging="260"/>
        <w:spacing w:after="0" w:line="251" w:lineRule="auto"/>
        <w:tabs>
          <w:tab w:leader="none" w:pos="5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0"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17 — Subsequent Events</w:t>
      </w:r>
    </w:p>
    <w:p>
      <w:pPr>
        <w:spacing w:after="0" w:line="109" w:lineRule="exact"/>
        <w:rPr>
          <w:sz w:val="20"/>
          <w:szCs w:val="20"/>
          <w:color w:val="auto"/>
        </w:rPr>
      </w:pPr>
    </w:p>
    <w:p>
      <w:pPr>
        <w:jc w:val="both"/>
        <w:ind w:left="520" w:right="1239" w:hanging="260"/>
        <w:spacing w:after="0" w:line="270" w:lineRule="auto"/>
        <w:tabs>
          <w:tab w:leader="none" w:pos="5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67" w:lineRule="exact"/>
        <w:rPr>
          <w:rFonts w:ascii="Arial" w:cs="Arial" w:eastAsia="Arial" w:hAnsi="Arial"/>
          <w:sz w:val="16"/>
          <w:szCs w:val="16"/>
          <w:color w:val="auto"/>
        </w:rPr>
      </w:pPr>
    </w:p>
    <w:p>
      <w:pPr>
        <w:jc w:val="both"/>
        <w:ind w:left="520" w:right="1239" w:hanging="260"/>
        <w:spacing w:after="0" w:line="288" w:lineRule="auto"/>
        <w:tabs>
          <w:tab w:leader="none" w:pos="5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54" w:lineRule="exact"/>
        <w:rPr>
          <w:rFonts w:ascii="Arial" w:cs="Arial" w:eastAsia="Arial" w:hAnsi="Arial"/>
          <w:sz w:val="15"/>
          <w:szCs w:val="15"/>
          <w:color w:val="auto"/>
        </w:rPr>
      </w:pPr>
    </w:p>
    <w:p>
      <w:pPr>
        <w:jc w:val="both"/>
        <w:ind w:left="520" w:right="1239" w:hanging="260"/>
        <w:spacing w:after="0" w:line="269" w:lineRule="auto"/>
        <w:tabs>
          <w:tab w:leader="none" w:pos="5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65" w:lineRule="exact"/>
        <w:rPr>
          <w:rFonts w:ascii="Arial" w:cs="Arial" w:eastAsia="Arial" w:hAnsi="Arial"/>
          <w:sz w:val="16"/>
          <w:szCs w:val="16"/>
          <w:color w:val="auto"/>
        </w:rPr>
      </w:pPr>
    </w:p>
    <w:p>
      <w:pPr>
        <w:jc w:val="both"/>
        <w:ind w:left="520" w:right="1239" w:hanging="260"/>
        <w:spacing w:after="0" w:line="285" w:lineRule="auto"/>
        <w:tabs>
          <w:tab w:leader="none" w:pos="52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w:t>
      </w: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3" w:name="page264"/>
    <w:bookmarkEnd w:id="2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 and Subsidiary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17 — Subsequent Events – (continued)</w:t>
      </w:r>
    </w:p>
    <w:p>
      <w:pPr>
        <w:jc w:val="both"/>
        <w:ind w:left="520" w:right="1239"/>
        <w:spacing w:after="0" w:line="284" w:lineRule="auto"/>
        <w:rPr>
          <w:sz w:val="20"/>
          <w:szCs w:val="20"/>
          <w:color w:val="auto"/>
        </w:rPr>
      </w:pPr>
      <w:r>
        <w:rPr>
          <w:rFonts w:ascii="Arial" w:cs="Arial" w:eastAsia="Arial" w:hAnsi="Arial"/>
          <w:sz w:val="15"/>
          <w:szCs w:val="15"/>
          <w:color w:val="auto"/>
        </w:rPr>
        <w:t>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60" w:lineRule="exact"/>
        <w:rPr>
          <w:sz w:val="20"/>
          <w:szCs w:val="20"/>
          <w:color w:val="auto"/>
        </w:rPr>
      </w:pPr>
    </w:p>
    <w:p>
      <w:pPr>
        <w:jc w:val="both"/>
        <w:ind w:left="520" w:right="1239" w:hanging="260"/>
        <w:spacing w:after="0" w:line="285" w:lineRule="auto"/>
        <w:tabs>
          <w:tab w:leader="none" w:pos="52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61" w:lineRule="exact"/>
        <w:rPr>
          <w:rFonts w:ascii="Arial" w:cs="Arial" w:eastAsia="Arial" w:hAnsi="Arial"/>
          <w:sz w:val="15"/>
          <w:szCs w:val="15"/>
          <w:color w:val="auto"/>
        </w:rPr>
      </w:pPr>
    </w:p>
    <w:p>
      <w:pPr>
        <w:jc w:val="both"/>
        <w:ind w:left="520" w:right="1239" w:hanging="260"/>
        <w:spacing w:after="0" w:line="253" w:lineRule="auto"/>
        <w:tabs>
          <w:tab w:leader="none" w:pos="5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149"/>
        </w:trPr>
        <w:tc>
          <w:tcPr>
            <w:tcW w:w="6680" w:type="dxa"/>
            <w:vAlign w:val="bottom"/>
            <w:gridSpan w:val="9"/>
          </w:tcPr>
          <w:p>
            <w:pPr>
              <w:spacing w:after="0"/>
              <w:rPr>
                <w:sz w:val="20"/>
                <w:szCs w:val="20"/>
                <w:color w:val="auto"/>
              </w:rPr>
            </w:pPr>
            <w:r>
              <w:rPr>
                <w:rFonts w:ascii="Arial" w:cs="Arial" w:eastAsia="Arial" w:hAnsi="Arial"/>
                <w:sz w:val="13"/>
                <w:szCs w:val="13"/>
                <w:b w:val="1"/>
                <w:bCs w:val="1"/>
                <w:color w:val="0000EE"/>
              </w:rPr>
              <w:t>TABLE OF CONTENTS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90"/>
              </w:rPr>
              <w:t>Vringo, Inc. and Subsidiary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3"/>
          </w:tcPr>
          <w:p>
            <w:pPr>
              <w:jc w:val="center"/>
              <w:ind w:right="816"/>
              <w:spacing w:after="0"/>
              <w:rPr>
                <w:sz w:val="20"/>
                <w:szCs w:val="20"/>
                <w:color w:val="auto"/>
              </w:rPr>
            </w:pPr>
            <w:r>
              <w:rPr>
                <w:rFonts w:ascii="Arial" w:cs="Arial" w:eastAsia="Arial" w:hAnsi="Arial"/>
                <w:sz w:val="17"/>
                <w:szCs w:val="17"/>
                <w:b w:val="1"/>
                <w:bCs w:val="1"/>
                <w:color w:val="auto"/>
                <w:w w:val="88"/>
              </w:rPr>
              <w:t>(a Development Stage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01"/>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5"/>
          </w:tcPr>
          <w:p>
            <w:pPr>
              <w:jc w:val="center"/>
              <w:ind w:left="56"/>
              <w:spacing w:after="0"/>
              <w:rPr>
                <w:sz w:val="20"/>
                <w:szCs w:val="20"/>
                <w:color w:val="auto"/>
              </w:rPr>
            </w:pPr>
            <w:r>
              <w:rPr>
                <w:rFonts w:ascii="Arial" w:cs="Arial" w:eastAsia="Arial" w:hAnsi="Arial"/>
                <w:sz w:val="17"/>
                <w:szCs w:val="17"/>
                <w:b w:val="1"/>
                <w:bCs w:val="1"/>
                <w:color w:val="auto"/>
                <w:w w:val="98"/>
              </w:rPr>
              <w:t>NOTES TO CONSOLIDATED FINANCIAL STATEMENTS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26"/>
        </w:trPr>
        <w:tc>
          <w:tcPr>
            <w:tcW w:w="6680" w:type="dxa"/>
            <w:vAlign w:val="bottom"/>
            <w:gridSpan w:val="9"/>
          </w:tcPr>
          <w:p>
            <w:pPr>
              <w:ind w:left="40"/>
              <w:spacing w:after="0"/>
              <w:rPr>
                <w:sz w:val="20"/>
                <w:szCs w:val="20"/>
                <w:color w:val="auto"/>
              </w:rPr>
            </w:pPr>
            <w:r>
              <w:rPr>
                <w:rFonts w:ascii="Arial" w:cs="Arial" w:eastAsia="Arial" w:hAnsi="Arial"/>
                <w:sz w:val="17"/>
                <w:szCs w:val="17"/>
                <w:b w:val="1"/>
                <w:bCs w:val="1"/>
                <w:color w:val="auto"/>
              </w:rPr>
              <w:t>Note 17 — Subsequent Events – (continued)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85"/>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5"/>
          </w:tcPr>
          <w:p>
            <w:pPr>
              <w:jc w:val="center"/>
              <w:ind w:left="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3"/>
          </w:tcPr>
          <w:p>
            <w:pPr>
              <w:jc w:val="center"/>
              <w:ind w:right="816"/>
              <w:spacing w:after="0"/>
              <w:rPr>
                <w:sz w:val="20"/>
                <w:szCs w:val="20"/>
                <w:color w:val="auto"/>
              </w:rPr>
            </w:pPr>
            <w:r>
              <w:rPr>
                <w:rFonts w:ascii="Arial" w:cs="Arial" w:eastAsia="Arial" w:hAnsi="Arial"/>
                <w:sz w:val="17"/>
                <w:szCs w:val="17"/>
                <w:b w:val="1"/>
                <w:bCs w:val="1"/>
                <w:color w:val="auto"/>
                <w:w w:val="88"/>
              </w:rPr>
              <w:t>(A Development Stage Company)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401"/>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920" w:type="dxa"/>
            <w:vAlign w:val="bottom"/>
            <w:gridSpan w:val="4"/>
          </w:tcPr>
          <w:p>
            <w:pPr>
              <w:jc w:val="center"/>
              <w:ind w:right="476"/>
              <w:spacing w:after="0"/>
              <w:rPr>
                <w:sz w:val="20"/>
                <w:szCs w:val="20"/>
                <w:color w:val="auto"/>
              </w:rPr>
            </w:pPr>
            <w:r>
              <w:rPr>
                <w:rFonts w:ascii="Arial" w:cs="Arial" w:eastAsia="Arial" w:hAnsi="Arial"/>
                <w:sz w:val="17"/>
                <w:szCs w:val="17"/>
                <w:b w:val="1"/>
                <w:bCs w:val="1"/>
                <w:color w:val="auto"/>
                <w:w w:val="99"/>
              </w:rPr>
              <w:t>INDEX TO FINANCIAL STATEMENTS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89"/>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2"/>
          </w:tcPr>
          <w:p>
            <w:pPr>
              <w:jc w:val="center"/>
              <w:ind w:right="1136"/>
              <w:spacing w:after="0"/>
              <w:rPr>
                <w:sz w:val="20"/>
                <w:szCs w:val="20"/>
                <w:color w:val="auto"/>
              </w:rPr>
            </w:pPr>
            <w:r>
              <w:rPr>
                <w:rFonts w:ascii="Arial" w:cs="Arial" w:eastAsia="Arial" w:hAnsi="Arial"/>
                <w:sz w:val="17"/>
                <w:szCs w:val="17"/>
                <w:b w:val="1"/>
                <w:bCs w:val="1"/>
                <w:color w:val="auto"/>
                <w:w w:val="97"/>
              </w:rPr>
              <w:t>TABLE OF CONTENTS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3"/>
        </w:trPr>
        <w:tc>
          <w:tcPr>
            <w:tcW w:w="6680" w:type="dxa"/>
            <w:vAlign w:val="bottom"/>
            <w:gridSpan w:val="9"/>
          </w:tcPr>
          <w:p>
            <w:pPr>
              <w:spacing w:after="0"/>
              <w:rPr>
                <w:sz w:val="20"/>
                <w:szCs w:val="20"/>
                <w:color w:val="auto"/>
              </w:rPr>
            </w:pPr>
            <w:r>
              <w:rPr>
                <w:rFonts w:ascii="Arial" w:cs="Arial" w:eastAsia="Arial" w:hAnsi="Arial"/>
                <w:sz w:val="17"/>
                <w:szCs w:val="17"/>
                <w:color w:val="auto"/>
              </w:rPr>
              <w:t>CONDENSED CONSOLIDATED FINANCIAL STATEMENTS (Unaudited)</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6680" w:type="dxa"/>
            <w:vAlign w:val="bottom"/>
            <w:gridSpan w:val="9"/>
            <w:shd w:val="clear" w:color="auto" w:fill="CCFFCC"/>
          </w:tcPr>
          <w:p>
            <w:pPr>
              <w:spacing w:after="0" w:line="188" w:lineRule="exact"/>
              <w:rPr>
                <w:sz w:val="20"/>
                <w:szCs w:val="20"/>
                <w:color w:val="auto"/>
              </w:rPr>
            </w:pPr>
            <w:r>
              <w:rPr>
                <w:rFonts w:ascii="Arial" w:cs="Arial" w:eastAsia="Arial" w:hAnsi="Arial"/>
                <w:sz w:val="17"/>
                <w:szCs w:val="17"/>
                <w:color w:val="auto"/>
                <w:w w:val="97"/>
              </w:rPr>
              <w:t>AS OF MARCH 31, 2012 AND FOR THE QUARTER ENDED MARCH 31, 2012 AND FOR</w:t>
            </w:r>
          </w:p>
        </w:tc>
        <w:tc>
          <w:tcPr>
            <w:tcW w:w="24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shd w:val="clear" w:color="auto" w:fill="CCFFCC"/>
          </w:tcPr>
          <w:p>
            <w:pPr>
              <w:spacing w:after="0"/>
              <w:rPr>
                <w:sz w:val="18"/>
                <w:szCs w:val="18"/>
                <w:color w:val="auto"/>
              </w:rPr>
            </w:pPr>
          </w:p>
        </w:tc>
        <w:tc>
          <w:tcPr>
            <w:tcW w:w="6520" w:type="dxa"/>
            <w:vAlign w:val="bottom"/>
            <w:gridSpan w:val="8"/>
            <w:shd w:val="clear" w:color="auto" w:fill="CCFFCC"/>
          </w:tcPr>
          <w:p>
            <w:pPr>
              <w:spacing w:after="0"/>
              <w:rPr>
                <w:sz w:val="20"/>
                <w:szCs w:val="20"/>
                <w:color w:val="auto"/>
              </w:rPr>
            </w:pPr>
            <w:r>
              <w:rPr>
                <w:rFonts w:ascii="Arial" w:cs="Arial" w:eastAsia="Arial" w:hAnsi="Arial"/>
                <w:sz w:val="17"/>
                <w:szCs w:val="17"/>
                <w:color w:val="auto"/>
              </w:rPr>
              <w:t>THE PERIOD FROM JUNE 8, 2011 (Inception) TO MARCH 31, 2012</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63"/>
        </w:trPr>
        <w:tc>
          <w:tcPr>
            <w:tcW w:w="160" w:type="dxa"/>
            <w:vAlign w:val="bottom"/>
          </w:tcPr>
          <w:p>
            <w:pPr>
              <w:spacing w:after="0"/>
              <w:rPr>
                <w:sz w:val="14"/>
                <w:szCs w:val="14"/>
                <w:color w:val="auto"/>
              </w:rPr>
            </w:pPr>
          </w:p>
        </w:tc>
        <w:tc>
          <w:tcPr>
            <w:tcW w:w="1880" w:type="dxa"/>
            <w:vAlign w:val="bottom"/>
            <w:gridSpan w:val="3"/>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4640" w:type="dxa"/>
            <w:vAlign w:val="bottom"/>
            <w:gridSpan w:val="5"/>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F-53</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600" w:type="dxa"/>
            <w:vAlign w:val="bottom"/>
            <w:tcBorders>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8"/>
              </w:rPr>
              <w:t>Consolidated Statement of Operations</w:t>
            </w:r>
          </w:p>
        </w:tc>
        <w:tc>
          <w:tcPr>
            <w:tcW w:w="3920" w:type="dxa"/>
            <w:vAlign w:val="bottom"/>
            <w:gridSpan w:val="4"/>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F-54</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CCFFCC"/>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240" w:type="dxa"/>
            <w:vAlign w:val="bottom"/>
            <w:gridSpan w:val="6"/>
          </w:tcPr>
          <w:p>
            <w:pPr>
              <w:spacing w:after="0" w:line="163" w:lineRule="exact"/>
              <w:rPr>
                <w:sz w:val="20"/>
                <w:szCs w:val="20"/>
                <w:color w:val="auto"/>
              </w:rPr>
            </w:pPr>
            <w:r>
              <w:rPr>
                <w:rFonts w:ascii="Arial" w:cs="Arial" w:eastAsia="Arial" w:hAnsi="Arial"/>
                <w:sz w:val="17"/>
                <w:szCs w:val="17"/>
                <w:color w:val="0000EE"/>
                <w:w w:val="89"/>
              </w:rPr>
              <w:t>Consolidated Statement of Stockholders’ Equity</w:t>
            </w:r>
          </w:p>
        </w:tc>
        <w:tc>
          <w:tcPr>
            <w:tcW w:w="3280" w:type="dxa"/>
            <w:vAlign w:val="bottom"/>
            <w:gridSpan w:val="2"/>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F-55</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3240" w:type="dxa"/>
            <w:vAlign w:val="bottom"/>
            <w:gridSpan w:val="6"/>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Cash Flows</w:t>
            </w:r>
          </w:p>
        </w:tc>
        <w:tc>
          <w:tcPr>
            <w:tcW w:w="3280" w:type="dxa"/>
            <w:vAlign w:val="bottom"/>
            <w:gridSpan w:val="2"/>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F-56</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20" w:type="dxa"/>
            <w:vAlign w:val="bottom"/>
            <w:gridSpan w:val="8"/>
          </w:tcPr>
          <w:p>
            <w:pPr>
              <w:spacing w:after="0" w:line="163" w:lineRule="exact"/>
              <w:rPr>
                <w:sz w:val="20"/>
                <w:szCs w:val="20"/>
                <w:color w:val="auto"/>
              </w:rPr>
            </w:pPr>
            <w:r>
              <w:rPr>
                <w:rFonts w:ascii="Arial" w:cs="Arial" w:eastAsia="Arial" w:hAnsi="Arial"/>
                <w:sz w:val="17"/>
                <w:szCs w:val="17"/>
                <w:color w:val="0000EE"/>
              </w:rPr>
              <w:t>Notes to Consolidated Financial Statements</w:t>
            </w: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7"/>
              </w:rPr>
              <w:t>F-57 – F-63</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09"/>
        </w:trPr>
        <w:tc>
          <w:tcPr>
            <w:tcW w:w="6680" w:type="dxa"/>
            <w:vAlign w:val="bottom"/>
            <w:gridSpan w:val="9"/>
            <w:shd w:val="clear" w:color="auto" w:fill="CCFFCC"/>
          </w:tcPr>
          <w:p>
            <w:pPr>
              <w:spacing w:after="0"/>
              <w:rPr>
                <w:sz w:val="20"/>
                <w:szCs w:val="20"/>
                <w:color w:val="auto"/>
              </w:rPr>
            </w:pPr>
            <w:r>
              <w:rPr>
                <w:rFonts w:ascii="Arial" w:cs="Arial" w:eastAsia="Arial" w:hAnsi="Arial"/>
                <w:sz w:val="17"/>
                <w:szCs w:val="17"/>
                <w:color w:val="auto"/>
              </w:rPr>
              <w:t>CONSOLIDATED FINANCIAL STATEMENTS</w:t>
            </w:r>
          </w:p>
        </w:tc>
        <w:tc>
          <w:tcPr>
            <w:tcW w:w="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20" w:type="dxa"/>
            <w:vAlign w:val="bottom"/>
          </w:tcPr>
          <w:p>
            <w:pPr>
              <w:spacing w:after="0"/>
              <w:rPr>
                <w:sz w:val="18"/>
                <w:szCs w:val="18"/>
                <w:color w:val="auto"/>
              </w:rPr>
            </w:pPr>
          </w:p>
        </w:tc>
      </w:tr>
      <w:tr>
        <w:trPr>
          <w:trHeight w:val="188"/>
        </w:trPr>
        <w:tc>
          <w:tcPr>
            <w:tcW w:w="6680" w:type="dxa"/>
            <w:vAlign w:val="bottom"/>
            <w:gridSpan w:val="9"/>
          </w:tcPr>
          <w:p>
            <w:pPr>
              <w:spacing w:after="0" w:line="188" w:lineRule="exact"/>
              <w:rPr>
                <w:sz w:val="20"/>
                <w:szCs w:val="20"/>
                <w:color w:val="auto"/>
              </w:rPr>
            </w:pPr>
            <w:r>
              <w:rPr>
                <w:rFonts w:ascii="Arial" w:cs="Arial" w:eastAsia="Arial" w:hAnsi="Arial"/>
                <w:sz w:val="17"/>
                <w:szCs w:val="17"/>
                <w:color w:val="auto"/>
              </w:rPr>
              <w:t>AS OF DECEMBER 31, 2011 AND FOR THE PERIOD FROM JUNE 8, 2011 (Inception)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13"/>
        </w:trPr>
        <w:tc>
          <w:tcPr>
            <w:tcW w:w="160" w:type="dxa"/>
            <w:vAlign w:val="bottom"/>
          </w:tcPr>
          <w:p>
            <w:pPr>
              <w:spacing w:after="0"/>
              <w:rPr>
                <w:sz w:val="18"/>
                <w:szCs w:val="18"/>
                <w:color w:val="auto"/>
              </w:rPr>
            </w:pPr>
          </w:p>
        </w:tc>
        <w:tc>
          <w:tcPr>
            <w:tcW w:w="6520" w:type="dxa"/>
            <w:vAlign w:val="bottom"/>
            <w:gridSpan w:val="8"/>
          </w:tcPr>
          <w:p>
            <w:pPr>
              <w:spacing w:after="0"/>
              <w:rPr>
                <w:sz w:val="20"/>
                <w:szCs w:val="20"/>
                <w:color w:val="auto"/>
              </w:rPr>
            </w:pPr>
            <w:r>
              <w:rPr>
                <w:rFonts w:ascii="Arial" w:cs="Arial" w:eastAsia="Arial" w:hAnsi="Arial"/>
                <w:sz w:val="17"/>
                <w:szCs w:val="17"/>
                <w:color w:val="auto"/>
              </w:rPr>
              <w:t>TO DECEMBER 31, 2011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63"/>
        </w:trPr>
        <w:tc>
          <w:tcPr>
            <w:tcW w:w="160" w:type="dxa"/>
            <w:vAlign w:val="bottom"/>
            <w:shd w:val="clear" w:color="auto" w:fill="CCFFCC"/>
          </w:tcPr>
          <w:p>
            <w:pPr>
              <w:spacing w:after="0"/>
              <w:rPr>
                <w:sz w:val="14"/>
                <w:szCs w:val="14"/>
                <w:color w:val="auto"/>
              </w:rPr>
            </w:pPr>
          </w:p>
        </w:tc>
        <w:tc>
          <w:tcPr>
            <w:tcW w:w="3920" w:type="dxa"/>
            <w:vAlign w:val="bottom"/>
            <w:gridSpan w:val="7"/>
            <w:shd w:val="clear" w:color="auto" w:fill="CCFFCC"/>
          </w:tcPr>
          <w:p>
            <w:pPr>
              <w:spacing w:after="0" w:line="163" w:lineRule="exact"/>
              <w:rPr>
                <w:sz w:val="20"/>
                <w:szCs w:val="20"/>
                <w:color w:val="auto"/>
              </w:rPr>
            </w:pPr>
            <w:r>
              <w:rPr>
                <w:rFonts w:ascii="Arial" w:cs="Arial" w:eastAsia="Arial" w:hAnsi="Arial"/>
                <w:sz w:val="17"/>
                <w:szCs w:val="17"/>
                <w:color w:val="0000EE"/>
                <w:w w:val="89"/>
              </w:rPr>
              <w:t>Report of Independent Registered Public Accounting Firm</w:t>
            </w:r>
          </w:p>
        </w:tc>
        <w:tc>
          <w:tcPr>
            <w:tcW w:w="2600" w:type="dxa"/>
            <w:vAlign w:val="bottom"/>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63" w:lineRule="exact"/>
              <w:rPr>
                <w:sz w:val="20"/>
                <w:szCs w:val="20"/>
                <w:color w:val="auto"/>
              </w:rPr>
            </w:pPr>
            <w:r>
              <w:rPr>
                <w:rFonts w:ascii="Arial" w:cs="Arial" w:eastAsia="Arial" w:hAnsi="Arial"/>
                <w:sz w:val="17"/>
                <w:szCs w:val="17"/>
                <w:color w:val="0000EE"/>
                <w:w w:val="85"/>
              </w:rPr>
              <w:t>F-65</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1880" w:type="dxa"/>
            <w:vAlign w:val="bottom"/>
            <w:gridSpan w:val="3"/>
          </w:tcPr>
          <w:p>
            <w:pPr>
              <w:spacing w:after="0" w:line="163" w:lineRule="exact"/>
              <w:rPr>
                <w:sz w:val="20"/>
                <w:szCs w:val="20"/>
                <w:color w:val="auto"/>
              </w:rPr>
            </w:pPr>
            <w:r>
              <w:rPr>
                <w:rFonts w:ascii="Arial" w:cs="Arial" w:eastAsia="Arial" w:hAnsi="Arial"/>
                <w:sz w:val="17"/>
                <w:szCs w:val="17"/>
                <w:color w:val="0000EE"/>
                <w:w w:val="86"/>
              </w:rPr>
              <w:t>Consolidated Balance Sheet</w:t>
            </w:r>
          </w:p>
        </w:tc>
        <w:tc>
          <w:tcPr>
            <w:tcW w:w="2040" w:type="dxa"/>
            <w:vAlign w:val="bottom"/>
            <w:gridSpan w:val="4"/>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F-66</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2600" w:type="dxa"/>
            <w:vAlign w:val="bottom"/>
            <w:tcBorders>
              <w:right w:val="single" w:sz="8" w:color="CCFFCC"/>
            </w:tcBorders>
            <w:gridSpan w:val="4"/>
            <w:shd w:val="clear" w:color="auto" w:fill="CCFFCC"/>
          </w:tcPr>
          <w:p>
            <w:pPr>
              <w:spacing w:after="0" w:line="172" w:lineRule="exact"/>
              <w:rPr>
                <w:sz w:val="20"/>
                <w:szCs w:val="20"/>
                <w:color w:val="auto"/>
              </w:rPr>
            </w:pPr>
            <w:r>
              <w:rPr>
                <w:rFonts w:ascii="Arial" w:cs="Arial" w:eastAsia="Arial" w:hAnsi="Arial"/>
                <w:sz w:val="17"/>
                <w:szCs w:val="17"/>
                <w:color w:val="0000EE"/>
                <w:w w:val="88"/>
              </w:rPr>
              <w:t>Consolidated Statement of Operations</w:t>
            </w:r>
          </w:p>
        </w:tc>
        <w:tc>
          <w:tcPr>
            <w:tcW w:w="3920" w:type="dxa"/>
            <w:vAlign w:val="bottom"/>
            <w:gridSpan w:val="4"/>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F-67</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CCFFCC"/>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3240" w:type="dxa"/>
            <w:vAlign w:val="bottom"/>
            <w:gridSpan w:val="6"/>
          </w:tcPr>
          <w:p>
            <w:pPr>
              <w:spacing w:after="0" w:line="163" w:lineRule="exact"/>
              <w:rPr>
                <w:sz w:val="20"/>
                <w:szCs w:val="20"/>
                <w:color w:val="auto"/>
              </w:rPr>
            </w:pPr>
            <w:r>
              <w:rPr>
                <w:rFonts w:ascii="Arial" w:cs="Arial" w:eastAsia="Arial" w:hAnsi="Arial"/>
                <w:sz w:val="17"/>
                <w:szCs w:val="17"/>
                <w:color w:val="0000EE"/>
                <w:w w:val="89"/>
              </w:rPr>
              <w:t>Consolidated Statement of Stockholders’ Equity</w:t>
            </w:r>
          </w:p>
        </w:tc>
        <w:tc>
          <w:tcPr>
            <w:tcW w:w="3280" w:type="dxa"/>
            <w:vAlign w:val="bottom"/>
            <w:gridSpan w:val="2"/>
          </w:tcPr>
          <w:p>
            <w:pPr>
              <w:spacing w:after="0"/>
              <w:rPr>
                <w:sz w:val="14"/>
                <w:szCs w:val="14"/>
                <w:color w:val="auto"/>
              </w:rPr>
            </w:pP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5"/>
              </w:rPr>
              <w:t>F-68</w:t>
            </w:r>
          </w:p>
        </w:tc>
        <w:tc>
          <w:tcPr>
            <w:tcW w:w="2420" w:type="dxa"/>
            <w:vAlign w:val="bottom"/>
          </w:tcPr>
          <w:p>
            <w:pPr>
              <w:spacing w:after="0"/>
              <w:rPr>
                <w:sz w:val="14"/>
                <w:szCs w:val="14"/>
                <w:color w:val="auto"/>
              </w:rPr>
            </w:pP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172"/>
        </w:trPr>
        <w:tc>
          <w:tcPr>
            <w:tcW w:w="160" w:type="dxa"/>
            <w:vAlign w:val="bottom"/>
            <w:shd w:val="clear" w:color="auto" w:fill="CCFFCC"/>
          </w:tcPr>
          <w:p>
            <w:pPr>
              <w:spacing w:after="0"/>
              <w:rPr>
                <w:sz w:val="14"/>
                <w:szCs w:val="14"/>
                <w:color w:val="auto"/>
              </w:rPr>
            </w:pPr>
          </w:p>
        </w:tc>
        <w:tc>
          <w:tcPr>
            <w:tcW w:w="3240" w:type="dxa"/>
            <w:vAlign w:val="bottom"/>
            <w:gridSpan w:val="6"/>
            <w:shd w:val="clear" w:color="auto" w:fill="CCFFCC"/>
          </w:tcPr>
          <w:p>
            <w:pPr>
              <w:spacing w:after="0" w:line="172" w:lineRule="exact"/>
              <w:rPr>
                <w:sz w:val="20"/>
                <w:szCs w:val="20"/>
                <w:color w:val="auto"/>
              </w:rPr>
            </w:pPr>
            <w:r>
              <w:rPr>
                <w:rFonts w:ascii="Arial" w:cs="Arial" w:eastAsia="Arial" w:hAnsi="Arial"/>
                <w:sz w:val="17"/>
                <w:szCs w:val="17"/>
                <w:color w:val="0000EE"/>
              </w:rPr>
              <w:t>Consolidated Statement of Cash Flows</w:t>
            </w:r>
          </w:p>
        </w:tc>
        <w:tc>
          <w:tcPr>
            <w:tcW w:w="3280" w:type="dxa"/>
            <w:vAlign w:val="bottom"/>
            <w:gridSpan w:val="2"/>
            <w:shd w:val="clear" w:color="auto" w:fill="CCFFCC"/>
          </w:tcPr>
          <w:p>
            <w:pPr>
              <w:spacing w:after="0"/>
              <w:rPr>
                <w:sz w:val="14"/>
                <w:szCs w:val="14"/>
                <w:color w:val="auto"/>
              </w:rPr>
            </w:pPr>
          </w:p>
        </w:tc>
        <w:tc>
          <w:tcPr>
            <w:tcW w:w="940" w:type="dxa"/>
            <w:vAlign w:val="bottom"/>
            <w:gridSpan w:val="4"/>
            <w:shd w:val="clear" w:color="auto" w:fill="CCFFCC"/>
          </w:tcPr>
          <w:p>
            <w:pPr>
              <w:jc w:val="center"/>
              <w:ind w:right="160"/>
              <w:spacing w:after="0" w:line="172" w:lineRule="exact"/>
              <w:rPr>
                <w:sz w:val="20"/>
                <w:szCs w:val="20"/>
                <w:color w:val="auto"/>
              </w:rPr>
            </w:pPr>
            <w:r>
              <w:rPr>
                <w:rFonts w:ascii="Arial" w:cs="Arial" w:eastAsia="Arial" w:hAnsi="Arial"/>
                <w:sz w:val="17"/>
                <w:szCs w:val="17"/>
                <w:color w:val="0000EE"/>
                <w:w w:val="85"/>
              </w:rPr>
              <w:t>F-69</w:t>
            </w:r>
          </w:p>
        </w:tc>
        <w:tc>
          <w:tcPr>
            <w:tcW w:w="2420" w:type="dxa"/>
            <w:vAlign w:val="bottom"/>
          </w:tcPr>
          <w:p>
            <w:pPr>
              <w:spacing w:after="0"/>
              <w:rPr>
                <w:sz w:val="14"/>
                <w:szCs w:val="14"/>
                <w:color w:val="auto"/>
              </w:rPr>
            </w:pPr>
          </w:p>
        </w:tc>
      </w:tr>
      <w:tr>
        <w:trPr>
          <w:trHeight w:val="38"/>
        </w:trPr>
        <w:tc>
          <w:tcPr>
            <w:tcW w:w="160" w:type="dxa"/>
            <w:vAlign w:val="bottom"/>
            <w:shd w:val="clear" w:color="auto" w:fill="CCFFCC"/>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720" w:type="dxa"/>
            <w:vAlign w:val="bottom"/>
            <w:tcBorders>
              <w:right w:val="single" w:sz="8" w:color="0000EE"/>
            </w:tcBorders>
            <w:shd w:val="clear" w:color="auto" w:fill="0000EE"/>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320" w:type="dxa"/>
            <w:vAlign w:val="bottom"/>
            <w:shd w:val="clear" w:color="auto" w:fill="CCFFCC"/>
          </w:tcPr>
          <w:p>
            <w:pPr>
              <w:spacing w:after="0"/>
              <w:rPr>
                <w:sz w:val="3"/>
                <w:szCs w:val="3"/>
                <w:color w:val="auto"/>
              </w:rPr>
            </w:pPr>
          </w:p>
        </w:tc>
        <w:tc>
          <w:tcPr>
            <w:tcW w:w="680" w:type="dxa"/>
            <w:vAlign w:val="bottom"/>
            <w:shd w:val="clear" w:color="auto" w:fill="CCFFCC"/>
          </w:tcPr>
          <w:p>
            <w:pPr>
              <w:spacing w:after="0"/>
              <w:rPr>
                <w:sz w:val="3"/>
                <w:szCs w:val="3"/>
                <w:color w:val="auto"/>
              </w:rPr>
            </w:pPr>
          </w:p>
        </w:tc>
        <w:tc>
          <w:tcPr>
            <w:tcW w:w="2600" w:type="dxa"/>
            <w:vAlign w:val="bottom"/>
            <w:shd w:val="clear" w:color="auto" w:fill="CCFFCC"/>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40" w:type="dxa"/>
            <w:vAlign w:val="bottom"/>
            <w:shd w:val="clear" w:color="auto" w:fill="CCFFCC"/>
          </w:tcPr>
          <w:p>
            <w:pPr>
              <w:spacing w:after="0"/>
              <w:rPr>
                <w:sz w:val="3"/>
                <w:szCs w:val="3"/>
                <w:color w:val="auto"/>
              </w:rPr>
            </w:pPr>
          </w:p>
        </w:tc>
        <w:tc>
          <w:tcPr>
            <w:tcW w:w="160" w:type="dxa"/>
            <w:vAlign w:val="bottom"/>
            <w:shd w:val="clear" w:color="auto" w:fill="CCFFCC"/>
          </w:tcPr>
          <w:p>
            <w:pPr>
              <w:spacing w:after="0"/>
              <w:rPr>
                <w:sz w:val="3"/>
                <w:szCs w:val="3"/>
                <w:color w:val="auto"/>
              </w:rPr>
            </w:pPr>
          </w:p>
        </w:tc>
        <w:tc>
          <w:tcPr>
            <w:tcW w:w="2420" w:type="dxa"/>
            <w:vAlign w:val="bottom"/>
          </w:tcPr>
          <w:p>
            <w:pPr>
              <w:spacing w:after="0"/>
              <w:rPr>
                <w:sz w:val="3"/>
                <w:szCs w:val="3"/>
                <w:color w:val="auto"/>
              </w:rPr>
            </w:pPr>
          </w:p>
        </w:tc>
      </w:tr>
      <w:tr>
        <w:trPr>
          <w:trHeight w:val="163"/>
        </w:trPr>
        <w:tc>
          <w:tcPr>
            <w:tcW w:w="160" w:type="dxa"/>
            <w:vAlign w:val="bottom"/>
          </w:tcPr>
          <w:p>
            <w:pPr>
              <w:spacing w:after="0"/>
              <w:rPr>
                <w:sz w:val="14"/>
                <w:szCs w:val="14"/>
                <w:color w:val="auto"/>
              </w:rPr>
            </w:pPr>
          </w:p>
        </w:tc>
        <w:tc>
          <w:tcPr>
            <w:tcW w:w="6520" w:type="dxa"/>
            <w:vAlign w:val="bottom"/>
            <w:gridSpan w:val="8"/>
          </w:tcPr>
          <w:p>
            <w:pPr>
              <w:spacing w:after="0" w:line="163" w:lineRule="exact"/>
              <w:rPr>
                <w:sz w:val="20"/>
                <w:szCs w:val="20"/>
                <w:color w:val="auto"/>
              </w:rPr>
            </w:pPr>
            <w:r>
              <w:rPr>
                <w:rFonts w:ascii="Arial" w:cs="Arial" w:eastAsia="Arial" w:hAnsi="Arial"/>
                <w:sz w:val="17"/>
                <w:szCs w:val="17"/>
                <w:color w:val="0000EE"/>
              </w:rPr>
              <w:t>Notes to Consolidated Financial Statements</w:t>
            </w:r>
          </w:p>
        </w:tc>
        <w:tc>
          <w:tcPr>
            <w:tcW w:w="940" w:type="dxa"/>
            <w:vAlign w:val="bottom"/>
            <w:gridSpan w:val="4"/>
          </w:tcPr>
          <w:p>
            <w:pPr>
              <w:jc w:val="center"/>
              <w:ind w:right="160"/>
              <w:spacing w:after="0" w:line="163" w:lineRule="exact"/>
              <w:rPr>
                <w:sz w:val="20"/>
                <w:szCs w:val="20"/>
                <w:color w:val="auto"/>
              </w:rPr>
            </w:pPr>
            <w:r>
              <w:rPr>
                <w:rFonts w:ascii="Arial" w:cs="Arial" w:eastAsia="Arial" w:hAnsi="Arial"/>
                <w:sz w:val="17"/>
                <w:szCs w:val="17"/>
                <w:color w:val="0000EE"/>
                <w:w w:val="87"/>
              </w:rPr>
              <w:t>F-70 – F-78</w:t>
            </w:r>
          </w:p>
        </w:tc>
        <w:tc>
          <w:tcPr>
            <w:tcW w:w="2420" w:type="dxa"/>
            <w:vAlign w:val="bottom"/>
          </w:tcPr>
          <w:p>
            <w:pPr>
              <w:spacing w:after="0"/>
              <w:rPr>
                <w:sz w:val="14"/>
                <w:szCs w:val="14"/>
                <w:color w:val="auto"/>
              </w:rPr>
            </w:pPr>
          </w:p>
        </w:tc>
      </w:tr>
      <w:tr>
        <w:trPr>
          <w:trHeight w:val="744"/>
        </w:trPr>
        <w:tc>
          <w:tcPr>
            <w:tcW w:w="16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7"/>
                <w:szCs w:val="17"/>
                <w:color w:val="auto"/>
              </w:rPr>
              <w:t>F-52</w:t>
            </w: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-2823845</wp:posOffset>
            </wp:positionV>
            <wp:extent cx="483743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65" w:name="page266"/>
    <w:bookmarkEnd w:id="2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6"/>
              </w:rPr>
              <w:t>As 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As of</w:t>
            </w:r>
          </w:p>
        </w:tc>
      </w:tr>
      <w:tr>
        <w:trPr>
          <w:trHeight w:val="138"/>
        </w:trPr>
        <w:tc>
          <w:tcPr>
            <w:tcW w:w="5360" w:type="dxa"/>
            <w:vAlign w:val="bottom"/>
          </w:tcPr>
          <w:p>
            <w:pPr>
              <w:spacing w:after="0"/>
              <w:rPr>
                <w:sz w:val="11"/>
                <w:szCs w:val="11"/>
                <w:color w:val="auto"/>
              </w:rPr>
            </w:pPr>
          </w:p>
        </w:tc>
        <w:tc>
          <w:tcPr>
            <w:tcW w:w="9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5"/>
              </w:rPr>
              <w:t>March 31, 2012</w:t>
            </w:r>
          </w:p>
        </w:tc>
        <w:tc>
          <w:tcPr>
            <w:tcW w:w="200" w:type="dxa"/>
            <w:vAlign w:val="bottom"/>
          </w:tcPr>
          <w:p>
            <w:pPr>
              <w:spacing w:after="0"/>
              <w:rPr>
                <w:sz w:val="11"/>
                <w:szCs w:val="11"/>
                <w:color w:val="auto"/>
              </w:rPr>
            </w:pPr>
          </w:p>
        </w:tc>
        <w:tc>
          <w:tcPr>
            <w:tcW w:w="11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w w:val="92"/>
              </w:rPr>
              <w:t>December 31, 2011</w:t>
            </w:r>
          </w:p>
        </w:tc>
      </w:tr>
      <w:tr>
        <w:trPr>
          <w:trHeight w:val="158"/>
        </w:trPr>
        <w:tc>
          <w:tcPr>
            <w:tcW w:w="5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93"/>
        </w:trPr>
        <w:tc>
          <w:tcPr>
            <w:tcW w:w="5360" w:type="dxa"/>
            <w:vAlign w:val="bottom"/>
            <w:shd w:val="clear" w:color="auto" w:fill="CCFFCC"/>
          </w:tcPr>
          <w:p>
            <w:pPr>
              <w:ind w:left="2300"/>
              <w:spacing w:after="0" w:line="193"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3,979,671</w:t>
            </w:r>
          </w:p>
        </w:tc>
        <w:tc>
          <w:tcPr>
            <w:tcW w:w="380" w:type="dxa"/>
            <w:vAlign w:val="bottom"/>
            <w:tcBorders>
              <w:left w:val="single" w:sz="8" w:color="CCFFCC"/>
            </w:tcBorders>
            <w:gridSpan w:val="2"/>
            <w:shd w:val="clear" w:color="auto" w:fill="CCFFCC"/>
          </w:tcPr>
          <w:p>
            <w:pPr>
              <w:ind w:left="2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5,212,142</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Prepaid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35,844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25,886</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4,269</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current assets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4,019,784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5,238,028</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11,813</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8,006</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Intangible assets, net</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2,912,325</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3,067,592</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6,943,922</w:t>
            </w:r>
          </w:p>
        </w:tc>
        <w:tc>
          <w:tcPr>
            <w:tcW w:w="200" w:type="dxa"/>
            <w:vAlign w:val="bottom"/>
          </w:tcPr>
          <w:p>
            <w:pPr>
              <w:spacing w:after="0"/>
              <w:rPr>
                <w:sz w:val="16"/>
                <w:szCs w:val="16"/>
                <w:color w:val="auto"/>
              </w:rPr>
            </w:pPr>
          </w:p>
        </w:tc>
        <w:tc>
          <w:tcPr>
            <w:tcW w:w="18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8,313,626</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5360" w:type="dxa"/>
            <w:vAlign w:val="bottom"/>
            <w:shd w:val="clear" w:color="auto" w:fill="CCFFCC"/>
          </w:tcPr>
          <w:p>
            <w:pPr>
              <w:ind w:left="780"/>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524,999</w:t>
            </w:r>
          </w:p>
        </w:tc>
        <w:tc>
          <w:tcPr>
            <w:tcW w:w="380" w:type="dxa"/>
            <w:vAlign w:val="bottom"/>
            <w:tcBorders>
              <w:left w:val="single" w:sz="8" w:color="CCFFCC"/>
            </w:tcBorders>
            <w:gridSpan w:val="2"/>
            <w:shd w:val="clear" w:color="auto" w:fill="CCFFCC"/>
          </w:tcPr>
          <w:p>
            <w:pPr>
              <w:ind w:left="2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201</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341,256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448,264</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Current portion, note payable-related party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2,000,000</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2,000,000</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2,866,255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2,448,465</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Note Payable-related party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1,200,000</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1,200,000</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4,066,255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3,648,465</w:t>
            </w:r>
          </w:p>
        </w:tc>
      </w:tr>
      <w:tr>
        <w:trPr>
          <w:trHeight w:val="200"/>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Commitments and Contingencies (See note 8)</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88"/>
        </w:trPr>
        <w:tc>
          <w:tcPr>
            <w:tcW w:w="5360" w:type="dxa"/>
            <w:vAlign w:val="bottom"/>
          </w:tcPr>
          <w:p>
            <w:pPr>
              <w:spacing w:after="0" w:line="188" w:lineRule="exact"/>
              <w:rPr>
                <w:sz w:val="20"/>
                <w:szCs w:val="20"/>
                <w:color w:val="auto"/>
              </w:rPr>
            </w:pPr>
            <w:r>
              <w:rPr>
                <w:rFonts w:ascii="Arial" w:cs="Arial" w:eastAsia="Arial" w:hAnsi="Arial"/>
                <w:sz w:val="17"/>
                <w:szCs w:val="17"/>
                <w:color w:val="auto"/>
                <w:w w:val="97"/>
              </w:rPr>
              <w:t>Preferred stock, Series A Convertible, $.0001 par value; liquidation value</w:t>
            </w:r>
          </w:p>
        </w:tc>
        <w:tc>
          <w:tcPr>
            <w:tcW w:w="12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1,761,252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1,800,000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w w:val="90"/>
              </w:rPr>
              <w:t>$1,250 per share; 6,968 shares authorized; and 6,818 and 6,968 issued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360" w:type="dxa"/>
            <w:vAlign w:val="bottom"/>
          </w:tcPr>
          <w:p>
            <w:pPr>
              <w:ind w:left="160"/>
              <w:spacing w:after="0"/>
              <w:rPr>
                <w:sz w:val="20"/>
                <w:szCs w:val="20"/>
                <w:color w:val="auto"/>
              </w:rPr>
            </w:pPr>
            <w:r>
              <w:rPr>
                <w:rFonts w:ascii="Arial" w:cs="Arial" w:eastAsia="Arial" w:hAnsi="Arial"/>
                <w:sz w:val="17"/>
                <w:szCs w:val="17"/>
                <w:color w:val="auto"/>
              </w:rPr>
              <w:t>outstanding, respectively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360" w:type="dxa"/>
            <w:vAlign w:val="bottom"/>
            <w:shd w:val="clear" w:color="auto" w:fill="CCFFCC"/>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r>
      <w:tr>
        <w:trPr>
          <w:trHeight w:val="188"/>
        </w:trPr>
        <w:tc>
          <w:tcPr>
            <w:tcW w:w="5360" w:type="dxa"/>
            <w:vAlign w:val="bottom"/>
          </w:tcPr>
          <w:p>
            <w:pPr>
              <w:ind w:left="160"/>
              <w:spacing w:after="0" w:line="188" w:lineRule="exact"/>
              <w:rPr>
                <w:sz w:val="20"/>
                <w:szCs w:val="20"/>
                <w:color w:val="auto"/>
              </w:rPr>
            </w:pPr>
            <w:r>
              <w:rPr>
                <w:rFonts w:ascii="Arial" w:cs="Arial" w:eastAsia="Arial" w:hAnsi="Arial"/>
                <w:sz w:val="17"/>
                <w:szCs w:val="17"/>
                <w:color w:val="auto"/>
              </w:rPr>
              <w:t>Common stock, $.0001 par value; 100,000,000 shares authorized;</w:t>
            </w:r>
          </w:p>
        </w:tc>
        <w:tc>
          <w:tcPr>
            <w:tcW w:w="12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578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80"/>
              <w:spacing w:after="0" w:line="188" w:lineRule="exact"/>
              <w:rPr>
                <w:sz w:val="20"/>
                <w:szCs w:val="20"/>
                <w:color w:val="auto"/>
              </w:rPr>
            </w:pPr>
            <w:r>
              <w:rPr>
                <w:rFonts w:ascii="Arial" w:cs="Arial" w:eastAsia="Arial" w:hAnsi="Arial"/>
                <w:sz w:val="17"/>
                <w:szCs w:val="17"/>
                <w:b w:val="1"/>
                <w:bCs w:val="1"/>
                <w:color w:val="auto"/>
              </w:rPr>
              <w:t>563</w:t>
            </w:r>
          </w:p>
        </w:tc>
      </w:tr>
      <w:tr>
        <w:trPr>
          <w:trHeight w:val="213"/>
        </w:trPr>
        <w:tc>
          <w:tcPr>
            <w:tcW w:w="5360" w:type="dxa"/>
            <w:vAlign w:val="bottom"/>
          </w:tcPr>
          <w:p>
            <w:pPr>
              <w:ind w:left="340"/>
              <w:spacing w:after="0"/>
              <w:rPr>
                <w:sz w:val="20"/>
                <w:szCs w:val="20"/>
                <w:color w:val="auto"/>
              </w:rPr>
            </w:pPr>
            <w:r>
              <w:rPr>
                <w:rFonts w:ascii="Arial" w:cs="Arial" w:eastAsia="Arial" w:hAnsi="Arial"/>
                <w:sz w:val="17"/>
                <w:szCs w:val="17"/>
                <w:color w:val="auto"/>
                <w:w w:val="95"/>
              </w:rPr>
              <w:t>5,774,661 and 5,624,661 shares issued and outstanding, respectively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5,741,769</w:t>
            </w:r>
          </w:p>
        </w:tc>
        <w:tc>
          <w:tcPr>
            <w:tcW w:w="200" w:type="dxa"/>
            <w:vAlign w:val="bottom"/>
            <w:tcBorders>
              <w:left w:val="single" w:sz="8" w:color="CCFFCC"/>
            </w:tcBorders>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5,618,780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Deficit accumulated during the development stage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1"/>
              </w:rPr>
              <w:t>(4,625,932)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6"/>
              </w:rPr>
              <w:t>(2,754,182)</w:t>
            </w:r>
          </w:p>
        </w:tc>
      </w:tr>
      <w:tr>
        <w:trPr>
          <w:trHeight w:val="20"/>
        </w:trPr>
        <w:tc>
          <w:tcPr>
            <w:tcW w:w="5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Total stockholders’ equity</w:t>
            </w:r>
          </w:p>
        </w:tc>
        <w:tc>
          <w:tcPr>
            <w:tcW w:w="12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1,116,415</w:t>
            </w:r>
          </w:p>
        </w:tc>
        <w:tc>
          <w:tcPr>
            <w:tcW w:w="200" w:type="dxa"/>
            <w:vAlign w:val="bottom"/>
            <w:tcBorders>
              <w:left w:val="single" w:sz="8" w:color="CCFFCC"/>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2,865,161</w:t>
            </w:r>
          </w:p>
        </w:tc>
      </w:tr>
      <w:tr>
        <w:trPr>
          <w:trHeight w:val="20"/>
        </w:trPr>
        <w:tc>
          <w:tcPr>
            <w:tcW w:w="53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500"/>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6,943,922</w:t>
            </w:r>
          </w:p>
        </w:tc>
        <w:tc>
          <w:tcPr>
            <w:tcW w:w="200" w:type="dxa"/>
            <w:vAlign w:val="bottom"/>
          </w:tcPr>
          <w:p>
            <w:pPr>
              <w:spacing w:after="0"/>
              <w:rPr>
                <w:sz w:val="16"/>
                <w:szCs w:val="16"/>
                <w:color w:val="auto"/>
              </w:rPr>
            </w:pPr>
          </w:p>
        </w:tc>
        <w:tc>
          <w:tcPr>
            <w:tcW w:w="18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w:t>
            </w:r>
          </w:p>
        </w:tc>
        <w:tc>
          <w:tcPr>
            <w:tcW w:w="94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8,313,626</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-3166110</wp:posOffset>
            </wp:positionV>
            <wp:extent cx="4837430" cy="135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-2649220</wp:posOffset>
            </wp:positionV>
            <wp:extent cx="4837430" cy="1670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-1845310</wp:posOffset>
            </wp:positionV>
            <wp:extent cx="4837430" cy="135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-1583055</wp:posOffset>
            </wp:positionV>
            <wp:extent cx="4837430" cy="135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837430" cy="1670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6" w:name="page267"/>
    <w:bookmarkEnd w:id="2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2981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82981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For the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Period from</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Three Months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June 8, 2011</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2"/>
              </w:rPr>
              <w:t>(Inception) to</w:t>
            </w:r>
          </w:p>
        </w:tc>
      </w:tr>
      <w:tr>
        <w:trPr>
          <w:trHeight w:val="158"/>
        </w:trPr>
        <w:tc>
          <w:tcPr>
            <w:tcW w:w="534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March 31, 2012</w:t>
            </w:r>
          </w:p>
        </w:tc>
      </w:tr>
      <w:tr>
        <w:trPr>
          <w:trHeight w:val="193"/>
        </w:trPr>
        <w:tc>
          <w:tcPr>
            <w:tcW w:w="53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Revenue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320" w:type="dxa"/>
            <w:vAlign w:val="bottom"/>
            <w:tcBorders>
              <w:left w:val="single" w:sz="8" w:color="CCFFCC"/>
            </w:tcBorders>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w:t>
            </w:r>
          </w:p>
        </w:tc>
      </w:tr>
      <w:tr>
        <w:trPr>
          <w:trHeight w:val="193"/>
        </w:trPr>
        <w:tc>
          <w:tcPr>
            <w:tcW w:w="534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Operating Expenses</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Legal</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1,171,920</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2,274,020</w:t>
            </w: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378,408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1,375,321</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Amortization and depreciation</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156,137</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484,415</w:t>
            </w: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161,605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374,797</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Startup and capital acquisition costs</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105,971</w:t>
            </w:r>
          </w:p>
        </w:tc>
      </w:tr>
      <w:tr>
        <w:trPr>
          <w:trHeight w:val="20"/>
        </w:trPr>
        <w:tc>
          <w:tcPr>
            <w:tcW w:w="53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40" w:type="dxa"/>
            <w:vAlign w:val="bottom"/>
          </w:tcPr>
          <w:p>
            <w:pPr>
              <w:ind w:left="340"/>
              <w:spacing w:after="0" w:line="193" w:lineRule="exact"/>
              <w:rPr>
                <w:sz w:val="20"/>
                <w:szCs w:val="20"/>
                <w:color w:val="auto"/>
              </w:rPr>
            </w:pPr>
            <w:r>
              <w:rPr>
                <w:rFonts w:ascii="Arial" w:cs="Arial" w:eastAsia="Arial" w:hAnsi="Arial"/>
                <w:sz w:val="17"/>
                <w:szCs w:val="17"/>
                <w:color w:val="auto"/>
              </w:rPr>
              <w:t>Total operating expenses</w:t>
            </w:r>
          </w:p>
        </w:tc>
        <w:tc>
          <w:tcPr>
            <w:tcW w:w="8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1,868,070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4,614,524</w:t>
            </w: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40" w:type="dxa"/>
            <w:vAlign w:val="bottom"/>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Loss from operations</w:t>
            </w:r>
          </w:p>
        </w:tc>
        <w:tc>
          <w:tcPr>
            <w:tcW w:w="80" w:type="dxa"/>
            <w:vAlign w:val="bottom"/>
            <w:shd w:val="clear" w:color="auto" w:fill="CCFFCC"/>
          </w:tcPr>
          <w:p>
            <w:pPr>
              <w:spacing w:after="0"/>
              <w:rPr>
                <w:sz w:val="16"/>
                <w:szCs w:val="16"/>
                <w:color w:val="auto"/>
              </w:rPr>
            </w:pPr>
          </w:p>
        </w:tc>
        <w:tc>
          <w:tcPr>
            <w:tcW w:w="8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6"/>
              </w:rPr>
              <w:t>(1,868,070)</w:t>
            </w:r>
          </w:p>
        </w:tc>
        <w:tc>
          <w:tcPr>
            <w:tcW w:w="22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rPr>
              <w:t>(4,614,524)</w:t>
            </w:r>
          </w:p>
        </w:tc>
      </w:tr>
      <w:tr>
        <w:trPr>
          <w:trHeight w:val="200"/>
        </w:trPr>
        <w:tc>
          <w:tcPr>
            <w:tcW w:w="5340" w:type="dxa"/>
            <w:vAlign w:val="bottom"/>
          </w:tcPr>
          <w:p>
            <w:pPr>
              <w:spacing w:after="0"/>
              <w:rPr>
                <w:sz w:val="20"/>
                <w:szCs w:val="20"/>
                <w:color w:val="auto"/>
              </w:rPr>
            </w:pPr>
            <w:r>
              <w:rPr>
                <w:rFonts w:ascii="Arial" w:cs="Arial" w:eastAsia="Arial" w:hAnsi="Arial"/>
                <w:sz w:val="17"/>
                <w:szCs w:val="17"/>
                <w:color w:val="auto"/>
              </w:rPr>
              <w:t>Other Expense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3,680</w:t>
            </w:r>
          </w:p>
        </w:tc>
        <w:tc>
          <w:tcPr>
            <w:tcW w:w="22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11,408</w:t>
            </w:r>
          </w:p>
        </w:tc>
      </w:tr>
      <w:tr>
        <w:trPr>
          <w:trHeight w:val="20"/>
        </w:trPr>
        <w:tc>
          <w:tcPr>
            <w:tcW w:w="53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40" w:type="dxa"/>
            <w:vAlign w:val="bottom"/>
          </w:tcPr>
          <w:p>
            <w:pPr>
              <w:ind w:left="500"/>
              <w:spacing w:after="0" w:line="193" w:lineRule="exact"/>
              <w:rPr>
                <w:sz w:val="20"/>
                <w:szCs w:val="20"/>
                <w:color w:val="auto"/>
              </w:rPr>
            </w:pPr>
            <w:r>
              <w:rPr>
                <w:rFonts w:ascii="Arial" w:cs="Arial" w:eastAsia="Arial" w:hAnsi="Arial"/>
                <w:sz w:val="17"/>
                <w:szCs w:val="17"/>
                <w:b w:val="1"/>
                <w:bCs w:val="1"/>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line="193" w:lineRule="exact"/>
              <w:rPr>
                <w:sz w:val="20"/>
                <w:szCs w:val="20"/>
                <w:color w:val="auto"/>
              </w:rPr>
            </w:pPr>
            <w:r>
              <w:rPr>
                <w:rFonts w:ascii="Arial" w:cs="Arial" w:eastAsia="Arial" w:hAnsi="Arial"/>
                <w:sz w:val="17"/>
                <w:szCs w:val="17"/>
                <w:b w:val="1"/>
                <w:bCs w:val="1"/>
                <w:color w:val="auto"/>
                <w:w w:val="96"/>
              </w:rPr>
              <w:t>(1,871,750)</w:t>
            </w:r>
          </w:p>
        </w:tc>
        <w:tc>
          <w:tcPr>
            <w:tcW w:w="320" w:type="dxa"/>
            <w:vAlign w:val="bottom"/>
            <w:gridSpan w:val="2"/>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1020" w:type="dxa"/>
            <w:vAlign w:val="bottom"/>
            <w:gridSpan w:val="2"/>
          </w:tcPr>
          <w:p>
            <w:pPr>
              <w:jc w:val="right"/>
              <w:ind w:right="80"/>
              <w:spacing w:after="0" w:line="193" w:lineRule="exact"/>
              <w:rPr>
                <w:sz w:val="20"/>
                <w:szCs w:val="20"/>
                <w:color w:val="auto"/>
              </w:rPr>
            </w:pPr>
            <w:r>
              <w:rPr>
                <w:rFonts w:ascii="Arial" w:cs="Arial" w:eastAsia="Arial" w:hAnsi="Arial"/>
                <w:sz w:val="17"/>
                <w:szCs w:val="17"/>
                <w:b w:val="1"/>
                <w:bCs w:val="1"/>
                <w:color w:val="auto"/>
              </w:rPr>
              <w:t>(4,625,932)</w:t>
            </w:r>
          </w:p>
        </w:tc>
      </w:tr>
      <w:tr>
        <w:trPr>
          <w:trHeight w:val="20"/>
        </w:trPr>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5340" w:type="dxa"/>
            <w:vAlign w:val="bottom"/>
            <w:shd w:val="clear" w:color="auto" w:fill="CCFFCC"/>
          </w:tcPr>
          <w:p>
            <w:pPr>
              <w:spacing w:after="0" w:line="191" w:lineRule="exact"/>
              <w:rPr>
                <w:sz w:val="20"/>
                <w:szCs w:val="20"/>
                <w:color w:val="auto"/>
              </w:rPr>
            </w:pPr>
            <w:r>
              <w:rPr>
                <w:rFonts w:ascii="Arial" w:cs="Arial" w:eastAsia="Arial" w:hAnsi="Arial"/>
                <w:sz w:val="17"/>
                <w:szCs w:val="17"/>
                <w:color w:val="auto"/>
              </w:rPr>
              <w:t>Basic and diluted:</w:t>
            </w:r>
          </w:p>
        </w:tc>
        <w:tc>
          <w:tcPr>
            <w:tcW w:w="8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220" w:type="dxa"/>
            <w:vAlign w:val="bottom"/>
            <w:tcBorders>
              <w:lef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40" w:type="dxa"/>
            <w:vAlign w:val="bottom"/>
          </w:tcPr>
          <w:p>
            <w:pPr>
              <w:ind w:left="160"/>
              <w:spacing w:after="0"/>
              <w:rPr>
                <w:sz w:val="20"/>
                <w:szCs w:val="20"/>
                <w:color w:val="auto"/>
              </w:rPr>
            </w:pPr>
            <w:r>
              <w:rPr>
                <w:rFonts w:ascii="Arial" w:cs="Arial" w:eastAsia="Arial" w:hAnsi="Arial"/>
                <w:sz w:val="17"/>
                <w:szCs w:val="17"/>
                <w:color w:val="auto"/>
              </w:rPr>
              <w:t>Weighted Average Common Shares Outstanding</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4,635,117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3,245,551</w:t>
            </w:r>
          </w:p>
        </w:tc>
      </w:tr>
      <w:tr>
        <w:trPr>
          <w:trHeight w:val="200"/>
        </w:trPr>
        <w:tc>
          <w:tcPr>
            <w:tcW w:w="5340" w:type="dxa"/>
            <w:vAlign w:val="bottom"/>
            <w:shd w:val="clear" w:color="auto" w:fill="CCFFCC"/>
          </w:tcPr>
          <w:p>
            <w:pPr>
              <w:ind w:left="160"/>
              <w:spacing w:after="0"/>
              <w:rPr>
                <w:sz w:val="20"/>
                <w:szCs w:val="20"/>
                <w:color w:val="auto"/>
              </w:rPr>
            </w:pPr>
            <w:r>
              <w:rPr>
                <w:rFonts w:ascii="Arial" w:cs="Arial" w:eastAsia="Arial" w:hAnsi="Arial"/>
                <w:sz w:val="17"/>
                <w:szCs w:val="17"/>
                <w:color w:val="auto"/>
              </w:rPr>
              <w:t>Loss per share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(0.43)</w:t>
            </w:r>
          </w:p>
        </w:tc>
        <w:tc>
          <w:tcPr>
            <w:tcW w:w="32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-1845310</wp:posOffset>
            </wp:positionV>
            <wp:extent cx="4837430" cy="135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-1073785</wp:posOffset>
            </wp:positionV>
            <wp:extent cx="4837430" cy="1435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-548640</wp:posOffset>
            </wp:positionV>
            <wp:extent cx="4837430" cy="1670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837430" cy="1670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7" w:name="page268"/>
    <w:bookmarkEnd w:id="2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During the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Development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8"/>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Stage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9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color w:val="auto"/>
              </w:rPr>
              <w:t>—</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Issuance of common stock</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5"/>
              </w:rPr>
              <w:t>5,144,662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5,145,225</w:t>
            </w:r>
          </w:p>
        </w:tc>
      </w:tr>
      <w:tr>
        <w:trPr>
          <w:trHeight w:val="200"/>
        </w:trPr>
        <w:tc>
          <w:tcPr>
            <w:tcW w:w="3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474,118</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474,118</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(2,754,182)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(2,754,182)</w:t>
            </w: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563</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5"/>
              </w:rPr>
              <w:t>5,618,780</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87"/>
              </w:rPr>
              <w:t>(2,754,182)</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b w:val="1"/>
                <w:bCs w:val="1"/>
                <w:color w:val="auto"/>
                <w:w w:val="97"/>
              </w:rPr>
              <w:t>2,865,161</w:t>
            </w:r>
          </w:p>
        </w:tc>
      </w:tr>
      <w:tr>
        <w:trPr>
          <w:trHeight w:val="188"/>
        </w:trPr>
        <w:tc>
          <w:tcPr>
            <w:tcW w:w="3380" w:type="dxa"/>
            <w:vAlign w:val="bottom"/>
          </w:tcPr>
          <w:p>
            <w:pPr>
              <w:ind w:left="160"/>
              <w:spacing w:after="0" w:line="188" w:lineRule="exact"/>
              <w:rPr>
                <w:sz w:val="20"/>
                <w:szCs w:val="20"/>
                <w:color w:val="auto"/>
              </w:rPr>
            </w:pPr>
            <w:r>
              <w:rPr>
                <w:rFonts w:ascii="Arial" w:cs="Arial" w:eastAsia="Arial" w:hAnsi="Arial"/>
                <w:sz w:val="17"/>
                <w:szCs w:val="17"/>
                <w:color w:val="auto"/>
              </w:rPr>
              <w:t>Conversion of Series A preferred stock to</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line="188" w:lineRule="exact"/>
              <w:rPr>
                <w:sz w:val="20"/>
                <w:szCs w:val="20"/>
                <w:color w:val="auto"/>
              </w:rPr>
            </w:pPr>
            <w:r>
              <w:rPr>
                <w:rFonts w:ascii="Arial" w:cs="Arial" w:eastAsia="Arial" w:hAnsi="Arial"/>
                <w:sz w:val="17"/>
                <w:szCs w:val="17"/>
                <w:color w:val="auto"/>
              </w:rPr>
              <w:t>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line="188" w:lineRule="exact"/>
              <w:rPr>
                <w:sz w:val="20"/>
                <w:szCs w:val="20"/>
                <w:color w:val="auto"/>
              </w:rPr>
            </w:pPr>
            <w:r>
              <w:rPr>
                <w:rFonts w:ascii="Arial" w:cs="Arial" w:eastAsia="Arial" w:hAnsi="Arial"/>
                <w:sz w:val="17"/>
                <w:szCs w:val="17"/>
                <w:color w:val="auto"/>
              </w:rPr>
              <w:t>38,734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20"/>
              <w:spacing w:after="0" w:line="188" w:lineRule="exact"/>
              <w:rPr>
                <w:sz w:val="20"/>
                <w:szCs w:val="20"/>
                <w:color w:val="auto"/>
              </w:rPr>
            </w:pPr>
            <w:r>
              <w:rPr>
                <w:rFonts w:ascii="Arial" w:cs="Arial" w:eastAsia="Arial" w:hAnsi="Arial"/>
                <w:sz w:val="17"/>
                <w:szCs w:val="17"/>
                <w:color w:val="auto"/>
              </w:rPr>
              <w:t>38,749</w:t>
            </w:r>
          </w:p>
        </w:tc>
      </w:tr>
      <w:tr>
        <w:trPr>
          <w:trHeight w:val="213"/>
        </w:trPr>
        <w:tc>
          <w:tcPr>
            <w:tcW w:w="3380" w:type="dxa"/>
            <w:vAlign w:val="bottom"/>
          </w:tcPr>
          <w:p>
            <w:pPr>
              <w:ind w:left="34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1"/>
        </w:trPr>
        <w:tc>
          <w:tcPr>
            <w:tcW w:w="3380" w:type="dxa"/>
            <w:vAlign w:val="bottom"/>
            <w:shd w:val="clear" w:color="auto" w:fill="CCFFCC"/>
          </w:tcPr>
          <w:p>
            <w:pPr>
              <w:ind w:left="16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84,255</w:t>
            </w:r>
          </w:p>
        </w:tc>
        <w:tc>
          <w:tcPr>
            <w:tcW w:w="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7"/>
                <w:szCs w:val="17"/>
                <w:color w:val="auto"/>
              </w:rPr>
              <w:t>84,255</w:t>
            </w:r>
          </w:p>
        </w:tc>
      </w:tr>
      <w:tr>
        <w:trPr>
          <w:trHeight w:val="200"/>
        </w:trPr>
        <w:tc>
          <w:tcPr>
            <w:tcW w:w="338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(1,871,750)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(1,871,750)</w:t>
            </w: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3"/>
        </w:trPr>
        <w:tc>
          <w:tcPr>
            <w:tcW w:w="3380" w:type="dxa"/>
            <w:vAlign w:val="bottom"/>
            <w:shd w:val="clear" w:color="auto" w:fill="CCFFCC"/>
          </w:tcPr>
          <w:p>
            <w:pPr>
              <w:spacing w:after="0" w:line="193" w:lineRule="exact"/>
              <w:rPr>
                <w:sz w:val="20"/>
                <w:szCs w:val="20"/>
                <w:color w:val="auto"/>
              </w:rPr>
            </w:pPr>
            <w:r>
              <w:rPr>
                <w:rFonts w:ascii="Arial" w:cs="Arial" w:eastAsia="Arial" w:hAnsi="Arial"/>
                <w:sz w:val="17"/>
                <w:szCs w:val="17"/>
                <w:b w:val="1"/>
                <w:bCs w:val="1"/>
                <w:color w:val="auto"/>
              </w:rPr>
              <w:t>Balance, March 31, 2012 (Unaudited)</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578</w:t>
            </w:r>
          </w:p>
        </w:tc>
        <w:tc>
          <w:tcPr>
            <w:tcW w:w="26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color w:val="auto"/>
              </w:rPr>
              <w:t>$</w:t>
            </w:r>
          </w:p>
        </w:tc>
        <w:tc>
          <w:tcPr>
            <w:tcW w:w="8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5"/>
              </w:rPr>
              <w:t>5,741,769</w:t>
            </w:r>
          </w:p>
        </w:tc>
        <w:tc>
          <w:tcPr>
            <w:tcW w:w="2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b w:val="1"/>
                <w:bCs w:val="1"/>
                <w:u w:val="single" w:color="auto"/>
                <w:color w:val="auto"/>
              </w:rPr>
              <w:t>$</w:t>
            </w:r>
          </w:p>
        </w:tc>
        <w:tc>
          <w:tcPr>
            <w:tcW w:w="88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87"/>
              </w:rPr>
              <w:t>(4,625,932)</w:t>
            </w:r>
          </w:p>
        </w:tc>
        <w:tc>
          <w:tcPr>
            <w:tcW w:w="28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FFCC"/>
          </w:tcPr>
          <w:p>
            <w:pPr>
              <w:jc w:val="right"/>
              <w:ind w:right="120"/>
              <w:spacing w:after="0" w:line="193" w:lineRule="exact"/>
              <w:rPr>
                <w:sz w:val="20"/>
                <w:szCs w:val="20"/>
                <w:color w:val="auto"/>
              </w:rPr>
            </w:pPr>
            <w:r>
              <w:rPr>
                <w:rFonts w:ascii="Arial" w:cs="Arial" w:eastAsia="Arial" w:hAnsi="Arial"/>
                <w:sz w:val="17"/>
                <w:szCs w:val="17"/>
                <w:b w:val="1"/>
                <w:bCs w:val="1"/>
                <w:color w:val="auto"/>
                <w:w w:val="97"/>
              </w:rPr>
              <w:t>1,116,415</w:t>
            </w:r>
          </w:p>
        </w:tc>
      </w:tr>
      <w:tr>
        <w:trPr>
          <w:trHeight w:val="20"/>
        </w:trPr>
        <w:tc>
          <w:tcPr>
            <w:tcW w:w="33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483743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For the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Period from</w:t>
            </w:r>
          </w:p>
        </w:tc>
      </w:tr>
      <w:tr>
        <w:trPr>
          <w:trHeight w:val="138"/>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Three Months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June 8, 2011</w:t>
            </w:r>
          </w:p>
        </w:tc>
      </w:tr>
      <w:tr>
        <w:trPr>
          <w:trHeight w:val="138"/>
        </w:trPr>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Ended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4"/>
              </w:rPr>
              <w:t>(Inception) to</w:t>
            </w:r>
          </w:p>
        </w:tc>
      </w:tr>
      <w:tr>
        <w:trPr>
          <w:trHeight w:val="158"/>
        </w:trPr>
        <w:tc>
          <w:tcPr>
            <w:tcW w:w="536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March 31, 2012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5"/>
              </w:rPr>
              <w:t>March 31, 2011</w:t>
            </w:r>
          </w:p>
        </w:tc>
      </w:tr>
      <w:tr>
        <w:trPr>
          <w:trHeight w:val="193"/>
        </w:trPr>
        <w:tc>
          <w:tcPr>
            <w:tcW w:w="53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w w:val="94"/>
              </w:rPr>
              <w:t>(1,871,750)</w:t>
            </w:r>
          </w:p>
        </w:tc>
        <w:tc>
          <w:tcPr>
            <w:tcW w:w="3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(4,625,932)</w:t>
            </w:r>
          </w:p>
        </w:tc>
      </w:tr>
      <w:tr>
        <w:trPr>
          <w:trHeight w:val="188"/>
        </w:trPr>
        <w:tc>
          <w:tcPr>
            <w:tcW w:w="5360" w:type="dxa"/>
            <w:vAlign w:val="bottom"/>
            <w:shd w:val="clear" w:color="auto" w:fill="CCFFCC"/>
          </w:tcPr>
          <w:p>
            <w:pPr>
              <w:ind w:left="160"/>
              <w:spacing w:after="0" w:line="188" w:lineRule="exact"/>
              <w:rPr>
                <w:sz w:val="20"/>
                <w:szCs w:val="20"/>
                <w:color w:val="auto"/>
              </w:rPr>
            </w:pPr>
            <w:r>
              <w:rPr>
                <w:rFonts w:ascii="Arial" w:cs="Arial" w:eastAsia="Arial" w:hAnsi="Arial"/>
                <w:sz w:val="17"/>
                <w:szCs w:val="17"/>
                <w:color w:val="auto"/>
                <w:w w:val="93"/>
              </w:rPr>
              <w:t>Adjustments to reconcile net loss to net cash used in operating activities –</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3"/>
        </w:trPr>
        <w:tc>
          <w:tcPr>
            <w:tcW w:w="5360" w:type="dxa"/>
            <w:vAlign w:val="bottom"/>
            <w:shd w:val="clear" w:color="auto" w:fill="CCFFCC"/>
          </w:tcPr>
          <w:p>
            <w:pPr>
              <w:ind w:left="380"/>
              <w:spacing w:after="0"/>
              <w:rPr>
                <w:sz w:val="20"/>
                <w:szCs w:val="20"/>
                <w:color w:val="auto"/>
              </w:rPr>
            </w:pPr>
            <w:r>
              <w:rPr>
                <w:rFonts w:ascii="Arial" w:cs="Arial" w:eastAsia="Arial" w:hAnsi="Arial"/>
                <w:sz w:val="17"/>
                <w:szCs w:val="17"/>
                <w:color w:val="auto"/>
              </w:rPr>
              <w:t>noncash expenses: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0"/>
        </w:trPr>
        <w:tc>
          <w:tcPr>
            <w:tcW w:w="5360" w:type="dxa"/>
            <w:vAlign w:val="bottom"/>
          </w:tcPr>
          <w:p>
            <w:pPr>
              <w:ind w:left="340"/>
              <w:spacing w:after="0"/>
              <w:rPr>
                <w:sz w:val="20"/>
                <w:szCs w:val="20"/>
                <w:color w:val="auto"/>
              </w:rPr>
            </w:pPr>
            <w:r>
              <w:rPr>
                <w:rFonts w:ascii="Arial" w:cs="Arial" w:eastAsia="Arial" w:hAnsi="Arial"/>
                <w:sz w:val="17"/>
                <w:szCs w:val="17"/>
                <w:color w:val="auto"/>
              </w:rPr>
              <w:t>Amortization and depreciation</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156,137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484,415</w:t>
            </w:r>
          </w:p>
        </w:tc>
      </w:tr>
      <w:tr>
        <w:trPr>
          <w:trHeight w:val="200"/>
        </w:trPr>
        <w:tc>
          <w:tcPr>
            <w:tcW w:w="5360" w:type="dxa"/>
            <w:vAlign w:val="bottom"/>
            <w:shd w:val="clear" w:color="auto" w:fill="CCFFCC"/>
          </w:tcPr>
          <w:p>
            <w:pPr>
              <w:ind w:left="340"/>
              <w:spacing w:after="0"/>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84,255</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558,373</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Increase in prepaid assets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(9,958)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(35,844)</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Increase in other current assets</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(4,269)</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(4,269)</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Increase in accounts payable and accrued liabilities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417,790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866,255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4"/>
              </w:rPr>
              <w:t>(1,227,795)</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(2,757,002)</w:t>
            </w:r>
          </w:p>
        </w:tc>
      </w:tr>
      <w:tr>
        <w:trPr>
          <w:trHeight w:val="193"/>
        </w:trPr>
        <w:tc>
          <w:tcPr>
            <w:tcW w:w="536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Purchase of intangible assets</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(3,395,187)</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Purchase of fixed assets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(4,676)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(13,365)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(4,676)</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(3,408,552)</w:t>
            </w:r>
          </w:p>
        </w:tc>
      </w:tr>
      <w:tr>
        <w:trPr>
          <w:trHeight w:val="193"/>
        </w:trPr>
        <w:tc>
          <w:tcPr>
            <w:tcW w:w="5360" w:type="dxa"/>
            <w:vAlign w:val="bottom"/>
            <w:tcBorders>
              <w:top w:val="single" w:sz="8" w:color="CCFFCC"/>
            </w:tcBorders>
          </w:tcPr>
          <w:p>
            <w:pPr>
              <w:spacing w:after="0" w:line="193" w:lineRule="exact"/>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Proceeds from note payable</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3,200,000</w:t>
            </w:r>
          </w:p>
        </w:tc>
      </w:tr>
      <w:tr>
        <w:trPr>
          <w:trHeight w:val="200"/>
        </w:trPr>
        <w:tc>
          <w:tcPr>
            <w:tcW w:w="5360" w:type="dxa"/>
            <w:vAlign w:val="bottom"/>
          </w:tcPr>
          <w:p>
            <w:pPr>
              <w:ind w:left="160"/>
              <w:spacing w:after="0"/>
              <w:rPr>
                <w:sz w:val="20"/>
                <w:szCs w:val="20"/>
                <w:color w:val="auto"/>
              </w:rPr>
            </w:pPr>
            <w:r>
              <w:rPr>
                <w:rFonts w:ascii="Arial" w:cs="Arial" w:eastAsia="Arial" w:hAnsi="Arial"/>
                <w:sz w:val="17"/>
                <w:szCs w:val="17"/>
                <w:color w:val="auto"/>
              </w:rPr>
              <w:t>Proceeds from issuance of preferred stock</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1,800,000</w:t>
            </w:r>
          </w:p>
        </w:tc>
      </w:tr>
      <w:tr>
        <w:trPr>
          <w:trHeight w:val="20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Borders>
              <w:left w:val="single" w:sz="8" w:color="CCFFCC"/>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5,145,225</w:t>
            </w:r>
          </w:p>
        </w:tc>
      </w:tr>
      <w:tr>
        <w:trPr>
          <w:trHeight w:val="20"/>
        </w:trPr>
        <w:tc>
          <w:tcPr>
            <w:tcW w:w="53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5360" w:type="dxa"/>
            <w:vAlign w:val="bottom"/>
          </w:tcPr>
          <w:p>
            <w:pPr>
              <w:ind w:left="340"/>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10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10,145,225</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5360" w:type="dxa"/>
            <w:vAlign w:val="bottom"/>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Increase (decrease) in cash and cash equivalents</w:t>
            </w:r>
          </w:p>
        </w:tc>
        <w:tc>
          <w:tcPr>
            <w:tcW w:w="10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94"/>
              </w:rPr>
              <w:t>(1,232,471)</w:t>
            </w:r>
          </w:p>
        </w:tc>
        <w:tc>
          <w:tcPr>
            <w:tcW w:w="200" w:type="dxa"/>
            <w:vAlign w:val="bottom"/>
            <w:tcBorders>
              <w:left w:val="single" w:sz="8" w:color="CCFFCC"/>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3,979,671</w:t>
            </w:r>
          </w:p>
        </w:tc>
      </w:tr>
      <w:tr>
        <w:trPr>
          <w:trHeight w:val="200"/>
        </w:trPr>
        <w:tc>
          <w:tcPr>
            <w:tcW w:w="5360" w:type="dxa"/>
            <w:vAlign w:val="bottom"/>
          </w:tcPr>
          <w:p>
            <w:pPr>
              <w:spacing w:after="0"/>
              <w:rPr>
                <w:sz w:val="20"/>
                <w:szCs w:val="20"/>
                <w:color w:val="auto"/>
              </w:rPr>
            </w:pPr>
            <w:r>
              <w:rPr>
                <w:rFonts w:ascii="Arial" w:cs="Arial" w:eastAsia="Arial" w:hAnsi="Arial"/>
                <w:sz w:val="17"/>
                <w:szCs w:val="17"/>
                <w:color w:val="auto"/>
              </w:rPr>
              <w:t>Cash and Cash Equivalents Balance, beginning of period</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5,212,142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r>
      <w:tr>
        <w:trPr>
          <w:trHeight w:val="20"/>
        </w:trPr>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536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Cash and Cash Equivalents Balance, end of period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3,979,671</w:t>
            </w:r>
          </w:p>
        </w:tc>
        <w:tc>
          <w:tcPr>
            <w:tcW w:w="200" w:type="dxa"/>
            <w:vAlign w:val="bottom"/>
            <w:tcBorders>
              <w:left w:val="single" w:sz="8" w:color="CCFFCC"/>
            </w:tcBorders>
            <w:shd w:val="clear" w:color="auto" w:fill="CCFFCC"/>
          </w:tcPr>
          <w:p>
            <w:pPr>
              <w:spacing w:after="0"/>
              <w:rPr>
                <w:sz w:val="20"/>
                <w:szCs w:val="20"/>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100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3,979,671</w:t>
            </w:r>
          </w:p>
        </w:tc>
      </w:tr>
      <w:tr>
        <w:trPr>
          <w:trHeight w:val="191"/>
        </w:trPr>
        <w:tc>
          <w:tcPr>
            <w:tcW w:w="536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color w:val="auto"/>
              </w:rPr>
              <w:t>Supplemental Disclosure of Cash Flow Information</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4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3,680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11,408</w:t>
            </w:r>
          </w:p>
        </w:tc>
      </w:tr>
      <w:tr>
        <w:trPr>
          <w:trHeight w:val="191"/>
        </w:trPr>
        <w:tc>
          <w:tcPr>
            <w:tcW w:w="5360" w:type="dxa"/>
            <w:vAlign w:val="bottom"/>
            <w:tcBorders>
              <w:top w:val="single" w:sz="8" w:color="CCFFCC"/>
            </w:tcBorders>
          </w:tcPr>
          <w:p>
            <w:pPr>
              <w:spacing w:after="0" w:line="191" w:lineRule="exact"/>
              <w:rPr>
                <w:sz w:val="20"/>
                <w:szCs w:val="20"/>
                <w:color w:val="auto"/>
              </w:rPr>
            </w:pPr>
            <w:r>
              <w:rPr>
                <w:rFonts w:ascii="Arial" w:cs="Arial" w:eastAsia="Arial" w:hAnsi="Arial"/>
                <w:sz w:val="17"/>
                <w:szCs w:val="17"/>
                <w:color w:val="auto"/>
              </w:rPr>
              <w:t>Noncash investing and financing activities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r>
      <w:tr>
        <w:trPr>
          <w:trHeight w:val="220"/>
        </w:trPr>
        <w:tc>
          <w:tcPr>
            <w:tcW w:w="5360" w:type="dxa"/>
            <w:vAlign w:val="bottom"/>
            <w:shd w:val="clear" w:color="auto" w:fill="CCFFCC"/>
          </w:tcPr>
          <w:p>
            <w:pPr>
              <w:ind w:left="160"/>
              <w:spacing w:after="0"/>
              <w:rPr>
                <w:sz w:val="20"/>
                <w:szCs w:val="20"/>
                <w:color w:val="auto"/>
              </w:rPr>
            </w:pPr>
            <w:r>
              <w:rPr>
                <w:rFonts w:ascii="Arial" w:cs="Arial" w:eastAsia="Arial" w:hAnsi="Arial"/>
                <w:sz w:val="17"/>
                <w:szCs w:val="17"/>
                <w:color w:val="auto"/>
              </w:rPr>
              <w:t>Coversion of Series A preferred stock to common stock</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rPr>
              <w:t>38,749</w:t>
            </w:r>
          </w:p>
        </w:tc>
        <w:tc>
          <w:tcPr>
            <w:tcW w:w="200" w:type="dxa"/>
            <w:vAlign w:val="bottom"/>
            <w:tcBorders>
              <w:left w:val="single" w:sz="8" w:color="CCFFCC"/>
            </w:tcBorders>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38,749</w:t>
            </w: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-2179320</wp:posOffset>
            </wp:positionV>
            <wp:extent cx="4837430" cy="135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-1654175</wp:posOffset>
            </wp:positionV>
            <wp:extent cx="4837430" cy="135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-1137285</wp:posOffset>
            </wp:positionV>
            <wp:extent cx="4837430" cy="1435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-603885</wp:posOffset>
            </wp:positionV>
            <wp:extent cx="4837430" cy="1593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-317500</wp:posOffset>
            </wp:positionV>
            <wp:extent cx="4837430" cy="1593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69" w:name="page270"/>
    <w:bookmarkEnd w:id="2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Nature of Business and Basis of Presentation</w:t>
      </w:r>
    </w:p>
    <w:p>
      <w:pPr>
        <w:jc w:val="both"/>
        <w:ind w:left="40" w:right="1239" w:firstLine="251"/>
        <w:spacing w:after="0" w:line="266" w:lineRule="auto"/>
        <w:rPr>
          <w:sz w:val="20"/>
          <w:szCs w:val="20"/>
          <w:color w:val="auto"/>
        </w:rPr>
      </w:pPr>
      <w:r>
        <w:rPr>
          <w:rFonts w:ascii="Arial" w:cs="Arial" w:eastAsia="Arial" w:hAnsi="Arial"/>
          <w:sz w:val="16"/>
          <w:szCs w:val="16"/>
          <w:b w:val="1"/>
          <w:bCs w:val="1"/>
          <w:i w:val="1"/>
          <w:iCs w:val="1"/>
          <w:color w:val="auto"/>
        </w:rPr>
        <w:t xml:space="preserve">Nature of business: </w:t>
      </w:r>
      <w:r>
        <w:rPr>
          <w:rFonts w:ascii="Arial" w:cs="Arial" w:eastAsia="Arial" w:hAnsi="Arial"/>
          <w:sz w:val="16"/>
          <w:szCs w:val="16"/>
          <w:color w:val="auto"/>
        </w:rPr>
        <w:t>Innovate/Protect, Inc. (“I/P”) was incorporated under the laws of the state of Delaware on June 8,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(“Inception”), as Labrador Search Corporation. On September 6, 2011, Labrador Search Corporation changed its name to Innovate/Protect, Inc. I/P is a holding company, which, at March 31,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6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On March 12, 2012, the Company, Vringo, Inc. (“Vringo”), and VIP Merger Sub, Inc., a wholly-owned subsidiary of Vringo (“Merger Sub”), entered into a Merger Agreement (as may be amended or modified, the “Merger Agreement”), pursuant to which the Company will merge with and into Merger Sub, with Merger Sub surviving the merger as a wholly-owned subsidiary of Vringo (the “Merger”). The board of directors of the Company unanimously approved the Merger Agreement and the Merger. In addition, the board of directors of Vringo unanimously approved the Merger Agreement and the Merger.</w:t>
      </w:r>
    </w:p>
    <w:p>
      <w:pPr>
        <w:spacing w:after="0" w:line="68"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Pursuant to the terms of the Merger Agreement, upon completion of the Merger, (i) each share of then-outstanding common stock of the Company (other than shares held by Vringo, the Company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the Company, or Company preferred stock (total 6,818 shares outstanding), (other than shares held by Vringo, the Company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the Company’s capital stock with the same economic benefit as contemplated by the Merger Agreement prior to any such reverse stock split. In addition, at the effective time of the Merger, Vringo will issue to the holders of the Company capital stock and the holder of the Company’s issued and outstanding warrant to purchase 250,000 shares of the Company’s common stock (on a pro rata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the Company’s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the Company shall each be ratably adjusted to give effect to any partial exercise of such warrant prior to the effective time of the Merger. Finally, at the effective time of the Merger, all outstanding and unexercised options to purchase the Company’s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Basis of Presentation – (continued)</w:t>
      </w:r>
    </w:p>
    <w:p>
      <w:pPr>
        <w:jc w:val="both"/>
        <w:ind w:left="40" w:right="1239" w:firstLine="251"/>
        <w:spacing w:after="0" w:line="285" w:lineRule="auto"/>
        <w:rPr>
          <w:sz w:val="20"/>
          <w:szCs w:val="20"/>
          <w:color w:val="auto"/>
        </w:rPr>
      </w:pPr>
      <w:r>
        <w:rPr>
          <w:rFonts w:ascii="Arial" w:cs="Arial" w:eastAsia="Arial" w:hAnsi="Arial"/>
          <w:sz w:val="15"/>
          <w:szCs w:val="15"/>
          <w:color w:val="auto"/>
        </w:rPr>
        <w:t>The accompanying consolidated financial statements and related notes should be read in conjunction with our consolidated financial statements and related notes for the year ended December 31, 2011 (“2011”) contained in this registration statement on Form S-4.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three month period ended March 31, 2012 are not necessarily indicative of the results that may be expected for the full fiscal year.</w:t>
      </w:r>
    </w:p>
    <w:p>
      <w:pPr>
        <w:spacing w:after="0" w:line="6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I/P and the Subsidiaries.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context otherwise indicates, the terms “I/P” or the “Company” mean Innovate/Protect, Inc. and its consolidated subsidiaries. All intercompany balances and transactions have been eliminated in consolidation.</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Estimates and assumptions: </w:t>
      </w:r>
      <w:r>
        <w:rPr>
          <w:rFonts w:ascii="Arial" w:cs="Arial" w:eastAsia="Arial" w:hAnsi="Arial"/>
          <w:sz w:val="16"/>
          <w:szCs w:val="16"/>
          <w:color w:val="auto"/>
        </w:rPr>
        <w:t>The preparation of financial statements in conformity with accounting principles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Development stage: </w:t>
      </w:r>
      <w:r>
        <w:rPr>
          <w:rFonts w:ascii="Arial" w:cs="Arial" w:eastAsia="Arial" w:hAnsi="Arial"/>
          <w:sz w:val="17"/>
          <w:szCs w:val="17"/>
          <w:color w:val="auto"/>
        </w:rPr>
        <w:t>The Company is in the development stage and had not generated revenue for the period from inception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2012.</w:t>
      </w:r>
    </w:p>
    <w:p>
      <w:pPr>
        <w:spacing w:after="0" w:line="66"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period ended March 31, 2012, the Company incurred net losses and therefore no common stock equivalents were utilized in the calculation of earnings per share.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March 31, 2012, the Company excluded the following potentially dilutive securities:</w:t>
      </w:r>
    </w:p>
    <w:p>
      <w:pPr>
        <w:spacing w:after="0" w:line="105" w:lineRule="exact"/>
        <w:rPr>
          <w:sz w:val="20"/>
          <w:szCs w:val="20"/>
          <w:color w:val="auto"/>
        </w:rPr>
      </w:pPr>
    </w:p>
    <w:p>
      <w:pPr>
        <w:ind w:left="560" w:right="1239" w:hanging="300"/>
        <w:spacing w:after="0" w:line="267" w:lineRule="auto"/>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Preferred Stock, Series A Convertible, $.0001 par value; liquidation value $1,250 per share; 6,968 shares authorized; 6,818 issued and outstanding.</w:t>
      </w:r>
    </w:p>
    <w:p>
      <w:pPr>
        <w:spacing w:after="0" w:line="66"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Warrants to purchase 250,000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Options to purchase 13,646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1,054,977 shares of common stock granted, but not vested.</w:t>
      </w:r>
    </w:p>
    <w:p>
      <w:pPr>
        <w:spacing w:after="0" w:line="200" w:lineRule="exact"/>
        <w:rPr>
          <w:sz w:val="20"/>
          <w:szCs w:val="20"/>
          <w:color w:val="auto"/>
        </w:rPr>
      </w:pPr>
    </w:p>
    <w:p>
      <w:pPr>
        <w:spacing w:after="0" w:line="33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2. Liquidity and Capital Resources, Going Concern</w:t>
      </w:r>
    </w:p>
    <w:p>
      <w:pPr>
        <w:jc w:val="both"/>
        <w:ind w:left="40" w:right="1239" w:firstLine="251"/>
        <w:spacing w:after="0" w:line="267" w:lineRule="auto"/>
        <w:rPr>
          <w:sz w:val="20"/>
          <w:szCs w:val="20"/>
          <w:color w:val="auto"/>
        </w:rPr>
      </w:pPr>
      <w:r>
        <w:rPr>
          <w:rFonts w:ascii="Arial" w:cs="Arial" w:eastAsia="Arial" w:hAnsi="Arial"/>
          <w:sz w:val="17"/>
          <w:szCs w:val="17"/>
          <w:color w:val="auto"/>
        </w:rPr>
        <w:t>As a development stage company, the Company requires significant amounts of capital to support its operations during the period prior to the commencement of a revenue stream or other liquidity events.</w:t>
      </w:r>
    </w:p>
    <w:p>
      <w:pPr>
        <w:spacing w:after="0" w:line="6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As of March 31, 2012 the Company had cash of $3,979,671 and working capital of $1,153,529. During the period from inception through March 31, 2012,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12 months.</w:t>
      </w:r>
    </w:p>
    <w:p>
      <w:pPr>
        <w:spacing w:after="0" w:line="6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For the period from inception through March 31, 2012, the Company used $6,165,554 of net cash to fund operating activities and to invest in tangible personal and intangible intellectual property. During the period, the Company borrowed $3,200,000 through the issuance of a promissory note.</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3. Note Payable — Related Party</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is obligated under a note payable to Hudson Bay Master Fund, LP (“Hudson Bay”) with an outstanding balance of $3,200,000 at March 31, 2012 (the “Hudson Bay Note”). At March 31, 2012, Hudson Bay owned 95%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1"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Hudson Bay has the option of requiring the Company to redeem up to $2,000,000 aggregate principal of the Hudson Bay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w:t>
      </w:r>
    </w:p>
    <w:p>
      <w:pPr>
        <w:spacing w:after="0" w:line="200" w:lineRule="exact"/>
        <w:rPr>
          <w:sz w:val="20"/>
          <w:szCs w:val="20"/>
          <w:color w:val="auto"/>
        </w:rPr>
      </w:pPr>
    </w:p>
    <w:p>
      <w:pPr>
        <w:spacing w:after="0" w:line="27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3. Note Payable — Related Party – (continued)</w:t>
      </w:r>
    </w:p>
    <w:p>
      <w:pPr>
        <w:jc w:val="both"/>
        <w:ind w:left="40" w:right="1239"/>
        <w:spacing w:after="0" w:line="267" w:lineRule="auto"/>
        <w:rPr>
          <w:sz w:val="20"/>
          <w:szCs w:val="20"/>
          <w:color w:val="auto"/>
        </w:rPr>
      </w:pPr>
      <w:r>
        <w:rPr>
          <w:rFonts w:ascii="Arial" w:cs="Arial" w:eastAsia="Arial" w:hAnsi="Arial"/>
          <w:sz w:val="17"/>
          <w:szCs w:val="17"/>
          <w:color w:val="auto"/>
        </w:rPr>
        <w:t>Note in the event of a change of control or in event of default at a redemption price, pursuant to a formula, of up to 125% of the sum of the portion of the principal amount and any accrued and unpaid interest.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March 31, 2012, there were no known conditions of default.</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Company determined there was an embedded derivative since certain redemption options were determined not to be clearly and closely related to the debt host. The Company also determined that the fair value of the embedded derivative was zero at March 31, 2012 since the probability of change in control or event of default in the near future is remote. Hudson Bay has agreed that the Company’s execution and delivery of the Agreement and Plan of Merger, dated as of March 12, 2012, with Vringo, Inc., and VIP Merger Sub, Inc. does not constitute a Change of Control (as defined in the Note). The gross amount the Company would have to pay if this redemption option is exercised would be $800,000.</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 will evaluate the fair value each reporting period and report changes in the fair value as other income (expense),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4. Series A Convertible Preferred Stock</w:t>
      </w:r>
    </w:p>
    <w:p>
      <w:pPr>
        <w:spacing w:after="0" w:line="109"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7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Series A Preferred Stock is classified as mezzanine because certain Triggering Events may occur outside the control of the Company.</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During the period ending March 31, 2012, Hudson Bay sold 494 shares of its Series A Preferred Stock to third party investors.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Subsequently, 150 shares of the Series A Preferred Stock were converted to 150,000 shares of common stock.</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Stock-Based Compensation</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March 31, 2012, 946,354 shares are available for future grant.</w:t>
      </w:r>
    </w:p>
    <w:p>
      <w:pPr>
        <w:spacing w:after="0" w:line="200" w:lineRule="exact"/>
        <w:rPr>
          <w:sz w:val="20"/>
          <w:szCs w:val="20"/>
          <w:color w:val="auto"/>
        </w:rPr>
      </w:pPr>
    </w:p>
    <w:p>
      <w:pPr>
        <w:spacing w:after="0" w:line="26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3" w:name="page274"/>
    <w:bookmarkEnd w:id="2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5. Stock-Based Compensation – (continued)</w:t>
      </w:r>
    </w:p>
    <w:p>
      <w:pPr>
        <w:ind w:left="40" w:right="1239" w:firstLine="251"/>
        <w:spacing w:after="0" w:line="267" w:lineRule="auto"/>
        <w:rPr>
          <w:sz w:val="20"/>
          <w:szCs w:val="20"/>
          <w:color w:val="auto"/>
        </w:rPr>
      </w:pPr>
      <w:r>
        <w:rPr>
          <w:rFonts w:ascii="Arial" w:cs="Arial" w:eastAsia="Arial" w:hAnsi="Arial"/>
          <w:sz w:val="17"/>
          <w:szCs w:val="17"/>
          <w:color w:val="auto"/>
        </w:rPr>
        <w:t>The table below illustrates the grants of common stock and the sales of common stock at less than fair value made during the periods ended March 31, 2012.</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574484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4484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74484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74484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9"/>
              </w:rPr>
              <w:t>Grant,</w:t>
            </w:r>
          </w:p>
        </w:tc>
        <w:tc>
          <w:tcPr>
            <w:tcW w:w="60" w:type="dxa"/>
            <w:vAlign w:val="bottom"/>
          </w:tcPr>
          <w:p>
            <w:pPr>
              <w:spacing w:after="0"/>
              <w:rPr>
                <w:sz w:val="13"/>
                <w:szCs w:val="13"/>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7"/>
              </w:rPr>
              <w:t>Total Value</w:t>
            </w:r>
          </w:p>
        </w:tc>
        <w:tc>
          <w:tcPr>
            <w:tcW w:w="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1"/>
              </w:rPr>
              <w:t>Total Stock</w:t>
            </w:r>
          </w:p>
        </w:tc>
        <w:tc>
          <w:tcPr>
            <w:tcW w:w="4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4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
              <w:spacing w:after="0" w:line="138" w:lineRule="exact"/>
              <w:rPr>
                <w:sz w:val="20"/>
                <w:szCs w:val="20"/>
                <w:color w:val="auto"/>
              </w:rPr>
            </w:pPr>
            <w:r>
              <w:rPr>
                <w:rFonts w:ascii="Arial" w:cs="Arial" w:eastAsia="Arial" w:hAnsi="Arial"/>
                <w:sz w:val="13"/>
                <w:szCs w:val="13"/>
                <w:b w:val="1"/>
                <w:bCs w:val="1"/>
                <w:color w:val="auto"/>
                <w:w w:val="97"/>
              </w:rPr>
              <w:t>at Grant,</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9"/>
              </w:rPr>
              <w:t>Paid for</w:t>
            </w: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Based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Recognized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Recognized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20"/>
              <w:spacing w:after="0" w:line="138" w:lineRule="exact"/>
              <w:rPr>
                <w:sz w:val="20"/>
                <w:szCs w:val="20"/>
                <w:color w:val="auto"/>
              </w:rPr>
            </w:pPr>
            <w:r>
              <w:rPr>
                <w:rFonts w:ascii="Arial" w:cs="Arial" w:eastAsia="Arial" w:hAnsi="Arial"/>
                <w:sz w:val="13"/>
                <w:szCs w:val="13"/>
                <w:b w:val="1"/>
                <w:bCs w:val="1"/>
                <w:color w:val="auto"/>
                <w:w w:val="92"/>
              </w:rPr>
              <w:t>Shares</w:t>
            </w:r>
          </w:p>
        </w:tc>
        <w:tc>
          <w:tcPr>
            <w:tcW w:w="6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01/01/12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Inception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03/31/12</w:t>
            </w:r>
          </w:p>
        </w:tc>
        <w:tc>
          <w:tcPr>
            <w:tcW w:w="80" w:type="dxa"/>
            <w:vAlign w:val="bottom"/>
          </w:tcPr>
          <w:p>
            <w:pPr>
              <w:spacing w:after="0"/>
              <w:rPr>
                <w:sz w:val="11"/>
                <w:szCs w:val="11"/>
                <w:color w:val="auto"/>
              </w:rPr>
            </w:pPr>
          </w:p>
        </w:tc>
      </w:tr>
      <w:tr>
        <w:trPr>
          <w:trHeight w:val="138"/>
        </w:trPr>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through</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through</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1"/>
        </w:trPr>
        <w:tc>
          <w:tcPr>
            <w:tcW w:w="1080" w:type="dxa"/>
            <w:vAlign w:val="bottom"/>
            <w:gridSpan w:val="2"/>
            <w:shd w:val="clear" w:color="auto" w:fill="CCFFCC"/>
          </w:tcPr>
          <w:p>
            <w:pPr>
              <w:spacing w:after="0" w:line="231" w:lineRule="exact"/>
              <w:rPr>
                <w:sz w:val="20"/>
                <w:szCs w:val="20"/>
                <w:color w:val="auto"/>
              </w:rPr>
            </w:pPr>
            <w:r>
              <w:rPr>
                <w:rFonts w:ascii="Arial" w:cs="Arial" w:eastAsia="Arial" w:hAnsi="Arial"/>
                <w:sz w:val="16"/>
                <w:szCs w:val="16"/>
                <w:color w:val="auto"/>
              </w:rPr>
              <w:t>Consultant</w:t>
            </w:r>
            <w:r>
              <w:rPr>
                <w:rFonts w:ascii="Arial" w:cs="Arial" w:eastAsia="Arial" w:hAnsi="Arial"/>
                <w:sz w:val="26"/>
                <w:szCs w:val="26"/>
                <w:color w:val="auto"/>
                <w:vertAlign w:val="superscript"/>
              </w:rPr>
              <w:t>(1)</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6/22/2011</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4"/>
              </w:rPr>
              <w:t>0.25832</w:t>
            </w:r>
          </w:p>
        </w:tc>
        <w:tc>
          <w:tcPr>
            <w:tcW w:w="60" w:type="dxa"/>
            <w:vAlign w:val="bottom"/>
            <w:shd w:val="clear" w:color="auto" w:fill="CCFFCC"/>
          </w:tcPr>
          <w:p>
            <w:pPr>
              <w:spacing w:after="0"/>
              <w:rPr>
                <w:sz w:val="20"/>
                <w:szCs w:val="20"/>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7"/>
                <w:szCs w:val="17"/>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FFCC"/>
          </w:tcPr>
          <w:p>
            <w:pPr>
              <w:spacing w:after="0"/>
              <w:rPr>
                <w:sz w:val="20"/>
                <w:szCs w:val="20"/>
                <w:color w:val="auto"/>
              </w:rPr>
            </w:pPr>
          </w:p>
        </w:tc>
        <w:tc>
          <w:tcPr>
            <w:tcW w:w="940" w:type="dxa"/>
            <w:vAlign w:val="bottom"/>
            <w:shd w:val="clear" w:color="auto" w:fill="CCFFCC"/>
          </w:tcPr>
          <w:p>
            <w:pPr>
              <w:jc w:val="right"/>
              <w:ind w:right="9"/>
              <w:spacing w:after="0"/>
              <w:rPr>
                <w:sz w:val="20"/>
                <w:szCs w:val="20"/>
                <w:color w:val="auto"/>
              </w:rPr>
            </w:pPr>
            <w:r>
              <w:rPr>
                <w:rFonts w:ascii="Arial" w:cs="Arial" w:eastAsia="Arial" w:hAnsi="Arial"/>
                <w:sz w:val="17"/>
                <w:szCs w:val="17"/>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17,188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66,257</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153,160</w:t>
            </w:r>
          </w:p>
        </w:tc>
      </w:tr>
      <w:tr>
        <w:trPr>
          <w:trHeight w:val="200"/>
        </w:trPr>
        <w:tc>
          <w:tcPr>
            <w:tcW w:w="1080" w:type="dxa"/>
            <w:vAlign w:val="bottom"/>
            <w:gridSpan w:val="2"/>
          </w:tcPr>
          <w:p>
            <w:pPr>
              <w:spacing w:after="0"/>
              <w:rPr>
                <w:sz w:val="20"/>
                <w:szCs w:val="20"/>
                <w:color w:val="auto"/>
              </w:rPr>
            </w:pPr>
            <w:r>
              <w:rPr>
                <w:rFonts w:ascii="Arial" w:cs="Arial" w:eastAsia="Arial" w:hAnsi="Arial"/>
                <w:sz w:val="17"/>
                <w:szCs w:val="17"/>
                <w:color w:val="auto"/>
              </w:rPr>
              <w:t>Exec. Officer</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6/22/2011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2,115,625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4"/>
              </w:rPr>
              <w:t>0.25832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546,508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212</w:t>
            </w:r>
          </w:p>
        </w:tc>
        <w:tc>
          <w:tcPr>
            <w:tcW w:w="1000" w:type="dxa"/>
            <w:vAlign w:val="bottom"/>
            <w:gridSpan w:val="2"/>
          </w:tcPr>
          <w:p>
            <w:pPr>
              <w:jc w:val="right"/>
              <w:ind w:right="9"/>
              <w:spacing w:after="0"/>
              <w:rPr>
                <w:sz w:val="20"/>
                <w:szCs w:val="20"/>
                <w:color w:val="auto"/>
              </w:rPr>
            </w:pPr>
            <w:r>
              <w:rPr>
                <w:rFonts w:ascii="Arial" w:cs="Arial" w:eastAsia="Arial" w:hAnsi="Arial"/>
                <w:sz w:val="17"/>
                <w:szCs w:val="17"/>
                <w:color w:val="auto"/>
              </w:rPr>
              <w:t>546,254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20,172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366,501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179,753</w:t>
            </w:r>
          </w:p>
        </w:tc>
      </w:tr>
      <w:tr>
        <w:trPr>
          <w:trHeight w:val="200"/>
        </w:trPr>
        <w:tc>
          <w:tcPr>
            <w:tcW w:w="108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Exec. Officer</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8/10/2011</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7"/>
                <w:szCs w:val="17"/>
                <w:color w:val="auto"/>
                <w:w w:val="94"/>
              </w:rPr>
              <w:t>0.25832</w:t>
            </w: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161,450</w:t>
            </w: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FFCC"/>
          </w:tcPr>
          <w:p>
            <w:pPr>
              <w:jc w:val="right"/>
              <w:ind w:right="9"/>
              <w:spacing w:after="0"/>
              <w:rPr>
                <w:sz w:val="20"/>
                <w:szCs w:val="20"/>
                <w:color w:val="auto"/>
              </w:rPr>
            </w:pPr>
            <w:r>
              <w:rPr>
                <w:rFonts w:ascii="Arial" w:cs="Arial" w:eastAsia="Arial" w:hAnsi="Arial"/>
                <w:sz w:val="17"/>
                <w:szCs w:val="17"/>
                <w:color w:val="auto"/>
              </w:rPr>
              <w:t>161,450</w:t>
            </w:r>
          </w:p>
        </w:tc>
        <w:tc>
          <w:tcPr>
            <w:tcW w:w="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26,896</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68,796</w:t>
            </w: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92,654</w:t>
            </w:r>
          </w:p>
        </w:tc>
      </w:tr>
      <w:tr>
        <w:trPr>
          <w:trHeight w:val="200"/>
        </w:trPr>
        <w:tc>
          <w:tcPr>
            <w:tcW w:w="108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w w:val="98"/>
              </w:rPr>
              <w:t>11/07/2011</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9"/>
              <w:spacing w:after="0"/>
              <w:rPr>
                <w:sz w:val="20"/>
                <w:szCs w:val="20"/>
                <w:color w:val="auto"/>
              </w:rPr>
            </w:pPr>
            <w:r>
              <w:rPr>
                <w:rFonts w:ascii="Arial" w:cs="Arial" w:eastAsia="Arial" w:hAnsi="Arial"/>
                <w:sz w:val="17"/>
                <w:szCs w:val="17"/>
                <w:color w:val="auto"/>
              </w:rPr>
              <w:t>120,000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19,999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31,781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88,219</w:t>
            </w: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90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64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84,255</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533,335</w:t>
            </w:r>
          </w:p>
        </w:tc>
        <w:tc>
          <w:tcPr>
            <w:tcW w:w="1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513,786</w:t>
            </w:r>
          </w:p>
        </w:tc>
      </w:tr>
      <w:tr>
        <w:trPr>
          <w:trHeight w:val="248"/>
        </w:trPr>
        <w:tc>
          <w:tcPr>
            <w:tcW w:w="900" w:type="dxa"/>
            <w:vAlign w:val="bottom"/>
            <w:tcBorders>
              <w:top w:val="single" w:sz="8" w:color="CCFFCC"/>
              <w:bottom w:val="single" w:sz="8" w:color="auto"/>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8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6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74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5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4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-182245</wp:posOffset>
            </wp:positionV>
            <wp:extent cx="574484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44845" cy="8255"/>
                    </a:xfrm>
                    <a:prstGeom prst="rect">
                      <a:avLst/>
                    </a:prstGeom>
                    <a:noFill/>
                  </pic:spPr>
                </pic:pic>
              </a:graphicData>
            </a:graphic>
          </wp:anchor>
        </w:drawing>
      </w:r>
    </w:p>
    <w:p>
      <w:pPr>
        <w:spacing w:after="0" w:line="218" w:lineRule="exact"/>
        <w:rPr>
          <w:sz w:val="20"/>
          <w:szCs w:val="20"/>
          <w:color w:val="auto"/>
        </w:rPr>
      </w:pPr>
    </w:p>
    <w:p>
      <w:pPr>
        <w:ind w:left="260" w:right="1239" w:hanging="250"/>
        <w:spacing w:after="0" w:line="267" w:lineRule="auto"/>
        <w:tabs>
          <w:tab w:leader="none" w:pos="2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the fair value of common stock of $3.30 per share at March 31, 2012, non-vested consultant compensation of $153,160 will vest over approximately two years.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table below illustrates the common stock options granted during the periods ended March 31, 2012.</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3743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8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b w:val="1"/>
                <w:bCs w:val="1"/>
                <w:color w:val="auto"/>
              </w:rPr>
              <w:t>#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FMV at</w:t>
            </w:r>
          </w:p>
        </w:tc>
        <w:tc>
          <w:tcPr>
            <w:tcW w:w="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Total Option</w:t>
            </w:r>
          </w:p>
        </w:tc>
        <w:tc>
          <w:tcPr>
            <w:tcW w:w="100" w:type="dxa"/>
            <w:vAlign w:val="bottom"/>
          </w:tcPr>
          <w:p>
            <w:pPr>
              <w:spacing w:after="0"/>
              <w:rPr>
                <w:sz w:val="12"/>
                <w:szCs w:val="12"/>
                <w:color w:val="auto"/>
              </w:rPr>
            </w:pP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2"/>
                <w:szCs w:val="12"/>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28"/>
              <w:spacing w:after="0" w:line="138"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Grant Date</w:t>
            </w:r>
          </w:p>
        </w:tc>
        <w:tc>
          <w:tcPr>
            <w:tcW w:w="80" w:type="dxa"/>
            <w:vAlign w:val="bottom"/>
          </w:tcPr>
          <w:p>
            <w:pPr>
              <w:spacing w:after="0"/>
              <w:rPr>
                <w:sz w:val="11"/>
                <w:szCs w:val="11"/>
                <w:color w:val="auto"/>
              </w:rPr>
            </w:pPr>
          </w:p>
        </w:tc>
        <w:tc>
          <w:tcPr>
            <w:tcW w:w="7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Recognized</w:t>
            </w:r>
          </w:p>
        </w:tc>
        <w:tc>
          <w:tcPr>
            <w:tcW w:w="8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Inception</w:t>
            </w:r>
          </w:p>
        </w:tc>
        <w:tc>
          <w:tcPr>
            <w:tcW w:w="900" w:type="dxa"/>
            <w:vAlign w:val="bottom"/>
            <w:gridSpan w:val="2"/>
          </w:tcPr>
          <w:p>
            <w:pPr>
              <w:jc w:val="center"/>
              <w:ind w:left="225"/>
              <w:spacing w:after="0" w:line="138" w:lineRule="exact"/>
              <w:rPr>
                <w:sz w:val="20"/>
                <w:szCs w:val="20"/>
                <w:color w:val="auto"/>
              </w:rPr>
            </w:pPr>
            <w:r>
              <w:rPr>
                <w:rFonts w:ascii="Arial" w:cs="Arial" w:eastAsia="Arial" w:hAnsi="Arial"/>
                <w:sz w:val="13"/>
                <w:szCs w:val="13"/>
                <w:b w:val="1"/>
                <w:bCs w:val="1"/>
                <w:color w:val="auto"/>
                <w:w w:val="94"/>
              </w:rPr>
              <w:t>03/31/12</w:t>
            </w:r>
          </w:p>
        </w:tc>
        <w:tc>
          <w:tcPr>
            <w:tcW w:w="200" w:type="dxa"/>
            <w:vAlign w:val="bottom"/>
          </w:tcPr>
          <w:p>
            <w:pPr>
              <w:spacing w:after="0"/>
              <w:rPr>
                <w:sz w:val="11"/>
                <w:szCs w:val="11"/>
                <w:color w:val="auto"/>
              </w:rPr>
            </w:pPr>
          </w:p>
        </w:tc>
      </w:tr>
      <w:tr>
        <w:trPr>
          <w:trHeight w:val="138"/>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8"/>
        </w:trPr>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03/31/12</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213"/>
        </w:trPr>
        <w:tc>
          <w:tcPr>
            <w:tcW w:w="120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Director</w:t>
            </w:r>
          </w:p>
        </w:tc>
        <w:tc>
          <w:tcPr>
            <w:tcW w:w="860" w:type="dxa"/>
            <w:vAlign w:val="bottom"/>
            <w:gridSpan w:val="2"/>
            <w:shd w:val="clear" w:color="auto" w:fill="CCFFCC"/>
          </w:tcPr>
          <w:p>
            <w:pPr>
              <w:ind w:left="140"/>
              <w:spacing w:after="0" w:line="193" w:lineRule="exact"/>
              <w:rPr>
                <w:sz w:val="20"/>
                <w:szCs w:val="20"/>
                <w:color w:val="auto"/>
              </w:rPr>
            </w:pPr>
            <w:r>
              <w:rPr>
                <w:rFonts w:ascii="Arial" w:cs="Arial" w:eastAsia="Arial" w:hAnsi="Arial"/>
                <w:sz w:val="17"/>
                <w:szCs w:val="17"/>
                <w:color w:val="auto"/>
                <w:w w:val="92"/>
              </w:rPr>
              <w:t>11/6/2011</w:t>
            </w:r>
          </w:p>
        </w:tc>
        <w:tc>
          <w:tcPr>
            <w:tcW w:w="86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13,646</w:t>
            </w:r>
          </w:p>
        </w:tc>
        <w:tc>
          <w:tcPr>
            <w:tcW w:w="200" w:type="dxa"/>
            <w:vAlign w:val="bottom"/>
            <w:gridSpan w:val="2"/>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640" w:type="dxa"/>
            <w:vAlign w:val="bottom"/>
            <w:shd w:val="clear" w:color="auto" w:fill="CCFFCC"/>
          </w:tcPr>
          <w:p>
            <w:pPr>
              <w:jc w:val="right"/>
              <w:ind w:right="188"/>
              <w:spacing w:after="0" w:line="193" w:lineRule="exact"/>
              <w:rPr>
                <w:sz w:val="20"/>
                <w:szCs w:val="20"/>
                <w:color w:val="auto"/>
              </w:rPr>
            </w:pPr>
            <w:r>
              <w:rPr>
                <w:rFonts w:ascii="Arial" w:cs="Arial" w:eastAsia="Arial" w:hAnsi="Arial"/>
                <w:sz w:val="17"/>
                <w:szCs w:val="17"/>
                <w:color w:val="auto"/>
              </w:rPr>
              <w:t>3</w:t>
            </w:r>
          </w:p>
        </w:tc>
        <w:tc>
          <w:tcPr>
            <w:tcW w:w="86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  1.8341</w:t>
            </w:r>
          </w:p>
        </w:tc>
        <w:tc>
          <w:tcPr>
            <w:tcW w:w="80" w:type="dxa"/>
            <w:vAlign w:val="bottom"/>
            <w:shd w:val="clear" w:color="auto" w:fill="CCFFCC"/>
          </w:tcPr>
          <w:p>
            <w:pPr>
              <w:spacing w:after="0"/>
              <w:rPr>
                <w:sz w:val="18"/>
                <w:szCs w:val="18"/>
                <w:color w:val="auto"/>
              </w:rPr>
            </w:pPr>
          </w:p>
        </w:tc>
        <w:tc>
          <w:tcPr>
            <w:tcW w:w="760" w:type="dxa"/>
            <w:vAlign w:val="bottom"/>
            <w:tcBorders>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w w:val="95"/>
              </w:rPr>
              <w:t>$  25,028</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25,028</w:t>
            </w:r>
          </w:p>
        </w:tc>
        <w:tc>
          <w:tcPr>
            <w:tcW w:w="110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-0-</w:t>
            </w:r>
          </w:p>
        </w:tc>
      </w:tr>
      <w:tr>
        <w:trPr>
          <w:trHeight w:val="20"/>
        </w:trPr>
        <w:tc>
          <w:tcPr>
            <w:tcW w:w="1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6. Income Tax</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March 31, 2012. There are no amounts of interest or penalties related to tax matters contained within the balance sheet at March 31, 2012. Under current tax law, net operating losses can be carried forward through the year to end December 31, 2031.</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200" w:lineRule="exact"/>
        <w:rPr>
          <w:sz w:val="20"/>
          <w:szCs w:val="20"/>
          <w:color w:val="auto"/>
        </w:rPr>
      </w:pPr>
    </w:p>
    <w:p>
      <w:pPr>
        <w:spacing w:after="0" w:line="30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4" w:name="page275"/>
    <w:bookmarkEnd w:id="2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Lease Obligations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Estimated occupancy expense for the remaining lease term based upon lease obligations at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40817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r>
      <w:tr>
        <w:trPr>
          <w:trHeight w:val="193"/>
        </w:trPr>
        <w:tc>
          <w:tcPr>
            <w:tcW w:w="5880" w:type="dxa"/>
            <w:vAlign w:val="bottom"/>
            <w:tcBorders>
              <w:top w:val="single" w:sz="8" w:color="auto"/>
            </w:tcBorders>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160" w:type="dxa"/>
            <w:vAlign w:val="bottom"/>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680" w:type="dxa"/>
            <w:vAlign w:val="bottom"/>
            <w:tcBorders>
              <w:top w:val="single" w:sz="8" w:color="auto"/>
              <w:right w:val="single" w:sz="8" w:color="CCFFCC"/>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32,418</w:t>
            </w:r>
          </w:p>
        </w:tc>
        <w:tc>
          <w:tcPr>
            <w:tcW w:w="80" w:type="dxa"/>
            <w:vAlign w:val="bottom"/>
            <w:tcBorders>
              <w:top w:val="single" w:sz="8" w:color="auto"/>
            </w:tcBorders>
            <w:shd w:val="clear" w:color="auto" w:fill="CCFFCC"/>
          </w:tcPr>
          <w:p>
            <w:pPr>
              <w:spacing w:after="0"/>
              <w:rPr>
                <w:sz w:val="16"/>
                <w:szCs w:val="16"/>
                <w:color w:val="auto"/>
              </w:rPr>
            </w:pPr>
          </w:p>
        </w:tc>
      </w:tr>
      <w:tr>
        <w:trPr>
          <w:trHeight w:val="200"/>
        </w:trPr>
        <w:tc>
          <w:tcPr>
            <w:tcW w:w="5880" w:type="dxa"/>
            <w:vAlign w:val="bottom"/>
          </w:tcPr>
          <w:p>
            <w:pPr>
              <w:spacing w:after="0"/>
              <w:rPr>
                <w:sz w:val="20"/>
                <w:szCs w:val="20"/>
                <w:color w:val="auto"/>
              </w:rPr>
            </w:pPr>
            <w:r>
              <w:rPr>
                <w:rFonts w:ascii="Arial" w:cs="Arial" w:eastAsia="Arial" w:hAnsi="Arial"/>
                <w:sz w:val="17"/>
                <w:szCs w:val="17"/>
                <w:color w:val="auto"/>
              </w:rPr>
              <w:t>2013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43,224</w:t>
            </w:r>
          </w:p>
        </w:tc>
        <w:tc>
          <w:tcPr>
            <w:tcW w:w="80" w:type="dxa"/>
            <w:vAlign w:val="bottom"/>
          </w:tcPr>
          <w:p>
            <w:pPr>
              <w:spacing w:after="0"/>
              <w:rPr>
                <w:sz w:val="17"/>
                <w:szCs w:val="17"/>
                <w:color w:val="auto"/>
              </w:rPr>
            </w:pPr>
          </w:p>
        </w:tc>
      </w:tr>
      <w:tr>
        <w:trPr>
          <w:trHeight w:val="200"/>
        </w:trPr>
        <w:tc>
          <w:tcPr>
            <w:tcW w:w="5880" w:type="dxa"/>
            <w:vAlign w:val="bottom"/>
            <w:shd w:val="clear" w:color="auto" w:fill="CCFFCC"/>
          </w:tcPr>
          <w:p>
            <w:pPr>
              <w:spacing w:after="0"/>
              <w:rPr>
                <w:sz w:val="20"/>
                <w:szCs w:val="20"/>
                <w:color w:val="auto"/>
              </w:rPr>
            </w:pPr>
            <w:r>
              <w:rPr>
                <w:rFonts w:ascii="Arial" w:cs="Arial" w:eastAsia="Arial" w:hAnsi="Arial"/>
                <w:sz w:val="17"/>
                <w:szCs w:val="17"/>
                <w:color w:val="auto"/>
              </w:rPr>
              <w:t>2014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7"/>
                <w:szCs w:val="17"/>
                <w:color w:val="auto"/>
              </w:rPr>
              <w:t>3,602</w:t>
            </w:r>
          </w:p>
        </w:tc>
        <w:tc>
          <w:tcPr>
            <w:tcW w:w="80" w:type="dxa"/>
            <w:vAlign w:val="bottom"/>
            <w:shd w:val="clear" w:color="auto" w:fill="CCFFCC"/>
          </w:tcPr>
          <w:p>
            <w:pPr>
              <w:spacing w:after="0"/>
              <w:rPr>
                <w:sz w:val="17"/>
                <w:szCs w:val="17"/>
                <w:color w:val="auto"/>
              </w:rPr>
            </w:pPr>
          </w:p>
        </w:tc>
      </w:tr>
      <w:tr>
        <w:trPr>
          <w:trHeight w:val="20"/>
        </w:trPr>
        <w:tc>
          <w:tcPr>
            <w:tcW w:w="58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93"/>
        </w:trPr>
        <w:tc>
          <w:tcPr>
            <w:tcW w:w="6180" w:type="dxa"/>
            <w:vAlign w:val="bottom"/>
            <w:gridSpan w:val="3"/>
          </w:tcPr>
          <w:p>
            <w:pPr>
              <w:ind w:left="6040"/>
              <w:spacing w:after="0" w:line="193"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93" w:lineRule="exact"/>
              <w:rPr>
                <w:sz w:val="20"/>
                <w:szCs w:val="20"/>
                <w:color w:val="auto"/>
              </w:rPr>
            </w:pPr>
            <w:r>
              <w:rPr>
                <w:rFonts w:ascii="Arial" w:cs="Arial" w:eastAsia="Arial" w:hAnsi="Arial"/>
                <w:sz w:val="17"/>
                <w:szCs w:val="17"/>
                <w:color w:val="auto"/>
              </w:rPr>
              <w:t>79,244</w:t>
            </w:r>
          </w:p>
        </w:tc>
        <w:tc>
          <w:tcPr>
            <w:tcW w:w="80" w:type="dxa"/>
            <w:vAlign w:val="bottom"/>
          </w:tcPr>
          <w:p>
            <w:pPr>
              <w:spacing w:after="0"/>
              <w:rPr>
                <w:sz w:val="16"/>
                <w:szCs w:val="16"/>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408170" cy="167005"/>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Contingencies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4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5"/>
          <w:szCs w:val="15"/>
          <w:i w:val="1"/>
          <w:iCs w:val="1"/>
          <w:color w:val="auto"/>
        </w:rPr>
        <w:t>Markman</w:t>
      </w:r>
      <w:r>
        <w:rPr>
          <w:rFonts w:ascii="Arial" w:cs="Arial" w:eastAsia="Arial" w:hAnsi="Arial"/>
          <w:sz w:val="15"/>
          <w:szCs w:val="15"/>
          <w:color w:val="auto"/>
        </w:rPr>
        <w:t xml:space="preserve"> hearing for June 4, 2012 and trial for October 16, 2012. On March 15, 2012, Google submitted a request to the USPTO for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 At this stage of the litigation, the Company cannot assess the duration, cost or outcome of the infringement action.</w:t>
      </w: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5" w:name="page276"/>
    <w:bookmarkEnd w:id="2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Subsequent Events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Subsequent events have been evaluated through May 16, 2012, the date the financial statements were available to be issued.</w:t>
      </w:r>
    </w:p>
    <w:p>
      <w:pPr>
        <w:spacing w:after="0" w:line="12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April 2012, Hudson Bay sold 148 shares of its Series A Preferred Stock to third party investors. As of May 16, 2012, those investors have not converted the Series A Preferred Stock to common stock.</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In April 2012, Hudson Bay converted 145 shares of its Series A Preferred Stock to 145,000 shares of common stock. On the same day, Hudson Bay sold all 145,000 shares of converted common stock to a third party investor.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10. Subsequent Events (post May 16, 2012)</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May 24, 2012, Google submitted their request to the USPTO. This resubmission purports to address the issues identified by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USPTO.</w:t>
      </w:r>
    </w:p>
    <w:p>
      <w:pPr>
        <w:spacing w:after="0" w:line="9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5"/>
          <w:szCs w:val="15"/>
          <w:color w:val="auto"/>
        </w:rPr>
        <w:t>On June 1, 2012, Hudson Bay committed, subject to the terms and conditions of a commitment letter agreement, that, at any time within 18 months following the closing of the Merger and upon the request of the Company, it or, at its election, one or more of its affiliated funds or entities shall provide debt financing to the Company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the Company and the holder of the notes will be able to require redemption of all or any portion of the Notes at any time after 18 months following the consummation of the Merger, subject to an interest make-whole through maturity. In addition to other covenants to be mutually agreed between the Company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the Company and Hudson Bay of all documents necessary for the consummation of the transaction contemplated by the commitment on terms and conditions in all respects acceptable and satisfactory to the company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March 31, 2012 (unaudited)</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10. Subsequent Events (post May 16, 2012) – (continued)</w:t>
      </w:r>
    </w:p>
    <w:p>
      <w:pPr>
        <w:jc w:val="both"/>
        <w:ind w:left="40" w:right="1239"/>
        <w:spacing w:after="0" w:line="265" w:lineRule="auto"/>
        <w:rPr>
          <w:sz w:val="20"/>
          <w:szCs w:val="20"/>
          <w:color w:val="auto"/>
        </w:rPr>
      </w:pPr>
      <w:r>
        <w:rPr>
          <w:rFonts w:ascii="Arial" w:cs="Arial" w:eastAsia="Arial" w:hAnsi="Arial"/>
          <w:sz w:val="16"/>
          <w:szCs w:val="16"/>
          <w:color w:val="auto"/>
        </w:rPr>
        <w:t>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the Company to Hudson Bay or (f) 18 months after the consummation of the Merger.</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ind w:left="15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Management and the Board of Directors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 Inc (f/k/a Labrador Search Company)</w:t>
      </w:r>
    </w:p>
    <w:p>
      <w:pPr>
        <w:spacing w:after="0" w:line="93"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4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61"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7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GRANT THORNTON LLP</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March 2, 2012</w:t>
      </w: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149"/>
        </w:trPr>
        <w:tc>
          <w:tcPr>
            <w:tcW w:w="668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60" w:type="dxa"/>
            <w:vAlign w:val="bottom"/>
          </w:tcPr>
          <w:p>
            <w:pPr>
              <w:jc w:val="center"/>
              <w:ind w:left="69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tcPr>
          <w:p>
            <w:pPr>
              <w:jc w:val="center"/>
              <w:ind w:left="676"/>
              <w:spacing w:after="0"/>
              <w:rPr>
                <w:sz w:val="20"/>
                <w:szCs w:val="20"/>
                <w:color w:val="auto"/>
              </w:rPr>
            </w:pPr>
            <w:r>
              <w:rPr>
                <w:rFonts w:ascii="Arial" w:cs="Arial" w:eastAsia="Arial" w:hAnsi="Arial"/>
                <w:sz w:val="17"/>
                <w:szCs w:val="17"/>
                <w:b w:val="1"/>
                <w:bCs w:val="1"/>
                <w:color w:val="auto"/>
                <w:w w:val="88"/>
              </w:rPr>
              <w:t>(A Development Stage Company)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tcPr>
          <w:p>
            <w:pPr>
              <w:jc w:val="center"/>
              <w:ind w:left="696"/>
              <w:spacing w:after="0"/>
              <w:rPr>
                <w:sz w:val="20"/>
                <w:szCs w:val="20"/>
                <w:color w:val="auto"/>
              </w:rPr>
            </w:pPr>
            <w:r>
              <w:rPr>
                <w:rFonts w:ascii="Arial" w:cs="Arial" w:eastAsia="Arial" w:hAnsi="Arial"/>
                <w:sz w:val="17"/>
                <w:szCs w:val="17"/>
                <w:b w:val="1"/>
                <w:bCs w:val="1"/>
                <w:color w:val="auto"/>
                <w:w w:val="98"/>
              </w:rPr>
              <w:t>CONSOLIDATED BALANCE SHEET</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Pr>
          <w:p>
            <w:pPr>
              <w:jc w:val="center"/>
              <w:ind w:left="676"/>
              <w:spacing w:after="0"/>
              <w:rPr>
                <w:sz w:val="20"/>
                <w:szCs w:val="20"/>
                <w:color w:val="auto"/>
              </w:rPr>
            </w:pPr>
            <w:r>
              <w:rPr>
                <w:rFonts w:ascii="Arial" w:cs="Arial" w:eastAsia="Arial" w:hAnsi="Arial"/>
                <w:sz w:val="17"/>
                <w:szCs w:val="17"/>
                <w:b w:val="1"/>
                <w:bCs w:val="1"/>
                <w:color w:val="auto"/>
                <w:w w:val="86"/>
              </w:rPr>
              <w:t>As of December 31, 2011</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60" w:type="dxa"/>
            <w:vAlign w:val="bottom"/>
          </w:tcPr>
          <w:p>
            <w:pPr>
              <w:jc w:val="center"/>
              <w:ind w:right="1476"/>
              <w:spacing w:after="0"/>
              <w:rPr>
                <w:sz w:val="20"/>
                <w:szCs w:val="20"/>
                <w:color w:val="auto"/>
              </w:rPr>
            </w:pPr>
            <w:r>
              <w:rPr>
                <w:rFonts w:ascii="Arial" w:cs="Arial" w:eastAsia="Arial" w:hAnsi="Arial"/>
                <w:sz w:val="17"/>
                <w:szCs w:val="17"/>
                <w:b w:val="1"/>
                <w:bCs w:val="1"/>
                <w:color w:val="auto"/>
                <w:w w:val="91"/>
              </w:rPr>
              <w:t>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Current Assets</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Prepaid assets</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25,886</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current assets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5,238,028</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8,006</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Intangible assets, net</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3,067,592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8,313,626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260" w:type="dxa"/>
            <w:vAlign w:val="bottom"/>
            <w:shd w:val="clear" w:color="auto" w:fill="CCFFCC"/>
          </w:tcPr>
          <w:p>
            <w:pPr>
              <w:jc w:val="center"/>
              <w:ind w:right="1496"/>
              <w:spacing w:after="0" w:line="191" w:lineRule="exact"/>
              <w:rPr>
                <w:sz w:val="20"/>
                <w:szCs w:val="20"/>
                <w:color w:val="auto"/>
              </w:rPr>
            </w:pPr>
            <w:r>
              <w:rPr>
                <w:rFonts w:ascii="Arial" w:cs="Arial" w:eastAsia="Arial" w:hAnsi="Arial"/>
                <w:sz w:val="17"/>
                <w:szCs w:val="17"/>
                <w:b w:val="1"/>
                <w:bCs w:val="1"/>
                <w:color w:val="auto"/>
              </w:rPr>
              <w:t>LIABILITIES AND STOCKHOLDERS’ EQUITY</w:t>
            </w:r>
          </w:p>
        </w:tc>
        <w:tc>
          <w:tcPr>
            <w:tcW w:w="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spacing w:after="0"/>
              <w:rPr>
                <w:sz w:val="20"/>
                <w:szCs w:val="20"/>
                <w:color w:val="auto"/>
              </w:rPr>
            </w:pPr>
            <w:r>
              <w:rPr>
                <w:rFonts w:ascii="Arial" w:cs="Arial" w:eastAsia="Arial" w:hAnsi="Arial"/>
                <w:sz w:val="17"/>
                <w:szCs w:val="17"/>
                <w:color w:val="auto"/>
              </w:rPr>
              <w:t>Current Liabilities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Accounts payable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201</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Accrued liabilities</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448,264</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Current portion, note payable-related party</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2,000,000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current liabilities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2,448,465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Note Payable-related party</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1,200,000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liabilities</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3,648,465</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680" w:type="dxa"/>
            <w:vAlign w:val="bottom"/>
            <w:gridSpan w:val="3"/>
            <w:shd w:val="clear" w:color="auto" w:fill="CCFFCC"/>
          </w:tcPr>
          <w:p>
            <w:pPr>
              <w:spacing w:after="0" w:line="193" w:lineRule="exact"/>
              <w:rPr>
                <w:sz w:val="20"/>
                <w:szCs w:val="20"/>
                <w:color w:val="auto"/>
              </w:rPr>
            </w:pPr>
            <w:r>
              <w:rPr>
                <w:rFonts w:ascii="Arial" w:cs="Arial" w:eastAsia="Arial" w:hAnsi="Arial"/>
                <w:sz w:val="17"/>
                <w:szCs w:val="17"/>
                <w:color w:val="auto"/>
              </w:rPr>
              <w:t>Commitments and Contingencies (See note 11)</w:t>
            </w:r>
          </w:p>
        </w:tc>
        <w:tc>
          <w:tcPr>
            <w:tcW w:w="80" w:type="dxa"/>
            <w:vAlign w:val="bottom"/>
            <w:tcBorders>
              <w:top w:val="single" w:sz="8" w:color="auto"/>
            </w:tcBorders>
            <w:shd w:val="clear" w:color="auto" w:fill="CCFFCC"/>
          </w:tcPr>
          <w:p>
            <w:pPr>
              <w:spacing w:after="0"/>
              <w:rPr>
                <w:sz w:val="16"/>
                <w:szCs w:val="16"/>
                <w:color w:val="auto"/>
              </w:rPr>
            </w:pPr>
          </w:p>
        </w:tc>
        <w:tc>
          <w:tcPr>
            <w:tcW w:w="78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80" w:type="dxa"/>
            <w:vAlign w:val="bottom"/>
            <w:gridSpan w:val="3"/>
          </w:tcPr>
          <w:p>
            <w:pPr>
              <w:spacing w:after="0" w:line="188" w:lineRule="exact"/>
              <w:rPr>
                <w:sz w:val="20"/>
                <w:szCs w:val="20"/>
                <w:color w:val="auto"/>
              </w:rPr>
            </w:pPr>
            <w:r>
              <w:rPr>
                <w:rFonts w:ascii="Arial" w:cs="Arial" w:eastAsia="Arial" w:hAnsi="Arial"/>
                <w:sz w:val="17"/>
                <w:szCs w:val="17"/>
                <w:color w:val="auto"/>
              </w:rPr>
              <w:t>Preferred stock, Series A Convertible, $.0001 par value;</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88" w:lineRule="exact"/>
              <w:rPr>
                <w:sz w:val="20"/>
                <w:szCs w:val="20"/>
                <w:color w:val="auto"/>
              </w:rPr>
            </w:pPr>
            <w:r>
              <w:rPr>
                <w:rFonts w:ascii="Arial" w:cs="Arial" w:eastAsia="Arial" w:hAnsi="Arial"/>
                <w:sz w:val="17"/>
                <w:szCs w:val="17"/>
                <w:b w:val="1"/>
                <w:bCs w:val="1"/>
                <w:color w:val="auto"/>
              </w:rPr>
              <w:t>1,800,000</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liquidation value $1,250 per share; 6,968 shares authorized, issued and outstanding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Stockholders’ Equity</w:t>
            </w: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680" w:type="dxa"/>
            <w:vAlign w:val="bottom"/>
            <w:gridSpan w:val="3"/>
          </w:tcPr>
          <w:p>
            <w:pPr>
              <w:ind w:left="160"/>
              <w:spacing w:after="0" w:line="188" w:lineRule="exact"/>
              <w:rPr>
                <w:sz w:val="20"/>
                <w:szCs w:val="20"/>
                <w:color w:val="auto"/>
              </w:rPr>
            </w:pPr>
            <w:r>
              <w:rPr>
                <w:rFonts w:ascii="Arial" w:cs="Arial" w:eastAsia="Arial" w:hAnsi="Arial"/>
                <w:sz w:val="17"/>
                <w:szCs w:val="17"/>
                <w:color w:val="auto"/>
              </w:rPr>
              <w:t>Common stock, $.0001 par value; 100,000,000 shares authorized;</w:t>
            </w:r>
          </w:p>
        </w:tc>
        <w:tc>
          <w:tcPr>
            <w:tcW w:w="80" w:type="dxa"/>
            <w:vAlign w:val="bottom"/>
          </w:tcPr>
          <w:p>
            <w:pPr>
              <w:spacing w:after="0"/>
              <w:rPr>
                <w:sz w:val="16"/>
                <w:szCs w:val="16"/>
                <w:color w:val="auto"/>
              </w:rPr>
            </w:pPr>
          </w:p>
        </w:tc>
        <w:tc>
          <w:tcPr>
            <w:tcW w:w="860" w:type="dxa"/>
            <w:vAlign w:val="bottom"/>
            <w:gridSpan w:val="2"/>
          </w:tcPr>
          <w:p>
            <w:pPr>
              <w:jc w:val="right"/>
              <w:ind w:right="60"/>
              <w:spacing w:after="0" w:line="188" w:lineRule="exact"/>
              <w:rPr>
                <w:sz w:val="20"/>
                <w:szCs w:val="20"/>
                <w:color w:val="auto"/>
              </w:rPr>
            </w:pPr>
            <w:r>
              <w:rPr>
                <w:rFonts w:ascii="Arial" w:cs="Arial" w:eastAsia="Arial" w:hAnsi="Arial"/>
                <w:sz w:val="17"/>
                <w:szCs w:val="17"/>
                <w:b w:val="1"/>
                <w:bCs w:val="1"/>
                <w:color w:val="auto"/>
              </w:rPr>
              <w:t>563</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80" w:type="dxa"/>
            <w:vAlign w:val="bottom"/>
            <w:gridSpan w:val="3"/>
          </w:tcPr>
          <w:p>
            <w:pPr>
              <w:ind w:left="340"/>
              <w:spacing w:after="0"/>
              <w:rPr>
                <w:sz w:val="20"/>
                <w:szCs w:val="20"/>
                <w:color w:val="auto"/>
              </w:rPr>
            </w:pPr>
            <w:r>
              <w:rPr>
                <w:rFonts w:ascii="Arial" w:cs="Arial" w:eastAsia="Arial" w:hAnsi="Arial"/>
                <w:sz w:val="17"/>
                <w:szCs w:val="17"/>
                <w:color w:val="auto"/>
              </w:rPr>
              <w:t>5,624,661 shares issued and outstanding</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68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5,618,780</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80" w:type="dxa"/>
            <w:vAlign w:val="bottom"/>
            <w:gridSpan w:val="3"/>
          </w:tcPr>
          <w:p>
            <w:pPr>
              <w:ind w:left="160"/>
              <w:spacing w:after="0"/>
              <w:rPr>
                <w:sz w:val="20"/>
                <w:szCs w:val="20"/>
                <w:color w:val="auto"/>
              </w:rPr>
            </w:pPr>
            <w:r>
              <w:rPr>
                <w:rFonts w:ascii="Arial" w:cs="Arial" w:eastAsia="Arial" w:hAnsi="Arial"/>
                <w:sz w:val="17"/>
                <w:szCs w:val="17"/>
                <w:color w:val="auto"/>
              </w:rPr>
              <w:t>Deficit accumulated during the development stage</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89"/>
              </w:rPr>
              <w:t>(2,754,182)</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2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2,865,161</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68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8,313,626</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vMerge w:val="restart"/>
          </w:tcPr>
          <w:p>
            <w:pPr>
              <w:ind w:left="2740"/>
              <w:spacing w:after="0"/>
              <w:rPr>
                <w:sz w:val="20"/>
                <w:szCs w:val="20"/>
                <w:color w:val="auto"/>
              </w:rPr>
            </w:pPr>
            <w:r>
              <w:rPr>
                <w:rFonts w:ascii="Arial" w:cs="Arial" w:eastAsia="Arial" w:hAnsi="Arial"/>
                <w:sz w:val="17"/>
                <w:szCs w:val="17"/>
                <w:color w:val="auto"/>
              </w:rPr>
              <w:t>F-66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-3627755</wp:posOffset>
            </wp:positionV>
            <wp:extent cx="4837430" cy="135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-3110230</wp:posOffset>
            </wp:positionV>
            <wp:extent cx="4837430" cy="1670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-2306955</wp:posOffset>
            </wp:positionV>
            <wp:extent cx="4837430" cy="135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-2044065</wp:posOffset>
            </wp:positionV>
            <wp:extent cx="4837430" cy="1435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-747395</wp:posOffset>
            </wp:positionV>
            <wp:extent cx="4837430" cy="1670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837430" cy="16700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-4208145</wp:posOffset>
            </wp:positionV>
            <wp:extent cx="481393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149"/>
        </w:trPr>
        <w:tc>
          <w:tcPr>
            <w:tcW w:w="65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80" w:type="dxa"/>
            <w:vAlign w:val="bottom"/>
          </w:tcPr>
          <w:p>
            <w:pPr>
              <w:jc w:val="center"/>
              <w:ind w:left="8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88"/>
              </w:rPr>
              <w:t>(A Development Stage Company)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97"/>
              </w:rPr>
              <w:t>CONSOLIDATED STATEMENT OF OPERATIONS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0"/>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gridSpan w:val="2"/>
          </w:tcPr>
          <w:p>
            <w:pPr>
              <w:jc w:val="center"/>
              <w:ind w:left="676"/>
              <w:spacing w:after="0"/>
              <w:rPr>
                <w:sz w:val="20"/>
                <w:szCs w:val="20"/>
                <w:color w:val="auto"/>
              </w:rPr>
            </w:pPr>
            <w:r>
              <w:rPr>
                <w:rFonts w:ascii="Arial" w:cs="Arial" w:eastAsia="Arial" w:hAnsi="Arial"/>
                <w:sz w:val="17"/>
                <w:szCs w:val="17"/>
                <w:b w:val="1"/>
                <w:bCs w:val="1"/>
                <w:color w:val="auto"/>
                <w:w w:val="88"/>
              </w:rPr>
              <w:t>Period from June 8, 2011 (Inception) to December 31, 2011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7"/>
        </w:trPr>
        <w:tc>
          <w:tcPr>
            <w:tcW w:w="6500" w:type="dxa"/>
            <w:vAlign w:val="bottom"/>
            <w:gridSpan w:val="3"/>
          </w:tcPr>
          <w:p>
            <w:pPr>
              <w:spacing w:after="0"/>
              <w:rPr>
                <w:sz w:val="20"/>
                <w:szCs w:val="20"/>
                <w:color w:val="auto"/>
              </w:rPr>
            </w:pPr>
            <w:r>
              <w:rPr>
                <w:rFonts w:ascii="Arial" w:cs="Arial" w:eastAsia="Arial" w:hAnsi="Arial"/>
                <w:sz w:val="17"/>
                <w:szCs w:val="17"/>
                <w:color w:val="auto"/>
              </w:rPr>
              <w:t>Revenue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2420" w:type="dxa"/>
            <w:vAlign w:val="bottom"/>
          </w:tcPr>
          <w:p>
            <w:pPr>
              <w:spacing w:after="0"/>
              <w:rPr>
                <w:sz w:val="18"/>
                <w:szCs w:val="18"/>
                <w:color w:val="auto"/>
              </w:rPr>
            </w:pPr>
          </w:p>
        </w:tc>
      </w:tr>
      <w:tr>
        <w:trPr>
          <w:trHeight w:val="193"/>
        </w:trPr>
        <w:tc>
          <w:tcPr>
            <w:tcW w:w="6500" w:type="dxa"/>
            <w:vAlign w:val="bottom"/>
            <w:gridSpan w:val="3"/>
            <w:shd w:val="clear" w:color="auto" w:fill="CCFFCC"/>
          </w:tcPr>
          <w:p>
            <w:pPr>
              <w:spacing w:after="0" w:line="194" w:lineRule="exact"/>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shd w:val="clear" w:color="auto" w:fill="CCFFCC"/>
          </w:tcPr>
          <w:p>
            <w:pPr>
              <w:spacing w:after="0"/>
              <w:rPr>
                <w:sz w:val="16"/>
                <w:szCs w:val="16"/>
                <w:color w:val="auto"/>
              </w:rPr>
            </w:pPr>
          </w:p>
        </w:tc>
        <w:tc>
          <w:tcPr>
            <w:tcW w:w="86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Legal</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1,102,100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Compensation</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996,913</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Amortization and depreciation</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328,278</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213,192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Startup and capital acquisition costs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105,971</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11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508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2,746,454</w:t>
            </w:r>
          </w:p>
        </w:tc>
        <w:tc>
          <w:tcPr>
            <w:tcW w:w="2420" w:type="dxa"/>
            <w:vAlign w:val="bottom"/>
          </w:tcPr>
          <w:p>
            <w:pPr>
              <w:spacing w:after="0"/>
              <w:rPr>
                <w:sz w:val="16"/>
                <w:szCs w:val="16"/>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0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tcPr>
          <w:p>
            <w:pPr>
              <w:ind w:left="340"/>
              <w:spacing w:after="0" w:line="193" w:lineRule="exact"/>
              <w:rPr>
                <w:sz w:val="20"/>
                <w:szCs w:val="20"/>
                <w:color w:val="auto"/>
              </w:rPr>
            </w:pPr>
            <w:r>
              <w:rPr>
                <w:rFonts w:ascii="Arial" w:cs="Arial" w:eastAsia="Arial" w:hAnsi="Arial"/>
                <w:sz w:val="17"/>
                <w:szCs w:val="17"/>
                <w:b w:val="1"/>
                <w:bCs w:val="1"/>
                <w:color w:val="auto"/>
              </w:rPr>
              <w:t>Loss from operations</w:t>
            </w:r>
          </w:p>
        </w:tc>
        <w:tc>
          <w:tcPr>
            <w:tcW w:w="180" w:type="dxa"/>
            <w:vAlign w:val="bottom"/>
          </w:tcPr>
          <w:p>
            <w:pPr>
              <w:spacing w:after="0"/>
              <w:rPr>
                <w:sz w:val="16"/>
                <w:szCs w:val="16"/>
                <w:color w:val="auto"/>
              </w:rPr>
            </w:pPr>
          </w:p>
        </w:tc>
        <w:tc>
          <w:tcPr>
            <w:tcW w:w="94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(2,746,454)</w:t>
            </w: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spacing w:after="0"/>
              <w:rPr>
                <w:sz w:val="20"/>
                <w:szCs w:val="20"/>
                <w:color w:val="auto"/>
              </w:rPr>
            </w:pPr>
            <w:r>
              <w:rPr>
                <w:rFonts w:ascii="Arial" w:cs="Arial" w:eastAsia="Arial" w:hAnsi="Arial"/>
                <w:sz w:val="17"/>
                <w:szCs w:val="17"/>
                <w:color w:val="auto"/>
              </w:rPr>
              <w:t>Other Expense</w:t>
            </w:r>
          </w:p>
        </w:tc>
        <w:tc>
          <w:tcPr>
            <w:tcW w:w="1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7,728</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3"/>
        </w:trPr>
        <w:tc>
          <w:tcPr>
            <w:tcW w:w="6500" w:type="dxa"/>
            <w:vAlign w:val="bottom"/>
            <w:gridSpan w:val="3"/>
            <w:shd w:val="clear" w:color="auto" w:fill="CCFFCC"/>
          </w:tcPr>
          <w:p>
            <w:pPr>
              <w:ind w:left="340"/>
              <w:spacing w:after="0" w:line="193" w:lineRule="exact"/>
              <w:rPr>
                <w:sz w:val="20"/>
                <w:szCs w:val="20"/>
                <w:color w:val="auto"/>
              </w:rPr>
            </w:pPr>
            <w:r>
              <w:rPr>
                <w:rFonts w:ascii="Arial" w:cs="Arial" w:eastAsia="Arial" w:hAnsi="Arial"/>
                <w:sz w:val="17"/>
                <w:szCs w:val="17"/>
                <w:b w:val="1"/>
                <w:bCs w:val="1"/>
                <w:color w:val="auto"/>
              </w:rPr>
              <w:t>Net loss</w:t>
            </w:r>
          </w:p>
        </w:tc>
        <w:tc>
          <w:tcPr>
            <w:tcW w:w="1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20"/>
                <w:szCs w:val="20"/>
                <w:color w:val="auto"/>
              </w:rPr>
            </w:pPr>
          </w:p>
        </w:tc>
      </w:tr>
      <w:tr>
        <w:trPr>
          <w:trHeight w:val="191"/>
        </w:trPr>
        <w:tc>
          <w:tcPr>
            <w:tcW w:w="6500" w:type="dxa"/>
            <w:vAlign w:val="bottom"/>
            <w:tcBorders>
              <w:top w:val="single" w:sz="8" w:color="CCFFCC"/>
            </w:tcBorders>
            <w:gridSpan w:val="3"/>
          </w:tcPr>
          <w:p>
            <w:pPr>
              <w:spacing w:after="0" w:line="191" w:lineRule="exact"/>
              <w:rPr>
                <w:sz w:val="20"/>
                <w:szCs w:val="20"/>
                <w:color w:val="auto"/>
              </w:rPr>
            </w:pPr>
            <w:r>
              <w:rPr>
                <w:rFonts w:ascii="Arial" w:cs="Arial" w:eastAsia="Arial" w:hAnsi="Arial"/>
                <w:sz w:val="17"/>
                <w:szCs w:val="17"/>
                <w:color w:val="auto"/>
              </w:rPr>
              <w:t>Basic and diluted loss per share</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Weighted Average Common Shares Outstanding</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2,802,100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340"/>
              <w:spacing w:after="0"/>
              <w:rPr>
                <w:sz w:val="20"/>
                <w:szCs w:val="20"/>
                <w:color w:val="auto"/>
              </w:rPr>
            </w:pPr>
            <w:r>
              <w:rPr>
                <w:rFonts w:ascii="Arial" w:cs="Arial" w:eastAsia="Arial" w:hAnsi="Arial"/>
                <w:sz w:val="17"/>
                <w:szCs w:val="17"/>
                <w:color w:val="auto"/>
              </w:rPr>
              <w:t>Basic and diluted loss per share</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(0.98)</w:t>
            </w:r>
          </w:p>
        </w:tc>
        <w:tc>
          <w:tcPr>
            <w:tcW w:w="2420" w:type="dxa"/>
            <w:vAlign w:val="bottom"/>
          </w:tcPr>
          <w:p>
            <w:pPr>
              <w:spacing w:after="0"/>
              <w:rPr>
                <w:sz w:val="17"/>
                <w:szCs w:val="17"/>
                <w:color w:val="auto"/>
              </w:rPr>
            </w:pPr>
          </w:p>
        </w:tc>
      </w:tr>
      <w:tr>
        <w:trPr>
          <w:trHeight w:val="714"/>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ind w:left="2740"/>
              <w:spacing w:after="0"/>
              <w:rPr>
                <w:sz w:val="20"/>
                <w:szCs w:val="20"/>
                <w:color w:val="auto"/>
              </w:rPr>
            </w:pPr>
            <w:r>
              <w:rPr>
                <w:rFonts w:ascii="Arial" w:cs="Arial" w:eastAsia="Arial" w:hAnsi="Arial"/>
                <w:sz w:val="17"/>
                <w:szCs w:val="17"/>
                <w:color w:val="auto"/>
              </w:rPr>
              <w:t>F-67</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-1646555</wp:posOffset>
            </wp:positionV>
            <wp:extent cx="4837430" cy="135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-1121410</wp:posOffset>
            </wp:positionV>
            <wp:extent cx="4837430" cy="1593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-2752090</wp:posOffset>
            </wp:positionV>
            <wp:extent cx="483743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80" w:name="page281"/>
    <w:bookmarkEnd w:id="2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2981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8298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2420" w:type="dxa"/>
            <w:vAlign w:val="bottom"/>
          </w:tcPr>
          <w:p>
            <w:pPr>
              <w:spacing w:after="0"/>
              <w:rPr>
                <w:sz w:val="13"/>
                <w:szCs w:val="13"/>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Paid-in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Capital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5"/>
              </w:rPr>
              <w:t>During the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8"/>
        </w:trPr>
        <w:tc>
          <w:tcPr>
            <w:tcW w:w="1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Development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58"/>
        </w:trPr>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Stage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Balance, June 8, 2011 (inception)</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FFCC"/>
          </w:tcPr>
          <w:p>
            <w:pPr>
              <w:jc w:val="right"/>
              <w:ind w:right="280"/>
              <w:spacing w:after="0" w:line="193" w:lineRule="exact"/>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6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30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rPr>
              <w:t>—</w:t>
            </w:r>
          </w:p>
        </w:tc>
        <w:tc>
          <w:tcPr>
            <w:tcW w:w="2420" w:type="dxa"/>
            <w:vAlign w:val="bottom"/>
          </w:tcPr>
          <w:p>
            <w:pPr>
              <w:spacing w:after="0"/>
              <w:rPr>
                <w:sz w:val="16"/>
                <w:szCs w:val="16"/>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Issuance of common stock</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7"/>
              </w:rPr>
              <w:t>5,144,662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95"/>
              </w:rPr>
              <w:t>5,145,225</w:t>
            </w:r>
          </w:p>
        </w:tc>
        <w:tc>
          <w:tcPr>
            <w:tcW w:w="2420" w:type="dxa"/>
            <w:vAlign w:val="bottom"/>
          </w:tcPr>
          <w:p>
            <w:pPr>
              <w:spacing w:after="0"/>
              <w:rPr>
                <w:sz w:val="17"/>
                <w:szCs w:val="17"/>
                <w:color w:val="auto"/>
              </w:rPr>
            </w:pPr>
          </w:p>
        </w:tc>
      </w:tr>
      <w:tr>
        <w:trPr>
          <w:trHeight w:val="200"/>
        </w:trPr>
        <w:tc>
          <w:tcPr>
            <w:tcW w:w="36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FFCC"/>
          </w:tcPr>
          <w:p>
            <w:pPr>
              <w:spacing w:after="0"/>
              <w:rPr>
                <w:sz w:val="17"/>
                <w:szCs w:val="17"/>
                <w:color w:val="auto"/>
              </w:rPr>
            </w:pPr>
          </w:p>
        </w:tc>
        <w:tc>
          <w:tcPr>
            <w:tcW w:w="840" w:type="dxa"/>
            <w:vAlign w:val="bottom"/>
            <w:gridSpan w:val="3"/>
            <w:shd w:val="clear" w:color="auto" w:fill="CCFFCC"/>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7"/>
                <w:szCs w:val="17"/>
                <w:color w:val="auto"/>
              </w:rPr>
              <w:t>474,118</w:t>
            </w:r>
          </w:p>
        </w:tc>
        <w:tc>
          <w:tcPr>
            <w:tcW w:w="200" w:type="dxa"/>
            <w:vAlign w:val="bottom"/>
            <w:tcBorders>
              <w:lef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474,118</w:t>
            </w:r>
          </w:p>
        </w:tc>
        <w:tc>
          <w:tcPr>
            <w:tcW w:w="2420" w:type="dxa"/>
            <w:vAlign w:val="bottom"/>
          </w:tcPr>
          <w:p>
            <w:pPr>
              <w:spacing w:after="0"/>
              <w:rPr>
                <w:sz w:val="17"/>
                <w:szCs w:val="17"/>
                <w:color w:val="auto"/>
              </w:rPr>
            </w:pPr>
          </w:p>
        </w:tc>
      </w:tr>
      <w:tr>
        <w:trPr>
          <w:trHeight w:val="200"/>
        </w:trPr>
        <w:tc>
          <w:tcPr>
            <w:tcW w:w="366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(2,754,182)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(2,754,182)</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3"/>
        </w:trPr>
        <w:tc>
          <w:tcPr>
            <w:tcW w:w="366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Balance, December 31, 2011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FFCC"/>
          </w:tcPr>
          <w:p>
            <w:pPr>
              <w:jc w:val="right"/>
              <w:ind w:right="140"/>
              <w:spacing w:after="0" w:line="193" w:lineRule="exact"/>
              <w:rPr>
                <w:sz w:val="20"/>
                <w:szCs w:val="20"/>
                <w:color w:val="auto"/>
              </w:rPr>
            </w:pPr>
            <w:r>
              <w:rPr>
                <w:rFonts w:ascii="Arial" w:cs="Arial" w:eastAsia="Arial" w:hAnsi="Arial"/>
                <w:sz w:val="17"/>
                <w:szCs w:val="17"/>
                <w:b w:val="1"/>
                <w:bCs w:val="1"/>
                <w:color w:val="auto"/>
              </w:rPr>
              <w:t>563</w:t>
            </w:r>
          </w:p>
        </w:tc>
        <w:tc>
          <w:tcPr>
            <w:tcW w:w="14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u w:val="single" w:color="auto"/>
                <w:color w:val="auto"/>
                <w:w w:val="84"/>
              </w:rPr>
              <w:t>$</w:t>
            </w:r>
          </w:p>
        </w:tc>
        <w:tc>
          <w:tcPr>
            <w:tcW w:w="66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7"/>
              </w:rPr>
              <w:t>5,618,780</w:t>
            </w:r>
          </w:p>
        </w:tc>
        <w:tc>
          <w:tcPr>
            <w:tcW w:w="300" w:type="dxa"/>
            <w:vAlign w:val="bottom"/>
            <w:tcBorders>
              <w:left w:val="single" w:sz="8" w:color="CCFFCC"/>
            </w:tcBorders>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u w:val="single" w:color="auto"/>
                <w:color w:val="auto"/>
              </w:rPr>
              <w:t>$</w:t>
            </w:r>
          </w:p>
        </w:tc>
        <w:tc>
          <w:tcPr>
            <w:tcW w:w="8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b w:val="1"/>
                <w:bCs w:val="1"/>
                <w:color w:val="auto"/>
                <w:w w:val="89"/>
              </w:rPr>
              <w:t>(2,754,182)</w:t>
            </w:r>
          </w:p>
        </w:tc>
        <w:tc>
          <w:tcPr>
            <w:tcW w:w="24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b w:val="1"/>
                <w:bCs w:val="1"/>
                <w:color w:val="auto"/>
                <w:w w:val="95"/>
              </w:rPr>
              <w:t>2,865,161</w:t>
            </w:r>
          </w:p>
        </w:tc>
        <w:tc>
          <w:tcPr>
            <w:tcW w:w="2420" w:type="dxa"/>
            <w:vAlign w:val="bottom"/>
          </w:tcPr>
          <w:p>
            <w:pPr>
              <w:spacing w:after="0"/>
              <w:rPr>
                <w:sz w:val="18"/>
                <w:szCs w:val="18"/>
                <w:color w:val="auto"/>
              </w:rPr>
            </w:pPr>
          </w:p>
        </w:tc>
      </w:tr>
      <w:tr>
        <w:trPr>
          <w:trHeight w:val="20"/>
        </w:trPr>
        <w:tc>
          <w:tcPr>
            <w:tcW w:w="1140" w:type="dxa"/>
            <w:vAlign w:val="bottom"/>
            <w:tcBorders>
              <w:top w:val="single" w:sz="8" w:color="CCFFCC"/>
            </w:tcBorders>
            <w:shd w:val="clear" w:color="auto" w:fill="CCFFCC"/>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704"/>
        </w:trPr>
        <w:tc>
          <w:tcPr>
            <w:tcW w:w="1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ind w:left="400"/>
              <w:spacing w:after="0"/>
              <w:rPr>
                <w:sz w:val="20"/>
                <w:szCs w:val="20"/>
                <w:color w:val="auto"/>
              </w:rPr>
            </w:pPr>
            <w:r>
              <w:rPr>
                <w:rFonts w:ascii="Arial" w:cs="Arial" w:eastAsia="Arial" w:hAnsi="Arial"/>
                <w:sz w:val="17"/>
                <w:szCs w:val="17"/>
                <w:color w:val="auto"/>
              </w:rPr>
              <w:t>F-68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5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49"/>
        </w:trPr>
        <w:tc>
          <w:tcPr>
            <w:tcW w:w="6500" w:type="dxa"/>
            <w:vAlign w:val="bottom"/>
            <w:gridSpan w:val="3"/>
          </w:tcPr>
          <w:p>
            <w:pPr>
              <w:spacing w:after="0"/>
              <w:rPr>
                <w:sz w:val="20"/>
                <w:szCs w:val="20"/>
                <w:color w:val="auto"/>
              </w:rPr>
            </w:pPr>
            <w:r>
              <w:rPr>
                <w:rFonts w:ascii="Arial" w:cs="Arial" w:eastAsia="Arial" w:hAnsi="Arial"/>
                <w:sz w:val="13"/>
                <w:szCs w:val="13"/>
                <w:b w:val="1"/>
                <w:bCs w:val="1"/>
                <w:color w:val="0000EE"/>
              </w:rPr>
              <w:t>TABLE OF CONTENTS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465"/>
        </w:trPr>
        <w:tc>
          <w:tcPr>
            <w:tcW w:w="1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80" w:type="dxa"/>
            <w:vAlign w:val="bottom"/>
          </w:tcPr>
          <w:p>
            <w:pPr>
              <w:jc w:val="center"/>
              <w:ind w:left="876"/>
              <w:spacing w:after="0"/>
              <w:rPr>
                <w:sz w:val="20"/>
                <w:szCs w:val="20"/>
                <w:color w:val="auto"/>
              </w:rPr>
            </w:pPr>
            <w:r>
              <w:rPr>
                <w:rFonts w:ascii="Arial" w:cs="Arial" w:eastAsia="Arial" w:hAnsi="Arial"/>
                <w:sz w:val="17"/>
                <w:szCs w:val="17"/>
                <w:b w:val="1"/>
                <w:bCs w:val="1"/>
                <w:color w:val="auto"/>
                <w:w w:val="97"/>
              </w:rPr>
              <w:t>INNOVATE/PROTECT, INC.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88"/>
              </w:rPr>
              <w:t>(A Development Stage Company)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85"/>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jc w:val="center"/>
              <w:ind w:left="856"/>
              <w:spacing w:after="0"/>
              <w:rPr>
                <w:sz w:val="20"/>
                <w:szCs w:val="20"/>
                <w:color w:val="auto"/>
              </w:rPr>
            </w:pPr>
            <w:r>
              <w:rPr>
                <w:rFonts w:ascii="Arial" w:cs="Arial" w:eastAsia="Arial" w:hAnsi="Arial"/>
                <w:sz w:val="17"/>
                <w:szCs w:val="17"/>
                <w:b w:val="1"/>
                <w:bCs w:val="1"/>
                <w:color w:val="auto"/>
                <w:w w:val="97"/>
              </w:rPr>
              <w:t>CONSOLIDATED STATEMENT OF CASH FLOWS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4"/>
        </w:trPr>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gridSpan w:val="2"/>
          </w:tcPr>
          <w:p>
            <w:pPr>
              <w:jc w:val="center"/>
              <w:ind w:left="676"/>
              <w:spacing w:after="0"/>
              <w:rPr>
                <w:sz w:val="20"/>
                <w:szCs w:val="20"/>
                <w:color w:val="auto"/>
              </w:rPr>
            </w:pPr>
            <w:r>
              <w:rPr>
                <w:rFonts w:ascii="Arial" w:cs="Arial" w:eastAsia="Arial" w:hAnsi="Arial"/>
                <w:sz w:val="17"/>
                <w:szCs w:val="17"/>
                <w:b w:val="1"/>
                <w:bCs w:val="1"/>
                <w:color w:val="auto"/>
                <w:w w:val="88"/>
              </w:rPr>
              <w:t>Period from June 8, 2011 (Inception) to December 31, 2011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7"/>
                <w:szCs w:val="17"/>
                <w:color w:val="auto"/>
              </w:rPr>
              <w:t>Cash Flows From Operating Activities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01"/>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(2,754,182)</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340"/>
              <w:spacing w:after="0"/>
              <w:rPr>
                <w:sz w:val="20"/>
                <w:szCs w:val="20"/>
                <w:color w:val="auto"/>
              </w:rPr>
            </w:pPr>
            <w:r>
              <w:rPr>
                <w:rFonts w:ascii="Arial" w:cs="Arial" w:eastAsia="Arial" w:hAnsi="Arial"/>
                <w:sz w:val="17"/>
                <w:szCs w:val="17"/>
                <w:color w:val="auto"/>
              </w:rPr>
              <w:t>Amortization and depreciation</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328,277</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34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474,118</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Increase in prepaid assets</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(25,886)</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Increase in accounts payable and accrued liabilities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448,465</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Net cash used in operating activities</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(1,529,208)</w:t>
            </w:r>
          </w:p>
        </w:tc>
        <w:tc>
          <w:tcPr>
            <w:tcW w:w="2420" w:type="dxa"/>
            <w:vAlign w:val="bottom"/>
          </w:tcPr>
          <w:p>
            <w:pPr>
              <w:spacing w:after="0"/>
              <w:rPr>
                <w:sz w:val="16"/>
                <w:szCs w:val="16"/>
                <w:color w:val="auto"/>
              </w:rPr>
            </w:pPr>
          </w:p>
        </w:tc>
      </w:tr>
      <w:tr>
        <w:trPr>
          <w:trHeight w:val="193"/>
        </w:trPr>
        <w:tc>
          <w:tcPr>
            <w:tcW w:w="6500" w:type="dxa"/>
            <w:vAlign w:val="bottom"/>
            <w:tcBorders>
              <w:top w:val="single" w:sz="8" w:color="CCFFCC"/>
            </w:tcBorders>
            <w:gridSpan w:val="3"/>
          </w:tcPr>
          <w:p>
            <w:pPr>
              <w:spacing w:after="0" w:line="193" w:lineRule="exact"/>
              <w:rPr>
                <w:sz w:val="20"/>
                <w:szCs w:val="20"/>
                <w:color w:val="auto"/>
              </w:rPr>
            </w:pPr>
            <w:r>
              <w:rPr>
                <w:rFonts w:ascii="Arial" w:cs="Arial" w:eastAsia="Arial" w:hAnsi="Arial"/>
                <w:sz w:val="17"/>
                <w:szCs w:val="17"/>
                <w:color w:val="auto"/>
              </w:rPr>
              <w:t>Cash Flows From Investing Activities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Purchase of intangible assets</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w w:val="98"/>
              </w:rPr>
              <w:t>(3,395,187)</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Purchase of fixed assets</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(8,688)</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Net cash used in investing activities</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w w:val="98"/>
              </w:rPr>
              <w:t>(3,403,875)</w:t>
            </w:r>
          </w:p>
        </w:tc>
        <w:tc>
          <w:tcPr>
            <w:tcW w:w="2420" w:type="dxa"/>
            <w:vAlign w:val="bottom"/>
          </w:tcPr>
          <w:p>
            <w:pPr>
              <w:spacing w:after="0"/>
              <w:rPr>
                <w:sz w:val="16"/>
                <w:szCs w:val="16"/>
                <w:color w:val="auto"/>
              </w:rPr>
            </w:pPr>
          </w:p>
        </w:tc>
      </w:tr>
      <w:tr>
        <w:trPr>
          <w:trHeight w:val="193"/>
        </w:trPr>
        <w:tc>
          <w:tcPr>
            <w:tcW w:w="6500" w:type="dxa"/>
            <w:vAlign w:val="bottom"/>
            <w:tcBorders>
              <w:top w:val="single" w:sz="8" w:color="CCFFCC"/>
            </w:tcBorders>
            <w:gridSpan w:val="3"/>
          </w:tcPr>
          <w:p>
            <w:pPr>
              <w:spacing w:after="0" w:line="193" w:lineRule="exact"/>
              <w:rPr>
                <w:sz w:val="20"/>
                <w:szCs w:val="20"/>
                <w:color w:val="auto"/>
              </w:rPr>
            </w:pPr>
            <w:r>
              <w:rPr>
                <w:rFonts w:ascii="Arial" w:cs="Arial" w:eastAsia="Arial" w:hAnsi="Arial"/>
                <w:sz w:val="17"/>
                <w:szCs w:val="17"/>
                <w:color w:val="auto"/>
              </w:rPr>
              <w:t>Cash Flows From Financing Activities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Proceeds from note payable</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3,200,000</w:t>
            </w:r>
          </w:p>
        </w:tc>
        <w:tc>
          <w:tcPr>
            <w:tcW w:w="2420" w:type="dxa"/>
            <w:vAlign w:val="bottom"/>
          </w:tcPr>
          <w:p>
            <w:pPr>
              <w:spacing w:after="0"/>
              <w:rPr>
                <w:sz w:val="17"/>
                <w:szCs w:val="17"/>
                <w:color w:val="auto"/>
              </w:rPr>
            </w:pPr>
          </w:p>
        </w:tc>
      </w:tr>
      <w:tr>
        <w:trPr>
          <w:trHeight w:val="200"/>
        </w:trPr>
        <w:tc>
          <w:tcPr>
            <w:tcW w:w="6500" w:type="dxa"/>
            <w:vAlign w:val="bottom"/>
            <w:gridSpan w:val="3"/>
          </w:tcPr>
          <w:p>
            <w:pPr>
              <w:ind w:left="160"/>
              <w:spacing w:after="0"/>
              <w:rPr>
                <w:sz w:val="20"/>
                <w:szCs w:val="20"/>
                <w:color w:val="auto"/>
              </w:rPr>
            </w:pPr>
            <w:r>
              <w:rPr>
                <w:rFonts w:ascii="Arial" w:cs="Arial" w:eastAsia="Arial" w:hAnsi="Arial"/>
                <w:sz w:val="17"/>
                <w:szCs w:val="17"/>
                <w:color w:val="auto"/>
              </w:rPr>
              <w:t>Proceeds from issuance of preferred stock</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1,800,000</w:t>
            </w:r>
          </w:p>
        </w:tc>
        <w:tc>
          <w:tcPr>
            <w:tcW w:w="2420" w:type="dxa"/>
            <w:vAlign w:val="bottom"/>
          </w:tcPr>
          <w:p>
            <w:pPr>
              <w:spacing w:after="0"/>
              <w:rPr>
                <w:sz w:val="17"/>
                <w:szCs w:val="17"/>
                <w:color w:val="auto"/>
              </w:rPr>
            </w:pPr>
          </w:p>
        </w:tc>
      </w:tr>
      <w:tr>
        <w:trPr>
          <w:trHeight w:val="20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Proceeds from issuance of common stock</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5,145,225</w:t>
            </w:r>
          </w:p>
        </w:tc>
        <w:tc>
          <w:tcPr>
            <w:tcW w:w="2420" w:type="dxa"/>
            <w:vAlign w:val="bottom"/>
          </w:tcPr>
          <w:p>
            <w:pPr>
              <w:spacing w:after="0"/>
              <w:rPr>
                <w:sz w:val="17"/>
                <w:szCs w:val="17"/>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08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tcPr>
          <w:p>
            <w:pPr>
              <w:ind w:left="500"/>
              <w:spacing w:after="0" w:line="193" w:lineRule="exact"/>
              <w:rPr>
                <w:sz w:val="20"/>
                <w:szCs w:val="20"/>
                <w:color w:val="auto"/>
              </w:rPr>
            </w:pPr>
            <w:r>
              <w:rPr>
                <w:rFonts w:ascii="Arial" w:cs="Arial" w:eastAsia="Arial" w:hAnsi="Arial"/>
                <w:sz w:val="17"/>
                <w:szCs w:val="17"/>
                <w:b w:val="1"/>
                <w:bCs w:val="1"/>
                <w:color w:val="auto"/>
              </w:rPr>
              <w:t>Net cash provided by financing activities</w:t>
            </w:r>
          </w:p>
        </w:tc>
        <w:tc>
          <w:tcPr>
            <w:tcW w:w="180" w:type="dxa"/>
            <w:vAlign w:val="bottom"/>
          </w:tcPr>
          <w:p>
            <w:pPr>
              <w:spacing w:after="0"/>
              <w:rPr>
                <w:sz w:val="16"/>
                <w:szCs w:val="16"/>
                <w:color w:val="auto"/>
              </w:rPr>
            </w:pPr>
          </w:p>
        </w:tc>
        <w:tc>
          <w:tcPr>
            <w:tcW w:w="940" w:type="dxa"/>
            <w:vAlign w:val="bottom"/>
            <w:gridSpan w:val="2"/>
          </w:tcPr>
          <w:p>
            <w:pPr>
              <w:jc w:val="right"/>
              <w:ind w:right="60"/>
              <w:spacing w:after="0" w:line="193" w:lineRule="exact"/>
              <w:rPr>
                <w:sz w:val="20"/>
                <w:szCs w:val="20"/>
                <w:color w:val="auto"/>
              </w:rPr>
            </w:pPr>
            <w:r>
              <w:rPr>
                <w:rFonts w:ascii="Arial" w:cs="Arial" w:eastAsia="Arial" w:hAnsi="Arial"/>
                <w:sz w:val="17"/>
                <w:szCs w:val="17"/>
                <w:b w:val="1"/>
                <w:bCs w:val="1"/>
                <w:color w:val="auto"/>
              </w:rPr>
              <w:t>10,145,225</w:t>
            </w:r>
          </w:p>
        </w:tc>
        <w:tc>
          <w:tcPr>
            <w:tcW w:w="24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3"/>
        </w:trPr>
        <w:tc>
          <w:tcPr>
            <w:tcW w:w="6500" w:type="dxa"/>
            <w:vAlign w:val="bottom"/>
            <w:gridSpan w:val="3"/>
            <w:shd w:val="clear" w:color="auto" w:fill="CCFFCC"/>
          </w:tcPr>
          <w:p>
            <w:pPr>
              <w:ind w:left="500"/>
              <w:spacing w:after="0" w:line="193" w:lineRule="exact"/>
              <w:rPr>
                <w:sz w:val="20"/>
                <w:szCs w:val="20"/>
                <w:color w:val="auto"/>
              </w:rPr>
            </w:pPr>
            <w:r>
              <w:rPr>
                <w:rFonts w:ascii="Arial" w:cs="Arial" w:eastAsia="Arial" w:hAnsi="Arial"/>
                <w:sz w:val="17"/>
                <w:szCs w:val="17"/>
                <w:b w:val="1"/>
                <w:bCs w:val="1"/>
                <w:color w:val="auto"/>
              </w:rPr>
              <w:t>Increase in cash</w:t>
            </w:r>
          </w:p>
        </w:tc>
        <w:tc>
          <w:tcPr>
            <w:tcW w:w="18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16"/>
                <w:szCs w:val="16"/>
                <w:color w:val="auto"/>
              </w:rPr>
            </w:pPr>
          </w:p>
        </w:tc>
      </w:tr>
      <w:tr>
        <w:trPr>
          <w:trHeight w:val="200"/>
        </w:trPr>
        <w:tc>
          <w:tcPr>
            <w:tcW w:w="6500" w:type="dxa"/>
            <w:vAlign w:val="bottom"/>
            <w:gridSpan w:val="3"/>
          </w:tcPr>
          <w:p>
            <w:pPr>
              <w:spacing w:after="0"/>
              <w:rPr>
                <w:sz w:val="20"/>
                <w:szCs w:val="20"/>
                <w:color w:val="auto"/>
              </w:rPr>
            </w:pPr>
            <w:r>
              <w:rPr>
                <w:rFonts w:ascii="Arial" w:cs="Arial" w:eastAsia="Arial" w:hAnsi="Arial"/>
                <w:sz w:val="17"/>
                <w:szCs w:val="17"/>
                <w:color w:val="auto"/>
              </w:rPr>
              <w:t>Cash Balance, beginning of period</w:t>
            </w: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4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33"/>
        </w:trPr>
        <w:tc>
          <w:tcPr>
            <w:tcW w:w="6500" w:type="dxa"/>
            <w:vAlign w:val="bottom"/>
            <w:gridSpan w:val="3"/>
            <w:shd w:val="clear" w:color="auto" w:fill="CCFFCC"/>
          </w:tcPr>
          <w:p>
            <w:pPr>
              <w:spacing w:after="0" w:line="193" w:lineRule="exact"/>
              <w:rPr>
                <w:sz w:val="20"/>
                <w:szCs w:val="20"/>
                <w:color w:val="auto"/>
              </w:rPr>
            </w:pPr>
            <w:r>
              <w:rPr>
                <w:rFonts w:ascii="Arial" w:cs="Arial" w:eastAsia="Arial" w:hAnsi="Arial"/>
                <w:sz w:val="17"/>
                <w:szCs w:val="17"/>
                <w:color w:val="auto"/>
              </w:rPr>
              <w:t>Cash Balance, ending of period</w:t>
            </w:r>
          </w:p>
        </w:tc>
        <w:tc>
          <w:tcPr>
            <w:tcW w:w="18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b w:val="1"/>
                <w:bCs w:val="1"/>
                <w:color w:val="auto"/>
              </w:rPr>
              <w:t>5,212,142</w:t>
            </w:r>
          </w:p>
        </w:tc>
        <w:tc>
          <w:tcPr>
            <w:tcW w:w="2420" w:type="dxa"/>
            <w:vAlign w:val="bottom"/>
          </w:tcPr>
          <w:p>
            <w:pPr>
              <w:spacing w:after="0"/>
              <w:rPr>
                <w:sz w:val="20"/>
                <w:szCs w:val="20"/>
                <w:color w:val="auto"/>
              </w:rPr>
            </w:pPr>
          </w:p>
        </w:tc>
      </w:tr>
      <w:tr>
        <w:trPr>
          <w:trHeight w:val="191"/>
        </w:trPr>
        <w:tc>
          <w:tcPr>
            <w:tcW w:w="6500" w:type="dxa"/>
            <w:vAlign w:val="bottom"/>
            <w:tcBorders>
              <w:top w:val="single" w:sz="8" w:color="CCFFCC"/>
            </w:tcBorders>
            <w:gridSpan w:val="3"/>
          </w:tcPr>
          <w:p>
            <w:pPr>
              <w:spacing w:after="0" w:line="191" w:lineRule="exact"/>
              <w:rPr>
                <w:sz w:val="20"/>
                <w:szCs w:val="20"/>
                <w:color w:val="auto"/>
              </w:rPr>
            </w:pPr>
            <w:r>
              <w:rPr>
                <w:rFonts w:ascii="Arial" w:cs="Arial" w:eastAsia="Arial" w:hAnsi="Arial"/>
                <w:sz w:val="17"/>
                <w:szCs w:val="17"/>
                <w:color w:val="auto"/>
              </w:rPr>
              <w:t>Supplemental Disclosures of Cash Flow Information</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20" w:type="dxa"/>
            <w:vAlign w:val="bottom"/>
          </w:tcPr>
          <w:p>
            <w:pPr>
              <w:spacing w:after="0"/>
              <w:rPr>
                <w:sz w:val="16"/>
                <w:szCs w:val="16"/>
                <w:color w:val="auto"/>
              </w:rPr>
            </w:pPr>
          </w:p>
        </w:tc>
      </w:tr>
      <w:tr>
        <w:trPr>
          <w:trHeight w:val="240"/>
        </w:trPr>
        <w:tc>
          <w:tcPr>
            <w:tcW w:w="6500" w:type="dxa"/>
            <w:vAlign w:val="bottom"/>
            <w:gridSpan w:val="3"/>
            <w:shd w:val="clear" w:color="auto" w:fill="CCFFCC"/>
          </w:tcPr>
          <w:p>
            <w:pPr>
              <w:ind w:left="160"/>
              <w:spacing w:after="0"/>
              <w:rPr>
                <w:sz w:val="20"/>
                <w:szCs w:val="20"/>
                <w:color w:val="auto"/>
              </w:rPr>
            </w:pPr>
            <w:r>
              <w:rPr>
                <w:rFonts w:ascii="Arial" w:cs="Arial" w:eastAsia="Arial" w:hAnsi="Arial"/>
                <w:sz w:val="17"/>
                <w:szCs w:val="17"/>
                <w:color w:val="auto"/>
              </w:rPr>
              <w:t>Cash paid for interest</w:t>
            </w:r>
          </w:p>
        </w:tc>
        <w:tc>
          <w:tcPr>
            <w:tcW w:w="180" w:type="dxa"/>
            <w:vAlign w:val="bottom"/>
            <w:shd w:val="clear" w:color="auto" w:fill="CCFFCC"/>
          </w:tcPr>
          <w:p>
            <w:pPr>
              <w:jc w:val="right"/>
              <w:spacing w:after="0"/>
              <w:rPr>
                <w:sz w:val="20"/>
                <w:szCs w:val="20"/>
                <w:color w:val="auto"/>
              </w:rPr>
            </w:pPr>
            <w:r>
              <w:rPr>
                <w:rFonts w:ascii="Arial" w:cs="Arial" w:eastAsia="Arial" w:hAnsi="Arial"/>
                <w:sz w:val="17"/>
                <w:szCs w:val="17"/>
                <w:b w:val="1"/>
                <w:bCs w:val="1"/>
                <w:color w:val="auto"/>
                <w:w w:val="84"/>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b w:val="1"/>
                <w:bCs w:val="1"/>
                <w:color w:val="auto"/>
              </w:rPr>
              <w:t>7,728</w:t>
            </w:r>
          </w:p>
        </w:tc>
        <w:tc>
          <w:tcPr>
            <w:tcW w:w="2420" w:type="dxa"/>
            <w:vAlign w:val="bottom"/>
          </w:tcPr>
          <w:p>
            <w:pPr>
              <w:spacing w:after="0"/>
              <w:rPr>
                <w:sz w:val="20"/>
                <w:szCs w:val="20"/>
                <w:color w:val="auto"/>
              </w:rPr>
            </w:pPr>
          </w:p>
        </w:tc>
      </w:tr>
      <w:tr>
        <w:trPr>
          <w:trHeight w:val="704"/>
        </w:trPr>
        <w:tc>
          <w:tcPr>
            <w:tcW w:w="114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5080" w:type="dxa"/>
            <w:vAlign w:val="bottom"/>
            <w:tcBorders>
              <w:top w:val="single" w:sz="8" w:color="CCFFCC"/>
            </w:tcBorders>
          </w:tcPr>
          <w:p>
            <w:pPr>
              <w:ind w:left="2740"/>
              <w:spacing w:after="0"/>
              <w:rPr>
                <w:sz w:val="20"/>
                <w:szCs w:val="20"/>
                <w:color w:val="auto"/>
              </w:rPr>
            </w:pPr>
            <w:r>
              <w:rPr>
                <w:rFonts w:ascii="Arial" w:cs="Arial" w:eastAsia="Arial" w:hAnsi="Arial"/>
                <w:sz w:val="17"/>
                <w:szCs w:val="17"/>
                <w:color w:val="auto"/>
              </w:rPr>
              <w:t>F-69</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42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0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5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-2473960</wp:posOffset>
            </wp:positionV>
            <wp:extent cx="4837430" cy="135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-1948815</wp:posOffset>
            </wp:positionV>
            <wp:extent cx="4837430" cy="135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837430"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-1431290</wp:posOffset>
            </wp:positionV>
            <wp:extent cx="4837430" cy="14351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37430" cy="143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-898525</wp:posOffset>
            </wp:positionV>
            <wp:extent cx="4837430" cy="1593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837430" cy="159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837430" cy="317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83743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-3571875</wp:posOffset>
            </wp:positionV>
            <wp:extent cx="48374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p>
      <w:pPr>
        <w:sectPr>
          <w:pgSz w:w="11900" w:h="16838" w:orient="portrait"/>
          <w:cols w:equalWidth="0" w:num="1">
            <w:col w:w="10099"/>
          </w:cols>
          <w:pgMar w:left="360" w:top="742" w:right="1440" w:bottom="1440" w:gutter="0" w:footer="0" w:header="0"/>
        </w:sectPr>
      </w:pPr>
    </w:p>
    <w:bookmarkStart w:id="282" w:name="page283"/>
    <w:bookmarkEnd w:id="2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1. Nature of Business and Significant Accounting Policies</w:t>
      </w:r>
    </w:p>
    <w:p>
      <w:pPr>
        <w:jc w:val="both"/>
        <w:ind w:left="40" w:right="1239" w:firstLine="251"/>
        <w:spacing w:after="0" w:line="266" w:lineRule="auto"/>
        <w:rPr>
          <w:sz w:val="20"/>
          <w:szCs w:val="20"/>
          <w:color w:val="auto"/>
        </w:rPr>
      </w:pPr>
      <w:r>
        <w:rPr>
          <w:rFonts w:ascii="Arial" w:cs="Arial" w:eastAsia="Arial" w:hAnsi="Arial"/>
          <w:sz w:val="16"/>
          <w:szCs w:val="16"/>
          <w:b w:val="1"/>
          <w:bCs w:val="1"/>
          <w:i w:val="1"/>
          <w:iCs w:val="1"/>
          <w:color w:val="auto"/>
        </w:rPr>
        <w:t xml:space="preserve">Nature of business: </w:t>
      </w:r>
      <w:r>
        <w:rPr>
          <w:rFonts w:ascii="Arial" w:cs="Arial" w:eastAsia="Arial" w:hAnsi="Arial"/>
          <w:sz w:val="16"/>
          <w:szCs w:val="16"/>
          <w:color w:val="auto"/>
        </w:rPr>
        <w:t>Innovate/Protect, Inc. (“I/P”) was incorporated under the laws of the state of Delaware on June 8,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I/P and the Subsidiaries. Unless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context otherwise indicates, the terms “I/P” or the “Company” mean Innovate/Protect, Inc. and its consolidated subsidiaries. All intercompany balances and transactions have been eliminated in consolidation.</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Estimates and assumptions: </w:t>
      </w:r>
      <w:r>
        <w:rPr>
          <w:rFonts w:ascii="Arial" w:cs="Arial" w:eastAsia="Arial" w:hAnsi="Arial"/>
          <w:sz w:val="16"/>
          <w:szCs w:val="16"/>
          <w:color w:val="auto"/>
        </w:rPr>
        <w:t>The preparation of financial statements in conformity with accounting principles generally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Development stage: </w:t>
      </w:r>
      <w:r>
        <w:rPr>
          <w:rFonts w:ascii="Arial" w:cs="Arial" w:eastAsia="Arial" w:hAnsi="Arial"/>
          <w:sz w:val="17"/>
          <w:szCs w:val="17"/>
          <w:color w:val="auto"/>
        </w:rPr>
        <w:t>The Company is in the development stage and had not yet generated revenue for the period from inception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December 31, 2011.</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Cash and cash equivalents include cash and highly liquid investments with original maturities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62"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Intangible assets: </w:t>
      </w:r>
      <w:r>
        <w:rPr>
          <w:rFonts w:ascii="Arial" w:cs="Arial" w:eastAsia="Arial" w:hAnsi="Arial"/>
          <w:sz w:val="15"/>
          <w:szCs w:val="15"/>
          <w:color w:val="auto"/>
        </w:rPr>
        <w:t>Intangible assets consist of patents that were purchased and the costs to acquire them. They are amortized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5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purchases are recorded at cost. Depreciation is computed using the straight-line method over estimated useful lives of 5 years.</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The Company has made the following types of stock-based awards, valued and reflected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as follows:</w:t>
      </w:r>
    </w:p>
    <w:p>
      <w:pPr>
        <w:spacing w:after="0" w:line="62"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Common Stock Grants: </w:t>
      </w:r>
      <w:r>
        <w:rPr>
          <w:rFonts w:ascii="Arial" w:cs="Arial" w:eastAsia="Arial" w:hAnsi="Arial"/>
          <w:sz w:val="17"/>
          <w:szCs w:val="17"/>
          <w:color w:val="auto"/>
        </w:rPr>
        <w:t>Common stock grants are valued at their fair market value at the date of the grant, multiplied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3" w:name="page284"/>
    <w:bookmarkEnd w:id="2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08"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300" w:right="1239" w:firstLine="251"/>
        <w:spacing w:after="0" w:line="289" w:lineRule="auto"/>
        <w:rPr>
          <w:sz w:val="20"/>
          <w:szCs w:val="20"/>
          <w:color w:val="auto"/>
        </w:rPr>
      </w:pPr>
      <w:r>
        <w:rPr>
          <w:rFonts w:ascii="Arial" w:cs="Arial" w:eastAsia="Arial" w:hAnsi="Arial"/>
          <w:sz w:val="15"/>
          <w:szCs w:val="15"/>
          <w:b w:val="1"/>
          <w:bCs w:val="1"/>
          <w:color w:val="auto"/>
        </w:rPr>
        <w:t xml:space="preserve">Sales of Common Stock at Less than Fair Market Value: </w:t>
      </w:r>
      <w:r>
        <w:rPr>
          <w:rFonts w:ascii="Arial" w:cs="Arial" w:eastAsia="Arial" w:hAnsi="Arial"/>
          <w:sz w:val="15"/>
          <w:szCs w:val="15"/>
          <w:color w:val="auto"/>
        </w:rPr>
        <w:t>Common stock sales at less than fair market value to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0" w:lineRule="exact"/>
        <w:rPr>
          <w:sz w:val="20"/>
          <w:szCs w:val="20"/>
          <w:color w:val="auto"/>
        </w:rPr>
      </w:pPr>
    </w:p>
    <w:p>
      <w:pPr>
        <w:jc w:val="both"/>
        <w:ind w:left="300" w:right="1239" w:firstLine="251"/>
        <w:spacing w:after="0" w:line="259" w:lineRule="auto"/>
        <w:rPr>
          <w:sz w:val="20"/>
          <w:szCs w:val="20"/>
          <w:color w:val="auto"/>
        </w:rPr>
      </w:pPr>
      <w:r>
        <w:rPr>
          <w:rFonts w:ascii="Arial" w:cs="Arial" w:eastAsia="Arial" w:hAnsi="Arial"/>
          <w:sz w:val="17"/>
          <w:szCs w:val="17"/>
          <w:b w:val="1"/>
          <w:bCs w:val="1"/>
          <w:color w:val="auto"/>
        </w:rPr>
        <w:t xml:space="preserve">Common Stock Options: </w:t>
      </w:r>
      <w:r>
        <w:rPr>
          <w:rFonts w:ascii="Arial" w:cs="Arial" w:eastAsia="Arial" w:hAnsi="Arial"/>
          <w:sz w:val="17"/>
          <w:szCs w:val="17"/>
          <w:color w:val="auto"/>
        </w:rPr>
        <w:t>Common stock options are valued at their fair market value at the time the options are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using the Black-Scholes option pricing model for valuing stock-based compensation awards. Common stock options are reflected as compensation expense in the period during which they vest.</w:t>
      </w:r>
    </w:p>
    <w:p>
      <w:pPr>
        <w:spacing w:after="0" w:line="73"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b w:val="1"/>
          <w:bCs w:val="1"/>
          <w:i w:val="1"/>
          <w:iCs w:val="1"/>
          <w:color w:val="auto"/>
        </w:rPr>
        <w:t xml:space="preserve">Fair value of common stock: </w:t>
      </w:r>
      <w:r>
        <w:rPr>
          <w:rFonts w:ascii="Arial" w:cs="Arial" w:eastAsia="Arial" w:hAnsi="Arial"/>
          <w:sz w:val="16"/>
          <w:szCs w:val="16"/>
          <w:color w:val="auto"/>
        </w:rPr>
        <w:t>At inception, the Company determined the fair value of each common share to be $.25832.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6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2"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Fair value of financial assets and liabilities is defined as the exchange price that would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40"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7"/>
          <w:szCs w:val="17"/>
          <w:color w:val="auto"/>
        </w:rPr>
        <w:t>Level 1 inputs which are defined as quoted prices (unadjusted) in active markets for identical assets or liabilities that the reporting entity has the ability to access at the measurement date.</w:t>
      </w:r>
    </w:p>
    <w:p>
      <w:pPr>
        <w:spacing w:after="0" w:line="66"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7"/>
          <w:szCs w:val="17"/>
          <w:color w:val="auto"/>
        </w:rPr>
        <w:t>Level 2 inputs which are defined as inputs other than quoted prices included within Level 1 that are observable for the assets or liabilities, either directly or indirectly.</w:t>
      </w:r>
    </w:p>
    <w:p>
      <w:pPr>
        <w:spacing w:after="0" w:line="66" w:lineRule="exact"/>
        <w:rPr>
          <w:sz w:val="20"/>
          <w:szCs w:val="20"/>
          <w:color w:val="auto"/>
        </w:rPr>
      </w:pPr>
    </w:p>
    <w:p>
      <w:pPr>
        <w:jc w:val="both"/>
        <w:ind w:left="300" w:right="1239" w:firstLine="251"/>
        <w:spacing w:after="0" w:line="274" w:lineRule="auto"/>
        <w:rPr>
          <w:sz w:val="20"/>
          <w:szCs w:val="20"/>
          <w:color w:val="auto"/>
        </w:rPr>
      </w:pPr>
      <w:r>
        <w:rPr>
          <w:rFonts w:ascii="Arial" w:cs="Arial" w:eastAsia="Arial" w:hAnsi="Arial"/>
          <w:sz w:val="16"/>
          <w:szCs w:val="16"/>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6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0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4" w:name="page285"/>
    <w:bookmarkEnd w:id="2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jc w:val="both"/>
        <w:ind w:left="40" w:right="1239" w:firstLine="251"/>
        <w:spacing w:after="0" w:line="256" w:lineRule="auto"/>
        <w:rPr>
          <w:sz w:val="20"/>
          <w:szCs w:val="20"/>
          <w:color w:val="auto"/>
        </w:rPr>
      </w:pPr>
      <w:r>
        <w:rPr>
          <w:rFonts w:ascii="Arial" w:cs="Arial" w:eastAsia="Arial" w:hAnsi="Arial"/>
          <w:sz w:val="17"/>
          <w:szCs w:val="17"/>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Deferred income tax assets and liabilities are determined using the asset and liability method.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7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 valuation allowance is recorded when it is more likely than not that some portion or all of the deferred tax assets will not be realized.</w:t>
      </w:r>
    </w:p>
    <w:p>
      <w:pPr>
        <w:spacing w:after="0" w:line="6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78"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December 31, 2011, the Company excluded the following potentially dilutive securities:</w:t>
      </w:r>
    </w:p>
    <w:p>
      <w:pPr>
        <w:spacing w:after="0" w:line="105" w:lineRule="exact"/>
        <w:rPr>
          <w:sz w:val="20"/>
          <w:szCs w:val="20"/>
          <w:color w:val="auto"/>
        </w:rPr>
      </w:pPr>
    </w:p>
    <w:p>
      <w:pPr>
        <w:ind w:left="560" w:hanging="300"/>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Series A Preferred Stock convertible into 6,968,000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Warrants to purchase 250,000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Options to purchase 13,646 shares of common stock.</w:t>
      </w:r>
    </w:p>
    <w:p>
      <w:pPr>
        <w:spacing w:after="0" w:line="105" w:lineRule="exact"/>
        <w:rPr>
          <w:rFonts w:ascii="Arial" w:cs="Arial" w:eastAsia="Arial" w:hAnsi="Arial"/>
          <w:sz w:val="17"/>
          <w:szCs w:val="17"/>
          <w:color w:val="auto"/>
        </w:rPr>
      </w:pPr>
    </w:p>
    <w:p>
      <w:pPr>
        <w:ind w:left="560" w:hanging="300"/>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1,237,270 shares of common stock granted but not vested.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411" w:lineRule="auto"/>
        <w:rPr>
          <w:sz w:val="20"/>
          <w:szCs w:val="20"/>
          <w:color w:val="auto"/>
        </w:rPr>
      </w:pPr>
      <w:r>
        <w:rPr>
          <w:rFonts w:ascii="Arial" w:cs="Arial" w:eastAsia="Arial" w:hAnsi="Arial"/>
          <w:sz w:val="16"/>
          <w:szCs w:val="16"/>
          <w:b w:val="1"/>
          <w:bCs w:val="1"/>
          <w:color w:val="auto"/>
        </w:rPr>
        <w:t>NOTES TO CONSOLIDATED FINANCIAL STATEMENTS Note 1. Nature of Business and Significant Accounting Policies – (continued)</w:t>
      </w:r>
    </w:p>
    <w:p>
      <w:pPr>
        <w:jc w:val="both"/>
        <w:ind w:left="40" w:right="1239" w:firstLine="251"/>
        <w:spacing w:after="0" w:line="269" w:lineRule="auto"/>
        <w:rPr>
          <w:sz w:val="20"/>
          <w:szCs w:val="20"/>
          <w:color w:val="auto"/>
        </w:rPr>
      </w:pPr>
      <w:r>
        <w:rPr>
          <w:rFonts w:ascii="Arial" w:cs="Arial" w:eastAsia="Arial" w:hAnsi="Arial"/>
          <w:sz w:val="16"/>
          <w:szCs w:val="16"/>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2. Liquidity and Capital Resources, Going Concern</w:t>
      </w:r>
    </w:p>
    <w:p>
      <w:pPr>
        <w:spacing w:after="0" w:line="109"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As a development stage company, the Company requires significant amounts of capital to support its operations during the period prior to the commencement of a revenue stream or other liquidity events.</w:t>
      </w:r>
    </w:p>
    <w:p>
      <w:pPr>
        <w:spacing w:after="0" w:line="6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ind w:left="40"/>
              <w:spacing w:after="0"/>
              <w:rPr>
                <w:sz w:val="20"/>
                <w:szCs w:val="20"/>
                <w:color w:val="auto"/>
              </w:rPr>
            </w:pPr>
            <w:r>
              <w:rPr>
                <w:rFonts w:ascii="Arial" w:cs="Arial" w:eastAsia="Arial" w:hAnsi="Arial"/>
                <w:sz w:val="17"/>
                <w:szCs w:val="17"/>
                <w:b w:val="1"/>
                <w:bCs w:val="1"/>
                <w:color w:val="auto"/>
              </w:rPr>
              <w:t>Note 3. Property and Equipment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88"/>
        </w:trPr>
        <w:tc>
          <w:tcPr>
            <w:tcW w:w="6140" w:type="dxa"/>
            <w:vAlign w:val="bottom"/>
          </w:tcPr>
          <w:p>
            <w:pPr>
              <w:ind w:left="300"/>
              <w:spacing w:after="0"/>
              <w:rPr>
                <w:sz w:val="20"/>
                <w:szCs w:val="20"/>
                <w:color w:val="auto"/>
              </w:rPr>
            </w:pPr>
            <w:r>
              <w:rPr>
                <w:rFonts w:ascii="Arial" w:cs="Arial" w:eastAsia="Arial" w:hAnsi="Arial"/>
                <w:sz w:val="17"/>
                <w:szCs w:val="17"/>
                <w:color w:val="auto"/>
              </w:rPr>
              <w:t>Property and equipment consisted of the following as of December 31, 2011: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7"/>
                <w:szCs w:val="17"/>
                <w:color w:val="auto"/>
              </w:rPr>
              <w:t>Computer equipment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8,688</w:t>
            </w:r>
          </w:p>
        </w:tc>
        <w:tc>
          <w:tcPr>
            <w:tcW w:w="160" w:type="dxa"/>
            <w:vAlign w:val="bottom"/>
          </w:tcPr>
          <w:p>
            <w:pPr>
              <w:spacing w:after="0"/>
              <w:rPr>
                <w:sz w:val="18"/>
                <w:szCs w:val="18"/>
                <w:color w:val="auto"/>
              </w:rPr>
            </w:pPr>
          </w:p>
        </w:tc>
      </w:tr>
      <w:tr>
        <w:trPr>
          <w:trHeight w:val="201"/>
        </w:trPr>
        <w:tc>
          <w:tcPr>
            <w:tcW w:w="614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depreciation</w:t>
            </w:r>
          </w:p>
        </w:tc>
        <w:tc>
          <w:tcPr>
            <w:tcW w:w="18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(682)</w:t>
            </w:r>
          </w:p>
        </w:tc>
      </w:tr>
      <w:tr>
        <w:trPr>
          <w:trHeight w:val="193"/>
        </w:trPr>
        <w:tc>
          <w:tcPr>
            <w:tcW w:w="6140" w:type="dxa"/>
            <w:vAlign w:val="bottom"/>
            <w:tcBorders>
              <w:top w:val="single" w:sz="8" w:color="CCFFC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8,006</w:t>
            </w:r>
          </w:p>
        </w:tc>
        <w:tc>
          <w:tcPr>
            <w:tcW w:w="160" w:type="dxa"/>
            <w:vAlign w:val="bottom"/>
            <w:tcBorders>
              <w:top w:val="single" w:sz="8" w:color="CCFFCC"/>
            </w:tcBorders>
          </w:tcPr>
          <w:p>
            <w:pPr>
              <w:spacing w:after="0"/>
              <w:rPr>
                <w:sz w:val="16"/>
                <w:szCs w:val="16"/>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-492760</wp:posOffset>
            </wp:positionV>
            <wp:extent cx="440817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are being depreciated over their expected useful lives.</w:t>
      </w:r>
    </w:p>
    <w:p>
      <w:pPr>
        <w:spacing w:after="0" w:line="200" w:lineRule="exact"/>
        <w:rPr>
          <w:sz w:val="20"/>
          <w:szCs w:val="20"/>
          <w:color w:val="auto"/>
        </w:rPr>
      </w:pPr>
    </w:p>
    <w:p>
      <w:pPr>
        <w:spacing w:after="0" w:line="31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80" w:type="dxa"/>
            <w:vAlign w:val="bottom"/>
          </w:tcPr>
          <w:p>
            <w:pPr>
              <w:ind w:left="40"/>
              <w:spacing w:after="0"/>
              <w:rPr>
                <w:sz w:val="20"/>
                <w:szCs w:val="20"/>
                <w:color w:val="auto"/>
              </w:rPr>
            </w:pPr>
            <w:r>
              <w:rPr>
                <w:rFonts w:ascii="Arial" w:cs="Arial" w:eastAsia="Arial" w:hAnsi="Arial"/>
                <w:sz w:val="17"/>
                <w:szCs w:val="17"/>
                <w:b w:val="1"/>
                <w:bCs w:val="1"/>
                <w:color w:val="auto"/>
              </w:rPr>
              <w:t>Note 4. Intangible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8"/>
        </w:trPr>
        <w:tc>
          <w:tcPr>
            <w:tcW w:w="6080" w:type="dxa"/>
            <w:vAlign w:val="bottom"/>
          </w:tcPr>
          <w:p>
            <w:pPr>
              <w:ind w:left="300"/>
              <w:spacing w:after="0"/>
              <w:rPr>
                <w:sz w:val="20"/>
                <w:szCs w:val="20"/>
                <w:color w:val="auto"/>
              </w:rPr>
            </w:pPr>
            <w:r>
              <w:rPr>
                <w:rFonts w:ascii="Arial" w:cs="Arial" w:eastAsia="Arial" w:hAnsi="Arial"/>
                <w:sz w:val="17"/>
                <w:szCs w:val="17"/>
                <w:color w:val="auto"/>
              </w:rPr>
              <w:t>Intangible assets consisted of the following as of December 31, 2011: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7"/>
                <w:szCs w:val="17"/>
                <w:color w:val="auto"/>
              </w:rPr>
              <w:t>Patents</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$3,395,188</w:t>
            </w:r>
          </w:p>
        </w:tc>
        <w:tc>
          <w:tcPr>
            <w:tcW w:w="100" w:type="dxa"/>
            <w:vAlign w:val="bottom"/>
          </w:tcPr>
          <w:p>
            <w:pPr>
              <w:spacing w:after="0"/>
              <w:rPr>
                <w:sz w:val="18"/>
                <w:szCs w:val="18"/>
                <w:color w:val="auto"/>
              </w:rPr>
            </w:pPr>
          </w:p>
        </w:tc>
      </w:tr>
      <w:tr>
        <w:trPr>
          <w:trHeight w:val="201"/>
        </w:trPr>
        <w:tc>
          <w:tcPr>
            <w:tcW w:w="6080" w:type="dxa"/>
            <w:vAlign w:val="bottom"/>
            <w:shd w:val="clear" w:color="auto" w:fill="CCFFCC"/>
          </w:tcPr>
          <w:p>
            <w:pPr>
              <w:spacing w:after="0"/>
              <w:rPr>
                <w:sz w:val="20"/>
                <w:szCs w:val="20"/>
                <w:color w:val="auto"/>
              </w:rPr>
            </w:pPr>
            <w:r>
              <w:rPr>
                <w:rFonts w:ascii="Arial" w:cs="Arial" w:eastAsia="Arial" w:hAnsi="Arial"/>
                <w:sz w:val="17"/>
                <w:szCs w:val="17"/>
                <w:color w:val="auto"/>
              </w:rPr>
              <w:t>Less accumulated amortization</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rPr>
              <w:t>(327,596)</w:t>
            </w:r>
          </w:p>
        </w:tc>
      </w:tr>
      <w:tr>
        <w:trPr>
          <w:trHeight w:val="193"/>
        </w:trPr>
        <w:tc>
          <w:tcPr>
            <w:tcW w:w="6080" w:type="dxa"/>
            <w:vAlign w:val="bottom"/>
            <w:tcBorders>
              <w:top w:val="single" w:sz="8" w:color="CCFFCC"/>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3,067,592</w:t>
            </w:r>
          </w:p>
        </w:tc>
        <w:tc>
          <w:tcPr>
            <w:tcW w:w="100" w:type="dxa"/>
            <w:vAlign w:val="bottom"/>
            <w:tcBorders>
              <w:top w:val="single" w:sz="8" w:color="CCFFCC"/>
            </w:tcBorders>
          </w:tcPr>
          <w:p>
            <w:pPr>
              <w:spacing w:after="0"/>
              <w:rPr>
                <w:sz w:val="16"/>
                <w:szCs w:val="16"/>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4408170" cy="1670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408170" cy="167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-492760</wp:posOffset>
            </wp:positionV>
            <wp:extent cx="436816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68165" cy="8255"/>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58"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7"/>
          <w:szCs w:val="17"/>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4081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r>
      <w:tr>
        <w:trPr>
          <w:trHeight w:val="193"/>
        </w:trPr>
        <w:tc>
          <w:tcPr>
            <w:tcW w:w="598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December 31, 2012</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  622,775</w:t>
            </w:r>
          </w:p>
        </w:tc>
      </w:tr>
      <w:tr>
        <w:trPr>
          <w:trHeight w:val="200"/>
        </w:trPr>
        <w:tc>
          <w:tcPr>
            <w:tcW w:w="5980" w:type="dxa"/>
            <w:vAlign w:val="bottom"/>
          </w:tcPr>
          <w:p>
            <w:pPr>
              <w:spacing w:after="0"/>
              <w:rPr>
                <w:sz w:val="20"/>
                <w:szCs w:val="20"/>
                <w:color w:val="auto"/>
              </w:rPr>
            </w:pPr>
            <w:r>
              <w:rPr>
                <w:rFonts w:ascii="Arial" w:cs="Arial" w:eastAsia="Arial" w:hAnsi="Arial"/>
                <w:sz w:val="17"/>
                <w:szCs w:val="17"/>
                <w:color w:val="auto"/>
              </w:rPr>
              <w:t>December 31, 2013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shd w:val="clear" w:color="auto" w:fill="CCFFCC"/>
          </w:tcPr>
          <w:p>
            <w:pPr>
              <w:spacing w:after="0"/>
              <w:rPr>
                <w:sz w:val="20"/>
                <w:szCs w:val="20"/>
                <w:color w:val="auto"/>
              </w:rPr>
            </w:pPr>
            <w:r>
              <w:rPr>
                <w:rFonts w:ascii="Arial" w:cs="Arial" w:eastAsia="Arial" w:hAnsi="Arial"/>
                <w:sz w:val="17"/>
                <w:szCs w:val="17"/>
                <w:color w:val="auto"/>
              </w:rPr>
              <w:t>December 31, 2014</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tcPr>
          <w:p>
            <w:pPr>
              <w:spacing w:after="0"/>
              <w:rPr>
                <w:sz w:val="20"/>
                <w:szCs w:val="20"/>
                <w:color w:val="auto"/>
              </w:rPr>
            </w:pPr>
            <w:r>
              <w:rPr>
                <w:rFonts w:ascii="Arial" w:cs="Arial" w:eastAsia="Arial" w:hAnsi="Arial"/>
                <w:sz w:val="17"/>
                <w:szCs w:val="17"/>
                <w:color w:val="auto"/>
              </w:rPr>
              <w:t>December 31, 2015</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622,775</w:t>
            </w:r>
          </w:p>
        </w:tc>
      </w:tr>
      <w:tr>
        <w:trPr>
          <w:trHeight w:val="200"/>
        </w:trPr>
        <w:tc>
          <w:tcPr>
            <w:tcW w:w="5980" w:type="dxa"/>
            <w:vAlign w:val="bottom"/>
            <w:shd w:val="clear" w:color="auto" w:fill="CCFFCC"/>
          </w:tcPr>
          <w:p>
            <w:pPr>
              <w:spacing w:after="0"/>
              <w:rPr>
                <w:sz w:val="20"/>
                <w:szCs w:val="20"/>
                <w:color w:val="auto"/>
              </w:rPr>
            </w:pPr>
            <w:r>
              <w:rPr>
                <w:rFonts w:ascii="Arial" w:cs="Arial" w:eastAsia="Arial" w:hAnsi="Arial"/>
                <w:sz w:val="17"/>
                <w:szCs w:val="17"/>
                <w:color w:val="auto"/>
              </w:rPr>
              <w:t>December 31, 2016 and thereafter</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576,492</w:t>
            </w: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5. Note Payable — Related Party</w:t>
      </w:r>
    </w:p>
    <w:p>
      <w:pPr>
        <w:spacing w:after="0" w:line="109"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2011, there were no known conditions of default.</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28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7" w:name="page288"/>
    <w:bookmarkEnd w:id="2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6. Series A Convertible Preferred Stock</w:t>
      </w:r>
    </w:p>
    <w:p>
      <w:pPr>
        <w:jc w:val="both"/>
        <w:ind w:left="40" w:right="1239" w:firstLine="251"/>
        <w:spacing w:after="0" w:line="264" w:lineRule="auto"/>
        <w:rPr>
          <w:sz w:val="20"/>
          <w:szCs w:val="20"/>
          <w:color w:val="auto"/>
        </w:rPr>
      </w:pPr>
      <w:r>
        <w:rPr>
          <w:rFonts w:ascii="Arial" w:cs="Arial" w:eastAsia="Arial" w:hAnsi="Arial"/>
          <w:sz w:val="16"/>
          <w:szCs w:val="16"/>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Series A Preferred Stock is classified as mezzanine because certain Triggering Events may occur outside the control of the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7. Warrants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On August 30, 2011, the Company issued 250,000 warrants to Hudson Bay. Each warrant entitles Hudson Bay to purchase one</w:t>
      </w:r>
    </w:p>
    <w:p>
      <w:pPr>
        <w:spacing w:after="0" w:line="40" w:lineRule="exact"/>
        <w:rPr>
          <w:sz w:val="20"/>
          <w:szCs w:val="20"/>
          <w:color w:val="auto"/>
        </w:rPr>
      </w:pPr>
    </w:p>
    <w:p>
      <w:pPr>
        <w:jc w:val="both"/>
        <w:ind w:left="40" w:right="1239" w:firstLine="7"/>
        <w:spacing w:after="0" w:line="249" w:lineRule="auto"/>
        <w:tabs>
          <w:tab w:leader="none" w:pos="292"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Stock-Based Compensation</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7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4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290"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8" w:name="page289"/>
    <w:bookmarkEnd w:id="2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40" w:right="3479" w:firstLine="2197"/>
        <w:spacing w:after="0" w:line="387" w:lineRule="auto"/>
        <w:rPr>
          <w:sz w:val="20"/>
          <w:szCs w:val="20"/>
          <w:color w:val="auto"/>
        </w:rPr>
      </w:pPr>
      <w:r>
        <w:rPr>
          <w:rFonts w:ascii="Arial" w:cs="Arial" w:eastAsia="Arial" w:hAnsi="Arial"/>
          <w:sz w:val="17"/>
          <w:szCs w:val="17"/>
          <w:b w:val="1"/>
          <w:bCs w:val="1"/>
          <w:color w:val="auto"/>
        </w:rPr>
        <w:t>NOTES TO CONSOLIDATED FINANCIAL STATEMENTS Note 8. Stock-Based Compensation – (continued)</w:t>
      </w:r>
    </w:p>
    <w:p>
      <w:pPr>
        <w:jc w:val="both"/>
        <w:ind w:left="40" w:right="1239" w:firstLine="251"/>
        <w:spacing w:after="0" w:line="307" w:lineRule="auto"/>
        <w:rPr>
          <w:sz w:val="20"/>
          <w:szCs w:val="20"/>
          <w:color w:val="auto"/>
        </w:rPr>
      </w:pPr>
      <w:r>
        <w:rPr>
          <w:rFonts w:ascii="Arial" w:cs="Arial" w:eastAsia="Arial" w:hAnsi="Arial"/>
          <w:sz w:val="15"/>
          <w:szCs w:val="15"/>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4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table below illustrates the grants of common stock and the sales of common stock at less than fair value made during the period from inception through December 31 2011.</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563308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6330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66675</wp:posOffset>
            </wp:positionV>
            <wp:extent cx="563308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63308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Grant,</w:t>
            </w:r>
          </w:p>
        </w:tc>
        <w:tc>
          <w:tcPr>
            <w:tcW w:w="40" w:type="dxa"/>
            <w:vAlign w:val="bottom"/>
          </w:tcPr>
          <w:p>
            <w:pPr>
              <w:spacing w:after="0"/>
              <w:rPr>
                <w:sz w:val="13"/>
                <w:szCs w:val="13"/>
                <w:color w:val="auto"/>
              </w:rPr>
            </w:pPr>
          </w:p>
        </w:tc>
        <w:tc>
          <w:tcPr>
            <w:tcW w:w="920" w:type="dxa"/>
            <w:vAlign w:val="bottom"/>
          </w:tcPr>
          <w:p>
            <w:pPr>
              <w:jc w:val="right"/>
              <w:ind w:right="153"/>
              <w:spacing w:after="0"/>
              <w:rPr>
                <w:sz w:val="20"/>
                <w:szCs w:val="20"/>
                <w:color w:val="auto"/>
              </w:rPr>
            </w:pPr>
            <w:r>
              <w:rPr>
                <w:rFonts w:ascii="Arial" w:cs="Arial" w:eastAsia="Arial" w:hAnsi="Arial"/>
                <w:sz w:val="13"/>
                <w:szCs w:val="13"/>
                <w:b w:val="1"/>
                <w:bCs w:val="1"/>
                <w:color w:val="auto"/>
              </w:rPr>
              <w:t># Shares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5"/>
              <w:spacing w:after="0"/>
              <w:rPr>
                <w:sz w:val="20"/>
                <w:szCs w:val="20"/>
                <w:color w:val="auto"/>
              </w:rPr>
            </w:pPr>
            <w:r>
              <w:rPr>
                <w:rFonts w:ascii="Arial" w:cs="Arial" w:eastAsia="Arial" w:hAnsi="Arial"/>
                <w:sz w:val="13"/>
                <w:szCs w:val="13"/>
                <w:b w:val="1"/>
                <w:bCs w:val="1"/>
                <w:color w:val="auto"/>
                <w:w w:val="96"/>
              </w:rPr>
              <w:t>Fair Value</w:t>
            </w:r>
          </w:p>
        </w:tc>
        <w:tc>
          <w:tcPr>
            <w:tcW w:w="6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3"/>
                <w:szCs w:val="13"/>
                <w:b w:val="1"/>
                <w:bCs w:val="1"/>
                <w:color w:val="auto"/>
              </w:rPr>
              <w:t>Total Value</w:t>
            </w:r>
          </w:p>
        </w:tc>
        <w:tc>
          <w:tcPr>
            <w:tcW w:w="6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 Paid</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80" w:type="dxa"/>
            <w:vAlign w:val="bottom"/>
          </w:tcPr>
          <w:p>
            <w:pPr>
              <w:spacing w:after="0"/>
              <w:rPr>
                <w:sz w:val="13"/>
                <w:szCs w:val="13"/>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Compensation</w:t>
            </w: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Purchase or</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7"/>
              </w:rPr>
              <w:t>at Grant,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80"/>
              <w:spacing w:after="0" w:line="138" w:lineRule="exact"/>
              <w:rPr>
                <w:sz w:val="20"/>
                <w:szCs w:val="20"/>
                <w:color w:val="auto"/>
              </w:rPr>
            </w:pPr>
            <w:r>
              <w:rPr>
                <w:rFonts w:ascii="Arial" w:cs="Arial" w:eastAsia="Arial" w:hAnsi="Arial"/>
                <w:sz w:val="13"/>
                <w:szCs w:val="13"/>
                <w:b w:val="1"/>
                <w:bCs w:val="1"/>
                <w:color w:val="auto"/>
                <w:w w:val="93"/>
              </w:rPr>
              <w:t>for Shares</w:t>
            </w: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Stock Based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7"/>
              </w:rPr>
              <w:t>Recognized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Vest Date</w:t>
            </w: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0"/>
              </w:rPr>
              <w:t>Purchase or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Inception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12/31/11</w:t>
            </w:r>
          </w:p>
        </w:tc>
        <w:tc>
          <w:tcPr>
            <w:tcW w:w="80" w:type="dxa"/>
            <w:vAlign w:val="bottom"/>
          </w:tcPr>
          <w:p>
            <w:pPr>
              <w:spacing w:after="0"/>
              <w:rPr>
                <w:sz w:val="11"/>
                <w:szCs w:val="11"/>
                <w:color w:val="auto"/>
              </w:rPr>
            </w:pPr>
          </w:p>
        </w:tc>
      </w:tr>
      <w:tr>
        <w:trPr>
          <w:trHeight w:val="138"/>
        </w:trPr>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5"/>
              <w:spacing w:after="0" w:line="138" w:lineRule="exact"/>
              <w:rPr>
                <w:sz w:val="20"/>
                <w:szCs w:val="20"/>
                <w:color w:val="auto"/>
              </w:rPr>
            </w:pPr>
            <w:r>
              <w:rPr>
                <w:rFonts w:ascii="Arial" w:cs="Arial" w:eastAsia="Arial" w:hAnsi="Arial"/>
                <w:sz w:val="13"/>
                <w:szCs w:val="13"/>
                <w:b w:val="1"/>
                <w:bCs w:val="1"/>
                <w:color w:val="auto"/>
                <w:w w:val="91"/>
              </w:rPr>
              <w:t>Vest Date</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through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12/31/11</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93"/>
        </w:trPr>
        <w:tc>
          <w:tcPr>
            <w:tcW w:w="1140" w:type="dxa"/>
            <w:vAlign w:val="bottom"/>
            <w:gridSpan w:val="2"/>
            <w:shd w:val="clear" w:color="auto" w:fill="CCFFCC"/>
          </w:tcPr>
          <w:p>
            <w:pPr>
              <w:spacing w:after="0" w:line="193" w:lineRule="exact"/>
              <w:rPr>
                <w:sz w:val="20"/>
                <w:szCs w:val="20"/>
                <w:color w:val="auto"/>
              </w:rPr>
            </w:pPr>
            <w:r>
              <w:rPr>
                <w:rFonts w:ascii="Arial" w:cs="Arial" w:eastAsia="Arial" w:hAnsi="Arial"/>
                <w:sz w:val="17"/>
                <w:szCs w:val="17"/>
                <w:color w:val="auto"/>
              </w:rPr>
              <w:t>Consultant</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6/22/2011</w:t>
            </w:r>
          </w:p>
        </w:tc>
        <w:tc>
          <w:tcPr>
            <w:tcW w:w="9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125,000</w:t>
            </w:r>
          </w:p>
        </w:tc>
        <w:tc>
          <w:tcPr>
            <w:tcW w:w="140" w:type="dxa"/>
            <w:vAlign w:val="bottom"/>
            <w:gridSpan w:val="2"/>
            <w:shd w:val="clear" w:color="auto" w:fill="CCFFCC"/>
          </w:tcPr>
          <w:p>
            <w:pPr>
              <w:jc w:val="right"/>
              <w:ind w:right="20"/>
              <w:spacing w:after="0" w:line="193" w:lineRule="exact"/>
              <w:rPr>
                <w:sz w:val="20"/>
                <w:szCs w:val="20"/>
                <w:color w:val="auto"/>
              </w:rPr>
            </w:pPr>
            <w:r>
              <w:rPr>
                <w:rFonts w:ascii="Arial" w:cs="Arial" w:eastAsia="Arial" w:hAnsi="Arial"/>
                <w:sz w:val="17"/>
                <w:szCs w:val="17"/>
                <w:color w:val="auto"/>
              </w:rPr>
              <w:t>$</w:t>
            </w:r>
          </w:p>
        </w:tc>
        <w:tc>
          <w:tcPr>
            <w:tcW w:w="8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0.25832</w:t>
            </w:r>
          </w:p>
        </w:tc>
        <w:tc>
          <w:tcPr>
            <w:tcW w:w="60" w:type="dxa"/>
            <w:vAlign w:val="bottom"/>
            <w:shd w:val="clear" w:color="auto" w:fill="CCFFCC"/>
          </w:tcPr>
          <w:p>
            <w:pPr>
              <w:spacing w:after="0"/>
              <w:rPr>
                <w:sz w:val="16"/>
                <w:szCs w:val="16"/>
                <w:color w:val="auto"/>
              </w:rPr>
            </w:pPr>
          </w:p>
        </w:tc>
        <w:tc>
          <w:tcPr>
            <w:tcW w:w="900" w:type="dxa"/>
            <w:vAlign w:val="bottom"/>
            <w:shd w:val="clear" w:color="auto" w:fill="CCFFCC"/>
          </w:tcPr>
          <w:p>
            <w:pPr>
              <w:jc w:val="right"/>
              <w:ind w:right="5"/>
              <w:spacing w:after="0" w:line="193" w:lineRule="exact"/>
              <w:rPr>
                <w:sz w:val="20"/>
                <w:szCs w:val="20"/>
                <w:color w:val="auto"/>
              </w:rPr>
            </w:pPr>
            <w:r>
              <w:rPr>
                <w:rFonts w:ascii="Arial" w:cs="Arial" w:eastAsia="Arial" w:hAnsi="Arial"/>
                <w:sz w:val="17"/>
                <w:szCs w:val="17"/>
                <w:color w:val="auto"/>
              </w:rPr>
              <w:t>N/A</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780" w:type="dxa"/>
            <w:vAlign w:val="bottom"/>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12</w:t>
            </w:r>
          </w:p>
        </w:tc>
        <w:tc>
          <w:tcPr>
            <w:tcW w:w="6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N/A</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49,070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170,346*</w:t>
            </w:r>
          </w:p>
        </w:tc>
      </w:tr>
      <w:tr>
        <w:trPr>
          <w:trHeight w:val="200"/>
        </w:trPr>
        <w:tc>
          <w:tcPr>
            <w:tcW w:w="1140" w:type="dxa"/>
            <w:vAlign w:val="bottom"/>
            <w:gridSpan w:val="2"/>
          </w:tcPr>
          <w:p>
            <w:pPr>
              <w:spacing w:after="0"/>
              <w:rPr>
                <w:sz w:val="20"/>
                <w:szCs w:val="20"/>
                <w:color w:val="auto"/>
              </w:rPr>
            </w:pPr>
            <w:r>
              <w:rPr>
                <w:rFonts w:ascii="Arial" w:cs="Arial" w:eastAsia="Arial" w:hAnsi="Arial"/>
                <w:sz w:val="17"/>
                <w:szCs w:val="17"/>
                <w:color w:val="auto"/>
              </w:rPr>
              <w:t>Exec. Officer</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6/22/2011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2,115,625</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0.25832</w:t>
            </w:r>
          </w:p>
        </w:tc>
        <w:tc>
          <w:tcPr>
            <w:tcW w:w="960" w:type="dxa"/>
            <w:vAlign w:val="bottom"/>
            <w:gridSpan w:val="2"/>
          </w:tcPr>
          <w:p>
            <w:pPr>
              <w:jc w:val="right"/>
              <w:ind w:right="5"/>
              <w:spacing w:after="0"/>
              <w:rPr>
                <w:sz w:val="20"/>
                <w:szCs w:val="20"/>
                <w:color w:val="auto"/>
              </w:rPr>
            </w:pPr>
            <w:r>
              <w:rPr>
                <w:rFonts w:ascii="Arial" w:cs="Arial" w:eastAsia="Arial" w:hAnsi="Arial"/>
                <w:sz w:val="17"/>
                <w:szCs w:val="17"/>
                <w:color w:val="auto"/>
              </w:rPr>
              <w:t>546,508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212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546,296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346,329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199,955</w:t>
            </w:r>
          </w:p>
        </w:tc>
      </w:tr>
      <w:tr>
        <w:trPr>
          <w:trHeight w:val="200"/>
        </w:trPr>
        <w:tc>
          <w:tcPr>
            <w:tcW w:w="114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Exec. Officer</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8/10/2011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625,000</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7"/>
                <w:szCs w:val="17"/>
                <w:color w:val="auto"/>
              </w:rPr>
              <w:t>0.25832</w:t>
            </w:r>
          </w:p>
        </w:tc>
        <w:tc>
          <w:tcPr>
            <w:tcW w:w="960" w:type="dxa"/>
            <w:vAlign w:val="bottom"/>
            <w:gridSpan w:val="2"/>
            <w:shd w:val="clear" w:color="auto" w:fill="CCFFCC"/>
          </w:tcPr>
          <w:p>
            <w:pPr>
              <w:jc w:val="right"/>
              <w:ind w:right="5"/>
              <w:spacing w:after="0"/>
              <w:rPr>
                <w:sz w:val="20"/>
                <w:szCs w:val="20"/>
                <w:color w:val="auto"/>
              </w:rPr>
            </w:pPr>
            <w:r>
              <w:rPr>
                <w:rFonts w:ascii="Arial" w:cs="Arial" w:eastAsia="Arial" w:hAnsi="Arial"/>
                <w:sz w:val="17"/>
                <w:szCs w:val="17"/>
                <w:color w:val="auto"/>
              </w:rPr>
              <w:t>161,450</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7"/>
                <w:szCs w:val="17"/>
                <w:color w:val="auto"/>
              </w:rPr>
              <w:t>161,450</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41,900</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7"/>
                <w:szCs w:val="17"/>
                <w:color w:val="auto"/>
              </w:rPr>
              <w:t>119,550</w:t>
            </w:r>
          </w:p>
        </w:tc>
      </w:tr>
      <w:tr>
        <w:trPr>
          <w:trHeight w:val="200"/>
        </w:trPr>
        <w:tc>
          <w:tcPr>
            <w:tcW w:w="11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11/07/2011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3.00</w:t>
            </w:r>
          </w:p>
        </w:tc>
        <w:tc>
          <w:tcPr>
            <w:tcW w:w="960" w:type="dxa"/>
            <w:vAlign w:val="bottom"/>
            <w:gridSpan w:val="2"/>
          </w:tcPr>
          <w:p>
            <w:pPr>
              <w:jc w:val="right"/>
              <w:ind w:right="5"/>
              <w:spacing w:after="0"/>
              <w:rPr>
                <w:sz w:val="20"/>
                <w:szCs w:val="20"/>
                <w:color w:val="auto"/>
              </w:rPr>
            </w:pPr>
            <w:r>
              <w:rPr>
                <w:rFonts w:ascii="Arial" w:cs="Arial" w:eastAsia="Arial" w:hAnsi="Arial"/>
                <w:sz w:val="17"/>
                <w:szCs w:val="17"/>
                <w:color w:val="auto"/>
              </w:rPr>
              <w:t>120,000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120,000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108,219</w:t>
            </w: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3"/>
        </w:trPr>
        <w:tc>
          <w:tcPr>
            <w:tcW w:w="90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FFCC"/>
          </w:tcPr>
          <w:p>
            <w:pPr>
              <w:jc w:val="right"/>
              <w:spacing w:after="0" w:line="193" w:lineRule="exact"/>
              <w:rPr>
                <w:sz w:val="20"/>
                <w:szCs w:val="20"/>
                <w:color w:val="auto"/>
              </w:rPr>
            </w:pPr>
            <w:r>
              <w:rPr>
                <w:rFonts w:ascii="Arial" w:cs="Arial" w:eastAsia="Arial" w:hAnsi="Arial"/>
                <w:sz w:val="17"/>
                <w:szCs w:val="17"/>
                <w:color w:val="auto"/>
              </w:rPr>
              <w:t>449,080</w:t>
            </w:r>
          </w:p>
        </w:tc>
        <w:tc>
          <w:tcPr>
            <w:tcW w:w="6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FFCC"/>
          </w:tcPr>
          <w:p>
            <w:pPr>
              <w:jc w:val="right"/>
              <w:ind w:right="60"/>
              <w:spacing w:after="0" w:line="193" w:lineRule="exact"/>
              <w:rPr>
                <w:sz w:val="20"/>
                <w:szCs w:val="20"/>
                <w:color w:val="auto"/>
              </w:rPr>
            </w:pPr>
            <w:r>
              <w:rPr>
                <w:rFonts w:ascii="Arial" w:cs="Arial" w:eastAsia="Arial" w:hAnsi="Arial"/>
                <w:sz w:val="17"/>
                <w:szCs w:val="17"/>
                <w:color w:val="auto"/>
              </w:rPr>
              <w:t>598,070</w:t>
            </w:r>
          </w:p>
        </w:tc>
      </w:tr>
      <w:tr>
        <w:trPr>
          <w:trHeight w:val="246"/>
        </w:trPr>
        <w:tc>
          <w:tcPr>
            <w:tcW w:w="900" w:type="dxa"/>
            <w:vAlign w:val="bottom"/>
            <w:tcBorders>
              <w:top w:val="single" w:sz="8" w:color="CCFFCC"/>
              <w:bottom w:val="single" w:sz="8" w:color="auto"/>
            </w:tcBorders>
          </w:tcPr>
          <w:p>
            <w:pPr>
              <w:spacing w:after="0"/>
              <w:rPr>
                <w:sz w:val="21"/>
                <w:szCs w:val="21"/>
                <w:color w:val="auto"/>
              </w:rPr>
            </w:pPr>
          </w:p>
        </w:tc>
        <w:tc>
          <w:tcPr>
            <w:tcW w:w="24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92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8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Borders>
              <w:top w:val="single" w:sz="8" w:color="CCFFC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-206375</wp:posOffset>
            </wp:positionV>
            <wp:extent cx="5633085" cy="317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633085" cy="31750"/>
                    </a:xfrm>
                    <a:prstGeom prst="rect">
                      <a:avLst/>
                    </a:prstGeom>
                    <a:noFill/>
                  </pic:spPr>
                </pic:pic>
              </a:graphicData>
            </a:graphic>
          </wp:anchor>
        </w:drawing>
      </w:r>
    </w:p>
    <w:p>
      <w:pPr>
        <w:spacing w:after="0" w:line="218" w:lineRule="exact"/>
        <w:rPr>
          <w:sz w:val="20"/>
          <w:szCs w:val="20"/>
          <w:color w:val="auto"/>
        </w:rPr>
      </w:pPr>
    </w:p>
    <w:p>
      <w:pPr>
        <w:ind w:left="300" w:right="4299" w:hanging="290"/>
        <w:spacing w:after="0" w:line="418" w:lineRule="auto"/>
        <w:tabs>
          <w:tab w:leader="none" w:pos="262"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the fair value of common stock of $3.30 per share, at December 31, 2011 Nonvested compensation of $598,070 will vest over approximately 2.5 years.</w:t>
      </w:r>
    </w:p>
    <w:p>
      <w:pPr>
        <w:spacing w:after="0" w:line="1" w:lineRule="exact"/>
        <w:rPr>
          <w:sz w:val="20"/>
          <w:szCs w:val="20"/>
          <w:color w:val="auto"/>
        </w:rPr>
      </w:pPr>
    </w:p>
    <w:p>
      <w:pPr>
        <w:ind w:left="40" w:right="1559" w:firstLine="251"/>
        <w:spacing w:after="0" w:line="325" w:lineRule="auto"/>
        <w:rPr>
          <w:sz w:val="20"/>
          <w:szCs w:val="20"/>
          <w:color w:val="auto"/>
        </w:rPr>
      </w:pPr>
      <w:r>
        <w:rPr>
          <w:rFonts w:ascii="Arial" w:cs="Arial" w:eastAsia="Arial" w:hAnsi="Arial"/>
          <w:sz w:val="17"/>
          <w:szCs w:val="17"/>
          <w:color w:val="auto"/>
        </w:rPr>
        <w:t xml:space="preserve">The table below illustrates the common stock options granted during the period from inception through December 31 2011. </w:t>
      </w:r>
      <w:r>
        <w:rPr>
          <w:rFonts w:ascii="Arial" w:cs="Arial" w:eastAsia="Arial" w:hAnsi="Arial"/>
          <w:sz w:val="17"/>
          <w:szCs w:val="17"/>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483743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8374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9"/>
        </w:trPr>
        <w:tc>
          <w:tcPr>
            <w:tcW w:w="1340" w:type="dxa"/>
            <w:vAlign w:val="bottom"/>
          </w:tcPr>
          <w:p>
            <w:pPr>
              <w:spacing w:after="0" w:line="139" w:lineRule="exact"/>
              <w:rPr>
                <w:sz w:val="20"/>
                <w:szCs w:val="20"/>
                <w:color w:val="auto"/>
              </w:rPr>
            </w:pPr>
            <w:r>
              <w:rPr>
                <w:rFonts w:ascii="Arial" w:cs="Arial" w:eastAsia="Arial" w:hAnsi="Arial"/>
                <w:sz w:val="13"/>
                <w:szCs w:val="13"/>
                <w:b w:val="1"/>
                <w:bCs w:val="1"/>
                <w:color w:val="auto"/>
              </w:rPr>
              <w:t>Title</w:t>
            </w:r>
          </w:p>
        </w:tc>
        <w:tc>
          <w:tcPr>
            <w:tcW w:w="80" w:type="dxa"/>
            <w:vAlign w:val="bottom"/>
          </w:tcPr>
          <w:p>
            <w:pPr>
              <w:spacing w:after="0"/>
              <w:rPr>
                <w:sz w:val="12"/>
                <w:szCs w:val="12"/>
                <w:color w:val="auto"/>
              </w:rPr>
            </w:pPr>
          </w:p>
        </w:tc>
        <w:tc>
          <w:tcPr>
            <w:tcW w:w="800" w:type="dxa"/>
            <w:vAlign w:val="bottom"/>
          </w:tcPr>
          <w:p>
            <w:pPr>
              <w:ind w:left="80"/>
              <w:spacing w:after="0" w:line="139" w:lineRule="exact"/>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2"/>
                <w:szCs w:val="12"/>
                <w:color w:val="auto"/>
              </w:rPr>
            </w:pPr>
          </w:p>
        </w:tc>
        <w:tc>
          <w:tcPr>
            <w:tcW w:w="700" w:type="dxa"/>
            <w:vAlign w:val="bottom"/>
          </w:tcPr>
          <w:p>
            <w:pPr>
              <w:jc w:val="right"/>
              <w:ind w:right="33"/>
              <w:spacing w:after="0" w:line="139" w:lineRule="exact"/>
              <w:rPr>
                <w:sz w:val="20"/>
                <w:szCs w:val="20"/>
                <w:color w:val="auto"/>
              </w:rPr>
            </w:pPr>
            <w:r>
              <w:rPr>
                <w:rFonts w:ascii="Arial" w:cs="Arial" w:eastAsia="Arial" w:hAnsi="Arial"/>
                <w:sz w:val="13"/>
                <w:szCs w:val="13"/>
                <w:b w:val="1"/>
                <w:bCs w:val="1"/>
                <w:color w:val="auto"/>
              </w:rPr>
              <w:t>#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8"/>
              <w:spacing w:after="0" w:line="139" w:lineRule="exact"/>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rPr>
              <w:t>FMV at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80"/>
              <w:spacing w:after="0" w:line="139"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9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0"/>
              </w:rPr>
              <w:t>Compensation</w:t>
            </w:r>
          </w:p>
        </w:tc>
        <w:tc>
          <w:tcPr>
            <w:tcW w:w="10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Compensation</w:t>
            </w: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9"/>
              </w:rPr>
              <w:t>Grant Date</w:t>
            </w:r>
          </w:p>
        </w:tc>
        <w:tc>
          <w:tcPr>
            <w:tcW w:w="80" w:type="dxa"/>
            <w:vAlign w:val="bottom"/>
          </w:tcPr>
          <w:p>
            <w:pPr>
              <w:spacing w:after="0"/>
              <w:rPr>
                <w:sz w:val="11"/>
                <w:szCs w:val="11"/>
                <w:color w:val="auto"/>
              </w:rPr>
            </w:pPr>
          </w:p>
        </w:tc>
        <w:tc>
          <w:tcPr>
            <w:tcW w:w="90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94"/>
              </w:rPr>
              <w:t>Option Value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Recognized</w:t>
            </w:r>
          </w:p>
        </w:tc>
        <w:tc>
          <w:tcPr>
            <w:tcW w:w="100" w:type="dxa"/>
            <w:vAlign w:val="bottom"/>
          </w:tcPr>
          <w:p>
            <w:pPr>
              <w:spacing w:after="0"/>
              <w:rPr>
                <w:sz w:val="11"/>
                <w:szCs w:val="11"/>
                <w:color w:val="auto"/>
              </w:rPr>
            </w:pPr>
          </w:p>
        </w:tc>
        <w:tc>
          <w:tcPr>
            <w:tcW w:w="9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Not Vested at</w:t>
            </w: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Inception</w:t>
            </w:r>
          </w:p>
        </w:tc>
        <w:tc>
          <w:tcPr>
            <w:tcW w:w="860" w:type="dxa"/>
            <w:vAlign w:val="bottom"/>
            <w:gridSpan w:val="2"/>
          </w:tcPr>
          <w:p>
            <w:pPr>
              <w:jc w:val="center"/>
              <w:ind w:left="225"/>
              <w:spacing w:after="0" w:line="138" w:lineRule="exact"/>
              <w:rPr>
                <w:sz w:val="20"/>
                <w:szCs w:val="20"/>
                <w:color w:val="auto"/>
              </w:rPr>
            </w:pPr>
            <w:r>
              <w:rPr>
                <w:rFonts w:ascii="Arial" w:cs="Arial" w:eastAsia="Arial" w:hAnsi="Arial"/>
                <w:sz w:val="13"/>
                <w:szCs w:val="13"/>
                <w:b w:val="1"/>
                <w:bCs w:val="1"/>
                <w:color w:val="auto"/>
                <w:w w:val="94"/>
              </w:rPr>
              <w:t>12/31/11</w:t>
            </w:r>
          </w:p>
        </w:tc>
        <w:tc>
          <w:tcPr>
            <w:tcW w:w="200" w:type="dxa"/>
            <w:vAlign w:val="bottom"/>
          </w:tcPr>
          <w:p>
            <w:pPr>
              <w:spacing w:after="0"/>
              <w:rPr>
                <w:sz w:val="11"/>
                <w:szCs w:val="11"/>
                <w:color w:val="auto"/>
              </w:rPr>
            </w:pPr>
          </w:p>
        </w:tc>
      </w:tr>
      <w:tr>
        <w:trPr>
          <w:trHeight w:val="138"/>
        </w:trPr>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through</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8"/>
        </w:trPr>
        <w:tc>
          <w:tcPr>
            <w:tcW w:w="1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12/31/11</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213"/>
        </w:trPr>
        <w:tc>
          <w:tcPr>
            <w:tcW w:w="1340" w:type="dxa"/>
            <w:vAlign w:val="bottom"/>
            <w:shd w:val="clear" w:color="auto" w:fill="CCFFCC"/>
          </w:tcPr>
          <w:p>
            <w:pPr>
              <w:spacing w:after="0" w:line="193" w:lineRule="exact"/>
              <w:rPr>
                <w:sz w:val="20"/>
                <w:szCs w:val="20"/>
                <w:color w:val="auto"/>
              </w:rPr>
            </w:pPr>
            <w:r>
              <w:rPr>
                <w:rFonts w:ascii="Arial" w:cs="Arial" w:eastAsia="Arial" w:hAnsi="Arial"/>
                <w:sz w:val="17"/>
                <w:szCs w:val="17"/>
                <w:color w:val="auto"/>
              </w:rPr>
              <w:t>Director</w:t>
            </w:r>
          </w:p>
        </w:tc>
        <w:tc>
          <w:tcPr>
            <w:tcW w:w="880" w:type="dxa"/>
            <w:vAlign w:val="bottom"/>
            <w:gridSpan w:val="2"/>
            <w:shd w:val="clear" w:color="auto" w:fill="CCFFCC"/>
          </w:tcPr>
          <w:p>
            <w:pPr>
              <w:ind w:left="160"/>
              <w:spacing w:after="0" w:line="193" w:lineRule="exact"/>
              <w:rPr>
                <w:sz w:val="20"/>
                <w:szCs w:val="20"/>
                <w:color w:val="auto"/>
              </w:rPr>
            </w:pPr>
            <w:r>
              <w:rPr>
                <w:rFonts w:ascii="Arial" w:cs="Arial" w:eastAsia="Arial" w:hAnsi="Arial"/>
                <w:sz w:val="17"/>
                <w:szCs w:val="17"/>
                <w:color w:val="auto"/>
                <w:w w:val="92"/>
              </w:rPr>
              <w:t>11/6/2011</w:t>
            </w:r>
          </w:p>
        </w:tc>
        <w:tc>
          <w:tcPr>
            <w:tcW w:w="7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13,646</w:t>
            </w:r>
          </w:p>
        </w:tc>
        <w:tc>
          <w:tcPr>
            <w:tcW w:w="18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600" w:type="dxa"/>
            <w:vAlign w:val="bottom"/>
            <w:shd w:val="clear" w:color="auto" w:fill="CCFFCC"/>
          </w:tcPr>
          <w:p>
            <w:pPr>
              <w:jc w:val="right"/>
              <w:ind w:right="148"/>
              <w:spacing w:after="0" w:line="193" w:lineRule="exact"/>
              <w:rPr>
                <w:sz w:val="20"/>
                <w:szCs w:val="20"/>
                <w:color w:val="auto"/>
              </w:rPr>
            </w:pPr>
            <w:r>
              <w:rPr>
                <w:rFonts w:ascii="Arial" w:cs="Arial" w:eastAsia="Arial" w:hAnsi="Arial"/>
                <w:sz w:val="17"/>
                <w:szCs w:val="17"/>
                <w:color w:val="auto"/>
              </w:rPr>
              <w:t>3</w:t>
            </w:r>
          </w:p>
        </w:tc>
        <w:tc>
          <w:tcPr>
            <w:tcW w:w="800" w:type="dxa"/>
            <w:vAlign w:val="bottom"/>
            <w:gridSpan w:val="2"/>
            <w:shd w:val="clear" w:color="auto" w:fill="CCFFCC"/>
          </w:tcPr>
          <w:p>
            <w:pPr>
              <w:jc w:val="right"/>
              <w:ind w:right="13"/>
              <w:spacing w:after="0" w:line="193" w:lineRule="exact"/>
              <w:rPr>
                <w:sz w:val="20"/>
                <w:szCs w:val="20"/>
                <w:color w:val="auto"/>
              </w:rPr>
            </w:pPr>
            <w:r>
              <w:rPr>
                <w:rFonts w:ascii="Arial" w:cs="Arial" w:eastAsia="Arial" w:hAnsi="Arial"/>
                <w:sz w:val="17"/>
                <w:szCs w:val="17"/>
                <w:color w:val="auto"/>
              </w:rPr>
              <w:t>$ 1.8341</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25"/>
              <w:spacing w:after="0" w:line="193"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25,028</w:t>
            </w:r>
          </w:p>
        </w:tc>
        <w:tc>
          <w:tcPr>
            <w:tcW w:w="200" w:type="dxa"/>
            <w:vAlign w:val="bottom"/>
            <w:gridSpan w:val="2"/>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25,028</w:t>
            </w:r>
          </w:p>
        </w:tc>
        <w:tc>
          <w:tcPr>
            <w:tcW w:w="1060" w:type="dxa"/>
            <w:vAlign w:val="bottom"/>
            <w:gridSpan w:val="3"/>
            <w:shd w:val="clear" w:color="auto" w:fill="CCFFCC"/>
          </w:tcPr>
          <w:p>
            <w:pPr>
              <w:jc w:val="right"/>
              <w:ind w:right="200"/>
              <w:spacing w:after="0" w:line="193" w:lineRule="exact"/>
              <w:rPr>
                <w:sz w:val="20"/>
                <w:szCs w:val="20"/>
                <w:color w:val="auto"/>
              </w:rPr>
            </w:pPr>
            <w:r>
              <w:rPr>
                <w:rFonts w:ascii="Arial" w:cs="Arial" w:eastAsia="Arial" w:hAnsi="Arial"/>
                <w:sz w:val="17"/>
                <w:szCs w:val="17"/>
                <w:color w:val="auto"/>
              </w:rPr>
              <w:t>-0-</w:t>
            </w:r>
          </w:p>
        </w:tc>
      </w:tr>
      <w:tr>
        <w:trPr>
          <w:trHeight w:val="20"/>
        </w:trPr>
        <w:tc>
          <w:tcPr>
            <w:tcW w:w="13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837430" cy="317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837430" cy="31750"/>
                    </a:xfrm>
                    <a:prstGeom prst="rect">
                      <a:avLst/>
                    </a:prstGeom>
                    <a:noFill/>
                  </pic:spPr>
                </pic:pic>
              </a:graphicData>
            </a:graphic>
          </wp:anchor>
        </w:drawing>
      </w:r>
    </w:p>
    <w:p>
      <w:pPr>
        <w:spacing w:after="0" w:line="68"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4081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2860" w:type="dxa"/>
            <w:vAlign w:val="bottom"/>
            <w:gridSpan w:val="2"/>
          </w:tcPr>
          <w:p>
            <w:pPr>
              <w:spacing w:after="0"/>
              <w:rPr>
                <w:sz w:val="20"/>
                <w:szCs w:val="20"/>
                <w:color w:val="auto"/>
              </w:rPr>
            </w:pPr>
            <w:r>
              <w:rPr>
                <w:rFonts w:ascii="Arial" w:cs="Arial" w:eastAsia="Arial" w:hAnsi="Arial"/>
                <w:sz w:val="17"/>
                <w:szCs w:val="17"/>
                <w:color w:val="auto"/>
              </w:rPr>
              <w:t>Expected life (in years)</w:t>
            </w:r>
          </w:p>
        </w:tc>
        <w:tc>
          <w:tcPr>
            <w:tcW w:w="4080" w:type="dxa"/>
            <w:vAlign w:val="bottom"/>
          </w:tcPr>
          <w:p>
            <w:pPr>
              <w:jc w:val="right"/>
              <w:ind w:right="196"/>
              <w:spacing w:after="0"/>
              <w:rPr>
                <w:sz w:val="20"/>
                <w:szCs w:val="20"/>
                <w:color w:val="auto"/>
              </w:rPr>
            </w:pPr>
            <w:r>
              <w:rPr>
                <w:rFonts w:ascii="Arial" w:cs="Arial" w:eastAsia="Arial" w:hAnsi="Arial"/>
                <w:sz w:val="17"/>
                <w:szCs w:val="17"/>
                <w:color w:val="auto"/>
              </w:rPr>
              <w:t>5</w:t>
            </w:r>
          </w:p>
        </w:tc>
        <w:tc>
          <w:tcPr>
            <w:tcW w:w="3100" w:type="dxa"/>
            <w:vAlign w:val="bottom"/>
          </w:tcPr>
          <w:p>
            <w:pPr>
              <w:spacing w:after="0"/>
              <w:rPr>
                <w:sz w:val="17"/>
                <w:szCs w:val="17"/>
                <w:color w:val="auto"/>
              </w:rPr>
            </w:pPr>
          </w:p>
        </w:tc>
      </w:tr>
      <w:tr>
        <w:trPr>
          <w:trHeight w:val="200"/>
        </w:trPr>
        <w:tc>
          <w:tcPr>
            <w:tcW w:w="28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Risk-free interest rate</w:t>
            </w:r>
          </w:p>
        </w:tc>
        <w:tc>
          <w:tcPr>
            <w:tcW w:w="4080" w:type="dxa"/>
            <w:vAlign w:val="bottom"/>
            <w:shd w:val="clear" w:color="auto" w:fill="CCFFCC"/>
          </w:tcPr>
          <w:p>
            <w:pPr>
              <w:jc w:val="right"/>
              <w:ind w:right="76"/>
              <w:spacing w:after="0"/>
              <w:rPr>
                <w:sz w:val="20"/>
                <w:szCs w:val="20"/>
                <w:color w:val="auto"/>
              </w:rPr>
            </w:pPr>
            <w:r>
              <w:rPr>
                <w:rFonts w:ascii="Arial" w:cs="Arial" w:eastAsia="Arial" w:hAnsi="Arial"/>
                <w:sz w:val="17"/>
                <w:szCs w:val="17"/>
                <w:color w:val="auto"/>
              </w:rPr>
              <w:t>0.88%</w:t>
            </w:r>
          </w:p>
        </w:tc>
        <w:tc>
          <w:tcPr>
            <w:tcW w:w="3100" w:type="dxa"/>
            <w:vAlign w:val="bottom"/>
          </w:tcPr>
          <w:p>
            <w:pPr>
              <w:spacing w:after="0"/>
              <w:rPr>
                <w:sz w:val="17"/>
                <w:szCs w:val="17"/>
                <w:color w:val="auto"/>
              </w:rPr>
            </w:pPr>
          </w:p>
        </w:tc>
      </w:tr>
      <w:tr>
        <w:trPr>
          <w:trHeight w:val="200"/>
        </w:trPr>
        <w:tc>
          <w:tcPr>
            <w:tcW w:w="2860" w:type="dxa"/>
            <w:vAlign w:val="bottom"/>
            <w:gridSpan w:val="2"/>
          </w:tcPr>
          <w:p>
            <w:pPr>
              <w:spacing w:after="0"/>
              <w:rPr>
                <w:sz w:val="20"/>
                <w:szCs w:val="20"/>
                <w:color w:val="auto"/>
              </w:rPr>
            </w:pPr>
            <w:r>
              <w:rPr>
                <w:rFonts w:ascii="Arial" w:cs="Arial" w:eastAsia="Arial" w:hAnsi="Arial"/>
                <w:sz w:val="17"/>
                <w:szCs w:val="17"/>
                <w:color w:val="auto"/>
              </w:rPr>
              <w:t>Volatility</w:t>
            </w:r>
          </w:p>
        </w:tc>
        <w:tc>
          <w:tcPr>
            <w:tcW w:w="4080" w:type="dxa"/>
            <w:vAlign w:val="bottom"/>
          </w:tcPr>
          <w:p>
            <w:pPr>
              <w:jc w:val="right"/>
              <w:ind w:right="76"/>
              <w:spacing w:after="0"/>
              <w:rPr>
                <w:sz w:val="20"/>
                <w:szCs w:val="20"/>
                <w:color w:val="auto"/>
              </w:rPr>
            </w:pPr>
            <w:r>
              <w:rPr>
                <w:rFonts w:ascii="Arial" w:cs="Arial" w:eastAsia="Arial" w:hAnsi="Arial"/>
                <w:sz w:val="17"/>
                <w:szCs w:val="17"/>
                <w:color w:val="auto"/>
              </w:rPr>
              <w:t>75%</w:t>
            </w:r>
          </w:p>
        </w:tc>
        <w:tc>
          <w:tcPr>
            <w:tcW w:w="3100" w:type="dxa"/>
            <w:vAlign w:val="bottom"/>
          </w:tcPr>
          <w:p>
            <w:pPr>
              <w:spacing w:after="0"/>
              <w:rPr>
                <w:sz w:val="17"/>
                <w:szCs w:val="17"/>
                <w:color w:val="auto"/>
              </w:rPr>
            </w:pPr>
          </w:p>
        </w:tc>
      </w:tr>
      <w:tr>
        <w:trPr>
          <w:trHeight w:val="200"/>
        </w:trPr>
        <w:tc>
          <w:tcPr>
            <w:tcW w:w="2860" w:type="dxa"/>
            <w:vAlign w:val="bottom"/>
            <w:gridSpan w:val="2"/>
            <w:shd w:val="clear" w:color="auto" w:fill="CCFFCC"/>
          </w:tcPr>
          <w:p>
            <w:pPr>
              <w:spacing w:after="0"/>
              <w:rPr>
                <w:sz w:val="20"/>
                <w:szCs w:val="20"/>
                <w:color w:val="auto"/>
              </w:rPr>
            </w:pPr>
            <w:r>
              <w:rPr>
                <w:rFonts w:ascii="Arial" w:cs="Arial" w:eastAsia="Arial" w:hAnsi="Arial"/>
                <w:sz w:val="17"/>
                <w:szCs w:val="17"/>
                <w:color w:val="auto"/>
              </w:rPr>
              <w:t>Dividend yield</w:t>
            </w:r>
          </w:p>
        </w:tc>
        <w:tc>
          <w:tcPr>
            <w:tcW w:w="4080" w:type="dxa"/>
            <w:vAlign w:val="bottom"/>
            <w:shd w:val="clear" w:color="auto" w:fill="CCFFCC"/>
          </w:tcPr>
          <w:p>
            <w:pPr>
              <w:jc w:val="right"/>
              <w:ind w:right="196"/>
              <w:spacing w:after="0"/>
              <w:rPr>
                <w:sz w:val="20"/>
                <w:szCs w:val="20"/>
                <w:color w:val="auto"/>
              </w:rPr>
            </w:pPr>
            <w:r>
              <w:rPr>
                <w:rFonts w:ascii="Arial" w:cs="Arial" w:eastAsia="Arial" w:hAnsi="Arial"/>
                <w:sz w:val="17"/>
                <w:szCs w:val="17"/>
                <w:color w:val="auto"/>
              </w:rPr>
              <w:t>—</w:t>
            </w:r>
          </w:p>
        </w:tc>
        <w:tc>
          <w:tcPr>
            <w:tcW w:w="3100" w:type="dxa"/>
            <w:vAlign w:val="bottom"/>
          </w:tcPr>
          <w:p>
            <w:pPr>
              <w:spacing w:after="0"/>
              <w:rPr>
                <w:sz w:val="17"/>
                <w:szCs w:val="17"/>
                <w:color w:val="auto"/>
              </w:rPr>
            </w:pPr>
          </w:p>
        </w:tc>
      </w:tr>
      <w:tr>
        <w:trPr>
          <w:trHeight w:val="714"/>
        </w:trPr>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80" w:type="dxa"/>
            <w:vAlign w:val="bottom"/>
          </w:tcPr>
          <w:p>
            <w:pPr>
              <w:jc w:val="right"/>
              <w:ind w:right="2376"/>
              <w:spacing w:after="0"/>
              <w:rPr>
                <w:sz w:val="20"/>
                <w:szCs w:val="20"/>
                <w:color w:val="auto"/>
              </w:rPr>
            </w:pPr>
            <w:r>
              <w:rPr>
                <w:rFonts w:ascii="Arial" w:cs="Arial" w:eastAsia="Arial" w:hAnsi="Arial"/>
                <w:sz w:val="17"/>
                <w:szCs w:val="17"/>
                <w:color w:val="auto"/>
              </w:rPr>
              <w:t>F-76</w:t>
            </w: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40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40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89" w:name="page290"/>
    <w:bookmarkEnd w:id="2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Income Taxes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differences between income tax computed using the statutory federal (35%) and state (10% net of federal deduction)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36816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3681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Federal income tax benefit at statutory rate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(957,000)</w:t>
            </w:r>
          </w:p>
        </w:tc>
      </w:tr>
      <w:tr>
        <w:trPr>
          <w:trHeight w:val="200"/>
        </w:trPr>
        <w:tc>
          <w:tcPr>
            <w:tcW w:w="6080" w:type="dxa"/>
            <w:vAlign w:val="bottom"/>
            <w:shd w:val="clear" w:color="auto" w:fill="CCFFCC"/>
          </w:tcPr>
          <w:p>
            <w:pPr>
              <w:spacing w:after="0"/>
              <w:rPr>
                <w:sz w:val="20"/>
                <w:szCs w:val="20"/>
                <w:color w:val="auto"/>
              </w:rPr>
            </w:pPr>
            <w:r>
              <w:rPr>
                <w:rFonts w:ascii="Arial" w:cs="Arial" w:eastAsia="Arial" w:hAnsi="Arial"/>
                <w:sz w:val="17"/>
                <w:szCs w:val="17"/>
                <w:color w:val="auto"/>
              </w:rPr>
              <w:t>State tax benefit, net of federal income tax benefit</w:t>
            </w:r>
          </w:p>
        </w:tc>
        <w:tc>
          <w:tcPr>
            <w:tcW w:w="8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7"/>
                <w:szCs w:val="17"/>
                <w:color w:val="auto"/>
                <w:w w:val="98"/>
              </w:rPr>
              <w:t>(274,000)</w:t>
            </w:r>
          </w:p>
        </w:tc>
      </w:tr>
      <w:tr>
        <w:trPr>
          <w:trHeight w:val="200"/>
        </w:trPr>
        <w:tc>
          <w:tcPr>
            <w:tcW w:w="6080" w:type="dxa"/>
            <w:vAlign w:val="bottom"/>
          </w:tcPr>
          <w:p>
            <w:pPr>
              <w:spacing w:after="0"/>
              <w:rPr>
                <w:sz w:val="20"/>
                <w:szCs w:val="20"/>
                <w:color w:val="auto"/>
              </w:rPr>
            </w:pPr>
            <w:r>
              <w:rPr>
                <w:rFonts w:ascii="Arial" w:cs="Arial" w:eastAsia="Arial" w:hAnsi="Arial"/>
                <w:sz w:val="17"/>
                <w:szCs w:val="17"/>
                <w:color w:val="auto"/>
              </w:rPr>
              <w:t>Increase in valuation allowance</w:t>
            </w: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1,231,000</w:t>
            </w:r>
          </w:p>
        </w:tc>
        <w:tc>
          <w:tcPr>
            <w:tcW w:w="100" w:type="dxa"/>
            <w:vAlign w:val="bottom"/>
          </w:tcPr>
          <w:p>
            <w:pPr>
              <w:spacing w:after="0"/>
              <w:rPr>
                <w:sz w:val="17"/>
                <w:szCs w:val="17"/>
                <w:color w:val="auto"/>
              </w:rPr>
            </w:pPr>
          </w:p>
        </w:tc>
      </w:tr>
      <w:tr>
        <w:trPr>
          <w:trHeight w:val="233"/>
        </w:trPr>
        <w:tc>
          <w:tcPr>
            <w:tcW w:w="6080" w:type="dxa"/>
            <w:vAlign w:val="bottom"/>
            <w:tcBorders>
              <w:bottom w:val="single" w:sz="8" w:color="CCFFCC"/>
            </w:tcBorders>
            <w:shd w:val="clear" w:color="auto" w:fill="CCFFCC"/>
          </w:tcPr>
          <w:p>
            <w:pPr>
              <w:ind w:left="160"/>
              <w:spacing w:after="0" w:line="193" w:lineRule="exact"/>
              <w:rPr>
                <w:sz w:val="20"/>
                <w:szCs w:val="20"/>
                <w:color w:val="auto"/>
              </w:rPr>
            </w:pPr>
            <w:r>
              <w:rPr>
                <w:rFonts w:ascii="Arial" w:cs="Arial" w:eastAsia="Arial" w:hAnsi="Arial"/>
                <w:sz w:val="17"/>
                <w:szCs w:val="17"/>
                <w:color w:val="auto"/>
              </w:rPr>
              <w:t>Income tax expense</w:t>
            </w: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33641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3364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Deferred tax assets resulting from: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shd w:val="clear" w:color="auto" w:fill="CCFFCC"/>
          </w:tcPr>
          <w:p>
            <w:pPr>
              <w:ind w:left="340"/>
              <w:spacing w:after="0"/>
              <w:rPr>
                <w:sz w:val="20"/>
                <w:szCs w:val="20"/>
                <w:color w:val="auto"/>
              </w:rPr>
            </w:pPr>
            <w:r>
              <w:rPr>
                <w:rFonts w:ascii="Arial" w:cs="Arial" w:eastAsia="Arial" w:hAnsi="Arial"/>
                <w:sz w:val="17"/>
                <w:szCs w:val="17"/>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7"/>
                <w:szCs w:val="17"/>
                <w:color w:val="auto"/>
              </w:rPr>
              <w:t>46,000</w:t>
            </w:r>
          </w:p>
        </w:tc>
      </w:tr>
      <w:tr>
        <w:trPr>
          <w:trHeight w:val="200"/>
        </w:trPr>
        <w:tc>
          <w:tcPr>
            <w:tcW w:w="6020" w:type="dxa"/>
            <w:vAlign w:val="bottom"/>
          </w:tcPr>
          <w:p>
            <w:pPr>
              <w:ind w:left="160"/>
              <w:spacing w:after="0"/>
              <w:rPr>
                <w:sz w:val="20"/>
                <w:szCs w:val="20"/>
                <w:color w:val="auto"/>
              </w:rPr>
            </w:pPr>
            <w:r>
              <w:rPr>
                <w:rFonts w:ascii="Arial" w:cs="Arial" w:eastAsia="Arial" w:hAnsi="Arial"/>
                <w:sz w:val="17"/>
                <w:szCs w:val="17"/>
                <w:color w:val="auto"/>
              </w:rPr>
              <w:t>Estimated net operating loss carryforwards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1,185,000</w:t>
            </w:r>
          </w:p>
        </w:tc>
        <w:tc>
          <w:tcPr>
            <w:tcW w:w="100" w:type="dxa"/>
            <w:vAlign w:val="bottom"/>
          </w:tcPr>
          <w:p>
            <w:pPr>
              <w:spacing w:after="0"/>
              <w:rPr>
                <w:sz w:val="17"/>
                <w:szCs w:val="17"/>
                <w:color w:val="auto"/>
              </w:rPr>
            </w:pPr>
          </w:p>
        </w:tc>
      </w:tr>
      <w:tr>
        <w:trPr>
          <w:trHeight w:val="193"/>
        </w:trPr>
        <w:tc>
          <w:tcPr>
            <w:tcW w:w="60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00"/>
              <w:spacing w:after="0" w:line="193" w:lineRule="exact"/>
              <w:rPr>
                <w:sz w:val="20"/>
                <w:szCs w:val="20"/>
                <w:color w:val="auto"/>
              </w:rPr>
            </w:pPr>
            <w:r>
              <w:rPr>
                <w:rFonts w:ascii="Arial" w:cs="Arial" w:eastAsia="Arial" w:hAnsi="Arial"/>
                <w:sz w:val="17"/>
                <w:szCs w:val="17"/>
                <w:color w:val="auto"/>
                <w:w w:val="92"/>
              </w:rPr>
              <w:t>1,231,000</w:t>
            </w:r>
          </w:p>
        </w:tc>
      </w:tr>
      <w:tr>
        <w:trPr>
          <w:trHeight w:val="200"/>
        </w:trPr>
        <w:tc>
          <w:tcPr>
            <w:tcW w:w="602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(1,231,000)</w:t>
            </w:r>
          </w:p>
        </w:tc>
      </w:tr>
      <w:tr>
        <w:trPr>
          <w:trHeight w:val="233"/>
        </w:trPr>
        <w:tc>
          <w:tcPr>
            <w:tcW w:w="6020" w:type="dxa"/>
            <w:vAlign w:val="bottom"/>
            <w:tcBorders>
              <w:bottom w:val="single" w:sz="8" w:color="CCFFCC"/>
            </w:tcBorders>
            <w:shd w:val="clear" w:color="auto" w:fill="CCFFCC"/>
          </w:tcPr>
          <w:p>
            <w:pPr>
              <w:ind w:left="500"/>
              <w:spacing w:after="0" w:line="193" w:lineRule="exact"/>
              <w:rPr>
                <w:sz w:val="20"/>
                <w:szCs w:val="20"/>
                <w:color w:val="auto"/>
              </w:rPr>
            </w:pPr>
            <w:r>
              <w:rPr>
                <w:rFonts w:ascii="Arial" w:cs="Arial" w:eastAsia="Arial" w:hAnsi="Arial"/>
                <w:sz w:val="17"/>
                <w:szCs w:val="17"/>
                <w:color w:val="auto"/>
              </w:rPr>
              <w:t>Net deferred tax</w:t>
            </w: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FFCC"/>
          </w:tcPr>
          <w:p>
            <w:pPr>
              <w:jc w:val="right"/>
              <w:spacing w:after="0" w:line="193" w:lineRule="exact"/>
              <w:rPr>
                <w:sz w:val="20"/>
                <w:szCs w:val="20"/>
                <w:color w:val="auto"/>
              </w:rPr>
            </w:pPr>
            <w:r>
              <w:rPr>
                <w:rFonts w:ascii="Arial" w:cs="Arial" w:eastAsia="Arial" w:hAnsi="Arial"/>
                <w:sz w:val="17"/>
                <w:szCs w:val="17"/>
                <w:color w:val="auto"/>
              </w:rPr>
              <w:t>—</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4408170" cy="317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408170" cy="31750"/>
                    </a:xfrm>
                    <a:prstGeom prst="rect">
                      <a:avLst/>
                    </a:prstGeom>
                    <a:noFill/>
                  </pic:spPr>
                </pic:pic>
              </a:graphicData>
            </a:graphic>
          </wp:anchor>
        </w:drawing>
      </w:r>
    </w:p>
    <w:p>
      <w:pPr>
        <w:spacing w:after="0" w:line="68"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4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10. Lease Obligations</w:t>
      </w:r>
    </w:p>
    <w:p>
      <w:pPr>
        <w:spacing w:after="0" w:line="109"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4081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408170" cy="8255"/>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Amount</w:t>
            </w:r>
          </w:p>
        </w:tc>
        <w:tc>
          <w:tcPr>
            <w:tcW w:w="3100" w:type="dxa"/>
            <w:vAlign w:val="bottom"/>
          </w:tcPr>
          <w:p>
            <w:pPr>
              <w:spacing w:after="0"/>
              <w:rPr>
                <w:sz w:val="14"/>
                <w:szCs w:val="14"/>
                <w:color w:val="auto"/>
              </w:rPr>
            </w:pPr>
          </w:p>
        </w:tc>
      </w:tr>
      <w:tr>
        <w:trPr>
          <w:trHeight w:val="193"/>
        </w:trPr>
        <w:tc>
          <w:tcPr>
            <w:tcW w:w="1140" w:type="dxa"/>
            <w:vAlign w:val="bottom"/>
            <w:tcBorders>
              <w:top w:val="single" w:sz="8" w:color="auto"/>
            </w:tcBorders>
            <w:shd w:val="clear" w:color="auto" w:fill="CCFFCC"/>
          </w:tcPr>
          <w:p>
            <w:pPr>
              <w:spacing w:after="0" w:line="193" w:lineRule="exact"/>
              <w:rPr>
                <w:sz w:val="20"/>
                <w:szCs w:val="20"/>
                <w:color w:val="auto"/>
              </w:rPr>
            </w:pPr>
            <w:r>
              <w:rPr>
                <w:rFonts w:ascii="Arial" w:cs="Arial" w:eastAsia="Arial" w:hAnsi="Arial"/>
                <w:sz w:val="17"/>
                <w:szCs w:val="17"/>
                <w:color w:val="auto"/>
              </w:rPr>
              <w:t>2012</w:t>
            </w:r>
          </w:p>
        </w:tc>
        <w:tc>
          <w:tcPr>
            <w:tcW w:w="4840" w:type="dxa"/>
            <w:vAlign w:val="bottom"/>
            <w:tcBorders>
              <w:top w:val="single" w:sz="8" w:color="auto"/>
            </w:tcBorders>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680" w:type="dxa"/>
            <w:vAlign w:val="bottom"/>
            <w:tcBorders>
              <w:top w:val="single" w:sz="8" w:color="auto"/>
            </w:tcBorders>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25,824</w:t>
            </w:r>
          </w:p>
        </w:tc>
        <w:tc>
          <w:tcPr>
            <w:tcW w:w="3100" w:type="dxa"/>
            <w:vAlign w:val="bottom"/>
          </w:tcPr>
          <w:p>
            <w:pPr>
              <w:spacing w:after="0"/>
              <w:rPr>
                <w:sz w:val="16"/>
                <w:szCs w:val="16"/>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2013</w:t>
            </w: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25,824</w:t>
            </w:r>
          </w:p>
        </w:tc>
        <w:tc>
          <w:tcPr>
            <w:tcW w:w="31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33"/>
        </w:trPr>
        <w:tc>
          <w:tcPr>
            <w:tcW w:w="6260" w:type="dxa"/>
            <w:vAlign w:val="bottom"/>
            <w:gridSpan w:val="4"/>
            <w:shd w:val="clear" w:color="auto" w:fill="CCFFCC"/>
          </w:tcPr>
          <w:p>
            <w:pPr>
              <w:jc w:val="right"/>
              <w:ind w:right="40"/>
              <w:spacing w:after="0" w:line="193"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FFCC"/>
          </w:tcPr>
          <w:p>
            <w:pPr>
              <w:jc w:val="right"/>
              <w:ind w:right="80"/>
              <w:spacing w:after="0" w:line="193" w:lineRule="exact"/>
              <w:rPr>
                <w:sz w:val="20"/>
                <w:szCs w:val="20"/>
                <w:color w:val="auto"/>
              </w:rPr>
            </w:pPr>
            <w:r>
              <w:rPr>
                <w:rFonts w:ascii="Arial" w:cs="Arial" w:eastAsia="Arial" w:hAnsi="Arial"/>
                <w:sz w:val="17"/>
                <w:szCs w:val="17"/>
                <w:color w:val="auto"/>
              </w:rPr>
              <w:t>51,648</w:t>
            </w:r>
          </w:p>
        </w:tc>
        <w:tc>
          <w:tcPr>
            <w:tcW w:w="3100" w:type="dxa"/>
            <w:vAlign w:val="bottom"/>
          </w:tcPr>
          <w:p>
            <w:pPr>
              <w:spacing w:after="0"/>
              <w:rPr>
                <w:sz w:val="20"/>
                <w:szCs w:val="20"/>
                <w:color w:val="auto"/>
              </w:rPr>
            </w:pPr>
          </w:p>
        </w:tc>
      </w:tr>
      <w:tr>
        <w:trPr>
          <w:trHeight w:val="704"/>
        </w:trPr>
        <w:tc>
          <w:tcPr>
            <w:tcW w:w="1140" w:type="dxa"/>
            <w:vAlign w:val="bottom"/>
            <w:tcBorders>
              <w:top w:val="single" w:sz="8" w:color="CCFFCC"/>
            </w:tcBorders>
          </w:tcPr>
          <w:p>
            <w:pPr>
              <w:spacing w:after="0"/>
              <w:rPr>
                <w:sz w:val="24"/>
                <w:szCs w:val="24"/>
                <w:color w:val="auto"/>
              </w:rPr>
            </w:pPr>
          </w:p>
        </w:tc>
        <w:tc>
          <w:tcPr>
            <w:tcW w:w="5000" w:type="dxa"/>
            <w:vAlign w:val="bottom"/>
            <w:tcBorders>
              <w:top w:val="single" w:sz="8" w:color="CCFFCC"/>
            </w:tcBorders>
            <w:gridSpan w:val="2"/>
          </w:tcPr>
          <w:p>
            <w:pPr>
              <w:ind w:left="3020"/>
              <w:spacing w:after="0"/>
              <w:rPr>
                <w:sz w:val="20"/>
                <w:szCs w:val="20"/>
                <w:color w:val="auto"/>
              </w:rPr>
            </w:pPr>
            <w:r>
              <w:rPr>
                <w:rFonts w:ascii="Arial" w:cs="Arial" w:eastAsia="Arial" w:hAnsi="Arial"/>
                <w:sz w:val="17"/>
                <w:szCs w:val="17"/>
                <w:color w:val="auto"/>
              </w:rPr>
              <w:t>F-77</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100" w:type="dxa"/>
            <w:vAlign w:val="bottom"/>
          </w:tcPr>
          <w:p>
            <w:pPr>
              <w:spacing w:after="0"/>
              <w:rPr>
                <w:sz w:val="24"/>
                <w:szCs w:val="24"/>
                <w:color w:val="auto"/>
              </w:rPr>
            </w:pPr>
          </w:p>
        </w:tc>
      </w:tr>
      <w:tr>
        <w:trPr>
          <w:trHeight w:val="150"/>
        </w:trPr>
        <w:tc>
          <w:tcPr>
            <w:tcW w:w="1140" w:type="dxa"/>
            <w:vAlign w:val="bottom"/>
          </w:tcPr>
          <w:p>
            <w:pPr>
              <w:spacing w:after="0"/>
              <w:rPr>
                <w:sz w:val="13"/>
                <w:szCs w:val="13"/>
                <w:color w:val="auto"/>
              </w:rPr>
            </w:pPr>
          </w:p>
        </w:tc>
        <w:tc>
          <w:tcPr>
            <w:tcW w:w="48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1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408170" cy="317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408170" cy="3175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3655"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0" w:name="page291"/>
    <w:bookmarkEnd w:id="2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 AND SUBSIDIARIES</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Development Stage Company)</w:t>
      </w:r>
    </w:p>
    <w:p>
      <w:pPr>
        <w:spacing w:after="0" w:line="189"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Contingencies</w:t>
      </w:r>
    </w:p>
    <w:p>
      <w:pPr>
        <w:spacing w:after="0" w:line="109"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48"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12. Subsequent Events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4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1" w:name="page292"/>
    <w:bookmarkEnd w:id="2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A</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AGREEMENT AND PLAN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 AND AMONG</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AND</w:t>
      </w: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420370</wp:posOffset>
            </wp:positionV>
            <wp:extent cx="5674360" cy="571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2" w:name="page293"/>
    <w:bookmarkEnd w:id="2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140" w:type="dxa"/>
            <w:vAlign w:val="bottom"/>
          </w:tcPr>
          <w:p>
            <w:pPr>
              <w:ind w:left="40"/>
              <w:spacing w:after="0"/>
              <w:rPr>
                <w:sz w:val="20"/>
                <w:szCs w:val="20"/>
                <w:color w:val="auto"/>
              </w:rPr>
            </w:pPr>
            <w:r>
              <w:rPr>
                <w:rFonts w:ascii="Arial" w:cs="Arial" w:eastAsia="Arial" w:hAnsi="Arial"/>
                <w:sz w:val="17"/>
                <w:szCs w:val="17"/>
                <w:color w:val="auto"/>
              </w:rPr>
              <w:t>EXHIBITS</w:t>
            </w:r>
          </w:p>
        </w:tc>
        <w:tc>
          <w:tcPr>
            <w:tcW w:w="8900" w:type="dxa"/>
            <w:vAlign w:val="bottom"/>
          </w:tcPr>
          <w:p>
            <w:pPr>
              <w:spacing w:after="0"/>
              <w:rPr>
                <w:sz w:val="17"/>
                <w:szCs w:val="17"/>
                <w:color w:val="auto"/>
              </w:rPr>
            </w:pP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A</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B</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Merger</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C</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Designations [attached as Annex E]</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D</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E</w:t>
            </w:r>
          </w:p>
        </w:tc>
        <w:tc>
          <w:tcPr>
            <w:tcW w:w="8900" w:type="dxa"/>
            <w:vAlign w:val="bottom"/>
          </w:tcPr>
          <w:p>
            <w:pPr>
              <w:ind w:left="120"/>
              <w:spacing w:after="0"/>
              <w:rPr>
                <w:sz w:val="20"/>
                <w:szCs w:val="20"/>
                <w:color w:val="auto"/>
              </w:rPr>
            </w:pPr>
            <w:r>
              <w:rPr>
                <w:rFonts w:ascii="Arial" w:cs="Arial" w:eastAsia="Arial" w:hAnsi="Arial"/>
                <w:sz w:val="17"/>
                <w:szCs w:val="17"/>
                <w:color w:val="auto"/>
              </w:rPr>
              <w:t>Reserved</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F</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Series 1 Warrant [attached as Annex F]</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G</w:t>
            </w:r>
          </w:p>
        </w:tc>
        <w:tc>
          <w:tcPr>
            <w:tcW w:w="8900" w:type="dxa"/>
            <w:vAlign w:val="bottom"/>
          </w:tcPr>
          <w:p>
            <w:pPr>
              <w:ind w:left="120"/>
              <w:spacing w:after="0"/>
              <w:rPr>
                <w:sz w:val="20"/>
                <w:szCs w:val="20"/>
                <w:color w:val="auto"/>
              </w:rPr>
            </w:pPr>
            <w:r>
              <w:rPr>
                <w:rFonts w:ascii="Arial" w:cs="Arial" w:eastAsia="Arial" w:hAnsi="Arial"/>
                <w:sz w:val="17"/>
                <w:szCs w:val="17"/>
                <w:color w:val="auto"/>
              </w:rPr>
              <w:t>Form Series 2 Warrant [attached as Annex G]</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H</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Senior Secured Promissory Note</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I</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Pledge and Security Agreement</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J</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Amended and Restated Guaranty</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K</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Certificate of Incorporation of Surviving Corporation</w:t>
            </w:r>
          </w:p>
        </w:tc>
      </w:tr>
      <w:tr>
        <w:trPr>
          <w:trHeight w:val="200"/>
        </w:trPr>
        <w:tc>
          <w:tcPr>
            <w:tcW w:w="1140" w:type="dxa"/>
            <w:vAlign w:val="bottom"/>
          </w:tcPr>
          <w:p>
            <w:pPr>
              <w:spacing w:after="0"/>
              <w:rPr>
                <w:sz w:val="20"/>
                <w:szCs w:val="20"/>
                <w:color w:val="auto"/>
              </w:rPr>
            </w:pPr>
            <w:r>
              <w:rPr>
                <w:rFonts w:ascii="Arial" w:cs="Arial" w:eastAsia="Arial" w:hAnsi="Arial"/>
                <w:sz w:val="17"/>
                <w:szCs w:val="17"/>
                <w:color w:val="auto"/>
              </w:rPr>
              <w:t>EXHIBIT L</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Bylaws of Surviving Corporation</w:t>
            </w:r>
          </w:p>
        </w:tc>
      </w:tr>
      <w:tr>
        <w:trPr>
          <w:trHeight w:val="213"/>
        </w:trPr>
        <w:tc>
          <w:tcPr>
            <w:tcW w:w="1140" w:type="dxa"/>
            <w:vAlign w:val="bottom"/>
          </w:tcPr>
          <w:p>
            <w:pPr>
              <w:spacing w:after="0"/>
              <w:rPr>
                <w:sz w:val="20"/>
                <w:szCs w:val="20"/>
                <w:color w:val="auto"/>
              </w:rPr>
            </w:pPr>
            <w:r>
              <w:rPr>
                <w:rFonts w:ascii="Arial" w:cs="Arial" w:eastAsia="Arial" w:hAnsi="Arial"/>
                <w:sz w:val="17"/>
                <w:szCs w:val="17"/>
                <w:color w:val="auto"/>
              </w:rPr>
              <w:t>EXHIBIT M</w:t>
            </w:r>
          </w:p>
        </w:tc>
        <w:tc>
          <w:tcPr>
            <w:tcW w:w="8900" w:type="dxa"/>
            <w:vAlign w:val="bottom"/>
          </w:tcPr>
          <w:p>
            <w:pPr>
              <w:ind w:left="120"/>
              <w:spacing w:after="0"/>
              <w:rPr>
                <w:sz w:val="20"/>
                <w:szCs w:val="20"/>
                <w:color w:val="auto"/>
              </w:rPr>
            </w:pPr>
            <w:r>
              <w:rPr>
                <w:rFonts w:ascii="Arial" w:cs="Arial" w:eastAsia="Arial" w:hAnsi="Arial"/>
                <w:sz w:val="17"/>
                <w:szCs w:val="17"/>
                <w:color w:val="auto"/>
              </w:rPr>
              <w:t>Form of Hudson Bay Letter Agreement</w:t>
            </w:r>
          </w:p>
        </w:tc>
      </w:tr>
      <w:tr>
        <w:trPr>
          <w:trHeight w:val="714"/>
        </w:trPr>
        <w:tc>
          <w:tcPr>
            <w:tcW w:w="1140" w:type="dxa"/>
            <w:vAlign w:val="bottom"/>
          </w:tcPr>
          <w:p>
            <w:pPr>
              <w:spacing w:after="0"/>
              <w:rPr>
                <w:sz w:val="24"/>
                <w:szCs w:val="24"/>
                <w:color w:val="auto"/>
              </w:rPr>
            </w:pPr>
          </w:p>
        </w:tc>
        <w:tc>
          <w:tcPr>
            <w:tcW w:w="8900" w:type="dxa"/>
            <w:vAlign w:val="bottom"/>
          </w:tcPr>
          <w:p>
            <w:pPr>
              <w:ind w:left="3160"/>
              <w:spacing w:after="0"/>
              <w:rPr>
                <w:sz w:val="20"/>
                <w:szCs w:val="20"/>
                <w:color w:val="auto"/>
              </w:rPr>
            </w:pPr>
            <w:r>
              <w:rPr>
                <w:rFonts w:ascii="Arial" w:cs="Arial" w:eastAsia="Arial" w:hAnsi="Arial"/>
                <w:sz w:val="17"/>
                <w:szCs w:val="17"/>
                <w:color w:val="auto"/>
              </w:rPr>
              <w:t>i</w:t>
            </w:r>
          </w:p>
        </w:tc>
      </w:tr>
      <w:tr>
        <w:trPr>
          <w:trHeight w:val="150"/>
        </w:trPr>
        <w:tc>
          <w:tcPr>
            <w:tcW w:w="1140" w:type="dxa"/>
            <w:vAlign w:val="bottom"/>
          </w:tcPr>
          <w:p>
            <w:pPr>
              <w:spacing w:after="0"/>
              <w:rPr>
                <w:sz w:val="13"/>
                <w:szCs w:val="13"/>
                <w:color w:val="auto"/>
              </w:rPr>
            </w:pPr>
          </w:p>
        </w:tc>
        <w:tc>
          <w:tcPr>
            <w:tcW w:w="8900" w:type="dxa"/>
            <w:vAlign w:val="bottom"/>
            <w:tcBorders>
              <w:bottom w:val="single" w:sz="8" w:color="9A9A9A"/>
            </w:tcBorders>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8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-2306955</wp:posOffset>
            </wp:positionV>
            <wp:extent cx="48056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235521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Business Day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Merger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Closing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Closing Date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Code</w:t>
      </w:r>
    </w:p>
    <w:p>
      <w:pPr>
        <w:spacing w:after="0" w:line="5" w:lineRule="exact"/>
        <w:rPr>
          <w:sz w:val="20"/>
          <w:szCs w:val="20"/>
          <w:color w:val="auto"/>
        </w:rPr>
      </w:pPr>
    </w:p>
    <w:p>
      <w:pPr>
        <w:ind w:right="920"/>
        <w:spacing w:after="0" w:line="246" w:lineRule="auto"/>
        <w:rPr>
          <w:sz w:val="20"/>
          <w:szCs w:val="20"/>
          <w:color w:val="auto"/>
        </w:rPr>
      </w:pPr>
      <w:r>
        <w:rPr>
          <w:rFonts w:ascii="Arial" w:cs="Arial" w:eastAsia="Arial" w:hAnsi="Arial"/>
          <w:sz w:val="17"/>
          <w:szCs w:val="17"/>
          <w:color w:val="auto"/>
        </w:rPr>
        <w:t>Common Stock Exchange Ratio Company</w:t>
      </w:r>
    </w:p>
    <w:p>
      <w:pPr>
        <w:ind w:right="760"/>
        <w:spacing w:after="0" w:line="246" w:lineRule="auto"/>
        <w:rPr>
          <w:sz w:val="20"/>
          <w:szCs w:val="20"/>
          <w:color w:val="auto"/>
        </w:rPr>
      </w:pPr>
      <w:r>
        <w:rPr>
          <w:rFonts w:ascii="Arial" w:cs="Arial" w:eastAsia="Arial" w:hAnsi="Arial"/>
          <w:sz w:val="17"/>
          <w:szCs w:val="17"/>
          <w:color w:val="auto"/>
        </w:rPr>
        <w:t>Company Capital Stock Company Certificate Company Certificates Company Common Stock Company Disclosure Schedule Company Employee Plans Company Intellectual Property Company Material Adverse Effect Company Material Contracts Company Option Plan Company Stock Options Company Warrant DGCL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Effective Time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Equitable Exceptions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ERISA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ERISA Affiliate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Governmental Authority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Insurance Policies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Interim Period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knowledge of the Company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Liens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Material Permits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Consideration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Shares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Sub</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Merger Sub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Most Recent Balance Sheet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Most Recent Balance Sheet Date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Other Filings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Common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Disclosure Schedule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Material Contracts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 SEC Reports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Parent’s Most Recent Balance Sheet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Parent’s Most Recent Balance Sheet Date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Parties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Party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Personal Property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Returns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Series A Stock</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Subsidiary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Surviving Corporation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Takeover Laws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Tax</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Termination Fee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Defined terms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-109220</wp:posOffset>
            </wp:positionV>
            <wp:extent cx="235521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355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-1684655</wp:posOffset>
            </wp:positionH>
            <wp:positionV relativeFrom="paragraph">
              <wp:posOffset>93980</wp:posOffset>
            </wp:positionV>
            <wp:extent cx="5674360" cy="571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40"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1.3</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1.2</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center"/>
        <w:ind w:right="2279"/>
        <w:spacing w:after="0"/>
        <w:rPr>
          <w:sz w:val="20"/>
          <w:szCs w:val="20"/>
          <w:color w:val="auto"/>
        </w:rPr>
      </w:pPr>
      <w:r>
        <w:rPr>
          <w:rFonts w:ascii="Arial" w:cs="Arial" w:eastAsia="Arial" w:hAnsi="Arial"/>
          <w:sz w:val="15"/>
          <w:szCs w:val="15"/>
          <w:color w:val="auto"/>
        </w:rPr>
        <w:t>2.20(a)</w:t>
      </w:r>
    </w:p>
    <w:p>
      <w:pPr>
        <w:spacing w:after="0" w:line="28" w:lineRule="exact"/>
        <w:rPr>
          <w:sz w:val="20"/>
          <w:szCs w:val="20"/>
          <w:color w:val="auto"/>
        </w:rPr>
      </w:pPr>
    </w:p>
    <w:p>
      <w:pPr>
        <w:jc w:val="center"/>
        <w:ind w:right="2299"/>
        <w:spacing w:after="0"/>
        <w:rPr>
          <w:sz w:val="20"/>
          <w:szCs w:val="20"/>
          <w:color w:val="auto"/>
        </w:rPr>
      </w:pPr>
      <w:r>
        <w:rPr>
          <w:rFonts w:ascii="Arial" w:cs="Arial" w:eastAsia="Arial" w:hAnsi="Arial"/>
          <w:sz w:val="16"/>
          <w:szCs w:val="16"/>
          <w:color w:val="auto"/>
        </w:rPr>
        <w:t>rticle II</w:t>
      </w:r>
    </w:p>
    <w:p>
      <w:pPr>
        <w:spacing w:after="0" w:line="16" w:lineRule="exact"/>
        <w:rPr>
          <w:sz w:val="20"/>
          <w:szCs w:val="20"/>
          <w:color w:val="auto"/>
        </w:rPr>
      </w:pPr>
    </w:p>
    <w:p>
      <w:pPr>
        <w:jc w:val="center"/>
        <w:ind w:right="2199"/>
        <w:spacing w:after="0"/>
        <w:rPr>
          <w:sz w:val="20"/>
          <w:szCs w:val="20"/>
          <w:color w:val="auto"/>
        </w:rPr>
      </w:pPr>
      <w:r>
        <w:rPr>
          <w:rFonts w:ascii="Arial" w:cs="Arial" w:eastAsia="Arial" w:hAnsi="Arial"/>
          <w:sz w:val="15"/>
          <w:szCs w:val="15"/>
          <w:color w:val="auto"/>
        </w:rPr>
        <w:t>2.9(a)</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1.10(a)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2.3(b)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2.3(b)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1.3</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2.4(b)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2.16(a)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2.4(d)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2.19(a)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4.1(a)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2.11(a)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1.7(c)</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1.11</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5.1(b)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Article III</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3.9(a)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3.5(a)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3.6</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5"/>
          <w:szCs w:val="15"/>
          <w:color w:val="auto"/>
        </w:rPr>
        <w:t>Preamble</w:t>
      </w:r>
    </w:p>
    <w:p>
      <w:pPr>
        <w:spacing w:after="0" w:line="28"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3.24(b)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2.15(b)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2.2(d)</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1.7(b)</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2.2(f)</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1.1</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4.2(a)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2.15(a)</w:t>
      </w:r>
    </w:p>
    <w:p>
      <w:pPr>
        <w:spacing w:after="0" w:line="5" w:lineRule="exact"/>
        <w:rPr>
          <w:sz w:val="20"/>
          <w:szCs w:val="20"/>
          <w:color w:val="auto"/>
        </w:rPr>
      </w:pPr>
    </w:p>
    <w:p>
      <w:pPr>
        <w:jc w:val="right"/>
        <w:ind w:right="2479"/>
        <w:spacing w:after="0"/>
        <w:rPr>
          <w:sz w:val="20"/>
          <w:szCs w:val="20"/>
          <w:color w:val="auto"/>
        </w:rPr>
      </w:pPr>
      <w:r>
        <w:rPr>
          <w:rFonts w:ascii="Arial" w:cs="Arial" w:eastAsia="Arial" w:hAnsi="Arial"/>
          <w:sz w:val="17"/>
          <w:szCs w:val="17"/>
          <w:color w:val="auto"/>
        </w:rPr>
        <w:t>7.3(b)</w:t>
      </w:r>
    </w:p>
    <w:p>
      <w:pPr>
        <w:sectPr>
          <w:pgSz w:w="11900" w:h="16838" w:orient="portrait"/>
          <w:cols w:equalWidth="0" w:num="3">
            <w:col w:w="3060" w:space="720"/>
            <w:col w:w="2440" w:space="720"/>
            <w:col w:w="3159"/>
          </w:cols>
          <w:pgMar w:left="360" w:top="746" w:right="1440" w:bottom="1440" w:gutter="0" w:footer="0" w:header="0"/>
        </w:sectPr>
      </w:pPr>
    </w:p>
    <w:bookmarkStart w:id="294" w:name="page295"/>
    <w:bookmarkEnd w:id="2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AGREEMENT AND PLAN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 AND AMONG</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AND</w:t>
      </w:r>
    </w:p>
    <w:p>
      <w:pPr>
        <w:spacing w:after="0" w:line="205"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Dated as of March 12, 2012</w:t>
      </w:r>
    </w:p>
    <w:p>
      <w:pPr>
        <w:spacing w:after="0" w:line="101"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5"/>
          <w:szCs w:val="15"/>
          <w:color w:val="auto"/>
        </w:rPr>
        <w:t>AGREEMENT AND PLAN OF MERGER (this “</w:t>
      </w:r>
      <w:r>
        <w:rPr>
          <w:rFonts w:ascii="Arial" w:cs="Arial" w:eastAsia="Arial" w:hAnsi="Arial"/>
          <w:sz w:val="15"/>
          <w:szCs w:val="15"/>
          <w:b w:val="1"/>
          <w:bCs w:val="1"/>
          <w:color w:val="auto"/>
        </w:rPr>
        <w:t>Agreement</w:t>
      </w:r>
      <w:r>
        <w:rPr>
          <w:rFonts w:ascii="Arial" w:cs="Arial" w:eastAsia="Arial" w:hAnsi="Arial"/>
          <w:sz w:val="15"/>
          <w:szCs w:val="15"/>
          <w:color w:val="auto"/>
        </w:rPr>
        <w:t>”), made and entered into as of March 12,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 MERGER SUB, INC., a Delaware corporation and wholly owned Subsidiary of Parent (“</w:t>
      </w:r>
      <w:r>
        <w:rPr>
          <w:rFonts w:ascii="Arial" w:cs="Arial" w:eastAsia="Arial" w:hAnsi="Arial"/>
          <w:sz w:val="15"/>
          <w:szCs w:val="15"/>
          <w:b w:val="1"/>
          <w:bCs w:val="1"/>
          <w:color w:val="auto"/>
        </w:rPr>
        <w:t>Merger Sub</w:t>
      </w:r>
      <w:r>
        <w:rPr>
          <w:rFonts w:ascii="Arial" w:cs="Arial" w:eastAsia="Arial" w:hAnsi="Arial"/>
          <w:sz w:val="15"/>
          <w:szCs w:val="15"/>
          <w:color w:val="auto"/>
        </w:rPr>
        <w:t>”), and 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Parent, Merger Sub and the Company are sometimes referred to herein each individually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47"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WHEREAS, the Boards of Directors of Parent, Merger Sub and the Company have each approved this Agreement and the merger of the Company with and into Merger Sub (the “</w:t>
      </w:r>
      <w:r>
        <w:rPr>
          <w:rFonts w:ascii="Arial" w:cs="Arial" w:eastAsia="Arial" w:hAnsi="Arial"/>
          <w:sz w:val="17"/>
          <w:szCs w:val="17"/>
          <w:b w:val="1"/>
          <w:bCs w:val="1"/>
          <w:color w:val="auto"/>
        </w:rPr>
        <w:t>Merger</w:t>
      </w:r>
      <w:r>
        <w:rPr>
          <w:rFonts w:ascii="Arial" w:cs="Arial" w:eastAsia="Arial" w:hAnsi="Arial"/>
          <w:sz w:val="17"/>
          <w:szCs w:val="17"/>
          <w:color w:val="auto"/>
        </w:rPr>
        <w:t>”), in accordance with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8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 regulations promulgated thereunder.</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72"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THE MERGER</w:t>
      </w:r>
    </w:p>
    <w:p>
      <w:pPr>
        <w:spacing w:after="0" w:line="109"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The Merger</w:t>
      </w:r>
      <w:r>
        <w:rPr>
          <w:rFonts w:ascii="Arial" w:cs="Arial" w:eastAsia="Arial" w:hAnsi="Arial"/>
          <w:sz w:val="16"/>
          <w:szCs w:val="16"/>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w:t>
      </w:r>
    </w:p>
    <w:p>
      <w:pPr>
        <w:spacing w:after="0" w:line="6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Closing</w:t>
      </w:r>
      <w:r>
        <w:rPr>
          <w:rFonts w:ascii="Arial" w:cs="Arial" w:eastAsia="Arial" w:hAnsi="Arial"/>
          <w:sz w:val="15"/>
          <w:szCs w:val="15"/>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5"/>
          <w:szCs w:val="15"/>
          <w:b w:val="1"/>
          <w:bCs w:val="1"/>
          <w:color w:val="auto"/>
        </w:rPr>
        <w:t>Closing</w:t>
      </w:r>
      <w:r>
        <w:rPr>
          <w:rFonts w:ascii="Arial" w:cs="Arial" w:eastAsia="Arial" w:hAnsi="Arial"/>
          <w:sz w:val="15"/>
          <w:szCs w:val="15"/>
          <w:color w:val="auto"/>
        </w:rPr>
        <w:t>”) shall take place at 10:00 a.m. (eastern standard time) on a date to be mutually agreed upon by the Parties (the “</w:t>
      </w:r>
      <w:r>
        <w:rPr>
          <w:rFonts w:ascii="Arial" w:cs="Arial" w:eastAsia="Arial" w:hAnsi="Arial"/>
          <w:sz w:val="15"/>
          <w:szCs w:val="15"/>
          <w:b w:val="1"/>
          <w:bCs w:val="1"/>
          <w:color w:val="auto"/>
        </w:rPr>
        <w:t>Closing Date</w:t>
      </w:r>
      <w:r>
        <w:rPr>
          <w:rFonts w:ascii="Arial" w:cs="Arial" w:eastAsia="Arial" w:hAnsi="Arial"/>
          <w:sz w:val="15"/>
          <w:szCs w:val="15"/>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on which banks are permitted to be open in New York, New York.</w:t>
      </w:r>
    </w:p>
    <w:p>
      <w:pPr>
        <w:spacing w:after="0" w:line="200" w:lineRule="exact"/>
        <w:rPr>
          <w:sz w:val="20"/>
          <w:szCs w:val="20"/>
          <w:color w:val="auto"/>
        </w:rPr>
      </w:pPr>
    </w:p>
    <w:p>
      <w:pPr>
        <w:spacing w:after="0" w:line="275"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5" w:name="page296"/>
    <w:bookmarkEnd w:id="2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Effective Time</w:t>
      </w:r>
      <w:r>
        <w:rPr>
          <w:rFonts w:ascii="Arial" w:cs="Arial" w:eastAsia="Arial" w:hAnsi="Arial"/>
          <w:sz w:val="17"/>
          <w:szCs w:val="17"/>
          <w:color w:val="auto"/>
        </w:rPr>
        <w:t xml:space="preserve">. Subject to the provisions of this Agreement, on the Closing Date or as soon thereafter as is practicable the Parties shall cause the Merger to become effective by executing and filing in accordance with the DGCL a certificate of merger with the Secretary of State of the State of Delaware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color w:val="auto"/>
        </w:rPr>
        <w:t>Merger</w:t>
      </w:r>
      <w:r>
        <w:rPr>
          <w:rFonts w:ascii="Arial" w:cs="Arial" w:eastAsia="Arial" w:hAnsi="Arial"/>
          <w:sz w:val="17"/>
          <w:szCs w:val="17"/>
          <w:color w:val="auto"/>
        </w:rPr>
        <w:t>”), the date and time of such filing, or such later date and time as may be agreed upon by the Parties and specified therein,</w:t>
      </w:r>
      <w:r>
        <w:rPr>
          <w:rFonts w:ascii="Arial" w:cs="Arial" w:eastAsia="Arial" w:hAnsi="Arial"/>
          <w:sz w:val="17"/>
          <w:szCs w:val="17"/>
          <w:b w:val="1"/>
          <w:bCs w:val="1"/>
          <w:color w:val="auto"/>
        </w:rPr>
        <w:t xml:space="preserve"> </w:t>
      </w:r>
      <w:r>
        <w:rPr>
          <w:rFonts w:ascii="Arial" w:cs="Arial" w:eastAsia="Arial" w:hAnsi="Arial"/>
          <w:sz w:val="17"/>
          <w:szCs w:val="17"/>
          <w:color w:val="auto"/>
        </w:rPr>
        <w:t>being hereinafter referred to as the “</w:t>
      </w:r>
      <w:r>
        <w:rPr>
          <w:rFonts w:ascii="Arial" w:cs="Arial" w:eastAsia="Arial" w:hAnsi="Arial"/>
          <w:sz w:val="17"/>
          <w:szCs w:val="17"/>
          <w:b w:val="1"/>
          <w:bCs w:val="1"/>
          <w:color w:val="auto"/>
        </w:rPr>
        <w:t>Effective Time</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Effect of the Merger</w:t>
      </w:r>
      <w:r>
        <w:rPr>
          <w:rFonts w:ascii="Arial" w:cs="Arial" w:eastAsia="Arial" w:hAnsi="Arial"/>
          <w:sz w:val="17"/>
          <w:szCs w:val="17"/>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8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Certificate of Incorporation and Bylaws of the Surviving Corporation</w:t>
      </w:r>
      <w:r>
        <w:rPr>
          <w:rFonts w:ascii="Arial" w:cs="Arial" w:eastAsia="Arial" w:hAnsi="Arial"/>
          <w:sz w:val="16"/>
          <w:szCs w:val="16"/>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hereto, respectively, until amended in accordance with the respective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71"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Directors and Officers</w:t>
      </w:r>
      <w:r>
        <w:rPr>
          <w:rFonts w:ascii="Arial" w:cs="Arial" w:eastAsia="Arial" w:hAnsi="Arial"/>
          <w:sz w:val="15"/>
          <w:szCs w:val="15"/>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Conversion of Company Common Stock, Etc</w:t>
      </w:r>
      <w:r>
        <w:rPr>
          <w:rFonts w:ascii="Arial" w:cs="Arial" w:eastAsia="Arial" w:hAnsi="Arial"/>
          <w:sz w:val="17"/>
          <w:szCs w:val="17"/>
          <w:color w:val="auto"/>
        </w:rPr>
        <w:t>. At the Effective Time, by virtue of the Merger and without any action on the part of the Parties or the holders of the following securities:</w:t>
      </w:r>
    </w:p>
    <w:p>
      <w:pPr>
        <w:spacing w:after="0" w:line="62" w:lineRule="exact"/>
        <w:rPr>
          <w:sz w:val="20"/>
          <w:szCs w:val="20"/>
          <w:color w:val="auto"/>
        </w:rPr>
      </w:pPr>
    </w:p>
    <w:p>
      <w:pPr>
        <w:jc w:val="both"/>
        <w:ind w:left="300" w:right="1239" w:firstLine="248"/>
        <w:spacing w:after="0" w:line="270" w:lineRule="auto"/>
        <w:tabs>
          <w:tab w:leader="none" w:pos="84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share of the Company’s common stock, par value $0.0001 per share (“</w:t>
      </w:r>
      <w:r>
        <w:rPr>
          <w:rFonts w:ascii="Arial" w:cs="Arial" w:eastAsia="Arial" w:hAnsi="Arial"/>
          <w:sz w:val="16"/>
          <w:szCs w:val="16"/>
          <w:b w:val="1"/>
          <w:bCs w:val="1"/>
          <w:color w:val="auto"/>
        </w:rPr>
        <w:t>Company Common Stock</w:t>
      </w:r>
      <w:r>
        <w:rPr>
          <w:rFonts w:ascii="Arial" w:cs="Arial" w:eastAsia="Arial" w:hAnsi="Arial"/>
          <w:sz w:val="16"/>
          <w:szCs w:val="16"/>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6"/>
          <w:szCs w:val="16"/>
          <w:b w:val="1"/>
          <w:bCs w:val="1"/>
          <w:color w:val="auto"/>
        </w:rPr>
        <w:t>Parent Common Stock</w:t>
      </w:r>
      <w:r>
        <w:rPr>
          <w:rFonts w:ascii="Arial" w:cs="Arial" w:eastAsia="Arial" w:hAnsi="Arial"/>
          <w:sz w:val="16"/>
          <w:szCs w:val="16"/>
          <w:color w:val="auto"/>
        </w:rPr>
        <w:t>”) equal to the Common Stock Exchange Ratio. For purposes of this Agreement, the “Common Stock Exchange Ratio” shall initially be 3.0176, subject to adjustment as set forth in Section 1.13.</w:t>
      </w:r>
    </w:p>
    <w:p>
      <w:pPr>
        <w:spacing w:after="0" w:line="61" w:lineRule="exact"/>
        <w:rPr>
          <w:rFonts w:ascii="Arial" w:cs="Arial" w:eastAsia="Arial" w:hAnsi="Arial"/>
          <w:sz w:val="16"/>
          <w:szCs w:val="16"/>
          <w:color w:val="auto"/>
        </w:rPr>
      </w:pPr>
    </w:p>
    <w:p>
      <w:pPr>
        <w:jc w:val="both"/>
        <w:ind w:left="300" w:right="1239" w:firstLine="248"/>
        <w:spacing w:after="0" w:line="287" w:lineRule="auto"/>
        <w:tabs>
          <w:tab w:leader="none" w:pos="829" w:val="left"/>
        </w:tabs>
        <w:numPr>
          <w:ilvl w:val="0"/>
          <w:numId w:val="175"/>
        </w:numPr>
        <w:rPr>
          <w:rFonts w:ascii="Arial" w:cs="Arial" w:eastAsia="Arial" w:hAnsi="Arial"/>
          <w:sz w:val="15"/>
          <w:szCs w:val="15"/>
          <w:color w:val="auto"/>
        </w:rPr>
      </w:pPr>
      <w:r>
        <w:rPr>
          <w:rFonts w:ascii="Arial" w:cs="Arial" w:eastAsia="Arial" w:hAnsi="Arial"/>
          <w:sz w:val="15"/>
          <w:szCs w:val="15"/>
          <w:color w:val="auto"/>
        </w:rPr>
        <w:t>Each share of the Company’s Series A Convertible Preferred Stock, par value $0.0001 per share (the “</w:t>
      </w:r>
      <w:r>
        <w:rPr>
          <w:rFonts w:ascii="Arial" w:cs="Arial" w:eastAsia="Arial" w:hAnsi="Arial"/>
          <w:sz w:val="15"/>
          <w:szCs w:val="15"/>
          <w:b w:val="1"/>
          <w:bCs w:val="1"/>
          <w:color w:val="auto"/>
        </w:rPr>
        <w:t>Series A Stock</w:t>
      </w:r>
      <w:r>
        <w:rPr>
          <w:rFonts w:ascii="Arial" w:cs="Arial" w:eastAsia="Arial" w:hAnsi="Arial"/>
          <w:sz w:val="15"/>
          <w:szCs w:val="15"/>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5"/>
          <w:szCs w:val="15"/>
          <w:b w:val="1"/>
          <w:bCs w:val="1"/>
          <w:color w:val="auto"/>
        </w:rPr>
        <w:t>Parent Preferred Stock</w:t>
      </w:r>
      <w:r>
        <w:rPr>
          <w:rFonts w:ascii="Arial" w:cs="Arial" w:eastAsia="Arial" w:hAnsi="Arial"/>
          <w:sz w:val="15"/>
          <w:szCs w:val="15"/>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w:t>
      </w:r>
    </w:p>
    <w:p>
      <w:pPr>
        <w:spacing w:after="0" w:line="54" w:lineRule="exact"/>
        <w:rPr>
          <w:rFonts w:ascii="Arial" w:cs="Arial" w:eastAsia="Arial" w:hAnsi="Arial"/>
          <w:sz w:val="15"/>
          <w:szCs w:val="15"/>
          <w:color w:val="auto"/>
        </w:rPr>
      </w:pPr>
    </w:p>
    <w:p>
      <w:pPr>
        <w:jc w:val="both"/>
        <w:ind w:left="300" w:right="1239" w:firstLine="248"/>
        <w:spacing w:after="0" w:line="268" w:lineRule="auto"/>
        <w:tabs>
          <w:tab w:leader="none" w:pos="85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From and after the Effective Time, all shares of Company Common Stock and Series A Stock (together,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Capital Stock</w:t>
      </w:r>
      <w:r>
        <w:rPr>
          <w:rFonts w:ascii="Arial" w:cs="Arial" w:eastAsia="Arial" w:hAnsi="Arial"/>
          <w:sz w:val="16"/>
          <w:szCs w:val="16"/>
          <w:color w:val="auto"/>
        </w:rPr>
        <w:t>”) (other than any shares of Company Capital Stock to be canceled and retired pursuant to Section 1.8)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canceled and shall cease to exist, and each holder (each, a “</w:t>
      </w:r>
      <w:r>
        <w:rPr>
          <w:rFonts w:ascii="Arial" w:cs="Arial" w:eastAsia="Arial" w:hAnsi="Arial"/>
          <w:sz w:val="16"/>
          <w:szCs w:val="16"/>
          <w:b w:val="1"/>
          <w:bCs w:val="1"/>
          <w:color w:val="auto"/>
        </w:rPr>
        <w:t>Company Stockholder</w:t>
      </w:r>
      <w:r>
        <w:rPr>
          <w:rFonts w:ascii="Arial" w:cs="Arial" w:eastAsia="Arial" w:hAnsi="Arial"/>
          <w:sz w:val="16"/>
          <w:szCs w:val="16"/>
          <w:color w:val="auto"/>
        </w:rPr>
        <w:t>”) of a certificate which previously represented any such share of Company Capital Stock (each, a “Company Certificate” and, collectively,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Certificates</w:t>
      </w:r>
      <w:r>
        <w:rPr>
          <w:rFonts w:ascii="Arial" w:cs="Arial" w:eastAsia="Arial" w:hAnsi="Arial"/>
          <w:sz w:val="16"/>
          <w:szCs w:val="16"/>
          <w:color w:val="auto"/>
        </w:rPr>
        <w:t>”) shall cease to have any rights with respect thereto except for the right to receive the Merger Consideration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1.15 or as otherwise set forth herein or under applicable law. The holders of Company Capital Stock immediately prior to the Effective Time shall be entitled to</w:t>
      </w:r>
    </w:p>
    <w:p>
      <w:pPr>
        <w:spacing w:after="0" w:line="200" w:lineRule="exact"/>
        <w:rPr>
          <w:sz w:val="20"/>
          <w:szCs w:val="20"/>
          <w:color w:val="auto"/>
        </w:rPr>
      </w:pPr>
    </w:p>
    <w:p>
      <w:pPr>
        <w:spacing w:after="0" w:line="28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6" w:name="page297"/>
    <w:bookmarkEnd w:id="2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7"/>
          <w:szCs w:val="17"/>
          <w:b w:val="1"/>
          <w:bCs w:val="1"/>
          <w:color w:val="auto"/>
        </w:rPr>
        <w:t>Merger Shares</w:t>
      </w:r>
      <w:r>
        <w:rPr>
          <w:rFonts w:ascii="Arial" w:cs="Arial" w:eastAsia="Arial" w:hAnsi="Arial"/>
          <w:sz w:val="17"/>
          <w:szCs w:val="17"/>
          <w:color w:val="auto"/>
        </w:rPr>
        <w:t>.” The Merger Shares, together with the Series 1 Warrants and Series 2 Warrants are collectively referred to herein as the “</w:t>
      </w:r>
      <w:r>
        <w:rPr>
          <w:rFonts w:ascii="Arial" w:cs="Arial" w:eastAsia="Arial" w:hAnsi="Arial"/>
          <w:sz w:val="17"/>
          <w:szCs w:val="17"/>
          <w:b w:val="1"/>
          <w:bCs w:val="1"/>
          <w:color w:val="auto"/>
        </w:rPr>
        <w:t>Merger Consideration</w:t>
      </w:r>
      <w:r>
        <w:rPr>
          <w:rFonts w:ascii="Arial" w:cs="Arial" w:eastAsia="Arial" w:hAnsi="Arial"/>
          <w:sz w:val="17"/>
          <w:szCs w:val="17"/>
          <w:color w:val="auto"/>
        </w:rPr>
        <w:t>.”</w:t>
      </w:r>
    </w:p>
    <w:p>
      <w:pPr>
        <w:spacing w:after="0" w:line="8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Cancellation of Shares</w:t>
      </w:r>
      <w:r>
        <w:rPr>
          <w:rFonts w:ascii="Arial" w:cs="Arial" w:eastAsia="Arial" w:hAnsi="Arial"/>
          <w:sz w:val="17"/>
          <w:szCs w:val="17"/>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No Further Ownership Rights in Company Stock</w:t>
      </w:r>
      <w:r>
        <w:rPr>
          <w:rFonts w:ascii="Arial" w:cs="Arial" w:eastAsia="Arial" w:hAnsi="Arial"/>
          <w:sz w:val="16"/>
          <w:szCs w:val="16"/>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u w:val="single" w:color="auto"/>
          <w:color w:val="auto"/>
        </w:rPr>
        <w:t>Company Stock Options And Warrants</w:t>
      </w:r>
      <w:r>
        <w:rPr>
          <w:rFonts w:ascii="Arial" w:cs="Arial" w:eastAsia="Arial" w:hAnsi="Arial"/>
          <w:sz w:val="17"/>
          <w:szCs w:val="17"/>
          <w:color w:val="auto"/>
        </w:rPr>
        <w:t>. At the Effective Time:</w:t>
      </w:r>
    </w:p>
    <w:p>
      <w:pPr>
        <w:spacing w:after="0" w:line="105" w:lineRule="exact"/>
        <w:rPr>
          <w:sz w:val="20"/>
          <w:szCs w:val="20"/>
          <w:color w:val="auto"/>
        </w:rPr>
      </w:pPr>
    </w:p>
    <w:p>
      <w:pPr>
        <w:jc w:val="both"/>
        <w:ind w:left="300" w:right="1239" w:firstLine="248"/>
        <w:spacing w:after="0" w:line="281" w:lineRule="auto"/>
        <w:tabs>
          <w:tab w:leader="none" w:pos="842" w:val="left"/>
        </w:tabs>
        <w:numPr>
          <w:ilvl w:val="0"/>
          <w:numId w:val="176"/>
        </w:numPr>
        <w:rPr>
          <w:rFonts w:ascii="Arial" w:cs="Arial" w:eastAsia="Arial" w:hAnsi="Arial"/>
          <w:sz w:val="15"/>
          <w:szCs w:val="15"/>
          <w:color w:val="auto"/>
        </w:rPr>
      </w:pPr>
      <w:r>
        <w:rPr>
          <w:rFonts w:ascii="Arial" w:cs="Arial" w:eastAsia="Arial" w:hAnsi="Arial"/>
          <w:sz w:val="15"/>
          <w:szCs w:val="15"/>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5"/>
          <w:szCs w:val="15"/>
          <w:b w:val="1"/>
          <w:bCs w:val="1"/>
          <w:color w:val="auto"/>
        </w:rPr>
        <w:t>New Company Option</w:t>
      </w:r>
      <w:r>
        <w:rPr>
          <w:rFonts w:ascii="Arial" w:cs="Arial" w:eastAsia="Arial" w:hAnsi="Arial"/>
          <w:sz w:val="15"/>
          <w:szCs w:val="15"/>
          <w:color w:val="auto"/>
        </w:rPr>
        <w:t>”) as set forth in this Section 1.10, and Parent shall assume such Company Stock Option in accordance with the terms of the Company’s 2011 Equity Incentive Plan (the “</w:t>
      </w:r>
      <w:r>
        <w:rPr>
          <w:rFonts w:ascii="Arial" w:cs="Arial" w:eastAsia="Arial" w:hAnsi="Arial"/>
          <w:sz w:val="15"/>
          <w:szCs w:val="15"/>
          <w:b w:val="1"/>
          <w:bCs w:val="1"/>
          <w:color w:val="auto"/>
        </w:rPr>
        <w:t>Company Option Plan</w:t>
      </w:r>
      <w:r>
        <w:rPr>
          <w:rFonts w:ascii="Arial" w:cs="Arial" w:eastAsia="Arial" w:hAnsi="Arial"/>
          <w:sz w:val="15"/>
          <w:szCs w:val="15"/>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266" w:lineRule="exact"/>
        <w:rPr>
          <w:rFonts w:ascii="Arial" w:cs="Arial" w:eastAsia="Arial" w:hAnsi="Arial"/>
          <w:sz w:val="15"/>
          <w:szCs w:val="15"/>
          <w:color w:val="auto"/>
        </w:rPr>
      </w:pPr>
    </w:p>
    <w:p>
      <w:pPr>
        <w:jc w:val="both"/>
        <w:ind w:left="300" w:right="1239" w:firstLine="248"/>
        <w:spacing w:after="0" w:line="253" w:lineRule="auto"/>
        <w:tabs>
          <w:tab w:leader="none" w:pos="834"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7"/>
          <w:szCs w:val="17"/>
          <w:b w:val="1"/>
          <w:bCs w:val="1"/>
          <w:color w:val="auto"/>
        </w:rPr>
        <w:t>New Company Warrant</w:t>
      </w:r>
      <w:r>
        <w:rPr>
          <w:rFonts w:ascii="Arial" w:cs="Arial" w:eastAsia="Arial" w:hAnsi="Arial"/>
          <w:sz w:val="17"/>
          <w:szCs w:val="17"/>
          <w:color w:val="auto"/>
        </w:rPr>
        <w:t>”), with the form of the New Company Warrant to be in the form of the Series 2 Warrant. Prior</w:t>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7" w:name="page298"/>
    <w:bookmarkEnd w:id="2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to the Effective Time, the Company shall take all actions necessary or reasonably requested by Parent (including obtaining any necessary consents) to effectuate the provisions of this Section 1.10(b).</w:t>
      </w:r>
    </w:p>
    <w:p>
      <w:pPr>
        <w:spacing w:after="0" w:line="62"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Capital Stock of Company</w:t>
      </w:r>
      <w:r>
        <w:rPr>
          <w:rFonts w:ascii="Arial" w:cs="Arial" w:eastAsia="Arial" w:hAnsi="Arial"/>
          <w:sz w:val="16"/>
          <w:szCs w:val="16"/>
          <w:color w:val="auto"/>
        </w:rPr>
        <w:t>. Each share of common stock of Merger Sub, par value $0.01 per share (the “</w:t>
      </w:r>
      <w:r>
        <w:rPr>
          <w:rFonts w:ascii="Arial" w:cs="Arial" w:eastAsia="Arial" w:hAnsi="Arial"/>
          <w:sz w:val="16"/>
          <w:szCs w:val="16"/>
          <w:b w:val="1"/>
          <w:bCs w:val="1"/>
          <w:color w:val="auto"/>
        </w:rPr>
        <w:t>Merger Sub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issued and outstanding immediately prior to the Effective Time shall, from and after the Effective Time, remain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and shall constitute the only outstanding shares of common stock of the Surviving Corporation.</w:t>
      </w:r>
    </w:p>
    <w:p>
      <w:pPr>
        <w:spacing w:after="0" w:line="57"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Issuance of Parent Warrants</w:t>
      </w:r>
      <w:r>
        <w:rPr>
          <w:rFonts w:ascii="Arial" w:cs="Arial" w:eastAsia="Arial" w:hAnsi="Arial"/>
          <w:sz w:val="17"/>
          <w:szCs w:val="17"/>
          <w:color w:val="auto"/>
        </w:rPr>
        <w:t xml:space="preserve">. At the Effective Time, Parent will issue to the Company stockholders including the holder of the Company Warrants,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the following:</w:t>
      </w:r>
    </w:p>
    <w:p>
      <w:pPr>
        <w:spacing w:after="0" w:line="66" w:lineRule="exact"/>
        <w:rPr>
          <w:sz w:val="20"/>
          <w:szCs w:val="20"/>
          <w:color w:val="auto"/>
        </w:rPr>
      </w:pPr>
    </w:p>
    <w:p>
      <w:pPr>
        <w:ind w:left="300" w:right="1239" w:firstLine="248"/>
        <w:spacing w:after="0" w:line="299" w:lineRule="auto"/>
        <w:tabs>
          <w:tab w:leader="none" w:pos="85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b w:val="1"/>
          <w:bCs w:val="1"/>
          <w:color w:val="auto"/>
        </w:rPr>
        <w:t>Series 1 Warrants</w:t>
      </w:r>
      <w:r>
        <w:rPr>
          <w:rFonts w:ascii="Arial" w:cs="Arial" w:eastAsia="Arial" w:hAnsi="Arial"/>
          <w:sz w:val="16"/>
          <w:szCs w:val="16"/>
          <w:color w:val="auto"/>
        </w:rPr>
        <w:t>”); and</w:t>
      </w:r>
    </w:p>
    <w:p>
      <w:pPr>
        <w:spacing w:after="0" w:line="42" w:lineRule="exact"/>
        <w:rPr>
          <w:rFonts w:ascii="Arial" w:cs="Arial" w:eastAsia="Arial" w:hAnsi="Arial"/>
          <w:sz w:val="16"/>
          <w:szCs w:val="16"/>
          <w:color w:val="auto"/>
        </w:rPr>
      </w:pPr>
    </w:p>
    <w:p>
      <w:pPr>
        <w:ind w:left="300" w:right="1239" w:firstLine="248"/>
        <w:spacing w:after="0" w:line="299" w:lineRule="auto"/>
        <w:tabs>
          <w:tab w:leader="none" w:pos="86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(the “</w:t>
      </w:r>
      <w:r>
        <w:rPr>
          <w:rFonts w:ascii="Arial" w:cs="Arial" w:eastAsia="Arial" w:hAnsi="Arial"/>
          <w:sz w:val="16"/>
          <w:szCs w:val="16"/>
          <w:b w:val="1"/>
          <w:bCs w:val="1"/>
          <w:color w:val="auto"/>
        </w:rPr>
        <w:t>Series 2 Warrants</w:t>
      </w:r>
      <w:r>
        <w:rPr>
          <w:rFonts w:ascii="Arial" w:cs="Arial" w:eastAsia="Arial" w:hAnsi="Arial"/>
          <w:sz w:val="16"/>
          <w:szCs w:val="16"/>
          <w:color w:val="auto"/>
        </w:rPr>
        <w:t>”).</w:t>
      </w:r>
    </w:p>
    <w:p>
      <w:pPr>
        <w:spacing w:after="0" w:line="4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Adjustments to Exchange Ratios</w:t>
      </w:r>
      <w:r>
        <w:rPr>
          <w:rFonts w:ascii="Arial" w:cs="Arial" w:eastAsia="Arial" w:hAnsi="Arial"/>
          <w:sz w:val="17"/>
          <w:szCs w:val="17"/>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80"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84" w:lineRule="exact"/>
        <w:rPr>
          <w:sz w:val="20"/>
          <w:szCs w:val="20"/>
          <w:color w:val="auto"/>
        </w:rPr>
      </w:pPr>
    </w:p>
    <w:p>
      <w:pPr>
        <w:jc w:val="both"/>
        <w:ind w:left="40" w:right="1239" w:firstLine="251"/>
        <w:spacing w:after="0" w:line="283"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Exchange of Certificates</w:t>
      </w:r>
      <w:r>
        <w:rPr>
          <w:rFonts w:ascii="Arial" w:cs="Arial" w:eastAsia="Arial" w:hAnsi="Arial"/>
          <w:sz w:val="15"/>
          <w:szCs w:val="15"/>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62"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Liability</w:t>
      </w:r>
      <w:r>
        <w:rPr>
          <w:rFonts w:ascii="Arial" w:cs="Arial" w:eastAsia="Arial" w:hAnsi="Arial"/>
          <w:sz w:val="16"/>
          <w:szCs w:val="16"/>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200" w:lineRule="exact"/>
        <w:rPr>
          <w:sz w:val="20"/>
          <w:szCs w:val="20"/>
          <w:color w:val="auto"/>
        </w:rPr>
      </w:pPr>
    </w:p>
    <w:p>
      <w:pPr>
        <w:spacing w:after="0" w:line="27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8" w:name="page299"/>
    <w:bookmarkEnd w:id="2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Lost Certificates</w:t>
      </w:r>
      <w:r>
        <w:rPr>
          <w:rFonts w:ascii="Arial" w:cs="Arial" w:eastAsia="Arial" w:hAnsi="Arial"/>
          <w:sz w:val="17"/>
          <w:szCs w:val="17"/>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Governmental Authority, corporation, general or limited partnership, limited liability company, joint venture, trust, association or unincorporated entity of any kind.</w:t>
      </w:r>
    </w:p>
    <w:p>
      <w:pPr>
        <w:spacing w:after="0" w:line="82"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5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II</w:t>
      </w:r>
    </w:p>
    <w:p>
      <w:pPr>
        <w:spacing w:after="0" w:line="205"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REPRESENTATIONS AND WARRANTIES OF THE COMPANY</w:t>
      </w:r>
    </w:p>
    <w:p>
      <w:pPr>
        <w:spacing w:after="0" w:line="109"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Except as set forth in the disclosure schedule provided by the Company to Parent on the date hereof and accepted in writing by Parent (the “</w:t>
      </w:r>
      <w:r>
        <w:rPr>
          <w:rFonts w:ascii="Arial" w:cs="Arial" w:eastAsia="Arial" w:hAnsi="Arial"/>
          <w:sz w:val="15"/>
          <w:szCs w:val="15"/>
          <w:b w:val="1"/>
          <w:bCs w:val="1"/>
          <w:color w:val="auto"/>
        </w:rPr>
        <w:t>Company Disclosure Schedule</w:t>
      </w:r>
      <w:r>
        <w:rPr>
          <w:rFonts w:ascii="Arial" w:cs="Arial" w:eastAsia="Arial" w:hAnsi="Arial"/>
          <w:sz w:val="15"/>
          <w:szCs w:val="15"/>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5"/>
          <w:szCs w:val="15"/>
          <w:b w:val="1"/>
          <w:bCs w:val="1"/>
          <w:color w:val="auto"/>
        </w:rPr>
        <w:t>Company Material Adverse Effect</w:t>
      </w:r>
      <w:r>
        <w:rPr>
          <w:rFonts w:ascii="Arial" w:cs="Arial" w:eastAsia="Arial" w:hAnsi="Arial"/>
          <w:sz w:val="15"/>
          <w:szCs w:val="15"/>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299" w:name="page300"/>
    <w:bookmarkEnd w:id="2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7" w:lineRule="auto"/>
        <w:tabs>
          <w:tab w:leader="none" w:pos="81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70" w:lineRule="exact"/>
        <w:rPr>
          <w:rFonts w:ascii="Arial" w:cs="Arial" w:eastAsia="Arial" w:hAnsi="Arial"/>
          <w:sz w:val="16"/>
          <w:szCs w:val="16"/>
          <w:color w:val="auto"/>
        </w:rPr>
      </w:pPr>
    </w:p>
    <w:p>
      <w:pPr>
        <w:jc w:val="both"/>
        <w:ind w:left="300" w:right="1239" w:firstLine="248"/>
        <w:spacing w:after="0" w:line="253" w:lineRule="auto"/>
        <w:tabs>
          <w:tab w:leader="none" w:pos="84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Subsidiaries</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2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Section 2.2(a) of the Company Disclosure Schedule sets forth a true, complete and correct list of each Subsidiary of the Company.</w:t>
      </w:r>
    </w:p>
    <w:p>
      <w:pPr>
        <w:spacing w:after="0" w:line="66" w:lineRule="exact"/>
        <w:rPr>
          <w:rFonts w:ascii="Arial" w:cs="Arial" w:eastAsia="Arial" w:hAnsi="Arial"/>
          <w:sz w:val="17"/>
          <w:szCs w:val="17"/>
          <w:color w:val="auto"/>
        </w:rPr>
      </w:pPr>
    </w:p>
    <w:p>
      <w:pPr>
        <w:jc w:val="both"/>
        <w:ind w:left="300" w:right="1239" w:firstLine="248"/>
        <w:spacing w:after="0" w:line="267" w:lineRule="auto"/>
        <w:tabs>
          <w:tab w:leader="none" w:pos="88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2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80" w:lineRule="exact"/>
        <w:rPr>
          <w:rFonts w:ascii="Arial" w:cs="Arial" w:eastAsia="Arial" w:hAnsi="Arial"/>
          <w:sz w:val="17"/>
          <w:szCs w:val="17"/>
          <w:color w:val="auto"/>
        </w:rPr>
      </w:pPr>
    </w:p>
    <w:p>
      <w:pPr>
        <w:jc w:val="both"/>
        <w:ind w:left="300" w:right="1239" w:firstLine="248"/>
        <w:spacing w:after="0" w:line="264" w:lineRule="auto"/>
        <w:tabs>
          <w:tab w:leader="none" w:pos="8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6"/>
          <w:szCs w:val="16"/>
          <w:b w:val="1"/>
          <w:bCs w:val="1"/>
          <w:color w:val="auto"/>
        </w:rPr>
        <w:t>Liens</w:t>
      </w:r>
      <w:r>
        <w:rPr>
          <w:rFonts w:ascii="Arial" w:cs="Arial" w:eastAsia="Arial" w:hAnsi="Arial"/>
          <w:sz w:val="16"/>
          <w:szCs w:val="16"/>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200" w:lineRule="exact"/>
        <w:rPr>
          <w:sz w:val="20"/>
          <w:szCs w:val="20"/>
          <w:color w:val="auto"/>
        </w:rPr>
      </w:pPr>
    </w:p>
    <w:p>
      <w:pPr>
        <w:spacing w:after="0" w:line="28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0" w:name="page301"/>
    <w:bookmarkEnd w:id="3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6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72" w:lineRule="exact"/>
        <w:rPr>
          <w:rFonts w:ascii="Arial" w:cs="Arial" w:eastAsia="Arial" w:hAnsi="Arial"/>
          <w:sz w:val="17"/>
          <w:szCs w:val="17"/>
          <w:color w:val="auto"/>
        </w:rPr>
      </w:pPr>
    </w:p>
    <w:p>
      <w:pPr>
        <w:jc w:val="both"/>
        <w:ind w:left="300" w:right="1239" w:firstLine="248"/>
        <w:spacing w:after="0" w:line="289" w:lineRule="auto"/>
        <w:tabs>
          <w:tab w:leader="none" w:pos="834" w:val="left"/>
        </w:tabs>
        <w:numPr>
          <w:ilvl w:val="0"/>
          <w:numId w:val="180"/>
        </w:numPr>
        <w:rPr>
          <w:rFonts w:ascii="Arial" w:cs="Arial" w:eastAsia="Arial" w:hAnsi="Arial"/>
          <w:sz w:val="15"/>
          <w:szCs w:val="15"/>
          <w:color w:val="auto"/>
        </w:rPr>
      </w:pPr>
      <w:r>
        <w:rPr>
          <w:rFonts w:ascii="Arial" w:cs="Arial" w:eastAsia="Arial" w:hAnsi="Arial"/>
          <w:sz w:val="15"/>
          <w:szCs w:val="15"/>
          <w:color w:val="auto"/>
        </w:rPr>
        <w:t>For purposes of this Agreement, the term “</w:t>
      </w:r>
      <w:r>
        <w:rPr>
          <w:rFonts w:ascii="Arial" w:cs="Arial" w:eastAsia="Arial" w:hAnsi="Arial"/>
          <w:sz w:val="15"/>
          <w:szCs w:val="15"/>
          <w:b w:val="1"/>
          <w:bCs w:val="1"/>
          <w:color w:val="auto"/>
        </w:rPr>
        <w:t>Subsidiary</w:t>
      </w:r>
      <w:r>
        <w:rPr>
          <w:rFonts w:ascii="Arial" w:cs="Arial" w:eastAsia="Arial" w:hAnsi="Arial"/>
          <w:sz w:val="15"/>
          <w:szCs w:val="15"/>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Capital Structure</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8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authorized Company Capital Stock consists of (i) 100,000,000 shares of Company Common Stock; and (ii) 10,000,000 shares of Series A Stock.</w:t>
      </w:r>
    </w:p>
    <w:p>
      <w:pPr>
        <w:spacing w:after="0" w:line="66" w:lineRule="exact"/>
        <w:rPr>
          <w:rFonts w:ascii="Arial" w:cs="Arial" w:eastAsia="Arial" w:hAnsi="Arial"/>
          <w:sz w:val="17"/>
          <w:szCs w:val="17"/>
          <w:color w:val="auto"/>
        </w:rPr>
      </w:pPr>
    </w:p>
    <w:p>
      <w:pPr>
        <w:jc w:val="both"/>
        <w:ind w:left="300" w:right="1239" w:firstLine="248"/>
        <w:spacing w:after="0" w:line="284" w:lineRule="auto"/>
        <w:tabs>
          <w:tab w:leader="none" w:pos="85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5"/>
          <w:szCs w:val="15"/>
          <w:b w:val="1"/>
          <w:bCs w:val="1"/>
          <w:color w:val="auto"/>
        </w:rPr>
        <w:t>Company Stock</w:t>
      </w:r>
      <w:r>
        <w:rPr>
          <w:rFonts w:ascii="Arial" w:cs="Arial" w:eastAsia="Arial" w:hAnsi="Arial"/>
          <w:sz w:val="15"/>
          <w:szCs w:val="15"/>
          <w:color w:val="auto"/>
        </w:rPr>
        <w:t xml:space="preserve"> </w:t>
      </w:r>
      <w:r>
        <w:rPr>
          <w:rFonts w:ascii="Arial" w:cs="Arial" w:eastAsia="Arial" w:hAnsi="Arial"/>
          <w:sz w:val="15"/>
          <w:szCs w:val="15"/>
          <w:b w:val="1"/>
          <w:bCs w:val="1"/>
          <w:color w:val="auto"/>
        </w:rPr>
        <w:t>Options</w:t>
      </w:r>
      <w:r>
        <w:rPr>
          <w:rFonts w:ascii="Arial" w:cs="Arial" w:eastAsia="Arial" w:hAnsi="Arial"/>
          <w:sz w:val="15"/>
          <w:szCs w:val="15"/>
          <w:color w:val="auto"/>
        </w:rPr>
        <w:t>”); and (v) 250,000 shares of Company Common Stock are duly reserved for future issuance upon exercise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to purchase shares of the Company Capital Stock (the “</w:t>
      </w:r>
      <w:r>
        <w:rPr>
          <w:rFonts w:ascii="Arial" w:cs="Arial" w:eastAsia="Arial" w:hAnsi="Arial"/>
          <w:sz w:val="15"/>
          <w:szCs w:val="15"/>
          <w:b w:val="1"/>
          <w:bCs w:val="1"/>
          <w:color w:val="auto"/>
        </w:rPr>
        <w:t>Company Warrants</w:t>
      </w:r>
      <w:r>
        <w:rPr>
          <w:rFonts w:ascii="Arial" w:cs="Arial" w:eastAsia="Arial" w:hAnsi="Arial"/>
          <w:sz w:val="15"/>
          <w:szCs w:val="15"/>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56" w:lineRule="exact"/>
        <w:rPr>
          <w:rFonts w:ascii="Arial" w:cs="Arial" w:eastAsia="Arial" w:hAnsi="Arial"/>
          <w:sz w:val="15"/>
          <w:szCs w:val="15"/>
          <w:color w:val="auto"/>
        </w:rPr>
      </w:pPr>
    </w:p>
    <w:p>
      <w:pPr>
        <w:jc w:val="both"/>
        <w:ind w:left="300" w:right="1239" w:firstLine="248"/>
        <w:spacing w:after="0" w:line="251" w:lineRule="auto"/>
        <w:tabs>
          <w:tab w:leader="none" w:pos="84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80" w:lineRule="exact"/>
        <w:rPr>
          <w:rFonts w:ascii="Arial" w:cs="Arial" w:eastAsia="Arial" w:hAnsi="Arial"/>
          <w:sz w:val="17"/>
          <w:szCs w:val="17"/>
          <w:color w:val="auto"/>
        </w:rPr>
      </w:pPr>
    </w:p>
    <w:p>
      <w:pPr>
        <w:jc w:val="both"/>
        <w:ind w:left="300" w:right="1239" w:firstLine="248"/>
        <w:spacing w:after="0" w:line="285" w:lineRule="auto"/>
        <w:tabs>
          <w:tab w:leader="none" w:pos="855"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61" w:lineRule="exact"/>
        <w:rPr>
          <w:rFonts w:ascii="Arial" w:cs="Arial" w:eastAsia="Arial" w:hAnsi="Arial"/>
          <w:sz w:val="15"/>
          <w:szCs w:val="15"/>
          <w:color w:val="auto"/>
        </w:rPr>
      </w:pPr>
    </w:p>
    <w:p>
      <w:pPr>
        <w:jc w:val="both"/>
        <w:ind w:left="300" w:right="1239" w:firstLine="248"/>
        <w:spacing w:after="0" w:line="256" w:lineRule="auto"/>
        <w:tabs>
          <w:tab w:leader="none" w:pos="8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Section 2.3(e) of the Company Disclosure Schedule sets forth a true, complete and correct list of the holders of all Company Stock Options and Company Warrants, including: (i) the number and class of Company Capital Stock subject to each such Company Stock Option or Company Warrant; (ii) the</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1" w:name="page302"/>
    <w:bookmarkEnd w:id="3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99" w:lineRule="auto"/>
        <w:rPr>
          <w:sz w:val="20"/>
          <w:szCs w:val="20"/>
          <w:color w:val="auto"/>
        </w:rPr>
      </w:pPr>
      <w:r>
        <w:rPr>
          <w:rFonts w:ascii="Arial" w:cs="Arial" w:eastAsia="Arial" w:hAnsi="Arial"/>
          <w:sz w:val="16"/>
          <w:szCs w:val="16"/>
          <w:color w:val="auto"/>
        </w:rPr>
        <w:t>date of grant; (iii) the exercise price; (iv) the date of grant, the vesting schedule, as applicable, and expiration date; and (v) any other material terms, including, without limitation, any terms regarding the acceleration of vesting.</w:t>
      </w:r>
    </w:p>
    <w:p>
      <w:pPr>
        <w:spacing w:after="0" w:line="43" w:lineRule="exact"/>
        <w:rPr>
          <w:sz w:val="20"/>
          <w:szCs w:val="20"/>
          <w:color w:val="auto"/>
        </w:rPr>
      </w:pPr>
    </w:p>
    <w:p>
      <w:pPr>
        <w:jc w:val="both"/>
        <w:ind w:left="300" w:right="1239" w:firstLine="248"/>
        <w:spacing w:after="0" w:line="286" w:lineRule="auto"/>
        <w:tabs>
          <w:tab w:leader="none" w:pos="805"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59" w:lineRule="exact"/>
        <w:rPr>
          <w:rFonts w:ascii="Arial" w:cs="Arial" w:eastAsia="Arial" w:hAnsi="Arial"/>
          <w:sz w:val="15"/>
          <w:szCs w:val="15"/>
          <w:color w:val="auto"/>
        </w:rPr>
      </w:pPr>
    </w:p>
    <w:p>
      <w:pPr>
        <w:jc w:val="both"/>
        <w:ind w:left="300" w:right="1239" w:firstLine="248"/>
        <w:spacing w:after="0" w:line="297" w:lineRule="auto"/>
        <w:tabs>
          <w:tab w:leader="none" w:pos="85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48"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Authority; No Conflict; Required Filings</w:t>
      </w:r>
      <w:r>
        <w:rPr>
          <w:rFonts w:ascii="Arial" w:cs="Arial" w:eastAsia="Arial" w:hAnsi="Arial"/>
          <w:sz w:val="15"/>
          <w:szCs w:val="15"/>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5"/>
          <w:szCs w:val="15"/>
          <w:b w:val="1"/>
          <w:bCs w:val="1"/>
          <w:color w:val="auto"/>
        </w:rPr>
        <w:t>Company Stockholder Approval</w:t>
      </w:r>
      <w:r>
        <w:rPr>
          <w:rFonts w:ascii="Arial" w:cs="Arial" w:eastAsia="Arial" w:hAnsi="Arial"/>
          <w:sz w:val="15"/>
          <w:szCs w:val="15"/>
          <w:color w:val="auto"/>
        </w:rPr>
        <w:t>”).</w:t>
      </w:r>
    </w:p>
    <w:p>
      <w:pPr>
        <w:spacing w:after="0" w:line="61" w:lineRule="exact"/>
        <w:rPr>
          <w:sz w:val="20"/>
          <w:szCs w:val="20"/>
          <w:color w:val="auto"/>
        </w:rPr>
      </w:pPr>
    </w:p>
    <w:p>
      <w:pPr>
        <w:jc w:val="both"/>
        <w:ind w:left="300" w:right="1239" w:firstLine="248"/>
        <w:spacing w:after="0" w:line="249" w:lineRule="auto"/>
        <w:tabs>
          <w:tab w:leader="none" w:pos="82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7"/>
          <w:szCs w:val="17"/>
          <w:b w:val="1"/>
          <w:bCs w:val="1"/>
          <w:color w:val="auto"/>
        </w:rPr>
        <w:t>Equitable</w:t>
      </w:r>
      <w:r>
        <w:rPr>
          <w:rFonts w:ascii="Arial" w:cs="Arial" w:eastAsia="Arial" w:hAnsi="Arial"/>
          <w:sz w:val="17"/>
          <w:szCs w:val="17"/>
          <w:color w:val="auto"/>
        </w:rPr>
        <w:t xml:space="preserve"> </w:t>
      </w:r>
      <w:r>
        <w:rPr>
          <w:rFonts w:ascii="Arial" w:cs="Arial" w:eastAsia="Arial" w:hAnsi="Arial"/>
          <w:sz w:val="17"/>
          <w:szCs w:val="17"/>
          <w:b w:val="1"/>
          <w:bCs w:val="1"/>
          <w:color w:val="auto"/>
        </w:rPr>
        <w:t>Exceptions</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jc w:val="both"/>
        <w:ind w:left="300" w:right="1239" w:firstLine="248"/>
        <w:spacing w:after="0" w:line="282" w:lineRule="auto"/>
        <w:tabs>
          <w:tab w:leader="none" w:pos="82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w:t>
      </w:r>
    </w:p>
    <w:p>
      <w:pPr>
        <w:spacing w:after="0" w:line="1" w:lineRule="exact"/>
        <w:rPr>
          <w:rFonts w:ascii="Arial" w:cs="Arial" w:eastAsia="Arial" w:hAnsi="Arial"/>
          <w:sz w:val="15"/>
          <w:szCs w:val="15"/>
          <w:color w:val="auto"/>
        </w:rPr>
      </w:pPr>
    </w:p>
    <w:p>
      <w:pPr>
        <w:jc w:val="both"/>
        <w:ind w:left="300" w:right="1239" w:hanging="2"/>
        <w:spacing w:after="0" w:line="247" w:lineRule="auto"/>
        <w:tabs>
          <w:tab w:leader="none" w:pos="53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w:t>
      </w:r>
    </w:p>
    <w:p>
      <w:pPr>
        <w:spacing w:after="0" w:line="200" w:lineRule="exact"/>
        <w:rPr>
          <w:sz w:val="20"/>
          <w:szCs w:val="20"/>
          <w:color w:val="auto"/>
        </w:rPr>
      </w:pPr>
    </w:p>
    <w:p>
      <w:pPr>
        <w:spacing w:after="0" w:line="297"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2" w:name="page303"/>
    <w:bookmarkEnd w:id="3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58" w:lineRule="exact"/>
        <w:rPr>
          <w:sz w:val="20"/>
          <w:szCs w:val="20"/>
          <w:color w:val="auto"/>
        </w:rPr>
      </w:pPr>
    </w:p>
    <w:p>
      <w:pPr>
        <w:jc w:val="both"/>
        <w:ind w:left="300" w:right="1239" w:firstLine="248"/>
        <w:spacing w:after="0" w:line="266" w:lineRule="auto"/>
        <w:tabs>
          <w:tab w:leader="none" w:pos="94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6"/>
          <w:szCs w:val="16"/>
          <w:b w:val="1"/>
          <w:bCs w:val="1"/>
          <w:color w:val="auto"/>
        </w:rPr>
        <w:t>Governmental Authority</w:t>
      </w:r>
      <w:r>
        <w:rPr>
          <w:rFonts w:ascii="Arial" w:cs="Arial" w:eastAsia="Arial" w:hAnsi="Arial"/>
          <w:sz w:val="16"/>
          <w:szCs w:val="16"/>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Board Approval; Required Vote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0" w:lineRule="auto"/>
        <w:tabs>
          <w:tab w:leader="none" w:pos="82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81" w:lineRule="exact"/>
        <w:rPr>
          <w:rFonts w:ascii="Arial" w:cs="Arial" w:eastAsia="Arial" w:hAnsi="Arial"/>
          <w:sz w:val="17"/>
          <w:szCs w:val="17"/>
          <w:color w:val="auto"/>
        </w:rPr>
      </w:pPr>
    </w:p>
    <w:p>
      <w:pPr>
        <w:ind w:left="300" w:right="1239" w:firstLine="248"/>
        <w:spacing w:after="0" w:line="299" w:lineRule="auto"/>
        <w:tabs>
          <w:tab w:leader="none" w:pos="82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43"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Financial Statements and Information</w:t>
      </w:r>
      <w:r>
        <w:rPr>
          <w:rFonts w:ascii="Arial" w:cs="Arial" w:eastAsia="Arial" w:hAnsi="Arial"/>
          <w:sz w:val="16"/>
          <w:szCs w:val="16"/>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6"/>
          <w:szCs w:val="16"/>
          <w:b w:val="1"/>
          <w:bCs w:val="1"/>
          <w:color w:val="auto"/>
        </w:rPr>
        <w:t>Most Recent Balance Sheet Date</w:t>
      </w:r>
      <w:r>
        <w:rPr>
          <w:rFonts w:ascii="Arial" w:cs="Arial" w:eastAsia="Arial" w:hAnsi="Arial"/>
          <w:sz w:val="16"/>
          <w:szCs w:val="16"/>
          <w:color w:val="auto"/>
        </w:rPr>
        <w:t>”) (including the notes thereto, the “</w:t>
      </w:r>
      <w:r>
        <w:rPr>
          <w:rFonts w:ascii="Arial" w:cs="Arial" w:eastAsia="Arial" w:hAnsi="Arial"/>
          <w:sz w:val="16"/>
          <w:szCs w:val="16"/>
          <w:b w:val="1"/>
          <w:bCs w:val="1"/>
          <w:color w:val="auto"/>
        </w:rPr>
        <w:t>Most</w:t>
      </w:r>
      <w:r>
        <w:rPr>
          <w:rFonts w:ascii="Arial" w:cs="Arial" w:eastAsia="Arial" w:hAnsi="Arial"/>
          <w:sz w:val="16"/>
          <w:szCs w:val="16"/>
          <w:color w:val="auto"/>
        </w:rPr>
        <w:t xml:space="preserve"> </w:t>
      </w:r>
      <w:r>
        <w:rPr>
          <w:rFonts w:ascii="Arial" w:cs="Arial" w:eastAsia="Arial" w:hAnsi="Arial"/>
          <w:sz w:val="16"/>
          <w:szCs w:val="16"/>
          <w:b w:val="1"/>
          <w:bCs w:val="1"/>
          <w:color w:val="auto"/>
        </w:rPr>
        <w:t>Recent Balance Sheet</w:t>
      </w:r>
      <w:r>
        <w:rPr>
          <w:rFonts w:ascii="Arial" w:cs="Arial" w:eastAsia="Arial" w:hAnsi="Arial"/>
          <w:sz w:val="16"/>
          <w:szCs w:val="16"/>
          <w:color w:val="auto"/>
        </w:rPr>
        <w:t>”), and the related consolidated statements of income, changes in stockholders’ equity, and cash flow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72"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w:t>
      </w:r>
    </w:p>
    <w:p>
      <w:pPr>
        <w:spacing w:after="0" w:line="200" w:lineRule="exact"/>
        <w:rPr>
          <w:sz w:val="20"/>
          <w:szCs w:val="20"/>
          <w:color w:val="auto"/>
        </w:rPr>
      </w:pPr>
    </w:p>
    <w:p>
      <w:pPr>
        <w:spacing w:after="0" w:line="26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3" w:name="page304"/>
    <w:bookmarkEnd w:id="3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99" w:lineRule="auto"/>
        <w:rPr>
          <w:sz w:val="20"/>
          <w:szCs w:val="20"/>
          <w:color w:val="auto"/>
        </w:rPr>
      </w:pPr>
      <w:r>
        <w:rPr>
          <w:rFonts w:ascii="Arial" w:cs="Arial" w:eastAsia="Arial" w:hAnsi="Arial"/>
          <w:sz w:val="16"/>
          <w:szCs w:val="16"/>
          <w:color w:val="auto"/>
        </w:rPr>
        <w:t>and at the Effective Time will have at least $2,500,000 in cash on hand and the Company and its Subsidiaries (taken as a whole) are solvent, able to pay their indebtedness as it matures and has capital sufficient to carry on its business.</w:t>
      </w:r>
    </w:p>
    <w:p>
      <w:pPr>
        <w:spacing w:after="0" w:line="43" w:lineRule="exact"/>
        <w:rPr>
          <w:sz w:val="20"/>
          <w:szCs w:val="20"/>
          <w:color w:val="auto"/>
        </w:rPr>
      </w:pPr>
    </w:p>
    <w:p>
      <w:pPr>
        <w:jc w:val="both"/>
        <w:ind w:left="40" w:right="1239" w:firstLine="251"/>
        <w:spacing w:after="0" w:line="287" w:lineRule="auto"/>
        <w:rPr>
          <w:sz w:val="20"/>
          <w:szCs w:val="20"/>
          <w:color w:val="auto"/>
        </w:rPr>
      </w:pPr>
      <w:r>
        <w:rPr>
          <w:rFonts w:ascii="Arial" w:cs="Arial" w:eastAsia="Arial" w:hAnsi="Arial"/>
          <w:sz w:val="15"/>
          <w:szCs w:val="15"/>
          <w:color w:val="auto"/>
        </w:rPr>
        <w:t xml:space="preserve">2.8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the Most Recent Balance Sheet Date, the Company and its Subsidiaries have conducted their respective businesses only in the ordinary course of business consistent with past practice, and there has not been:</w:t>
      </w:r>
    </w:p>
    <w:p>
      <w:pPr>
        <w:spacing w:after="0" w:line="1" w:lineRule="exact"/>
        <w:rPr>
          <w:sz w:val="20"/>
          <w:szCs w:val="20"/>
          <w:color w:val="auto"/>
        </w:rPr>
      </w:pPr>
    </w:p>
    <w:p>
      <w:pPr>
        <w:jc w:val="both"/>
        <w:ind w:left="40" w:right="1239" w:firstLine="7"/>
        <w:spacing w:after="0" w:line="248" w:lineRule="auto"/>
        <w:tabs>
          <w:tab w:leader="none" w:pos="26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Agreements, Contracts and Commitments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2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 (30) 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5"/>
          <w:szCs w:val="15"/>
          <w:b w:val="1"/>
          <w:bCs w:val="1"/>
          <w:color w:val="auto"/>
        </w:rPr>
        <w:t>Company Material Contracts</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jc w:val="both"/>
        <w:ind w:left="300" w:right="1239" w:firstLine="248"/>
        <w:spacing w:after="0" w:line="280" w:lineRule="auto"/>
        <w:tabs>
          <w:tab w:leader="none" w:pos="84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57" w:lineRule="exact"/>
        <w:rPr>
          <w:rFonts w:ascii="Arial" w:cs="Arial" w:eastAsia="Arial" w:hAnsi="Arial"/>
          <w:sz w:val="16"/>
          <w:szCs w:val="16"/>
          <w:color w:val="auto"/>
        </w:rPr>
      </w:pPr>
    </w:p>
    <w:p>
      <w:pPr>
        <w:jc w:val="both"/>
        <w:ind w:left="300" w:right="1239" w:firstLine="248"/>
        <w:spacing w:after="0" w:line="256" w:lineRule="auto"/>
        <w:tabs>
          <w:tab w:leader="none" w:pos="8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27"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Company has delivered to Parent a true, complete and correct copy of each agreement listed in Section 2.9(a) of the Company Disclosure Schedule.</w:t>
      </w:r>
    </w:p>
    <w:p>
      <w:pPr>
        <w:spacing w:after="0" w:line="6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Material Permits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7"/>
          <w:szCs w:val="17"/>
          <w:b w:val="1"/>
          <w:bCs w:val="1"/>
          <w:color w:val="auto"/>
        </w:rPr>
        <w:t>Material Permits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3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of the Company and its Subsidiaries is in compliance in all material respects with the terms and conditions of the Material Permits.</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4" w:name="page305"/>
    <w:bookmarkEnd w:id="3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90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7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76"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Litigation</w:t>
      </w:r>
      <w:r>
        <w:rPr>
          <w:rFonts w:ascii="Arial" w:cs="Arial" w:eastAsia="Arial" w:hAnsi="Arial"/>
          <w:sz w:val="16"/>
          <w:szCs w:val="16"/>
          <w:color w:val="auto"/>
        </w:rPr>
        <w:t>. Except as set forth in Section 2.12 of the Company Disclosure Schedule, there is no suit, action, arbitration, claim, governmental or other proceeding (collectively, “</w:t>
      </w:r>
      <w:r>
        <w:rPr>
          <w:rFonts w:ascii="Arial" w:cs="Arial" w:eastAsia="Arial" w:hAnsi="Arial"/>
          <w:sz w:val="16"/>
          <w:szCs w:val="16"/>
          <w:b w:val="1"/>
          <w:bCs w:val="1"/>
          <w:color w:val="auto"/>
        </w:rPr>
        <w:t>Action</w:t>
      </w:r>
      <w:r>
        <w:rPr>
          <w:rFonts w:ascii="Arial" w:cs="Arial" w:eastAsia="Arial" w:hAnsi="Arial"/>
          <w:sz w:val="16"/>
          <w:szCs w:val="16"/>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6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Employees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70" w:lineRule="auto"/>
        <w:tabs>
          <w:tab w:leader="none" w:pos="83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67" w:lineRule="exact"/>
        <w:rPr>
          <w:rFonts w:ascii="Arial" w:cs="Arial" w:eastAsia="Arial" w:hAnsi="Arial"/>
          <w:sz w:val="16"/>
          <w:szCs w:val="16"/>
          <w:color w:val="auto"/>
        </w:rPr>
      </w:pPr>
    </w:p>
    <w:p>
      <w:pPr>
        <w:ind w:left="300" w:right="1239" w:firstLine="248"/>
        <w:spacing w:after="0" w:line="299" w:lineRule="auto"/>
        <w:tabs>
          <w:tab w:leader="none" w:pos="838"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42" w:lineRule="exact"/>
        <w:rPr>
          <w:rFonts w:ascii="Arial" w:cs="Arial" w:eastAsia="Arial" w:hAnsi="Arial"/>
          <w:sz w:val="16"/>
          <w:szCs w:val="16"/>
          <w:color w:val="auto"/>
        </w:rPr>
      </w:pPr>
    </w:p>
    <w:p>
      <w:pPr>
        <w:ind w:left="820" w:hanging="272"/>
        <w:spacing w:after="0"/>
        <w:tabs>
          <w:tab w:leader="none" w:pos="82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Neither the Company nor its Subsidiaries is a party to any written or oral: (i) union or collective bargaining agreement;</w:t>
      </w:r>
    </w:p>
    <w:p>
      <w:pPr>
        <w:spacing w:after="0" w:line="40" w:lineRule="exact"/>
        <w:rPr>
          <w:rFonts w:ascii="Arial" w:cs="Arial" w:eastAsia="Arial" w:hAnsi="Arial"/>
          <w:sz w:val="15"/>
          <w:szCs w:val="15"/>
          <w:color w:val="auto"/>
        </w:rPr>
      </w:pPr>
    </w:p>
    <w:p>
      <w:pPr>
        <w:jc w:val="both"/>
        <w:ind w:left="300" w:right="1239" w:hanging="2"/>
        <w:spacing w:after="0" w:line="265" w:lineRule="auto"/>
        <w:tabs>
          <w:tab w:leader="none" w:pos="5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1" w:lineRule="exact"/>
        <w:rPr>
          <w:sz w:val="20"/>
          <w:szCs w:val="20"/>
          <w:color w:val="auto"/>
        </w:rPr>
      </w:pPr>
    </w:p>
    <w:p>
      <w:pPr>
        <w:jc w:val="both"/>
        <w:ind w:left="300" w:right="1239" w:firstLine="248"/>
        <w:spacing w:after="0" w:line="270" w:lineRule="auto"/>
        <w:tabs>
          <w:tab w:leader="none" w:pos="8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For purposes of this Agreement, a “</w:t>
      </w:r>
      <w:r>
        <w:rPr>
          <w:rFonts w:ascii="Arial" w:cs="Arial" w:eastAsia="Arial" w:hAnsi="Arial"/>
          <w:sz w:val="16"/>
          <w:szCs w:val="16"/>
          <w:b w:val="1"/>
          <w:bCs w:val="1"/>
          <w:color w:val="auto"/>
        </w:rPr>
        <w:t>Tax</w:t>
      </w:r>
      <w:r>
        <w:rPr>
          <w:rFonts w:ascii="Arial" w:cs="Arial" w:eastAsia="Arial" w:hAnsi="Arial"/>
          <w:sz w:val="16"/>
          <w:szCs w:val="16"/>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65" w:lineRule="exact"/>
        <w:rPr>
          <w:rFonts w:ascii="Arial" w:cs="Arial" w:eastAsia="Arial" w:hAnsi="Arial"/>
          <w:sz w:val="16"/>
          <w:szCs w:val="16"/>
          <w:color w:val="auto"/>
        </w:rPr>
      </w:pPr>
    </w:p>
    <w:p>
      <w:pPr>
        <w:jc w:val="both"/>
        <w:ind w:left="300" w:right="1239" w:firstLine="248"/>
        <w:spacing w:after="0" w:line="253"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7"/>
          <w:szCs w:val="17"/>
          <w:b w:val="1"/>
          <w:bCs w:val="1"/>
          <w:color w:val="auto"/>
        </w:rPr>
        <w:t>Returns</w:t>
      </w:r>
      <w:r>
        <w:rPr>
          <w:rFonts w:ascii="Arial" w:cs="Arial" w:eastAsia="Arial" w:hAnsi="Arial"/>
          <w:sz w:val="17"/>
          <w:szCs w:val="17"/>
          <w:color w:val="auto"/>
        </w:rPr>
        <w:t>”) relating to any and all Taxes concerning or attributable to the Company or its Subsidiaries or to their operations, and all such Returns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5" w:name="page306"/>
    <w:bookmarkEnd w:id="3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are or will be, to the knowledge and belief of the signer, true, complete and correct in all material respects. Copies of all such returns have been previously provided to Parent or will be provided to Parent when filed.</w:t>
      </w:r>
    </w:p>
    <w:p>
      <w:pPr>
        <w:spacing w:after="0" w:line="66" w:lineRule="exact"/>
        <w:rPr>
          <w:sz w:val="20"/>
          <w:szCs w:val="20"/>
          <w:color w:val="auto"/>
        </w:rPr>
      </w:pPr>
    </w:p>
    <w:p>
      <w:pPr>
        <w:jc w:val="both"/>
        <w:ind w:left="300" w:right="1239" w:firstLine="248"/>
        <w:spacing w:after="0" w:line="256" w:lineRule="auto"/>
        <w:tabs>
          <w:tab w:leader="none" w:pos="85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76" w:lineRule="exact"/>
        <w:rPr>
          <w:rFonts w:ascii="Arial" w:cs="Arial" w:eastAsia="Arial" w:hAnsi="Arial"/>
          <w:sz w:val="17"/>
          <w:szCs w:val="17"/>
          <w:color w:val="auto"/>
        </w:rPr>
      </w:pPr>
    </w:p>
    <w:p>
      <w:pPr>
        <w:jc w:val="both"/>
        <w:ind w:left="300" w:right="1239" w:firstLine="248"/>
        <w:spacing w:after="0" w:line="280" w:lineRule="auto"/>
        <w:tabs>
          <w:tab w:leader="none" w:pos="8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57" w:lineRule="exact"/>
        <w:rPr>
          <w:rFonts w:ascii="Arial" w:cs="Arial" w:eastAsia="Arial" w:hAnsi="Arial"/>
          <w:sz w:val="16"/>
          <w:szCs w:val="16"/>
          <w:color w:val="auto"/>
        </w:rPr>
      </w:pPr>
    </w:p>
    <w:p>
      <w:pPr>
        <w:ind w:left="300" w:right="1239" w:firstLine="248"/>
        <w:spacing w:after="0" w:line="335" w:lineRule="auto"/>
        <w:tabs>
          <w:tab w:leader="none" w:pos="82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19" w:lineRule="exact"/>
        <w:rPr>
          <w:rFonts w:ascii="Arial" w:cs="Arial" w:eastAsia="Arial" w:hAnsi="Arial"/>
          <w:sz w:val="15"/>
          <w:szCs w:val="15"/>
          <w:color w:val="auto"/>
        </w:rPr>
      </w:pPr>
    </w:p>
    <w:p>
      <w:pPr>
        <w:jc w:val="both"/>
        <w:ind w:left="300" w:right="1239" w:firstLine="248"/>
        <w:spacing w:after="0" w:line="270" w:lineRule="auto"/>
        <w:tabs>
          <w:tab w:leader="none" w:pos="83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67" w:lineRule="exact"/>
        <w:rPr>
          <w:rFonts w:ascii="Arial" w:cs="Arial" w:eastAsia="Arial" w:hAnsi="Arial"/>
          <w:sz w:val="16"/>
          <w:szCs w:val="16"/>
          <w:color w:val="auto"/>
        </w:rPr>
      </w:pPr>
    </w:p>
    <w:p>
      <w:pPr>
        <w:ind w:left="300" w:right="1239" w:firstLine="248"/>
        <w:spacing w:after="0" w:line="267" w:lineRule="auto"/>
        <w:tabs>
          <w:tab w:leader="none" w:pos="83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Neither the Company nor its Subsidiaries is, or has ever been, a party to or bound by any tax indemnity agreement, tax sharing agreement, tax allocation agreement or similar contract or agreement.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Employee Benefit Plans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7" w:lineRule="auto"/>
        <w:tabs>
          <w:tab w:leader="none" w:pos="89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Company does not participate in any employee benefit plans (as defined in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6"/>
          <w:szCs w:val="16"/>
          <w:b w:val="1"/>
          <w:bCs w:val="1"/>
          <w:color w:val="auto"/>
        </w:rPr>
        <w:t>Company Employee Plans</w:t>
      </w:r>
      <w:r>
        <w:rPr>
          <w:rFonts w:ascii="Arial" w:cs="Arial" w:eastAsia="Arial" w:hAnsi="Arial"/>
          <w:sz w:val="16"/>
          <w:szCs w:val="16"/>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6"/>
          <w:szCs w:val="16"/>
          <w:b w:val="1"/>
          <w:bCs w:val="1"/>
          <w:color w:val="auto"/>
        </w:rPr>
        <w:t>ERISA Affiliate</w:t>
      </w:r>
      <w:r>
        <w:rPr>
          <w:rFonts w:ascii="Arial" w:cs="Arial" w:eastAsia="Arial" w:hAnsi="Arial"/>
          <w:sz w:val="16"/>
          <w:szCs w:val="16"/>
          <w:color w:val="auto"/>
        </w:rPr>
        <w:t>”).</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Tangible Assets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7" w:lineRule="exact"/>
        <w:rPr>
          <w:rFonts w:ascii="Arial" w:cs="Arial" w:eastAsia="Arial" w:hAnsi="Arial"/>
          <w:sz w:val="17"/>
          <w:szCs w:val="17"/>
          <w:color w:val="auto"/>
        </w:rPr>
      </w:pPr>
    </w:p>
    <w:p>
      <w:pPr>
        <w:jc w:val="both"/>
        <w:ind w:left="300" w:right="1239" w:firstLine="248"/>
        <w:spacing w:after="0" w:line="250" w:lineRule="auto"/>
        <w:tabs>
          <w:tab w:leader="none" w:pos="87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7"/>
          <w:szCs w:val="17"/>
          <w:b w:val="1"/>
          <w:bCs w:val="1"/>
          <w:color w:val="auto"/>
        </w:rPr>
        <w:t>Personal Property</w:t>
      </w:r>
      <w:r>
        <w:rPr>
          <w:rFonts w:ascii="Arial" w:cs="Arial" w:eastAsia="Arial" w:hAnsi="Arial"/>
          <w:sz w:val="17"/>
          <w:szCs w:val="17"/>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81" w:lineRule="exact"/>
        <w:rPr>
          <w:rFonts w:ascii="Arial" w:cs="Arial" w:eastAsia="Arial" w:hAnsi="Arial"/>
          <w:sz w:val="17"/>
          <w:szCs w:val="17"/>
          <w:color w:val="auto"/>
        </w:rPr>
      </w:pPr>
    </w:p>
    <w:p>
      <w:pPr>
        <w:jc w:val="both"/>
        <w:ind w:left="300" w:right="1239" w:firstLine="248"/>
        <w:spacing w:after="0" w:line="256" w:lineRule="auto"/>
        <w:tabs>
          <w:tab w:leader="none" w:pos="83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6" w:name="page307"/>
    <w:bookmarkEnd w:id="3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its Subsidiaries and the owner or lessor thereof, the obligations of the Company or its Subsidiaries to such owner or lessor will be discharged.</w:t>
      </w:r>
    </w:p>
    <w:p>
      <w:pPr>
        <w:spacing w:after="0" w:line="66" w:lineRule="exact"/>
        <w:rPr>
          <w:sz w:val="20"/>
          <w:szCs w:val="20"/>
          <w:color w:val="auto"/>
        </w:rPr>
      </w:pPr>
    </w:p>
    <w:p>
      <w:pPr>
        <w:jc w:val="both"/>
        <w:ind w:left="300" w:right="1239" w:firstLine="248"/>
        <w:spacing w:after="0" w:line="253" w:lineRule="auto"/>
        <w:tabs>
          <w:tab w:leader="none" w:pos="90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78"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68" w:lineRule="exact"/>
        <w:rPr>
          <w:sz w:val="20"/>
          <w:szCs w:val="20"/>
          <w:color w:val="auto"/>
        </w:rPr>
      </w:pPr>
    </w:p>
    <w:p>
      <w:pPr>
        <w:jc w:val="both"/>
        <w:ind w:left="540" w:right="1239" w:firstLine="259"/>
        <w:spacing w:after="0" w:line="256" w:lineRule="auto"/>
        <w:tabs>
          <w:tab w:leader="none" w:pos="105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6" w:lineRule="exact"/>
        <w:rPr>
          <w:rFonts w:ascii="Arial" w:cs="Arial" w:eastAsia="Arial" w:hAnsi="Arial"/>
          <w:sz w:val="17"/>
          <w:szCs w:val="17"/>
          <w:color w:val="auto"/>
        </w:rPr>
      </w:pPr>
    </w:p>
    <w:p>
      <w:pPr>
        <w:jc w:val="both"/>
        <w:ind w:left="540" w:right="1239" w:firstLine="259"/>
        <w:spacing w:after="0" w:line="297" w:lineRule="auto"/>
        <w:tabs>
          <w:tab w:leader="none" w:pos="111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48" w:lineRule="exact"/>
        <w:rPr>
          <w:rFonts w:ascii="Arial" w:cs="Arial" w:eastAsia="Arial" w:hAnsi="Arial"/>
          <w:sz w:val="15"/>
          <w:szCs w:val="15"/>
          <w:color w:val="auto"/>
        </w:rPr>
      </w:pPr>
    </w:p>
    <w:p>
      <w:pPr>
        <w:ind w:left="540" w:right="1239" w:firstLine="259"/>
        <w:spacing w:after="0" w:line="267" w:lineRule="auto"/>
        <w:tabs>
          <w:tab w:leader="none" w:pos="119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neither the Company nor its Subsidiaries has assigned, transferred, conveyed, mortgaged, deeded in trust or encumbered any interest in any lease, sublease or license; and</w:t>
      </w:r>
    </w:p>
    <w:p>
      <w:pPr>
        <w:spacing w:after="0" w:line="66" w:lineRule="exact"/>
        <w:rPr>
          <w:rFonts w:ascii="Arial" w:cs="Arial" w:eastAsia="Arial" w:hAnsi="Arial"/>
          <w:sz w:val="17"/>
          <w:szCs w:val="17"/>
          <w:color w:val="auto"/>
        </w:rPr>
      </w:pPr>
    </w:p>
    <w:p>
      <w:pPr>
        <w:jc w:val="both"/>
        <w:ind w:left="540" w:right="1239" w:firstLine="259"/>
        <w:spacing w:after="0" w:line="256" w:lineRule="auto"/>
        <w:tabs>
          <w:tab w:leader="none" w:pos="113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55" w:val="left"/>
        </w:tabs>
        <w:numPr>
          <w:ilvl w:val="0"/>
          <w:numId w:val="199"/>
        </w:numPr>
        <w:rPr>
          <w:rFonts w:ascii="Arial" w:cs="Arial" w:eastAsia="Arial" w:hAnsi="Arial"/>
          <w:sz w:val="15"/>
          <w:szCs w:val="15"/>
          <w:color w:val="auto"/>
        </w:rPr>
      </w:pPr>
      <w:r>
        <w:rPr>
          <w:rFonts w:ascii="Arial" w:cs="Arial" w:eastAsia="Arial" w:hAnsi="Arial"/>
          <w:sz w:val="15"/>
          <w:szCs w:val="15"/>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59" w:lineRule="exact"/>
        <w:rPr>
          <w:rFonts w:ascii="Arial" w:cs="Arial" w:eastAsia="Arial" w:hAnsi="Arial"/>
          <w:sz w:val="15"/>
          <w:szCs w:val="15"/>
          <w:color w:val="auto"/>
        </w:rPr>
      </w:pPr>
    </w:p>
    <w:p>
      <w:pPr>
        <w:jc w:val="both"/>
        <w:ind w:left="300" w:right="1239" w:firstLine="248"/>
        <w:spacing w:after="0" w:line="250" w:lineRule="auto"/>
        <w:tabs>
          <w:tab w:leader="none" w:pos="88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7" w:name="page308"/>
    <w:bookmarkEnd w:id="3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2.20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2" w:lineRule="auto"/>
        <w:tabs>
          <w:tab w:leader="none" w:pos="834" w:val="left"/>
        </w:tabs>
        <w:numPr>
          <w:ilvl w:val="0"/>
          <w:numId w:val="200"/>
        </w:numPr>
        <w:rPr>
          <w:rFonts w:ascii="Arial" w:cs="Arial" w:eastAsia="Arial" w:hAnsi="Arial"/>
          <w:sz w:val="15"/>
          <w:szCs w:val="15"/>
          <w:color w:val="auto"/>
        </w:rPr>
      </w:pPr>
      <w:r>
        <w:rPr>
          <w:rFonts w:ascii="Arial" w:cs="Arial" w:eastAsia="Arial" w:hAnsi="Arial"/>
          <w:sz w:val="15"/>
          <w:szCs w:val="15"/>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5"/>
          <w:szCs w:val="15"/>
          <w:b w:val="1"/>
          <w:bCs w:val="1"/>
          <w:color w:val="auto"/>
        </w:rPr>
        <w:t>Company Intellectual Property</w:t>
      </w:r>
      <w:r>
        <w:rPr>
          <w:rFonts w:ascii="Arial" w:cs="Arial" w:eastAsia="Arial" w:hAnsi="Arial"/>
          <w:sz w:val="15"/>
          <w:szCs w:val="15"/>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67" w:lineRule="exact"/>
        <w:rPr>
          <w:rFonts w:ascii="Arial" w:cs="Arial" w:eastAsia="Arial" w:hAnsi="Arial"/>
          <w:sz w:val="15"/>
          <w:szCs w:val="15"/>
          <w:color w:val="auto"/>
        </w:rPr>
      </w:pPr>
    </w:p>
    <w:p>
      <w:pPr>
        <w:jc w:val="both"/>
        <w:ind w:left="300" w:right="1239" w:firstLine="248"/>
        <w:spacing w:after="0" w:line="297" w:lineRule="auto"/>
        <w:tabs>
          <w:tab w:leader="none" w:pos="829" w:val="left"/>
        </w:tabs>
        <w:numPr>
          <w:ilvl w:val="0"/>
          <w:numId w:val="200"/>
        </w:numPr>
        <w:rPr>
          <w:rFonts w:ascii="Arial" w:cs="Arial" w:eastAsia="Arial" w:hAnsi="Arial"/>
          <w:sz w:val="15"/>
          <w:szCs w:val="15"/>
          <w:color w:val="auto"/>
        </w:rPr>
      </w:pPr>
      <w:r>
        <w:rPr>
          <w:rFonts w:ascii="Arial" w:cs="Arial" w:eastAsia="Arial" w:hAnsi="Arial"/>
          <w:sz w:val="15"/>
          <w:szCs w:val="15"/>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2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Additional Tax Matters</w:t>
      </w:r>
      <w:r>
        <w:rPr>
          <w:rFonts w:ascii="Arial" w:cs="Arial" w:eastAsia="Arial" w:hAnsi="Arial"/>
          <w:sz w:val="17"/>
          <w:szCs w:val="17"/>
          <w:color w:val="auto"/>
        </w:rPr>
        <w:t>.</w:t>
      </w:r>
    </w:p>
    <w:p>
      <w:pPr>
        <w:spacing w:after="0" w:line="101" w:lineRule="exact"/>
        <w:rPr>
          <w:sz w:val="20"/>
          <w:szCs w:val="20"/>
          <w:color w:val="auto"/>
        </w:rPr>
      </w:pPr>
    </w:p>
    <w:p>
      <w:pPr>
        <w:jc w:val="both"/>
        <w:ind w:left="300" w:right="1239" w:firstLine="248"/>
        <w:spacing w:after="0" w:line="275" w:lineRule="auto"/>
        <w:tabs>
          <w:tab w:leader="none" w:pos="82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of its affiliates (“</w:t>
      </w:r>
      <w:r>
        <w:rPr>
          <w:rFonts w:ascii="Arial" w:cs="Arial" w:eastAsia="Arial" w:hAnsi="Arial"/>
          <w:sz w:val="16"/>
          <w:szCs w:val="16"/>
          <w:b w:val="1"/>
          <w:bCs w:val="1"/>
          <w:color w:val="auto"/>
        </w:rPr>
        <w:t>Affiliates</w:t>
      </w:r>
      <w:r>
        <w:rPr>
          <w:rFonts w:ascii="Arial" w:cs="Arial" w:eastAsia="Arial" w:hAnsi="Arial"/>
          <w:sz w:val="16"/>
          <w:szCs w:val="16"/>
          <w:color w:val="auto"/>
        </w:rPr>
        <w:t>”), as defined by Rule 12b-2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62" w:lineRule="exact"/>
        <w:rPr>
          <w:rFonts w:ascii="Arial" w:cs="Arial" w:eastAsia="Arial" w:hAnsi="Arial"/>
          <w:sz w:val="16"/>
          <w:szCs w:val="16"/>
          <w:color w:val="auto"/>
        </w:rPr>
      </w:pPr>
    </w:p>
    <w:p>
      <w:pPr>
        <w:jc w:val="both"/>
        <w:ind w:left="300" w:right="1239" w:firstLine="248"/>
        <w:spacing w:after="0" w:line="256" w:lineRule="auto"/>
        <w:tabs>
          <w:tab w:leader="none" w:pos="84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76"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u w:val="single" w:color="auto"/>
          <w:color w:val="auto"/>
        </w:rPr>
        <w:t>Powers of Attorney</w:t>
      </w:r>
      <w:r>
        <w:rPr>
          <w:rFonts w:ascii="Arial" w:cs="Arial" w:eastAsia="Arial" w:hAnsi="Arial"/>
          <w:sz w:val="15"/>
          <w:szCs w:val="15"/>
          <w:color w:val="auto"/>
        </w:rPr>
        <w:t>. There are no outstanding powers of attorney executed on behalf of the Company or its Subsidiaries.</w:t>
      </w:r>
    </w:p>
    <w:p>
      <w:pPr>
        <w:spacing w:after="0" w:line="200" w:lineRule="exact"/>
        <w:rPr>
          <w:sz w:val="20"/>
          <w:szCs w:val="20"/>
          <w:color w:val="auto"/>
        </w:rPr>
      </w:pPr>
    </w:p>
    <w:p>
      <w:pPr>
        <w:spacing w:after="0" w:line="34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8" w:name="page309"/>
    <w:bookmarkEnd w:id="3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Interested Party Transactions</w:t>
      </w:r>
      <w:r>
        <w:rPr>
          <w:rFonts w:ascii="Arial" w:cs="Arial" w:eastAsia="Arial" w:hAnsi="Arial"/>
          <w:sz w:val="16"/>
          <w:szCs w:val="16"/>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5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 xml:space="preserve">2.25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81"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Brokers</w:t>
      </w:r>
      <w:r>
        <w:rPr>
          <w:rFonts w:ascii="Arial" w:cs="Arial" w:eastAsia="Arial" w:hAnsi="Arial"/>
          <w:sz w:val="17"/>
          <w:szCs w:val="17"/>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7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2.27 </w:t>
      </w:r>
      <w:r>
        <w:rPr>
          <w:rFonts w:ascii="Arial" w:cs="Arial" w:eastAsia="Arial" w:hAnsi="Arial"/>
          <w:sz w:val="15"/>
          <w:szCs w:val="15"/>
          <w:u w:val="single" w:color="auto"/>
          <w:color w:val="auto"/>
        </w:rPr>
        <w:t>Proxy Statement</w:t>
      </w:r>
      <w:r>
        <w:rPr>
          <w:rFonts w:ascii="Arial" w:cs="Arial" w:eastAsia="Arial" w:hAnsi="Arial"/>
          <w:sz w:val="15"/>
          <w:szCs w:val="15"/>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5"/>
          <w:szCs w:val="15"/>
          <w:b w:val="1"/>
          <w:bCs w:val="1"/>
          <w:color w:val="auto"/>
        </w:rPr>
        <w:t>Proxy Statement</w:t>
      </w:r>
      <w:r>
        <w:rPr>
          <w:rFonts w:ascii="Arial" w:cs="Arial" w:eastAsia="Arial" w:hAnsi="Arial"/>
          <w:sz w:val="15"/>
          <w:szCs w:val="15"/>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16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III</w:t>
      </w:r>
    </w:p>
    <w:p>
      <w:pPr>
        <w:spacing w:after="0" w:line="205"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REPRESENTATIONS AND WARRANTIES OF PARENT AND MERGER SUB</w:t>
      </w:r>
    </w:p>
    <w:p>
      <w:pPr>
        <w:spacing w:after="0" w:line="10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Except as set forth in the disclosure schedule provided by Parent to the Company on the date hereof and accepted in writing by the Company (the “</w:t>
      </w:r>
      <w:r>
        <w:rPr>
          <w:rFonts w:ascii="Arial" w:cs="Arial" w:eastAsia="Arial" w:hAnsi="Arial"/>
          <w:sz w:val="15"/>
          <w:szCs w:val="15"/>
          <w:b w:val="1"/>
          <w:bCs w:val="1"/>
          <w:color w:val="auto"/>
        </w:rPr>
        <w:t>Parent Disclosure Schedule</w:t>
      </w:r>
      <w:r>
        <w:rPr>
          <w:rFonts w:ascii="Arial" w:cs="Arial" w:eastAsia="Arial" w:hAnsi="Arial"/>
          <w:sz w:val="15"/>
          <w:szCs w:val="15"/>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5"/>
          <w:szCs w:val="15"/>
          <w:b w:val="1"/>
          <w:bCs w:val="1"/>
          <w:color w:val="auto"/>
        </w:rPr>
        <w:t>Parent Material Adverse Effect</w:t>
      </w:r>
      <w:r>
        <w:rPr>
          <w:rFonts w:ascii="Arial" w:cs="Arial" w:eastAsia="Arial" w:hAnsi="Arial"/>
          <w:sz w:val="15"/>
          <w:szCs w:val="15"/>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09" w:name="page310"/>
    <w:bookmarkEnd w:id="3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3" w:lineRule="auto"/>
        <w:rPr>
          <w:sz w:val="20"/>
          <w:szCs w:val="20"/>
          <w:color w:val="auto"/>
        </w:rPr>
      </w:pPr>
      <w:r>
        <w:rPr>
          <w:rFonts w:ascii="Arial" w:cs="Arial" w:eastAsia="Arial" w:hAnsi="Arial"/>
          <w:sz w:val="15"/>
          <w:szCs w:val="15"/>
          <w:color w:val="auto"/>
        </w:rPr>
        <w:t>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62"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Subsidiaries</w:t>
      </w:r>
      <w:r>
        <w:rPr>
          <w:rFonts w:ascii="Arial" w:cs="Arial" w:eastAsia="Arial" w:hAnsi="Arial"/>
          <w:sz w:val="17"/>
          <w:szCs w:val="17"/>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Capital Structure</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47"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authorized capital stock of Parent consists of (i) 28,000,000 shares of Parent Common Stock; and (ii) 5,000,000 shares of preferred stock, $0.01 par value per share.</w:t>
      </w:r>
    </w:p>
    <w:p>
      <w:pPr>
        <w:spacing w:after="0" w:line="66" w:lineRule="exact"/>
        <w:rPr>
          <w:rFonts w:ascii="Arial" w:cs="Arial" w:eastAsia="Arial" w:hAnsi="Arial"/>
          <w:sz w:val="17"/>
          <w:szCs w:val="17"/>
          <w:color w:val="auto"/>
        </w:rPr>
      </w:pPr>
    </w:p>
    <w:p>
      <w:pPr>
        <w:jc w:val="both"/>
        <w:ind w:left="300" w:right="1239" w:firstLine="248"/>
        <w:spacing w:after="0" w:line="267" w:lineRule="auto"/>
        <w:tabs>
          <w:tab w:leader="none" w:pos="88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70" w:lineRule="exact"/>
        <w:rPr>
          <w:rFonts w:ascii="Arial" w:cs="Arial" w:eastAsia="Arial" w:hAnsi="Arial"/>
          <w:sz w:val="16"/>
          <w:szCs w:val="16"/>
          <w:color w:val="auto"/>
        </w:rPr>
      </w:pPr>
    </w:p>
    <w:p>
      <w:pPr>
        <w:jc w:val="both"/>
        <w:ind w:left="300" w:right="1239" w:firstLine="248"/>
        <w:spacing w:after="0" w:line="297" w:lineRule="auto"/>
        <w:tabs>
          <w:tab w:leader="none" w:pos="817"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Authority; No Conflict; Required Filings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2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0" w:name="page311"/>
    <w:bookmarkEnd w:id="3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5"/>
          <w:szCs w:val="15"/>
          <w:b w:val="1"/>
          <w:bCs w:val="1"/>
          <w:color w:val="auto"/>
        </w:rPr>
        <w:t>Restated Parent Certificate</w:t>
      </w:r>
      <w:r>
        <w:rPr>
          <w:rFonts w:ascii="Arial" w:cs="Arial" w:eastAsia="Arial" w:hAnsi="Arial"/>
          <w:sz w:val="15"/>
          <w:szCs w:val="15"/>
          <w:color w:val="auto"/>
        </w:rPr>
        <w:t>”), increasing the number of authorized shares of Parent Common Stock to up to 150,000,000 shares and effecting a reverse split of the shares of Parent Common Stock, if the Parent 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5"/>
          <w:szCs w:val="15"/>
          <w:b w:val="1"/>
          <w:bCs w:val="1"/>
          <w:color w:val="auto"/>
        </w:rPr>
        <w:t>Parent Stockholder Approval</w:t>
      </w:r>
      <w:r>
        <w:rPr>
          <w:rFonts w:ascii="Arial" w:cs="Arial" w:eastAsia="Arial" w:hAnsi="Arial"/>
          <w:sz w:val="15"/>
          <w:szCs w:val="15"/>
          <w:color w:val="auto"/>
        </w:rPr>
        <w:t>”).</w:t>
      </w:r>
    </w:p>
    <w:p>
      <w:pPr>
        <w:spacing w:after="0" w:line="55" w:lineRule="exact"/>
        <w:rPr>
          <w:sz w:val="20"/>
          <w:szCs w:val="20"/>
          <w:color w:val="auto"/>
        </w:rPr>
      </w:pPr>
    </w:p>
    <w:p>
      <w:pPr>
        <w:jc w:val="both"/>
        <w:ind w:left="300" w:right="1239" w:firstLine="248"/>
        <w:spacing w:after="0" w:line="284" w:lineRule="auto"/>
        <w:tabs>
          <w:tab w:leader="none" w:pos="839" w:val="left"/>
        </w:tabs>
        <w:numPr>
          <w:ilvl w:val="1"/>
          <w:numId w:val="204"/>
        </w:numPr>
        <w:rPr>
          <w:rFonts w:ascii="Arial" w:cs="Arial" w:eastAsia="Arial" w:hAnsi="Arial"/>
          <w:sz w:val="15"/>
          <w:szCs w:val="15"/>
          <w:color w:val="auto"/>
        </w:rPr>
      </w:pPr>
      <w:r>
        <w:rPr>
          <w:rFonts w:ascii="Arial" w:cs="Arial" w:eastAsia="Arial" w:hAnsi="Arial"/>
          <w:sz w:val="15"/>
          <w:szCs w:val="15"/>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w:t>
      </w:r>
    </w:p>
    <w:p>
      <w:pPr>
        <w:spacing w:after="0" w:line="1" w:lineRule="exact"/>
        <w:rPr>
          <w:rFonts w:ascii="Arial" w:cs="Arial" w:eastAsia="Arial" w:hAnsi="Arial"/>
          <w:sz w:val="15"/>
          <w:szCs w:val="15"/>
          <w:color w:val="auto"/>
        </w:rPr>
      </w:pPr>
    </w:p>
    <w:p>
      <w:pPr>
        <w:jc w:val="both"/>
        <w:ind w:left="300" w:right="1239" w:hanging="2"/>
        <w:spacing w:after="0" w:line="284" w:lineRule="auto"/>
        <w:tabs>
          <w:tab w:leader="none" w:pos="601" w:val="left"/>
        </w:tabs>
        <w:numPr>
          <w:ilvl w:val="0"/>
          <w:numId w:val="205"/>
        </w:numPr>
        <w:rPr>
          <w:rFonts w:ascii="Arial" w:cs="Arial" w:eastAsia="Arial" w:hAnsi="Arial"/>
          <w:sz w:val="15"/>
          <w:szCs w:val="15"/>
          <w:color w:val="auto"/>
        </w:rPr>
      </w:pPr>
      <w:r>
        <w:rPr>
          <w:rFonts w:ascii="Arial" w:cs="Arial" w:eastAsia="Arial" w:hAnsi="Arial"/>
          <w:sz w:val="15"/>
          <w:szCs w:val="15"/>
          <w:color w:val="auto"/>
        </w:rPr>
        <w:t>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58" w:lineRule="exact"/>
        <w:rPr>
          <w:rFonts w:ascii="Arial" w:cs="Arial" w:eastAsia="Arial" w:hAnsi="Arial"/>
          <w:sz w:val="15"/>
          <w:szCs w:val="15"/>
          <w:color w:val="auto"/>
        </w:rPr>
      </w:pPr>
    </w:p>
    <w:p>
      <w:pPr>
        <w:jc w:val="both"/>
        <w:ind w:left="300" w:right="1239" w:firstLine="248"/>
        <w:spacing w:after="0" w:line="281" w:lineRule="auto"/>
        <w:tabs>
          <w:tab w:leader="none" w:pos="822" w:val="left"/>
        </w:tabs>
        <w:numPr>
          <w:ilvl w:val="1"/>
          <w:numId w:val="205"/>
        </w:numPr>
        <w:rPr>
          <w:rFonts w:ascii="Arial" w:cs="Arial" w:eastAsia="Arial" w:hAnsi="Arial"/>
          <w:sz w:val="15"/>
          <w:szCs w:val="15"/>
          <w:color w:val="auto"/>
        </w:rPr>
      </w:pPr>
      <w:r>
        <w:rPr>
          <w:rFonts w:ascii="Arial" w:cs="Arial" w:eastAsia="Arial" w:hAnsi="Arial"/>
          <w:sz w:val="15"/>
          <w:szCs w:val="15"/>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w:t>
      </w:r>
    </w:p>
    <w:p>
      <w:pPr>
        <w:spacing w:after="0" w:line="3" w:lineRule="exact"/>
        <w:rPr>
          <w:rFonts w:ascii="Arial" w:cs="Arial" w:eastAsia="Arial" w:hAnsi="Arial"/>
          <w:sz w:val="15"/>
          <w:szCs w:val="15"/>
          <w:color w:val="auto"/>
        </w:rPr>
      </w:pPr>
    </w:p>
    <w:p>
      <w:pPr>
        <w:jc w:val="both"/>
        <w:ind w:left="300" w:right="1239" w:hanging="2"/>
        <w:spacing w:after="0" w:line="264" w:lineRule="auto"/>
        <w:tabs>
          <w:tab w:leader="none" w:pos="55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70" w:lineRule="exact"/>
        <w:rPr>
          <w:rFonts w:ascii="Arial" w:cs="Arial" w:eastAsia="Arial" w:hAnsi="Arial"/>
          <w:sz w:val="16"/>
          <w:szCs w:val="16"/>
          <w:color w:val="auto"/>
        </w:rPr>
      </w:pPr>
    </w:p>
    <w:p>
      <w:pPr>
        <w:jc w:val="both"/>
        <w:ind w:left="300" w:right="1239" w:firstLine="248"/>
        <w:spacing w:after="0" w:line="248" w:lineRule="auto"/>
        <w:tabs>
          <w:tab w:leader="none" w:pos="841" w:val="left"/>
        </w:tabs>
        <w:numPr>
          <w:ilvl w:val="1"/>
          <w:numId w:val="206"/>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7"/>
          <w:szCs w:val="17"/>
          <w:b w:val="1"/>
          <w:bCs w:val="1"/>
          <w:color w:val="auto"/>
        </w:rPr>
        <w:t>Blue Sky</w:t>
      </w:r>
      <w:r>
        <w:rPr>
          <w:rFonts w:ascii="Arial" w:cs="Arial" w:eastAsia="Arial" w:hAnsi="Arial"/>
          <w:sz w:val="17"/>
          <w:szCs w:val="17"/>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 (B) impair in any</w:t>
      </w:r>
    </w:p>
    <w:p>
      <w:pPr>
        <w:spacing w:after="0" w:line="200" w:lineRule="exact"/>
        <w:rPr>
          <w:sz w:val="20"/>
          <w:szCs w:val="20"/>
          <w:color w:val="auto"/>
        </w:rPr>
      </w:pPr>
    </w:p>
    <w:p>
      <w:pPr>
        <w:spacing w:after="0" w:line="29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1" w:name="page312"/>
    <w:bookmarkEnd w:id="3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material respect the ability of the Parties to consummate the Merger and the other transactions contemplated hereby on a timely basis.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SEC Filings; Financial Statements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5" w:lineRule="auto"/>
        <w:tabs>
          <w:tab w:leader="none" w:pos="85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6"/>
          <w:szCs w:val="16"/>
          <w:b w:val="1"/>
          <w:bCs w:val="1"/>
          <w:color w:val="auto"/>
        </w:rPr>
        <w:t>Parent SEC Reports</w:t>
      </w:r>
      <w:r>
        <w:rPr>
          <w:rFonts w:ascii="Arial" w:cs="Arial" w:eastAsia="Arial" w:hAnsi="Arial"/>
          <w:sz w:val="16"/>
          <w:szCs w:val="16"/>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73" w:lineRule="exact"/>
        <w:rPr>
          <w:rFonts w:ascii="Arial" w:cs="Arial" w:eastAsia="Arial" w:hAnsi="Arial"/>
          <w:sz w:val="16"/>
          <w:szCs w:val="16"/>
          <w:color w:val="auto"/>
        </w:rPr>
      </w:pPr>
    </w:p>
    <w:p>
      <w:pPr>
        <w:jc w:val="both"/>
        <w:ind w:left="300" w:right="1239" w:firstLine="248"/>
        <w:spacing w:after="0" w:line="266" w:lineRule="auto"/>
        <w:tabs>
          <w:tab w:leader="none" w:pos="8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69"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5"/>
          <w:szCs w:val="15"/>
          <w:b w:val="1"/>
          <w:bCs w:val="1"/>
          <w:color w:val="auto"/>
        </w:rPr>
        <w:t>Parent’s Most</w:t>
      </w:r>
      <w:r>
        <w:rPr>
          <w:rFonts w:ascii="Arial" w:cs="Arial" w:eastAsia="Arial" w:hAnsi="Arial"/>
          <w:sz w:val="15"/>
          <w:szCs w:val="15"/>
          <w:color w:val="auto"/>
        </w:rPr>
        <w:t xml:space="preserve"> </w:t>
      </w:r>
      <w:r>
        <w:rPr>
          <w:rFonts w:ascii="Arial" w:cs="Arial" w:eastAsia="Arial" w:hAnsi="Arial"/>
          <w:sz w:val="15"/>
          <w:szCs w:val="15"/>
          <w:b w:val="1"/>
          <w:bCs w:val="1"/>
          <w:color w:val="auto"/>
        </w:rPr>
        <w:t>Recent Balance Sheet</w:t>
      </w:r>
      <w:r>
        <w:rPr>
          <w:rFonts w:ascii="Arial" w:cs="Arial" w:eastAsia="Arial" w:hAnsi="Arial"/>
          <w:sz w:val="15"/>
          <w:szCs w:val="15"/>
          <w:color w:val="auto"/>
        </w:rPr>
        <w:t>”) for the quarter ended September 30, 2011 (the “Parent’s</w:t>
      </w:r>
      <w:r>
        <w:rPr>
          <w:rFonts w:ascii="Arial" w:cs="Arial" w:eastAsia="Arial" w:hAnsi="Arial"/>
          <w:sz w:val="15"/>
          <w:szCs w:val="15"/>
          <w:b w:val="1"/>
          <w:bCs w:val="1"/>
          <w:color w:val="auto"/>
        </w:rPr>
        <w:t xml:space="preserve"> Most Recent Balance Sheet Date</w:t>
      </w:r>
      <w:r>
        <w:rPr>
          <w:rFonts w:ascii="Arial" w:cs="Arial" w:eastAsia="Arial" w:hAnsi="Arial"/>
          <w:sz w:val="15"/>
          <w:szCs w:val="15"/>
          <w:color w:val="auto"/>
        </w:rPr>
        <w:t>”); (ii)</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any Parent Material Contract (as defined in Section 3.8); (iii) liabilities or obligations incurred since Parent’s Most Recent Balance Sheet Date in the ordinary course of business, consistent with past practice in both type and amount; and (iv) 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61"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5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2" w:name="page313"/>
    <w:bookmarkEnd w:id="3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of its business or the ownership and operation of its properties and other assets, except for such instances of non-compliance or violation, if any, which could not reasonably be expected to result in a Parent Material Adverse Effect.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Agreements, Contracts and Commitments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2" w:lineRule="auto"/>
        <w:tabs>
          <w:tab w:leader="none" w:pos="917" w:val="left"/>
        </w:tabs>
        <w:numPr>
          <w:ilvl w:val="0"/>
          <w:numId w:val="208"/>
        </w:numPr>
        <w:rPr>
          <w:rFonts w:ascii="Arial" w:cs="Arial" w:eastAsia="Arial" w:hAnsi="Arial"/>
          <w:sz w:val="15"/>
          <w:szCs w:val="15"/>
          <w:color w:val="auto"/>
        </w:rPr>
      </w:pPr>
      <w:r>
        <w:rPr>
          <w:rFonts w:ascii="Arial" w:cs="Arial" w:eastAsia="Arial" w:hAnsi="Arial"/>
          <w:sz w:val="15"/>
          <w:szCs w:val="15"/>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5"/>
          <w:szCs w:val="15"/>
          <w:b w:val="1"/>
          <w:bCs w:val="1"/>
          <w:color w:val="auto"/>
        </w:rPr>
        <w:t>Parent Material Contracts</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jc w:val="both"/>
        <w:ind w:left="300" w:right="1239" w:firstLine="248"/>
        <w:spacing w:after="0" w:line="280" w:lineRule="auto"/>
        <w:tabs>
          <w:tab w:leader="none" w:pos="84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57" w:lineRule="exact"/>
        <w:rPr>
          <w:rFonts w:ascii="Arial" w:cs="Arial" w:eastAsia="Arial" w:hAnsi="Arial"/>
          <w:sz w:val="16"/>
          <w:szCs w:val="16"/>
          <w:color w:val="auto"/>
        </w:rPr>
      </w:pPr>
    </w:p>
    <w:p>
      <w:pPr>
        <w:jc w:val="both"/>
        <w:ind w:left="300" w:right="1239" w:firstLine="248"/>
        <w:spacing w:after="0" w:line="256" w:lineRule="auto"/>
        <w:tabs>
          <w:tab w:leader="none" w:pos="83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Material Permits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4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7"/>
          <w:szCs w:val="17"/>
          <w:b w:val="1"/>
          <w:bCs w:val="1"/>
          <w:color w:val="auto"/>
        </w:rPr>
        <w:t>Parent Permits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Each of the Parent and its Subsidiaries is in compliance in all material respects with the terms and conditions of the Parent Permits.</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32"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8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7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80"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Employees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70" w:lineRule="auto"/>
        <w:tabs>
          <w:tab w:leader="none" w:pos="82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3" w:name="page314"/>
    <w:bookmarkEnd w:id="3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firstLine="248"/>
        <w:spacing w:after="0" w:line="299" w:lineRule="auto"/>
        <w:tabs>
          <w:tab w:leader="none" w:pos="858"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42" w:lineRule="exact"/>
        <w:rPr>
          <w:rFonts w:ascii="Arial" w:cs="Arial" w:eastAsia="Arial" w:hAnsi="Arial"/>
          <w:sz w:val="16"/>
          <w:szCs w:val="16"/>
          <w:color w:val="auto"/>
        </w:rPr>
      </w:pPr>
    </w:p>
    <w:p>
      <w:pPr>
        <w:jc w:val="both"/>
        <w:ind w:left="300" w:right="1239" w:firstLine="248"/>
        <w:spacing w:after="0" w:line="288" w:lineRule="auto"/>
        <w:tabs>
          <w:tab w:leader="none" w:pos="826" w:val="left"/>
        </w:tabs>
        <w:numPr>
          <w:ilvl w:val="0"/>
          <w:numId w:val="211"/>
        </w:numPr>
        <w:rPr>
          <w:rFonts w:ascii="Arial" w:cs="Arial" w:eastAsia="Arial" w:hAnsi="Arial"/>
          <w:sz w:val="15"/>
          <w:szCs w:val="15"/>
          <w:color w:val="auto"/>
        </w:rPr>
      </w:pPr>
      <w:r>
        <w:rPr>
          <w:rFonts w:ascii="Arial" w:cs="Arial" w:eastAsia="Arial" w:hAnsi="Arial"/>
          <w:sz w:val="15"/>
          <w:szCs w:val="15"/>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7" w:lineRule="auto"/>
        <w:tabs>
          <w:tab w:leader="none" w:pos="833"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7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76" w:lineRule="exact"/>
        <w:rPr>
          <w:rFonts w:ascii="Arial" w:cs="Arial" w:eastAsia="Arial" w:hAnsi="Arial"/>
          <w:sz w:val="17"/>
          <w:szCs w:val="17"/>
          <w:color w:val="auto"/>
        </w:rPr>
      </w:pPr>
    </w:p>
    <w:p>
      <w:pPr>
        <w:jc w:val="both"/>
        <w:ind w:left="300" w:right="1239" w:firstLine="248"/>
        <w:spacing w:after="0" w:line="280" w:lineRule="auto"/>
        <w:tabs>
          <w:tab w:leader="none" w:pos="82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57" w:lineRule="exact"/>
        <w:rPr>
          <w:rFonts w:ascii="Arial" w:cs="Arial" w:eastAsia="Arial" w:hAnsi="Arial"/>
          <w:sz w:val="16"/>
          <w:szCs w:val="16"/>
          <w:color w:val="auto"/>
        </w:rPr>
      </w:pPr>
    </w:p>
    <w:p>
      <w:pPr>
        <w:ind w:left="300" w:right="1239" w:firstLine="248"/>
        <w:spacing w:after="0" w:line="335" w:lineRule="auto"/>
        <w:tabs>
          <w:tab w:leader="none" w:pos="85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19" w:lineRule="exact"/>
        <w:rPr>
          <w:rFonts w:ascii="Arial" w:cs="Arial" w:eastAsia="Arial" w:hAnsi="Arial"/>
          <w:sz w:val="15"/>
          <w:szCs w:val="15"/>
          <w:color w:val="auto"/>
        </w:rPr>
      </w:pPr>
    </w:p>
    <w:p>
      <w:pPr>
        <w:jc w:val="both"/>
        <w:ind w:left="300" w:right="1239" w:firstLine="248"/>
        <w:spacing w:after="0" w:line="251" w:lineRule="auto"/>
        <w:tabs>
          <w:tab w:leader="none" w:pos="85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33"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Neither the Parent nor its Subsidiaries is, or has ever been, a party to or bound by any tax indemnity agreement, tax sharing agreement, tax allocation agreement or similar contract or agreement.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21"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77" w:lineRule="exact"/>
        <w:rPr>
          <w:rFonts w:ascii="Arial" w:cs="Arial" w:eastAsia="Arial" w:hAnsi="Arial"/>
          <w:sz w:val="17"/>
          <w:szCs w:val="17"/>
          <w:color w:val="auto"/>
        </w:rPr>
      </w:pPr>
    </w:p>
    <w:p>
      <w:pPr>
        <w:jc w:val="both"/>
        <w:ind w:left="300" w:right="1239" w:firstLine="248"/>
        <w:spacing w:after="0" w:line="253" w:lineRule="auto"/>
        <w:tabs>
          <w:tab w:leader="none" w:pos="86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4" w:name="page315"/>
    <w:bookmarkEnd w:id="3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Brokers</w:t>
      </w:r>
      <w:r>
        <w:rPr>
          <w:rFonts w:ascii="Arial" w:cs="Arial" w:eastAsia="Arial" w:hAnsi="Arial"/>
          <w:sz w:val="16"/>
          <w:szCs w:val="16"/>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5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Interim Operations of Merger Sub</w:t>
      </w:r>
      <w:r>
        <w:rPr>
          <w:rFonts w:ascii="Arial" w:cs="Arial" w:eastAsia="Arial" w:hAnsi="Arial"/>
          <w:sz w:val="17"/>
          <w:szCs w:val="17"/>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76"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5"/>
          <w:szCs w:val="15"/>
          <w:b w:val="1"/>
          <w:bCs w:val="1"/>
          <w:color w:val="auto"/>
        </w:rPr>
        <w:t>Registration Statement</w:t>
      </w:r>
      <w:r>
        <w:rPr>
          <w:rFonts w:ascii="Arial" w:cs="Arial" w:eastAsia="Arial" w:hAnsi="Arial"/>
          <w:sz w:val="15"/>
          <w:szCs w:val="15"/>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71"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Certain Business Practices</w:t>
      </w:r>
      <w:r>
        <w:rPr>
          <w:rFonts w:ascii="Arial" w:cs="Arial" w:eastAsia="Arial" w:hAnsi="Arial"/>
          <w:sz w:val="16"/>
          <w:szCs w:val="16"/>
          <w:color w:val="auto"/>
        </w:rPr>
        <w:t>. Neither the Parent, its Subsidiaries nor, to the knowledge of the Parent, any director, officer, employee or agent of the Parent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Powers of Attorney</w:t>
      </w:r>
      <w:r>
        <w:rPr>
          <w:rFonts w:ascii="Arial" w:cs="Arial" w:eastAsia="Arial" w:hAnsi="Arial"/>
          <w:sz w:val="15"/>
          <w:szCs w:val="15"/>
          <w:color w:val="auto"/>
        </w:rPr>
        <w:t>. There are no outstanding powers of attorney executed on behalf of the Parent or its Subsidiaries.</w:t>
      </w:r>
    </w:p>
    <w:p>
      <w:pPr>
        <w:spacing w:after="0" w:line="128" w:lineRule="exact"/>
        <w:rPr>
          <w:sz w:val="20"/>
          <w:szCs w:val="20"/>
          <w:color w:val="auto"/>
        </w:rPr>
      </w:pPr>
    </w:p>
    <w:p>
      <w:pPr>
        <w:jc w:val="both"/>
        <w:ind w:left="40" w:right="1239" w:firstLine="251"/>
        <w:spacing w:after="0" w:line="318" w:lineRule="auto"/>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auto"/>
        </w:rPr>
        <w:t>Books and Records</w:t>
      </w:r>
      <w:r>
        <w:rPr>
          <w:rFonts w:ascii="Arial" w:cs="Arial" w:eastAsia="Arial" w:hAnsi="Arial"/>
          <w:sz w:val="14"/>
          <w:szCs w:val="14"/>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36"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Employee Benefit Plans</w:t>
      </w:r>
      <w:r>
        <w:rPr>
          <w:rFonts w:ascii="Arial" w:cs="Arial" w:eastAsia="Arial" w:hAnsi="Arial"/>
          <w:sz w:val="17"/>
          <w:szCs w:val="17"/>
          <w:color w:val="auto"/>
        </w:rPr>
        <w:t>. Section 3.23 of the Parent Disclosure Schedule sets forth the employee benefit plans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or any bonus, stock option, stock purchase, incentive, deferred compensation, supplemental retirement, severance and other similar employee benefit plans, and all unexpired severance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5" w:name="page316"/>
    <w:bookmarkEnd w:id="3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40" w:right="1239"/>
        <w:spacing w:after="0" w:line="254" w:lineRule="auto"/>
        <w:rPr>
          <w:sz w:val="20"/>
          <w:szCs w:val="20"/>
          <w:color w:val="auto"/>
        </w:rPr>
      </w:pPr>
      <w:r>
        <w:rPr>
          <w:rFonts w:ascii="Arial" w:cs="Arial" w:eastAsia="Arial" w:hAnsi="Arial"/>
          <w:sz w:val="17"/>
          <w:szCs w:val="17"/>
          <w:color w:val="auto"/>
        </w:rPr>
        <w:t>agreements (pursuant to which any payments are still due and payable by the Parent), written or otherwise (together, the “</w:t>
      </w:r>
      <w:r>
        <w:rPr>
          <w:rFonts w:ascii="Arial" w:cs="Arial" w:eastAsia="Arial" w:hAnsi="Arial"/>
          <w:sz w:val="17"/>
          <w:szCs w:val="17"/>
          <w:b w:val="1"/>
          <w:b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 Plans</w:t>
      </w:r>
      <w:r>
        <w:rPr>
          <w:rFonts w:ascii="Arial" w:cs="Arial" w:eastAsia="Arial" w:hAnsi="Arial"/>
          <w:sz w:val="17"/>
          <w:szCs w:val="17"/>
          <w:color w:val="auto"/>
        </w:rPr>
        <w:t>”), for the benefit of, or relating to, any current or former employee of the Parent or its Subsidiaries or any trade 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(whether or not incorporated) which is a member or which is under common control with the Parent within the meaning of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w:t>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Tangible Assets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7" w:lineRule="exact"/>
        <w:rPr>
          <w:rFonts w:ascii="Arial" w:cs="Arial" w:eastAsia="Arial" w:hAnsi="Arial"/>
          <w:sz w:val="17"/>
          <w:szCs w:val="17"/>
          <w:color w:val="auto"/>
        </w:rPr>
      </w:pPr>
    </w:p>
    <w:p>
      <w:pPr>
        <w:jc w:val="both"/>
        <w:ind w:left="300" w:right="1239" w:firstLine="248"/>
        <w:spacing w:after="0" w:line="292" w:lineRule="auto"/>
        <w:tabs>
          <w:tab w:leader="none" w:pos="841" w:val="left"/>
        </w:tabs>
        <w:numPr>
          <w:ilvl w:val="0"/>
          <w:numId w:val="214"/>
        </w:numPr>
        <w:rPr>
          <w:rFonts w:ascii="Arial" w:cs="Arial" w:eastAsia="Arial" w:hAnsi="Arial"/>
          <w:sz w:val="15"/>
          <w:szCs w:val="15"/>
          <w:color w:val="auto"/>
        </w:rPr>
      </w:pPr>
      <w:r>
        <w:rPr>
          <w:rFonts w:ascii="Arial" w:cs="Arial" w:eastAsia="Arial" w:hAnsi="Arial"/>
          <w:sz w:val="15"/>
          <w:szCs w:val="15"/>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53"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80" w:lineRule="exact"/>
        <w:rPr>
          <w:sz w:val="20"/>
          <w:szCs w:val="20"/>
          <w:color w:val="auto"/>
        </w:rPr>
      </w:pPr>
    </w:p>
    <w:p>
      <w:pPr>
        <w:jc w:val="both"/>
        <w:ind w:left="300" w:right="1239" w:firstLine="248"/>
        <w:spacing w:after="0" w:line="256" w:lineRule="auto"/>
        <w:tabs>
          <w:tab w:leader="none" w:pos="86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6" w:lineRule="exact"/>
        <w:rPr>
          <w:rFonts w:ascii="Arial" w:cs="Arial" w:eastAsia="Arial" w:hAnsi="Arial"/>
          <w:sz w:val="17"/>
          <w:szCs w:val="17"/>
          <w:color w:val="auto"/>
        </w:rPr>
      </w:pPr>
    </w:p>
    <w:p>
      <w:pPr>
        <w:jc w:val="both"/>
        <w:ind w:left="300" w:right="1239" w:firstLine="248"/>
        <w:spacing w:after="0" w:line="274" w:lineRule="auto"/>
        <w:tabs>
          <w:tab w:leader="none" w:pos="8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61" w:lineRule="exact"/>
        <w:rPr>
          <w:rFonts w:ascii="Arial" w:cs="Arial" w:eastAsia="Arial" w:hAnsi="Arial"/>
          <w:sz w:val="16"/>
          <w:szCs w:val="16"/>
          <w:color w:val="auto"/>
        </w:rPr>
      </w:pPr>
    </w:p>
    <w:p>
      <w:pPr>
        <w:ind w:left="300" w:right="1239" w:firstLine="248"/>
        <w:spacing w:after="0" w:line="267" w:lineRule="auto"/>
        <w:tabs>
          <w:tab w:leader="none" w:pos="84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neither the Parent nor its Subsidiaries has assigned, transferred, conveyed, mortgaged, deeded in trust or encumbered any interest in any lease, sublease or license;</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7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8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16" w:name="page317"/>
    <w:bookmarkEnd w:id="3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178"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IV</w:t>
      </w:r>
    </w:p>
    <w:p>
      <w:pPr>
        <w:spacing w:after="0" w:line="205" w:lineRule="exact"/>
        <w:rPr>
          <w:sz w:val="20"/>
          <w:szCs w:val="20"/>
          <w:color w:val="auto"/>
        </w:rPr>
      </w:pPr>
    </w:p>
    <w:p>
      <w:pPr>
        <w:ind w:left="300" w:right="3679" w:firstLine="2152"/>
        <w:spacing w:after="0" w:line="371" w:lineRule="auto"/>
        <w:rPr>
          <w:sz w:val="20"/>
          <w:szCs w:val="20"/>
          <w:color w:val="auto"/>
        </w:rPr>
      </w:pPr>
      <w:r>
        <w:rPr>
          <w:rFonts w:ascii="Arial" w:cs="Arial" w:eastAsia="Arial" w:hAnsi="Arial"/>
          <w:sz w:val="17"/>
          <w:szCs w:val="17"/>
          <w:b w:val="1"/>
          <w:bCs w:val="1"/>
          <w:color w:val="auto"/>
        </w:rPr>
        <w:t xml:space="preserve">CONDUCT OF BUSINESS PENDING THE MERGER </w:t>
      </w:r>
      <w:r>
        <w:rPr>
          <w:rFonts w:ascii="Arial" w:cs="Arial" w:eastAsia="Arial" w:hAnsi="Arial"/>
          <w:sz w:val="17"/>
          <w:szCs w:val="17"/>
          <w:color w:val="auto"/>
        </w:rPr>
        <w:t xml:space="preserve">4.1 </w:t>
      </w:r>
      <w:r>
        <w:rPr>
          <w:rFonts w:ascii="Arial" w:cs="Arial" w:eastAsia="Arial" w:hAnsi="Arial"/>
          <w:sz w:val="17"/>
          <w:szCs w:val="17"/>
          <w:u w:val="single" w:color="auto"/>
          <w:color w:val="auto"/>
        </w:rPr>
        <w:t>Conduct of Business Pending the Merger</w:t>
      </w:r>
      <w:r>
        <w:rPr>
          <w:rFonts w:ascii="Arial" w:cs="Arial" w:eastAsia="Arial" w:hAnsi="Arial"/>
          <w:sz w:val="17"/>
          <w:szCs w:val="17"/>
          <w:color w:val="auto"/>
        </w:rPr>
        <w:t>.</w:t>
      </w:r>
    </w:p>
    <w:p>
      <w:pPr>
        <w:spacing w:after="0" w:line="1" w:lineRule="exact"/>
        <w:rPr>
          <w:sz w:val="20"/>
          <w:szCs w:val="20"/>
          <w:color w:val="auto"/>
        </w:rPr>
      </w:pPr>
    </w:p>
    <w:p>
      <w:pPr>
        <w:jc w:val="both"/>
        <w:ind w:left="300" w:right="1239" w:firstLine="248"/>
        <w:spacing w:after="0" w:line="283" w:lineRule="auto"/>
        <w:tabs>
          <w:tab w:leader="none" w:pos="82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5"/>
          <w:szCs w:val="15"/>
          <w:b w:val="1"/>
          <w:bCs w:val="1"/>
          <w:color w:val="auto"/>
        </w:rPr>
        <w:t>Interim Period</w:t>
      </w:r>
      <w:r>
        <w:rPr>
          <w:rFonts w:ascii="Arial" w:cs="Arial" w:eastAsia="Arial" w:hAnsi="Arial"/>
          <w:sz w:val="15"/>
          <w:szCs w:val="15"/>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62" w:lineRule="exact"/>
        <w:rPr>
          <w:rFonts w:ascii="Arial" w:cs="Arial" w:eastAsia="Arial" w:hAnsi="Arial"/>
          <w:sz w:val="15"/>
          <w:szCs w:val="15"/>
          <w:color w:val="auto"/>
        </w:rPr>
      </w:pPr>
    </w:p>
    <w:p>
      <w:pPr>
        <w:ind w:left="540" w:right="1239" w:firstLine="259"/>
        <w:spacing w:after="0" w:line="267" w:lineRule="auto"/>
        <w:tabs>
          <w:tab w:leader="none" w:pos="105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amend its Certificate of Incorporation, Bylaws or other equivalent organizational documents, or otherwise alter its corporate structure through merger, liquidation, reorganization or otherwise;</w:t>
      </w:r>
    </w:p>
    <w:p>
      <w:pPr>
        <w:spacing w:after="0" w:line="66" w:lineRule="exact"/>
        <w:rPr>
          <w:rFonts w:ascii="Arial" w:cs="Arial" w:eastAsia="Arial" w:hAnsi="Arial"/>
          <w:sz w:val="17"/>
          <w:szCs w:val="17"/>
          <w:color w:val="auto"/>
        </w:rPr>
      </w:pPr>
    </w:p>
    <w:p>
      <w:pPr>
        <w:jc w:val="both"/>
        <w:ind w:left="540" w:right="1239" w:firstLine="259"/>
        <w:spacing w:after="0" w:line="307" w:lineRule="auto"/>
        <w:tabs>
          <w:tab w:leader="none" w:pos="1107" w:val="left"/>
        </w:tabs>
        <w:numPr>
          <w:ilvl w:val="1"/>
          <w:numId w:val="218"/>
        </w:numPr>
        <w:rPr>
          <w:rFonts w:ascii="Arial" w:cs="Arial" w:eastAsia="Arial" w:hAnsi="Arial"/>
          <w:sz w:val="15"/>
          <w:szCs w:val="15"/>
          <w:color w:val="auto"/>
        </w:rPr>
      </w:pPr>
      <w:r>
        <w:rPr>
          <w:rFonts w:ascii="Arial" w:cs="Arial" w:eastAsia="Arial" w:hAnsi="Arial"/>
          <w:sz w:val="15"/>
          <w:szCs w:val="15"/>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39" w:lineRule="exact"/>
        <w:rPr>
          <w:rFonts w:ascii="Arial" w:cs="Arial" w:eastAsia="Arial" w:hAnsi="Arial"/>
          <w:sz w:val="15"/>
          <w:szCs w:val="15"/>
          <w:color w:val="auto"/>
        </w:rPr>
      </w:pPr>
    </w:p>
    <w:p>
      <w:pPr>
        <w:ind w:left="540" w:right="1239" w:firstLine="259"/>
        <w:spacing w:after="0" w:line="267" w:lineRule="auto"/>
        <w:tabs>
          <w:tab w:leader="none" w:pos="1159" w:val="left"/>
        </w:tabs>
        <w:numPr>
          <w:ilvl w:val="1"/>
          <w:numId w:val="218"/>
        </w:numPr>
        <w:rPr>
          <w:rFonts w:ascii="Arial" w:cs="Arial" w:eastAsia="Arial" w:hAnsi="Arial"/>
          <w:sz w:val="17"/>
          <w:szCs w:val="17"/>
          <w:color w:val="auto"/>
        </w:rPr>
      </w:pPr>
      <w:r>
        <w:rPr>
          <w:rFonts w:ascii="Arial" w:cs="Arial" w:eastAsia="Arial" w:hAnsi="Arial"/>
          <w:sz w:val="17"/>
          <w:szCs w:val="17"/>
          <w:color w:val="auto"/>
        </w:rPr>
        <w:t>redeem, repurchase or otherwise acquire, directly or indirectly, any shares of their capital stock or interest in or securities of its Subsidiaries;</w:t>
      </w:r>
    </w:p>
    <w:p>
      <w:pPr>
        <w:spacing w:after="0" w:line="66" w:lineRule="exact"/>
        <w:rPr>
          <w:rFonts w:ascii="Arial" w:cs="Arial" w:eastAsia="Arial" w:hAnsi="Arial"/>
          <w:sz w:val="17"/>
          <w:szCs w:val="17"/>
          <w:color w:val="auto"/>
        </w:rPr>
      </w:pPr>
    </w:p>
    <w:p>
      <w:pPr>
        <w:ind w:left="540" w:right="1239" w:firstLine="259"/>
        <w:spacing w:after="0" w:line="335" w:lineRule="auto"/>
        <w:tabs>
          <w:tab w:leader="none" w:pos="1171" w:val="left"/>
        </w:tabs>
        <w:numPr>
          <w:ilvl w:val="1"/>
          <w:numId w:val="218"/>
        </w:numPr>
        <w:rPr>
          <w:rFonts w:ascii="Arial" w:cs="Arial" w:eastAsia="Arial" w:hAnsi="Arial"/>
          <w:sz w:val="15"/>
          <w:szCs w:val="15"/>
          <w:color w:val="auto"/>
        </w:rPr>
      </w:pPr>
      <w:r>
        <w:rPr>
          <w:rFonts w:ascii="Arial" w:cs="Arial" w:eastAsia="Arial" w:hAnsi="Arial"/>
          <w:sz w:val="15"/>
          <w:szCs w:val="15"/>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19" w:lineRule="exact"/>
        <w:rPr>
          <w:rFonts w:ascii="Arial" w:cs="Arial" w:eastAsia="Arial" w:hAnsi="Arial"/>
          <w:sz w:val="15"/>
          <w:szCs w:val="15"/>
          <w:color w:val="auto"/>
        </w:rPr>
      </w:pPr>
    </w:p>
    <w:p>
      <w:pPr>
        <w:ind w:left="540" w:right="1239" w:firstLine="259"/>
        <w:spacing w:after="0" w:line="267" w:lineRule="auto"/>
        <w:tabs>
          <w:tab w:leader="none" w:pos="1111" w:val="left"/>
        </w:tabs>
        <w:numPr>
          <w:ilvl w:val="1"/>
          <w:numId w:val="218"/>
        </w:numPr>
        <w:rPr>
          <w:rFonts w:ascii="Arial" w:cs="Arial" w:eastAsia="Arial" w:hAnsi="Arial"/>
          <w:sz w:val="17"/>
          <w:szCs w:val="17"/>
          <w:color w:val="auto"/>
        </w:rPr>
      </w:pPr>
      <w:r>
        <w:rPr>
          <w:rFonts w:ascii="Arial" w:cs="Arial" w:eastAsia="Arial" w:hAnsi="Arial"/>
          <w:sz w:val="17"/>
          <w:szCs w:val="17"/>
          <w:color w:val="auto"/>
        </w:rPr>
        <w:t>declare, set aside or pay any dividend or other distribution in respect of any of its capital stock or other equity interests;</w:t>
      </w:r>
    </w:p>
    <w:p>
      <w:pPr>
        <w:spacing w:after="0" w:line="66" w:lineRule="exact"/>
        <w:rPr>
          <w:rFonts w:ascii="Arial" w:cs="Arial" w:eastAsia="Arial" w:hAnsi="Arial"/>
          <w:sz w:val="17"/>
          <w:szCs w:val="17"/>
          <w:color w:val="auto"/>
        </w:rPr>
      </w:pPr>
    </w:p>
    <w:p>
      <w:pPr>
        <w:ind w:left="540" w:right="1239" w:firstLine="259"/>
        <w:spacing w:after="0" w:line="299" w:lineRule="auto"/>
        <w:tabs>
          <w:tab w:leader="none" w:pos="113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42" w:lineRule="exact"/>
        <w:rPr>
          <w:rFonts w:ascii="Arial" w:cs="Arial" w:eastAsia="Arial" w:hAnsi="Arial"/>
          <w:sz w:val="16"/>
          <w:szCs w:val="16"/>
          <w:color w:val="auto"/>
        </w:rPr>
      </w:pPr>
    </w:p>
    <w:p>
      <w:pPr>
        <w:ind w:left="1180" w:hanging="381"/>
        <w:spacing w:after="0"/>
        <w:tabs>
          <w:tab w:leader="none" w:pos="118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acquire (by merger, consolidation, acquisition of stock or assets or otherwise) any Person;</w:t>
      </w:r>
    </w:p>
    <w:p>
      <w:pPr>
        <w:spacing w:after="0" w:line="105" w:lineRule="exact"/>
        <w:rPr>
          <w:rFonts w:ascii="Arial" w:cs="Arial" w:eastAsia="Arial" w:hAnsi="Arial"/>
          <w:sz w:val="17"/>
          <w:szCs w:val="17"/>
          <w:color w:val="auto"/>
        </w:rPr>
      </w:pPr>
    </w:p>
    <w:p>
      <w:pPr>
        <w:ind w:left="540" w:right="1239" w:firstLine="259"/>
        <w:spacing w:after="0" w:line="335" w:lineRule="auto"/>
        <w:tabs>
          <w:tab w:leader="none" w:pos="1266" w:val="left"/>
        </w:tabs>
        <w:numPr>
          <w:ilvl w:val="1"/>
          <w:numId w:val="218"/>
        </w:numPr>
        <w:rPr>
          <w:rFonts w:ascii="Arial" w:cs="Arial" w:eastAsia="Arial" w:hAnsi="Arial"/>
          <w:sz w:val="15"/>
          <w:szCs w:val="15"/>
          <w:color w:val="auto"/>
        </w:rPr>
      </w:pPr>
      <w:r>
        <w:rPr>
          <w:rFonts w:ascii="Arial" w:cs="Arial" w:eastAsia="Arial" w:hAnsi="Arial"/>
          <w:sz w:val="15"/>
          <w:szCs w:val="15"/>
          <w:color w:val="auto"/>
        </w:rPr>
        <w:t>incur indebtedness for borrowed money or issue debt securities or assume, guarantee or endorse or become responsible for the obligations of any Person, or make any loans, advances or enter into any financial commitments;</w:t>
      </w:r>
    </w:p>
    <w:p>
      <w:pPr>
        <w:spacing w:after="0" w:line="200" w:lineRule="exact"/>
        <w:rPr>
          <w:sz w:val="20"/>
          <w:szCs w:val="20"/>
          <w:color w:val="auto"/>
        </w:rPr>
      </w:pPr>
    </w:p>
    <w:p>
      <w:pPr>
        <w:spacing w:after="0" w:line="23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7" w:name="page318"/>
    <w:bookmarkEnd w:id="3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1120" w:hanging="321"/>
        <w:spacing w:after="0"/>
        <w:tabs>
          <w:tab w:leader="none" w:pos="112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authorize any capital expenditure in excess of $50,000 individually or $125,000 in the aggregate;</w:t>
      </w:r>
    </w:p>
    <w:p>
      <w:pPr>
        <w:spacing w:after="0" w:line="105" w:lineRule="exact"/>
        <w:rPr>
          <w:rFonts w:ascii="Arial" w:cs="Arial" w:eastAsia="Arial" w:hAnsi="Arial"/>
          <w:sz w:val="17"/>
          <w:szCs w:val="17"/>
          <w:color w:val="auto"/>
        </w:rPr>
      </w:pPr>
    </w:p>
    <w:p>
      <w:pPr>
        <w:jc w:val="both"/>
        <w:ind w:left="540" w:right="1239" w:firstLine="259"/>
        <w:spacing w:after="0" w:line="286" w:lineRule="auto"/>
        <w:tabs>
          <w:tab w:leader="none" w:pos="1075"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59" w:lineRule="exact"/>
        <w:rPr>
          <w:rFonts w:ascii="Arial" w:cs="Arial" w:eastAsia="Arial" w:hAnsi="Arial"/>
          <w:sz w:val="15"/>
          <w:szCs w:val="15"/>
          <w:color w:val="auto"/>
        </w:rPr>
      </w:pPr>
    </w:p>
    <w:p>
      <w:pPr>
        <w:ind w:left="1120" w:hanging="321"/>
        <w:spacing w:after="0"/>
        <w:tabs>
          <w:tab w:leader="none" w:pos="112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change any accounting policies or procedures unless required by statutory accounting principles or GAAP;</w:t>
      </w:r>
    </w:p>
    <w:p>
      <w:pPr>
        <w:spacing w:after="0" w:line="116" w:lineRule="exact"/>
        <w:rPr>
          <w:rFonts w:ascii="Arial" w:cs="Arial" w:eastAsia="Arial" w:hAnsi="Arial"/>
          <w:sz w:val="16"/>
          <w:szCs w:val="16"/>
          <w:color w:val="auto"/>
        </w:rPr>
      </w:pPr>
    </w:p>
    <w:p>
      <w:pPr>
        <w:ind w:left="540" w:right="1239" w:firstLine="259"/>
        <w:spacing w:after="0" w:line="267" w:lineRule="auto"/>
        <w:tabs>
          <w:tab w:leader="none" w:pos="1213" w:val="left"/>
        </w:tabs>
        <w:numPr>
          <w:ilvl w:val="1"/>
          <w:numId w:val="219"/>
        </w:numPr>
        <w:rPr>
          <w:rFonts w:ascii="Arial" w:cs="Arial" w:eastAsia="Arial" w:hAnsi="Arial"/>
          <w:sz w:val="17"/>
          <w:szCs w:val="17"/>
          <w:color w:val="auto"/>
        </w:rPr>
      </w:pPr>
      <w:r>
        <w:rPr>
          <w:rFonts w:ascii="Arial" w:cs="Arial" w:eastAsia="Arial" w:hAnsi="Arial"/>
          <w:sz w:val="17"/>
          <w:szCs w:val="17"/>
          <w:color w:val="auto"/>
        </w:rPr>
        <w:t>make any payments to any Affiliate, except normal recurring payments pursuant to any existing employment agreement as of the date of this Agreement;</w:t>
      </w:r>
    </w:p>
    <w:p>
      <w:pPr>
        <w:spacing w:after="0" w:line="66" w:lineRule="exact"/>
        <w:rPr>
          <w:rFonts w:ascii="Arial" w:cs="Arial" w:eastAsia="Arial" w:hAnsi="Arial"/>
          <w:sz w:val="17"/>
          <w:szCs w:val="17"/>
          <w:color w:val="auto"/>
        </w:rPr>
      </w:pPr>
    </w:p>
    <w:p>
      <w:pPr>
        <w:jc w:val="both"/>
        <w:ind w:left="540" w:right="1239" w:firstLine="259"/>
        <w:spacing w:after="0" w:line="256" w:lineRule="auto"/>
        <w:tabs>
          <w:tab w:leader="none" w:pos="121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76" w:lineRule="exact"/>
        <w:rPr>
          <w:rFonts w:ascii="Arial" w:cs="Arial" w:eastAsia="Arial" w:hAnsi="Arial"/>
          <w:sz w:val="17"/>
          <w:szCs w:val="17"/>
          <w:color w:val="auto"/>
        </w:rPr>
      </w:pPr>
    </w:p>
    <w:p>
      <w:pPr>
        <w:jc w:val="both"/>
        <w:ind w:left="540" w:right="1239" w:firstLine="259"/>
        <w:spacing w:after="0" w:line="280" w:lineRule="auto"/>
        <w:tabs>
          <w:tab w:leader="none" w:pos="1204"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take any action or fail to take any action permitted by this Agreement if such action or failure to take action could reasonably be expected to result in either (A) any of their representations and warranties of set forth in this Agreement becoming untrue or (B) any of the conditions to the Closing set forth in Article VI not being satisfied; or</w:t>
      </w:r>
    </w:p>
    <w:p>
      <w:pPr>
        <w:spacing w:after="0" w:line="57" w:lineRule="exact"/>
        <w:rPr>
          <w:rFonts w:ascii="Arial" w:cs="Arial" w:eastAsia="Arial" w:hAnsi="Arial"/>
          <w:sz w:val="16"/>
          <w:szCs w:val="16"/>
          <w:color w:val="auto"/>
        </w:rPr>
      </w:pPr>
    </w:p>
    <w:p>
      <w:pPr>
        <w:ind w:left="540" w:right="1239" w:firstLine="259"/>
        <w:spacing w:after="0" w:line="267" w:lineRule="auto"/>
        <w:tabs>
          <w:tab w:leader="none" w:pos="115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authorize, recommend, propose, announce or enter into any agreement, contract, commitment or arrangement to do any of the foregoing.</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6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No Solicitation of Other Proposals by Company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3" w:lineRule="auto"/>
        <w:tabs>
          <w:tab w:leader="none" w:pos="821" w:val="left"/>
        </w:tabs>
        <w:numPr>
          <w:ilvl w:val="0"/>
          <w:numId w:val="221"/>
        </w:numPr>
        <w:rPr>
          <w:rFonts w:ascii="Arial" w:cs="Arial" w:eastAsia="Arial" w:hAnsi="Arial"/>
          <w:sz w:val="15"/>
          <w:szCs w:val="15"/>
          <w:color w:val="auto"/>
        </w:rPr>
      </w:pPr>
      <w:r>
        <w:rPr>
          <w:rFonts w:ascii="Arial" w:cs="Arial" w:eastAsia="Arial" w:hAnsi="Arial"/>
          <w:sz w:val="15"/>
          <w:szCs w:val="15"/>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5"/>
          <w:szCs w:val="15"/>
          <w:b w:val="1"/>
          <w:bCs w:val="1"/>
          <w:color w:val="auto"/>
        </w:rPr>
        <w:t>Representatives</w:t>
      </w:r>
      <w:r>
        <w:rPr>
          <w:rFonts w:ascii="Arial" w:cs="Arial" w:eastAsia="Arial" w:hAnsi="Arial"/>
          <w:sz w:val="15"/>
          <w:szCs w:val="15"/>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8" w:name="page319"/>
    <w:bookmarkEnd w:id="3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2" w:lineRule="auto"/>
        <w:rPr>
          <w:sz w:val="20"/>
          <w:szCs w:val="20"/>
          <w:color w:val="auto"/>
        </w:rPr>
      </w:pPr>
      <w:r>
        <w:rPr>
          <w:rFonts w:ascii="Arial" w:cs="Arial" w:eastAsia="Arial" w:hAnsi="Arial"/>
          <w:sz w:val="15"/>
          <w:szCs w:val="15"/>
          <w:color w:val="auto"/>
        </w:rPr>
        <w:t>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5"/>
          <w:szCs w:val="15"/>
          <w:b w:val="1"/>
          <w:bCs w:val="1"/>
          <w:color w:val="auto"/>
        </w:rPr>
        <w:t>NDA</w:t>
      </w:r>
      <w:r>
        <w:rPr>
          <w:rFonts w:ascii="Arial" w:cs="Arial" w:eastAsia="Arial" w:hAnsi="Arial"/>
          <w:sz w:val="15"/>
          <w:szCs w:val="15"/>
          <w:color w:val="auto"/>
        </w:rPr>
        <w:t>”), by and between the Company and the Parent, dated as of February 3, 2012 (an “</w:t>
      </w:r>
      <w:r>
        <w:rPr>
          <w:rFonts w:ascii="Arial" w:cs="Arial" w:eastAsia="Arial" w:hAnsi="Arial"/>
          <w:sz w:val="15"/>
          <w:szCs w:val="15"/>
          <w:b w:val="1"/>
          <w:bCs w:val="1"/>
          <w:color w:val="auto"/>
        </w:rPr>
        <w:t>Acceptable NDA</w:t>
      </w:r>
      <w:r>
        <w:rPr>
          <w:rFonts w:ascii="Arial" w:cs="Arial" w:eastAsia="Arial" w:hAnsi="Arial"/>
          <w:sz w:val="15"/>
          <w:szCs w:val="15"/>
          <w:color w:val="auto"/>
        </w:rPr>
        <w:t>”)); or (vi) grant any approval pursuant to any “moratorium,” “control share acquisition,” “business combination,” “fair price” or other form of anti-takeover law (collectively, “</w:t>
      </w:r>
      <w:r>
        <w:rPr>
          <w:rFonts w:ascii="Arial" w:cs="Arial" w:eastAsia="Arial" w:hAnsi="Arial"/>
          <w:sz w:val="15"/>
          <w:szCs w:val="15"/>
          <w:b w:val="1"/>
          <w:bCs w:val="1"/>
          <w:color w:val="auto"/>
        </w:rPr>
        <w:t>Takeover Laws</w:t>
      </w:r>
      <w:r>
        <w:rPr>
          <w:rFonts w:ascii="Arial" w:cs="Arial" w:eastAsia="Arial" w:hAnsi="Arial"/>
          <w:sz w:val="15"/>
          <w:szCs w:val="15"/>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266" w:lineRule="exact"/>
        <w:rPr>
          <w:sz w:val="20"/>
          <w:szCs w:val="20"/>
          <w:color w:val="auto"/>
        </w:rPr>
      </w:pPr>
    </w:p>
    <w:p>
      <w:pPr>
        <w:jc w:val="both"/>
        <w:ind w:left="300" w:right="1239" w:firstLine="248"/>
        <w:spacing w:after="0" w:line="265" w:lineRule="auto"/>
        <w:tabs>
          <w:tab w:leader="none" w:pos="832"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73" w:lineRule="exact"/>
        <w:rPr>
          <w:rFonts w:ascii="Arial" w:cs="Arial" w:eastAsia="Arial" w:hAnsi="Arial"/>
          <w:sz w:val="16"/>
          <w:szCs w:val="16"/>
          <w:color w:val="auto"/>
        </w:rPr>
      </w:pPr>
    </w:p>
    <w:p>
      <w:pPr>
        <w:ind w:left="820" w:hanging="272"/>
        <w:spacing w:after="0"/>
        <w:tabs>
          <w:tab w:leader="none" w:pos="82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Subject to the provisions of this Section 4.2, neither the Company’s Board of Directors nor any committee thereof shall</w:t>
      </w:r>
    </w:p>
    <w:p>
      <w:pPr>
        <w:spacing w:after="0" w:line="40" w:lineRule="exact"/>
        <w:rPr>
          <w:rFonts w:ascii="Arial" w:cs="Arial" w:eastAsia="Arial" w:hAnsi="Arial"/>
          <w:sz w:val="15"/>
          <w:szCs w:val="15"/>
          <w:color w:val="auto"/>
        </w:rPr>
      </w:pPr>
    </w:p>
    <w:p>
      <w:pPr>
        <w:jc w:val="both"/>
        <w:ind w:left="300" w:right="1239" w:hanging="2"/>
        <w:spacing w:after="0" w:line="265" w:lineRule="auto"/>
        <w:tabs>
          <w:tab w:leader="none" w:pos="50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71" w:lineRule="exact"/>
        <w:rPr>
          <w:rFonts w:ascii="Arial" w:cs="Arial" w:eastAsia="Arial" w:hAnsi="Arial"/>
          <w:sz w:val="16"/>
          <w:szCs w:val="16"/>
          <w:color w:val="auto"/>
        </w:rPr>
      </w:pPr>
    </w:p>
    <w:p>
      <w:pPr>
        <w:jc w:val="both"/>
        <w:ind w:left="300" w:right="1239" w:firstLine="248"/>
        <w:spacing w:after="0" w:line="249" w:lineRule="auto"/>
        <w:tabs>
          <w:tab w:leader="none" w:pos="834" w:val="left"/>
        </w:tabs>
        <w:numPr>
          <w:ilvl w:val="1"/>
          <w:numId w:val="223"/>
        </w:numPr>
        <w:rPr>
          <w:rFonts w:ascii="Arial" w:cs="Arial" w:eastAsia="Arial" w:hAnsi="Arial"/>
          <w:sz w:val="17"/>
          <w:szCs w:val="17"/>
          <w:color w:val="auto"/>
        </w:rPr>
      </w:pPr>
      <w:r>
        <w:rPr>
          <w:rFonts w:ascii="Arial" w:cs="Arial" w:eastAsia="Arial" w:hAnsi="Arial"/>
          <w:sz w:val="17"/>
          <w:szCs w:val="17"/>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19" w:name="page320"/>
    <w:bookmarkEnd w:id="3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01" w:lineRule="exact"/>
        <w:rPr>
          <w:rFonts w:ascii="Arial" w:cs="Arial" w:eastAsia="Arial" w:hAnsi="Arial"/>
          <w:sz w:val="17"/>
          <w:szCs w:val="17"/>
          <w:color w:val="auto"/>
        </w:rPr>
      </w:pPr>
    </w:p>
    <w:p>
      <w:pPr>
        <w:jc w:val="both"/>
        <w:ind w:left="540" w:right="1239" w:firstLine="259"/>
        <w:spacing w:after="0" w:line="265" w:lineRule="auto"/>
        <w:tabs>
          <w:tab w:leader="none" w:pos="106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68" w:lineRule="exact"/>
        <w:rPr>
          <w:rFonts w:ascii="Arial" w:cs="Arial" w:eastAsia="Arial" w:hAnsi="Arial"/>
          <w:sz w:val="16"/>
          <w:szCs w:val="16"/>
          <w:color w:val="auto"/>
        </w:rPr>
      </w:pPr>
    </w:p>
    <w:p>
      <w:pPr>
        <w:jc w:val="both"/>
        <w:ind w:left="540" w:right="1239" w:firstLine="259"/>
        <w:spacing w:after="0" w:line="266" w:lineRule="auto"/>
        <w:tabs>
          <w:tab w:leader="none" w:pos="1116"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Superior Proposal</w:t>
      </w:r>
      <w:r>
        <w:rPr>
          <w:rFonts w:ascii="Arial" w:cs="Arial" w:eastAsia="Arial" w:hAnsi="Arial"/>
          <w:sz w:val="16"/>
          <w:szCs w:val="16"/>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 Solicitation of other Proposals by Parent</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1" w:lineRule="auto"/>
        <w:tabs>
          <w:tab w:leader="none" w:pos="838" w:val="left"/>
        </w:tabs>
        <w:numPr>
          <w:ilvl w:val="0"/>
          <w:numId w:val="225"/>
        </w:numPr>
        <w:rPr>
          <w:rFonts w:ascii="Arial" w:cs="Arial" w:eastAsia="Arial" w:hAnsi="Arial"/>
          <w:sz w:val="15"/>
          <w:szCs w:val="15"/>
          <w:color w:val="auto"/>
        </w:rPr>
      </w:pPr>
      <w:r>
        <w:rPr>
          <w:rFonts w:ascii="Arial" w:cs="Arial" w:eastAsia="Arial" w:hAnsi="Arial"/>
          <w:sz w:val="15"/>
          <w:szCs w:val="15"/>
          <w:color w:val="auto"/>
        </w:rPr>
        <w:t>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w:t>
      </w:r>
    </w:p>
    <w:p>
      <w:pPr>
        <w:spacing w:after="0" w:line="200" w:lineRule="exact"/>
        <w:rPr>
          <w:sz w:val="20"/>
          <w:szCs w:val="20"/>
          <w:color w:val="auto"/>
        </w:rPr>
      </w:pP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0" w:name="page321"/>
    <w:bookmarkEnd w:id="3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 xml:space="preserve">Person in response to an unsolicited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81" w:lineRule="exact"/>
        <w:rPr>
          <w:sz w:val="20"/>
          <w:szCs w:val="20"/>
          <w:color w:val="auto"/>
        </w:rPr>
      </w:pPr>
    </w:p>
    <w:p>
      <w:pPr>
        <w:jc w:val="both"/>
        <w:ind w:left="300" w:right="1239" w:firstLine="248"/>
        <w:spacing w:after="0" w:line="265" w:lineRule="auto"/>
        <w:tabs>
          <w:tab w:leader="none" w:pos="832" w:val="left"/>
        </w:tabs>
        <w:numPr>
          <w:ilvl w:val="1"/>
          <w:numId w:val="226"/>
        </w:numPr>
        <w:rPr>
          <w:rFonts w:ascii="Arial" w:cs="Arial" w:eastAsia="Arial" w:hAnsi="Arial"/>
          <w:sz w:val="16"/>
          <w:szCs w:val="16"/>
          <w:color w:val="auto"/>
        </w:rPr>
      </w:pPr>
      <w:r>
        <w:rPr>
          <w:rFonts w:ascii="Arial" w:cs="Arial" w:eastAsia="Arial" w:hAnsi="Arial"/>
          <w:sz w:val="16"/>
          <w:szCs w:val="16"/>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73" w:lineRule="exact"/>
        <w:rPr>
          <w:rFonts w:ascii="Arial" w:cs="Arial" w:eastAsia="Arial" w:hAnsi="Arial"/>
          <w:sz w:val="16"/>
          <w:szCs w:val="16"/>
          <w:color w:val="auto"/>
        </w:rPr>
      </w:pPr>
    </w:p>
    <w:p>
      <w:pPr>
        <w:ind w:left="820" w:hanging="272"/>
        <w:spacing w:after="0"/>
        <w:tabs>
          <w:tab w:leader="none" w:pos="82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Subject to the provisions of this Section 4.3, neither the Parent’s Board of Directors nor any committee thereof shall (i)</w:t>
      </w:r>
    </w:p>
    <w:p>
      <w:pPr>
        <w:spacing w:after="0" w:line="40" w:lineRule="exact"/>
        <w:rPr>
          <w:rFonts w:ascii="Arial" w:cs="Arial" w:eastAsia="Arial" w:hAnsi="Arial"/>
          <w:sz w:val="15"/>
          <w:szCs w:val="15"/>
          <w:color w:val="auto"/>
        </w:rPr>
      </w:pPr>
    </w:p>
    <w:p>
      <w:pPr>
        <w:jc w:val="both"/>
        <w:ind w:left="300" w:right="1239" w:hanging="2"/>
        <w:spacing w:after="0" w:line="280" w:lineRule="auto"/>
        <w:tabs>
          <w:tab w:leader="none" w:pos="60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withhold, withdraw, amend, qualify or modify in a manner adverse to the Company, or publicly propose to withhold, withdraw, amend, qualify or modify in a manner adverse to the Company, the Parent Board Recommendation, or (B) 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5"/>
          <w:szCs w:val="15"/>
          <w:b w:val="1"/>
          <w:bCs w:val="1"/>
          <w:color w:val="auto"/>
        </w:rPr>
        <w:t>Parent Board Recommendation Change</w:t>
      </w:r>
      <w:r>
        <w:rPr>
          <w:rFonts w:ascii="Arial" w:cs="Arial" w:eastAsia="Arial" w:hAnsi="Arial"/>
          <w:sz w:val="15"/>
          <w:szCs w:val="15"/>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69" w:lineRule="exact"/>
        <w:rPr>
          <w:rFonts w:ascii="Arial" w:cs="Arial" w:eastAsia="Arial" w:hAnsi="Arial"/>
          <w:sz w:val="15"/>
          <w:szCs w:val="15"/>
          <w:color w:val="auto"/>
        </w:rPr>
      </w:pPr>
    </w:p>
    <w:p>
      <w:pPr>
        <w:jc w:val="both"/>
        <w:ind w:left="300" w:right="1239" w:firstLine="248"/>
        <w:spacing w:after="0" w:line="256" w:lineRule="auto"/>
        <w:tabs>
          <w:tab w:leader="none" w:pos="861" w:val="left"/>
        </w:tabs>
        <w:numPr>
          <w:ilvl w:val="1"/>
          <w:numId w:val="227"/>
        </w:numPr>
        <w:rPr>
          <w:rFonts w:ascii="Arial" w:cs="Arial" w:eastAsia="Arial" w:hAnsi="Arial"/>
          <w:sz w:val="17"/>
          <w:szCs w:val="17"/>
          <w:color w:val="auto"/>
        </w:rPr>
      </w:pPr>
      <w:r>
        <w:rPr>
          <w:rFonts w:ascii="Arial" w:cs="Arial" w:eastAsia="Arial" w:hAnsi="Arial"/>
          <w:sz w:val="17"/>
          <w:szCs w:val="17"/>
          <w:color w:val="auto"/>
        </w:rPr>
        <w:t>Nothing in this Agreement shall prohibit Parent’s Board of Directors (or any committee thereof) from (i) taking and disclosing to Parent’s stockholders a position contemplated by Rule 14e-2(a) under the Exchange Act or complying with the provisions of Rule 14d-9 promulgated under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1" w:name="page322"/>
    <w:bookmarkEnd w:id="3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 xml:space="preserve">Exchange Act with respect to any tender offer or exchange offer not made in violation of this </w:t>
      </w:r>
      <w:r>
        <w:rPr>
          <w:rFonts w:ascii="Arial" w:cs="Arial" w:eastAsia="Arial" w:hAnsi="Arial"/>
          <w:sz w:val="17"/>
          <w:szCs w:val="17"/>
          <w:u w:val="single" w:color="auto"/>
          <w:color w:val="auto"/>
        </w:rPr>
        <w:t>Section 4.3</w:t>
      </w:r>
      <w:r>
        <w:rPr>
          <w:rFonts w:ascii="Arial" w:cs="Arial" w:eastAsia="Arial" w:hAnsi="Arial"/>
          <w:sz w:val="17"/>
          <w:szCs w:val="17"/>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78" w:lineRule="exact"/>
        <w:rPr>
          <w:sz w:val="20"/>
          <w:szCs w:val="20"/>
          <w:color w:val="auto"/>
        </w:rPr>
      </w:pPr>
    </w:p>
    <w:p>
      <w:pPr>
        <w:ind w:left="820" w:hanging="272"/>
        <w:spacing w:after="0"/>
        <w:tabs>
          <w:tab w:leader="none" w:pos="82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01" w:lineRule="exact"/>
        <w:rPr>
          <w:rFonts w:ascii="Arial" w:cs="Arial" w:eastAsia="Arial" w:hAnsi="Arial"/>
          <w:sz w:val="17"/>
          <w:szCs w:val="17"/>
          <w:color w:val="auto"/>
        </w:rPr>
      </w:pPr>
    </w:p>
    <w:p>
      <w:pPr>
        <w:jc w:val="both"/>
        <w:ind w:left="540" w:right="1239" w:firstLine="259"/>
        <w:spacing w:after="0" w:line="283" w:lineRule="auto"/>
        <w:tabs>
          <w:tab w:leader="none" w:pos="1094"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56" w:lineRule="exact"/>
        <w:rPr>
          <w:rFonts w:ascii="Arial" w:cs="Arial" w:eastAsia="Arial" w:hAnsi="Arial"/>
          <w:sz w:val="15"/>
          <w:szCs w:val="15"/>
          <w:color w:val="auto"/>
        </w:rPr>
      </w:pPr>
    </w:p>
    <w:p>
      <w:pPr>
        <w:jc w:val="both"/>
        <w:ind w:left="540" w:right="1239" w:firstLine="259"/>
        <w:spacing w:after="0" w:line="249" w:lineRule="auto"/>
        <w:tabs>
          <w:tab w:leader="none" w:pos="1091" w:val="left"/>
        </w:tabs>
        <w:numPr>
          <w:ilvl w:val="1"/>
          <w:numId w:val="2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Superior Proposal</w:t>
      </w:r>
      <w:r>
        <w:rPr>
          <w:rFonts w:ascii="Arial" w:cs="Arial" w:eastAsia="Arial" w:hAnsi="Arial"/>
          <w:sz w:val="17"/>
          <w:szCs w:val="17"/>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1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w:t>
      </w:r>
    </w:p>
    <w:p>
      <w:pPr>
        <w:spacing w:after="0" w:line="205"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ADDITIONAL AGREEMENTS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29" w:val="left"/>
        </w:tabs>
        <w:numPr>
          <w:ilvl w:val="0"/>
          <w:numId w:val="229"/>
        </w:numPr>
        <w:rPr>
          <w:rFonts w:ascii="Arial" w:cs="Arial" w:eastAsia="Arial" w:hAnsi="Arial"/>
          <w:sz w:val="15"/>
          <w:szCs w:val="15"/>
          <w:color w:val="auto"/>
        </w:rPr>
      </w:pPr>
      <w:r>
        <w:rPr>
          <w:rFonts w:ascii="Arial" w:cs="Arial" w:eastAsia="Arial" w:hAnsi="Arial"/>
          <w:sz w:val="15"/>
          <w:szCs w:val="15"/>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2" w:name="page323"/>
    <w:bookmarkEnd w:id="3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65" w:lineRule="auto"/>
        <w:rPr>
          <w:sz w:val="20"/>
          <w:szCs w:val="20"/>
          <w:color w:val="auto"/>
        </w:rPr>
      </w:pPr>
      <w:r>
        <w:rPr>
          <w:rFonts w:ascii="Arial" w:cs="Arial" w:eastAsia="Arial" w:hAnsi="Arial"/>
          <w:sz w:val="16"/>
          <w:szCs w:val="16"/>
          <w:color w:val="auto"/>
        </w:rPr>
        <w:t>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71" w:lineRule="exact"/>
        <w:rPr>
          <w:sz w:val="20"/>
          <w:szCs w:val="20"/>
          <w:color w:val="auto"/>
        </w:rPr>
      </w:pPr>
    </w:p>
    <w:p>
      <w:pPr>
        <w:jc w:val="both"/>
        <w:ind w:left="300" w:right="1239" w:firstLine="248"/>
        <w:spacing w:after="0" w:line="282" w:lineRule="auto"/>
        <w:tabs>
          <w:tab w:leader="none" w:pos="834"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5"/>
          <w:szCs w:val="15"/>
          <w:b w:val="1"/>
          <w:bCs w:val="1"/>
          <w:color w:val="auto"/>
        </w:rPr>
        <w:t>Other Filings</w:t>
      </w:r>
      <w:r>
        <w:rPr>
          <w:rFonts w:ascii="Arial" w:cs="Arial" w:eastAsia="Arial" w:hAnsi="Arial"/>
          <w:sz w:val="15"/>
          <w:szCs w:val="15"/>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5"/>
          <w:szCs w:val="15"/>
          <w:b w:val="1"/>
          <w:bCs w:val="1"/>
          <w:color w:val="auto"/>
        </w:rPr>
        <w:t>Merger Form 8-K</w:t>
      </w:r>
      <w:r>
        <w:rPr>
          <w:rFonts w:ascii="Arial" w:cs="Arial" w:eastAsia="Arial" w:hAnsi="Arial"/>
          <w:sz w:val="15"/>
          <w:szCs w:val="15"/>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5"/>
          <w:szCs w:val="15"/>
          <w:b w:val="1"/>
          <w:bCs w:val="1"/>
          <w:color w:val="auto"/>
        </w:rPr>
        <w:t>Press Release</w:t>
      </w:r>
      <w:r>
        <w:rPr>
          <w:rFonts w:ascii="Arial" w:cs="Arial" w:eastAsia="Arial" w:hAnsi="Arial"/>
          <w:sz w:val="15"/>
          <w:szCs w:val="15"/>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5"/>
          <w:szCs w:val="15"/>
          <w:b w:val="1"/>
          <w:bCs w:val="1"/>
          <w:color w:val="auto"/>
        </w:rPr>
        <w:t>Agreement Press Release</w:t>
      </w:r>
      <w:r>
        <w:rPr>
          <w:rFonts w:ascii="Arial" w:cs="Arial" w:eastAsia="Arial" w:hAnsi="Arial"/>
          <w:sz w:val="15"/>
          <w:szCs w:val="15"/>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60" w:lineRule="exact"/>
        <w:rPr>
          <w:rFonts w:ascii="Arial" w:cs="Arial" w:eastAsia="Arial" w:hAnsi="Arial"/>
          <w:sz w:val="15"/>
          <w:szCs w:val="15"/>
          <w:color w:val="auto"/>
        </w:rPr>
      </w:pPr>
    </w:p>
    <w:p>
      <w:pPr>
        <w:jc w:val="both"/>
        <w:ind w:left="300" w:right="1239" w:firstLine="248"/>
        <w:spacing w:after="0" w:line="267" w:lineRule="auto"/>
        <w:tabs>
          <w:tab w:leader="none" w:pos="84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70" w:lineRule="exact"/>
        <w:rPr>
          <w:rFonts w:ascii="Arial" w:cs="Arial" w:eastAsia="Arial" w:hAnsi="Arial"/>
          <w:sz w:val="16"/>
          <w:szCs w:val="16"/>
          <w:color w:val="auto"/>
        </w:rPr>
      </w:pPr>
    </w:p>
    <w:p>
      <w:pPr>
        <w:jc w:val="both"/>
        <w:ind w:left="300" w:right="1239" w:firstLine="248"/>
        <w:spacing w:after="0" w:line="266" w:lineRule="auto"/>
        <w:tabs>
          <w:tab w:leader="none" w:pos="87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6"/>
          <w:szCs w:val="16"/>
          <w:b w:val="1"/>
          <w:bCs w:val="1"/>
          <w:color w:val="auto"/>
        </w:rPr>
        <w:t>Parent Special Meeting</w:t>
      </w:r>
      <w:r>
        <w:rPr>
          <w:rFonts w:ascii="Arial" w:cs="Arial" w:eastAsia="Arial" w:hAnsi="Arial"/>
          <w:sz w:val="16"/>
          <w:szCs w:val="16"/>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3" w:name="page324"/>
    <w:bookmarkEnd w:id="3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4" w:lineRule="auto"/>
        <w:rPr>
          <w:sz w:val="20"/>
          <w:szCs w:val="20"/>
          <w:color w:val="auto"/>
        </w:rPr>
      </w:pPr>
      <w:r>
        <w:rPr>
          <w:rFonts w:ascii="Arial" w:cs="Arial" w:eastAsia="Arial" w:hAnsi="Arial"/>
          <w:sz w:val="15"/>
          <w:szCs w:val="15"/>
          <w:color w:val="auto"/>
        </w:rPr>
        <w:t>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5"/>
          <w:szCs w:val="15"/>
          <w:b w:val="1"/>
          <w:bCs w:val="1"/>
          <w:color w:val="auto"/>
        </w:rPr>
        <w:t>Parent Board</w:t>
      </w:r>
      <w:r>
        <w:rPr>
          <w:rFonts w:ascii="Arial" w:cs="Arial" w:eastAsia="Arial" w:hAnsi="Arial"/>
          <w:sz w:val="15"/>
          <w:szCs w:val="15"/>
          <w:color w:val="auto"/>
        </w:rPr>
        <w:t xml:space="preserve"> </w:t>
      </w:r>
      <w:r>
        <w:rPr>
          <w:rFonts w:ascii="Arial" w:cs="Arial" w:eastAsia="Arial" w:hAnsi="Arial"/>
          <w:sz w:val="15"/>
          <w:szCs w:val="15"/>
          <w:b w:val="1"/>
          <w:bCs w:val="1"/>
          <w:color w:val="auto"/>
        </w:rPr>
        <w:t>Recommendation</w:t>
      </w:r>
      <w:r>
        <w:rPr>
          <w:rFonts w:ascii="Arial" w:cs="Arial" w:eastAsia="Arial" w:hAnsi="Arial"/>
          <w:sz w:val="15"/>
          <w:szCs w:val="15"/>
          <w:color w:val="auto"/>
        </w:rPr>
        <w:t>”); and (ii) the Proxy Statement shall include the Parent Board Recommendation.</w:t>
      </w:r>
    </w:p>
    <w:p>
      <w:pPr>
        <w:spacing w:after="0" w:line="60" w:lineRule="exact"/>
        <w:rPr>
          <w:sz w:val="20"/>
          <w:szCs w:val="20"/>
          <w:color w:val="auto"/>
        </w:rPr>
      </w:pPr>
    </w:p>
    <w:p>
      <w:pPr>
        <w:jc w:val="both"/>
        <w:ind w:left="300" w:right="1239" w:firstLine="248"/>
        <w:spacing w:after="0" w:line="264" w:lineRule="auto"/>
        <w:tabs>
          <w:tab w:leader="none" w:pos="83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6"/>
          <w:szCs w:val="16"/>
          <w:b w:val="1"/>
          <w:bCs w:val="1"/>
          <w:color w:val="auto"/>
        </w:rPr>
        <w:t>Company Special Meeting</w:t>
      </w:r>
      <w:r>
        <w:rPr>
          <w:rFonts w:ascii="Arial" w:cs="Arial" w:eastAsia="Arial" w:hAnsi="Arial"/>
          <w:sz w:val="16"/>
          <w:szCs w:val="16"/>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6"/>
          <w:szCs w:val="16"/>
          <w:b w:val="1"/>
          <w:bCs w:val="1"/>
          <w:color w:val="auto"/>
        </w:rPr>
        <w:t>Company Board Recommendation</w:t>
      </w:r>
      <w:r>
        <w:rPr>
          <w:rFonts w:ascii="Arial" w:cs="Arial" w:eastAsia="Arial" w:hAnsi="Arial"/>
          <w:sz w:val="16"/>
          <w:szCs w:val="16"/>
          <w:color w:val="auto"/>
        </w:rPr>
        <w:t>”); and (ii) any written communication to the Company’s stockholders regarding the Company Special Meeting shall include the Company Board Recommendation.</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Access to Information; Confidentiality</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5" w:lineRule="auto"/>
        <w:tabs>
          <w:tab w:leader="none" w:pos="836" w:val="left"/>
        </w:tabs>
        <w:numPr>
          <w:ilvl w:val="1"/>
          <w:numId w:val="232"/>
        </w:numPr>
        <w:rPr>
          <w:rFonts w:ascii="Arial" w:cs="Arial" w:eastAsia="Arial" w:hAnsi="Arial"/>
          <w:sz w:val="16"/>
          <w:szCs w:val="16"/>
          <w:color w:val="auto"/>
        </w:rPr>
      </w:pPr>
      <w:r>
        <w:rPr>
          <w:rFonts w:ascii="Arial" w:cs="Arial" w:eastAsia="Arial" w:hAnsi="Arial"/>
          <w:sz w:val="16"/>
          <w:szCs w:val="16"/>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70" w:lineRule="exact"/>
        <w:rPr>
          <w:rFonts w:ascii="Arial" w:cs="Arial" w:eastAsia="Arial" w:hAnsi="Arial"/>
          <w:sz w:val="16"/>
          <w:szCs w:val="16"/>
          <w:color w:val="auto"/>
        </w:rPr>
      </w:pPr>
    </w:p>
    <w:p>
      <w:pPr>
        <w:jc w:val="both"/>
        <w:ind w:left="300" w:right="1239" w:firstLine="248"/>
        <w:spacing w:after="0" w:line="283" w:lineRule="auto"/>
        <w:tabs>
          <w:tab w:leader="none" w:pos="928" w:val="left"/>
        </w:tabs>
        <w:numPr>
          <w:ilvl w:val="1"/>
          <w:numId w:val="232"/>
        </w:numPr>
        <w:rPr>
          <w:rFonts w:ascii="Arial" w:cs="Arial" w:eastAsia="Arial" w:hAnsi="Arial"/>
          <w:sz w:val="15"/>
          <w:szCs w:val="15"/>
          <w:color w:val="auto"/>
        </w:rPr>
      </w:pPr>
      <w:r>
        <w:rPr>
          <w:rFonts w:ascii="Arial" w:cs="Arial" w:eastAsia="Arial" w:hAnsi="Arial"/>
          <w:sz w:val="15"/>
          <w:szCs w:val="15"/>
          <w:color w:val="auto"/>
        </w:rPr>
        <w:t>Each party agrees to maintain in confidence any non-public information received from the other party (such information,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w:t>
      </w:r>
    </w:p>
    <w:p>
      <w:pPr>
        <w:ind w:left="600" w:hanging="302"/>
        <w:spacing w:after="0"/>
        <w:tabs>
          <w:tab w:leader="none" w:pos="6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information</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4" w:name="page325"/>
    <w:bookmarkEnd w:id="3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87" w:lineRule="auto"/>
        <w:rPr>
          <w:sz w:val="20"/>
          <w:szCs w:val="20"/>
          <w:color w:val="auto"/>
        </w:rPr>
      </w:pPr>
      <w:r>
        <w:rPr>
          <w:rFonts w:ascii="Arial" w:cs="Arial" w:eastAsia="Arial" w:hAnsi="Arial"/>
          <w:sz w:val="15"/>
          <w:szCs w:val="15"/>
          <w:color w:val="auto"/>
        </w:rPr>
        <w:t>acquired by a party or their respective agents from a third party who was not bound to an obligation of confidentiality; and (iv) disclosure required by applicable law. In the event this Agreement is terminated as provided in Article VII hereof, each party</w:t>
      </w:r>
    </w:p>
    <w:p>
      <w:pPr>
        <w:spacing w:after="0" w:line="1" w:lineRule="exact"/>
        <w:rPr>
          <w:sz w:val="20"/>
          <w:szCs w:val="20"/>
          <w:color w:val="auto"/>
        </w:rPr>
      </w:pPr>
    </w:p>
    <w:p>
      <w:pPr>
        <w:jc w:val="both"/>
        <w:ind w:left="300" w:right="1239" w:hanging="2"/>
        <w:spacing w:after="0" w:line="272" w:lineRule="auto"/>
        <w:tabs>
          <w:tab w:leader="none" w:pos="54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Reasonable Efforts; Further Assurances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7" w:lineRule="auto"/>
        <w:tabs>
          <w:tab w:leader="none" w:pos="84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48" w:lineRule="exact"/>
        <w:rPr>
          <w:rFonts w:ascii="Arial" w:cs="Arial" w:eastAsia="Arial" w:hAnsi="Arial"/>
          <w:sz w:val="15"/>
          <w:szCs w:val="15"/>
          <w:color w:val="auto"/>
        </w:rPr>
      </w:pPr>
    </w:p>
    <w:p>
      <w:pPr>
        <w:jc w:val="both"/>
        <w:ind w:left="300" w:right="1239" w:firstLine="248"/>
        <w:spacing w:after="0" w:line="264" w:lineRule="auto"/>
        <w:tabs>
          <w:tab w:leader="none" w:pos="83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Employee Benefits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1" w:lineRule="auto"/>
        <w:tabs>
          <w:tab w:leader="none" w:pos="84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Parent agrees that individuals who are employed on a full-time basis by the Company or its Subsidiaries immediately prior to the Effective Time (each such employee, a “</w:t>
      </w:r>
      <w:r>
        <w:rPr>
          <w:rFonts w:ascii="Arial" w:cs="Arial" w:eastAsia="Arial" w:hAnsi="Arial"/>
          <w:sz w:val="17"/>
          <w:szCs w:val="17"/>
          <w:b w:val="1"/>
          <w:bCs w:val="1"/>
          <w:color w:val="auto"/>
        </w:rPr>
        <w:t>Company Employee</w:t>
      </w:r>
      <w:r>
        <w:rPr>
          <w:rFonts w:ascii="Arial" w:cs="Arial" w:eastAsia="Arial" w:hAnsi="Arial"/>
          <w:sz w:val="17"/>
          <w:szCs w:val="17"/>
          <w:color w:val="auto"/>
        </w:rPr>
        <w:t xml:space="preserve">”) shall remain employees of the Surviving Corporation or any of its Subsidiaries upon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5.4(a) shall not be construed to limit the ability of the Surviving Corporation, Parent or any of its Subsidiaries to terminate the employment of any Company Employee at any time.</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2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After the Effective Time the Company Employees shall be eligible to participate in the employee benefit plans of Parent to the same extent as any similarly situated and geographically located employee of Parent.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Reorganization</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6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76" w:lineRule="exact"/>
        <w:rPr>
          <w:rFonts w:ascii="Arial" w:cs="Arial" w:eastAsia="Arial" w:hAnsi="Arial"/>
          <w:sz w:val="17"/>
          <w:szCs w:val="17"/>
          <w:color w:val="auto"/>
        </w:rPr>
      </w:pPr>
    </w:p>
    <w:p>
      <w:pPr>
        <w:jc w:val="both"/>
        <w:ind w:left="300" w:right="1239" w:firstLine="248"/>
        <w:spacing w:after="0" w:line="256" w:lineRule="auto"/>
        <w:tabs>
          <w:tab w:leader="none" w:pos="85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5" w:name="page326"/>
    <w:bookmarkEnd w:id="3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8" w:lineRule="auto"/>
        <w:tabs>
          <w:tab w:leader="none" w:pos="839" w:val="left"/>
        </w:tabs>
        <w:numPr>
          <w:ilvl w:val="0"/>
          <w:numId w:val="238"/>
        </w:numPr>
        <w:rPr>
          <w:rFonts w:ascii="Arial" w:cs="Arial" w:eastAsia="Arial" w:hAnsi="Arial"/>
          <w:sz w:val="15"/>
          <w:szCs w:val="15"/>
          <w:color w:val="auto"/>
        </w:rPr>
      </w:pPr>
      <w:r>
        <w:rPr>
          <w:rFonts w:ascii="Arial" w:cs="Arial" w:eastAsia="Arial" w:hAnsi="Arial"/>
          <w:sz w:val="15"/>
          <w:szCs w:val="15"/>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delivery of any notice pursuant to this Section 5.6(a) shall not limit or otherwise affect the remedies available hereunder to the Party receiving such notice.</w:t>
      </w:r>
    </w:p>
    <w:p>
      <w:pPr>
        <w:spacing w:after="0" w:line="54" w:lineRule="exact"/>
        <w:rPr>
          <w:rFonts w:ascii="Arial" w:cs="Arial" w:eastAsia="Arial" w:hAnsi="Arial"/>
          <w:sz w:val="15"/>
          <w:szCs w:val="15"/>
          <w:color w:val="auto"/>
        </w:rPr>
      </w:pPr>
    </w:p>
    <w:p>
      <w:pPr>
        <w:jc w:val="both"/>
        <w:ind w:left="300" w:right="1239" w:firstLine="248"/>
        <w:spacing w:after="0" w:line="248" w:lineRule="auto"/>
        <w:tabs>
          <w:tab w:leader="none" w:pos="84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8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Quotation on the NYSE Amex</w:t>
      </w:r>
      <w:r>
        <w:rPr>
          <w:rFonts w:ascii="Arial" w:cs="Arial" w:eastAsia="Arial" w:hAnsi="Arial"/>
          <w:sz w:val="17"/>
          <w:szCs w:val="17"/>
          <w:color w:val="auto"/>
        </w:rPr>
        <w:t>. Parent shall use its reasonable best efforts to cause the shares of Parent Common Stock to be issued in the Merger to be approved for quotation on the NYSE Amex.</w:t>
      </w:r>
    </w:p>
    <w:p>
      <w:pPr>
        <w:spacing w:after="0" w:line="6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Indemnification of Parent Directors and Officers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4" w:lineRule="auto"/>
        <w:tabs>
          <w:tab w:leader="none" w:pos="87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5"/>
          <w:szCs w:val="15"/>
          <w:b w:val="1"/>
          <w:bCs w:val="1"/>
          <w:color w:val="auto"/>
        </w:rPr>
        <w:t>Parent Indemnified Person</w:t>
      </w:r>
      <w:r>
        <w:rPr>
          <w:rFonts w:ascii="Arial" w:cs="Arial" w:eastAsia="Arial" w:hAnsi="Arial"/>
          <w:sz w:val="15"/>
          <w:szCs w:val="15"/>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56" w:lineRule="exact"/>
        <w:rPr>
          <w:rFonts w:ascii="Arial" w:cs="Arial" w:eastAsia="Arial" w:hAnsi="Arial"/>
          <w:sz w:val="15"/>
          <w:szCs w:val="15"/>
          <w:color w:val="auto"/>
        </w:rPr>
      </w:pPr>
    </w:p>
    <w:p>
      <w:pPr>
        <w:ind w:left="820" w:hanging="272"/>
        <w:spacing w:after="0"/>
        <w:tabs>
          <w:tab w:leader="none" w:pos="82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[RESERVED]</w:t>
      </w:r>
    </w:p>
    <w:p>
      <w:pPr>
        <w:spacing w:after="0" w:line="105" w:lineRule="exact"/>
        <w:rPr>
          <w:rFonts w:ascii="Arial" w:cs="Arial" w:eastAsia="Arial" w:hAnsi="Arial"/>
          <w:sz w:val="17"/>
          <w:szCs w:val="17"/>
          <w:color w:val="auto"/>
        </w:rPr>
      </w:pPr>
    </w:p>
    <w:p>
      <w:pPr>
        <w:jc w:val="both"/>
        <w:ind w:left="300" w:right="1239" w:firstLine="248"/>
        <w:spacing w:after="0" w:line="253" w:lineRule="auto"/>
        <w:tabs>
          <w:tab w:leader="none" w:pos="82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6" w:name="page327"/>
    <w:bookmarkEnd w:id="3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4" w:lineRule="auto"/>
        <w:rPr>
          <w:sz w:val="20"/>
          <w:szCs w:val="20"/>
          <w:color w:val="auto"/>
        </w:rPr>
      </w:pPr>
      <w:r>
        <w:rPr>
          <w:rFonts w:ascii="Arial" w:cs="Arial" w:eastAsia="Arial" w:hAnsi="Arial"/>
          <w:sz w:val="15"/>
          <w:szCs w:val="15"/>
          <w:color w:val="auto"/>
        </w:rPr>
        <w:t>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Indemnification of Company Directors and Officers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4" w:lineRule="auto"/>
        <w:tabs>
          <w:tab w:leader="none" w:pos="85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75" w:lineRule="exact"/>
        <w:rPr>
          <w:rFonts w:ascii="Arial" w:cs="Arial" w:eastAsia="Arial" w:hAnsi="Arial"/>
          <w:sz w:val="16"/>
          <w:szCs w:val="16"/>
          <w:color w:val="auto"/>
        </w:rPr>
      </w:pPr>
    </w:p>
    <w:p>
      <w:pPr>
        <w:jc w:val="both"/>
        <w:ind w:left="300" w:right="1239" w:firstLine="248"/>
        <w:spacing w:after="0" w:line="265" w:lineRule="auto"/>
        <w:tabs>
          <w:tab w:leader="none" w:pos="83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6"/>
          <w:szCs w:val="16"/>
          <w:b w:val="1"/>
          <w:bCs w:val="1"/>
          <w:color w:val="auto"/>
        </w:rPr>
        <w:t>Company Indemnified Person</w:t>
      </w:r>
      <w:r>
        <w:rPr>
          <w:rFonts w:ascii="Arial" w:cs="Arial" w:eastAsia="Arial" w:hAnsi="Arial"/>
          <w:sz w:val="16"/>
          <w:szCs w:val="16"/>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73" w:lineRule="exact"/>
        <w:rPr>
          <w:rFonts w:ascii="Arial" w:cs="Arial" w:eastAsia="Arial" w:hAnsi="Arial"/>
          <w:sz w:val="16"/>
          <w:szCs w:val="16"/>
          <w:color w:val="auto"/>
        </w:rPr>
      </w:pPr>
    </w:p>
    <w:p>
      <w:pPr>
        <w:jc w:val="both"/>
        <w:ind w:left="300" w:right="1239" w:firstLine="248"/>
        <w:spacing w:after="0" w:line="250" w:lineRule="auto"/>
        <w:tabs>
          <w:tab w:leader="none" w:pos="85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27" w:name="page328"/>
    <w:bookmarkEnd w:id="3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2" w:lineRule="auto"/>
        <w:tabs>
          <w:tab w:leader="none" w:pos="85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6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Directors and Officers of Parent</w:t>
      </w:r>
      <w:r>
        <w:rPr>
          <w:rFonts w:ascii="Arial" w:cs="Arial" w:eastAsia="Arial" w:hAnsi="Arial"/>
          <w:sz w:val="17"/>
          <w:szCs w:val="17"/>
          <w:color w:val="auto"/>
        </w:rPr>
        <w:t>.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82"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Disclosure of Licenses</w:t>
      </w:r>
      <w:r>
        <w:rPr>
          <w:rFonts w:ascii="Arial" w:cs="Arial" w:eastAsia="Arial" w:hAnsi="Arial"/>
          <w:sz w:val="17"/>
          <w:szCs w:val="17"/>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74"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CONDITIONS OF MERGER</w:t>
      </w:r>
    </w:p>
    <w:p>
      <w:pPr>
        <w:spacing w:after="0" w:line="109"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Conditions to Obligation of Each Party to Effect the Merger</w:t>
      </w:r>
      <w:r>
        <w:rPr>
          <w:rFonts w:ascii="Arial" w:cs="Arial" w:eastAsia="Arial" w:hAnsi="Arial"/>
          <w:sz w:val="17"/>
          <w:szCs w:val="17"/>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78" w:lineRule="exact"/>
        <w:rPr>
          <w:sz w:val="20"/>
          <w:szCs w:val="20"/>
          <w:color w:val="auto"/>
        </w:rPr>
      </w:pPr>
    </w:p>
    <w:p>
      <w:pPr>
        <w:ind w:left="300" w:right="1239" w:firstLine="248"/>
        <w:spacing w:after="0" w:line="267" w:lineRule="auto"/>
        <w:tabs>
          <w:tab w:leader="none" w:pos="857"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Parent Stockholder Approval and the Company Stockholder Approval shall have been obtained;</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29"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Effectiveness of Registration Statement</w:t>
      </w:r>
      <w:r>
        <w:rPr>
          <w:rFonts w:ascii="Arial" w:cs="Arial" w:eastAsia="Arial" w:hAnsi="Arial"/>
          <w:sz w:val="17"/>
          <w:szCs w:val="17"/>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77" w:lineRule="exact"/>
        <w:rPr>
          <w:rFonts w:ascii="Arial" w:cs="Arial" w:eastAsia="Arial" w:hAnsi="Arial"/>
          <w:sz w:val="17"/>
          <w:szCs w:val="17"/>
          <w:color w:val="auto"/>
        </w:rPr>
      </w:pPr>
    </w:p>
    <w:p>
      <w:pPr>
        <w:ind w:left="300" w:right="1239" w:firstLine="248"/>
        <w:spacing w:after="0" w:line="267" w:lineRule="auto"/>
        <w:tabs>
          <w:tab w:leader="none" w:pos="819"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Approval for Listing of Shares</w:t>
      </w:r>
      <w:r>
        <w:rPr>
          <w:rFonts w:ascii="Arial" w:cs="Arial" w:eastAsia="Arial" w:hAnsi="Arial"/>
          <w:sz w:val="17"/>
          <w:szCs w:val="17"/>
          <w:color w:val="auto"/>
        </w:rPr>
        <w:t>. The shares of Parent Common Stock shall have been approved for listing (subject only to notice of issuance) on the NYSE Amex, effective at the Effective Time.</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28" w:name="page329"/>
    <w:bookmarkEnd w:id="3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59" w:lineRule="auto"/>
        <w:tabs>
          <w:tab w:leader="none" w:pos="829"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Hudson Bay Letter Agreement</w:t>
      </w:r>
      <w:r>
        <w:rPr>
          <w:rFonts w:ascii="Arial" w:cs="Arial" w:eastAsia="Arial" w:hAnsi="Arial"/>
          <w:sz w:val="17"/>
          <w:szCs w:val="17"/>
          <w:color w:val="auto"/>
        </w:rPr>
        <w:t>. Hudson Bay Master Fund Ltd. (“</w:t>
      </w:r>
      <w:r>
        <w:rPr>
          <w:rFonts w:ascii="Arial" w:cs="Arial" w:eastAsia="Arial" w:hAnsi="Arial"/>
          <w:sz w:val="17"/>
          <w:szCs w:val="17"/>
          <w:b w:val="1"/>
          <w:bCs w:val="1"/>
          <w:color w:val="auto"/>
        </w:rPr>
        <w:t>Hudson Bay</w:t>
      </w:r>
      <w:r>
        <w:rPr>
          <w:rFonts w:ascii="Arial" w:cs="Arial" w:eastAsia="Arial" w:hAnsi="Arial"/>
          <w:sz w:val="17"/>
          <w:szCs w:val="17"/>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7"/>
          <w:szCs w:val="17"/>
          <w:u w:val="single" w:color="auto"/>
          <w:color w:val="auto"/>
        </w:rPr>
        <w:t>Exhibit M</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left="300" w:right="1239" w:firstLine="248"/>
        <w:spacing w:after="0" w:line="249" w:lineRule="auto"/>
        <w:tabs>
          <w:tab w:leader="none" w:pos="832"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 Illegality</w:t>
      </w:r>
      <w:r>
        <w:rPr>
          <w:rFonts w:ascii="Arial" w:cs="Arial" w:eastAsia="Arial" w:hAnsi="Arial"/>
          <w:sz w:val="17"/>
          <w:szCs w:val="17"/>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801"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Company Debt Instruments</w:t>
      </w:r>
      <w:r>
        <w:rPr>
          <w:rFonts w:ascii="Arial" w:cs="Arial" w:eastAsia="Arial" w:hAnsi="Arial"/>
          <w:sz w:val="16"/>
          <w:szCs w:val="16"/>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(ii) the Amended and Restated Pledge and Security Agreement in substantially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attached hereto, and (iii) the Amended and Restated Guaranty in substantially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attached hereto.</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Additional Conditions to Obligations of Parent</w:t>
      </w:r>
      <w:r>
        <w:rPr>
          <w:rFonts w:ascii="Arial" w:cs="Arial" w:eastAsia="Arial" w:hAnsi="Arial"/>
          <w:sz w:val="17"/>
          <w:szCs w:val="17"/>
          <w:color w:val="auto"/>
        </w:rPr>
        <w:t>. The obligations of Parent to effect the Merger are also subject to the following conditions, any and all of which may be waived in writing by Parent, in whole or in part, to the extent permitted by the applicable law:</w:t>
      </w:r>
    </w:p>
    <w:p>
      <w:pPr>
        <w:spacing w:after="0" w:line="76" w:lineRule="exact"/>
        <w:rPr>
          <w:sz w:val="20"/>
          <w:szCs w:val="20"/>
          <w:color w:val="auto"/>
        </w:rPr>
      </w:pPr>
    </w:p>
    <w:p>
      <w:pPr>
        <w:jc w:val="both"/>
        <w:ind w:left="300" w:right="1239" w:firstLine="248"/>
        <w:spacing w:after="0" w:line="251" w:lineRule="auto"/>
        <w:tabs>
          <w:tab w:leader="none" w:pos="845"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80" w:lineRule="exact"/>
        <w:rPr>
          <w:rFonts w:ascii="Arial" w:cs="Arial" w:eastAsia="Arial" w:hAnsi="Arial"/>
          <w:sz w:val="17"/>
          <w:szCs w:val="17"/>
          <w:color w:val="auto"/>
        </w:rPr>
      </w:pPr>
    </w:p>
    <w:p>
      <w:pPr>
        <w:jc w:val="both"/>
        <w:ind w:left="300" w:right="1239" w:firstLine="248"/>
        <w:spacing w:after="0" w:line="253" w:lineRule="auto"/>
        <w:tabs>
          <w:tab w:leader="none" w:pos="904"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Agreements and Covenants</w:t>
      </w:r>
      <w:r>
        <w:rPr>
          <w:rFonts w:ascii="Arial" w:cs="Arial" w:eastAsia="Arial" w:hAnsi="Arial"/>
          <w:sz w:val="17"/>
          <w:szCs w:val="17"/>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77" w:lineRule="exact"/>
        <w:rPr>
          <w:rFonts w:ascii="Arial" w:cs="Arial" w:eastAsia="Arial" w:hAnsi="Arial"/>
          <w:sz w:val="17"/>
          <w:szCs w:val="17"/>
          <w:color w:val="auto"/>
        </w:rPr>
      </w:pPr>
    </w:p>
    <w:p>
      <w:pPr>
        <w:jc w:val="both"/>
        <w:ind w:left="300" w:right="1239" w:firstLine="248"/>
        <w:spacing w:after="0" w:line="290" w:lineRule="auto"/>
        <w:tabs>
          <w:tab w:leader="none" w:pos="832"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Third Party Consents</w:t>
      </w:r>
      <w:r>
        <w:rPr>
          <w:rFonts w:ascii="Arial" w:cs="Arial" w:eastAsia="Arial" w:hAnsi="Arial"/>
          <w:sz w:val="15"/>
          <w:szCs w:val="15"/>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52" w:lineRule="exact"/>
        <w:rPr>
          <w:rFonts w:ascii="Arial" w:cs="Arial" w:eastAsia="Arial" w:hAnsi="Arial"/>
          <w:sz w:val="15"/>
          <w:szCs w:val="15"/>
          <w:color w:val="auto"/>
        </w:rPr>
      </w:pPr>
    </w:p>
    <w:p>
      <w:pPr>
        <w:jc w:val="both"/>
        <w:ind w:left="300" w:right="1239" w:firstLine="248"/>
        <w:spacing w:after="0" w:line="307" w:lineRule="auto"/>
        <w:tabs>
          <w:tab w:leader="none" w:pos="841"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New Company Options: Warrants</w:t>
      </w:r>
      <w:r>
        <w:rPr>
          <w:rFonts w:ascii="Arial" w:cs="Arial" w:eastAsia="Arial" w:hAnsi="Arial"/>
          <w:sz w:val="15"/>
          <w:szCs w:val="15"/>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39" w:lineRule="exact"/>
        <w:rPr>
          <w:rFonts w:ascii="Arial" w:cs="Arial" w:eastAsia="Arial" w:hAnsi="Arial"/>
          <w:sz w:val="15"/>
          <w:szCs w:val="15"/>
          <w:color w:val="auto"/>
        </w:rPr>
      </w:pPr>
    </w:p>
    <w:p>
      <w:pPr>
        <w:ind w:left="300" w:right="1239" w:firstLine="248"/>
        <w:spacing w:after="0" w:line="267" w:lineRule="auto"/>
        <w:tabs>
          <w:tab w:leader="none" w:pos="832"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No Company Material Adverse Effect</w:t>
      </w:r>
      <w:r>
        <w:rPr>
          <w:rFonts w:ascii="Arial" w:cs="Arial" w:eastAsia="Arial" w:hAnsi="Arial"/>
          <w:sz w:val="17"/>
          <w:szCs w:val="17"/>
          <w:color w:val="auto"/>
        </w:rPr>
        <w:t>. Since the date of this Agreement there shall not have occurred any Company Material Adverse Effect;</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38"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29" w:name="page330"/>
    <w:bookmarkEnd w:id="3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dismiss or summary judgment) of the Litigation. For purposes of this Section, the word “claims” means all claims or counterclaims that arise out of the same facts and circumstances that are at issue in the Litigation.</w:t>
      </w:r>
    </w:p>
    <w:p>
      <w:pPr>
        <w:spacing w:after="0" w:line="66" w:lineRule="exact"/>
        <w:rPr>
          <w:sz w:val="20"/>
          <w:szCs w:val="20"/>
          <w:color w:val="auto"/>
        </w:rPr>
      </w:pPr>
    </w:p>
    <w:p>
      <w:pPr>
        <w:ind w:left="300" w:right="1239" w:firstLine="248"/>
        <w:spacing w:after="0" w:line="299" w:lineRule="auto"/>
        <w:tabs>
          <w:tab w:leader="none" w:pos="854"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Dissenters’ Rights</w:t>
      </w:r>
      <w:r>
        <w:rPr>
          <w:rFonts w:ascii="Arial" w:cs="Arial" w:eastAsia="Arial" w:hAnsi="Arial"/>
          <w:sz w:val="16"/>
          <w:szCs w:val="16"/>
          <w:color w:val="auto"/>
        </w:rPr>
        <w:t>. Holders of no more than 10% of the issued and outstanding Company Capital Stock shall have demanded and perfected their right to an appraisal of the Company Capital Stock in accordance with the DGCL;</w:t>
      </w:r>
    </w:p>
    <w:p>
      <w:pPr>
        <w:spacing w:after="0" w:line="42" w:lineRule="exact"/>
        <w:rPr>
          <w:rFonts w:ascii="Arial" w:cs="Arial" w:eastAsia="Arial" w:hAnsi="Arial"/>
          <w:sz w:val="16"/>
          <w:szCs w:val="16"/>
          <w:color w:val="auto"/>
        </w:rPr>
      </w:pPr>
    </w:p>
    <w:p>
      <w:pPr>
        <w:jc w:val="both"/>
        <w:ind w:left="300" w:right="1239" w:firstLine="248"/>
        <w:spacing w:after="0" w:line="256" w:lineRule="auto"/>
        <w:tabs>
          <w:tab w:leader="none" w:pos="866" w:val="left"/>
        </w:tabs>
        <w:numPr>
          <w:ilvl w:val="1"/>
          <w:numId w:val="245"/>
        </w:numPr>
        <w:rPr>
          <w:rFonts w:ascii="Arial" w:cs="Arial" w:eastAsia="Arial" w:hAnsi="Arial"/>
          <w:sz w:val="17"/>
          <w:szCs w:val="17"/>
          <w:color w:val="auto"/>
        </w:rPr>
      </w:pPr>
      <w:r>
        <w:rPr>
          <w:rFonts w:ascii="Arial" w:cs="Arial" w:eastAsia="Arial" w:hAnsi="Arial"/>
          <w:sz w:val="17"/>
          <w:szCs w:val="17"/>
          <w:u w:val="single" w:color="auto"/>
          <w:color w:val="auto"/>
        </w:rPr>
        <w:t>Resignation of Directors and Officers</w:t>
      </w:r>
      <w:r>
        <w:rPr>
          <w:rFonts w:ascii="Arial" w:cs="Arial" w:eastAsia="Arial" w:hAnsi="Arial"/>
          <w:sz w:val="17"/>
          <w:szCs w:val="17"/>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17" w:val="left"/>
        </w:tabs>
        <w:numPr>
          <w:ilvl w:val="1"/>
          <w:numId w:val="245"/>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The Company shall have delivered to Parent and Merger Sub a certificate, signed by the chief executive officer of the Company, to the effect that (i) each of the conditions specified in clause (a) of Section 6.1 and clauses</w:t>
      </w:r>
    </w:p>
    <w:p>
      <w:pPr>
        <w:jc w:val="both"/>
        <w:ind w:left="300" w:right="1239" w:hanging="2"/>
        <w:spacing w:after="0" w:line="249" w:lineRule="auto"/>
        <w:tabs>
          <w:tab w:leader="none" w:pos="53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792"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Patents</w:t>
      </w:r>
      <w:r>
        <w:rPr>
          <w:rFonts w:ascii="Arial" w:cs="Arial" w:eastAsia="Arial" w:hAnsi="Arial"/>
          <w:sz w:val="17"/>
          <w:szCs w:val="17"/>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41"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Subscription Agreement</w:t>
      </w:r>
      <w:r>
        <w:rPr>
          <w:rFonts w:ascii="Arial" w:cs="Arial" w:eastAsia="Arial" w:hAnsi="Arial"/>
          <w:sz w:val="17"/>
          <w:szCs w:val="17"/>
          <w:color w:val="auto"/>
        </w:rPr>
        <w:t>. The Subscription Agreement, dated as of June 22, 2011, by and between the Company and Hudson Bay shall have been terminated and of no further force or effect;</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817"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The Registration Rights Agreement, dated as of June 22, 2011, by and between the Company and Hudson Bay shall have been terminated and of no further force or effect;</w:t>
      </w:r>
    </w:p>
    <w:p>
      <w:pPr>
        <w:spacing w:after="0" w:line="66" w:lineRule="exact"/>
        <w:rPr>
          <w:rFonts w:ascii="Arial" w:cs="Arial" w:eastAsia="Arial" w:hAnsi="Arial"/>
          <w:sz w:val="17"/>
          <w:szCs w:val="17"/>
          <w:color w:val="auto"/>
        </w:rPr>
      </w:pPr>
    </w:p>
    <w:p>
      <w:pPr>
        <w:jc w:val="both"/>
        <w:ind w:left="300" w:right="1239" w:firstLine="248"/>
        <w:spacing w:after="0" w:line="250" w:lineRule="auto"/>
        <w:tabs>
          <w:tab w:leader="none" w:pos="925" w:val="left"/>
        </w:tabs>
        <w:numPr>
          <w:ilvl w:val="1"/>
          <w:numId w:val="246"/>
        </w:numPr>
        <w:rPr>
          <w:rFonts w:ascii="Arial" w:cs="Arial" w:eastAsia="Arial" w:hAnsi="Arial"/>
          <w:sz w:val="17"/>
          <w:szCs w:val="17"/>
          <w:color w:val="auto"/>
        </w:rPr>
      </w:pPr>
      <w:r>
        <w:rPr>
          <w:rFonts w:ascii="Arial" w:cs="Arial" w:eastAsia="Arial" w:hAnsi="Arial"/>
          <w:sz w:val="17"/>
          <w:szCs w:val="17"/>
          <w:u w:val="single" w:color="auto"/>
          <w:color w:val="auto"/>
        </w:rPr>
        <w:t>Hudson Bay Certificate</w:t>
      </w:r>
      <w:r>
        <w:rPr>
          <w:rFonts w:ascii="Arial" w:cs="Arial" w:eastAsia="Arial" w:hAnsi="Arial"/>
          <w:sz w:val="17"/>
          <w:szCs w:val="17"/>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879"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Other Deliveries</w:t>
      </w:r>
      <w:r>
        <w:rPr>
          <w:rFonts w:ascii="Arial" w:cs="Arial" w:eastAsia="Arial" w:hAnsi="Arial"/>
          <w:sz w:val="16"/>
          <w:szCs w:val="16"/>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Additional Conditions to Obligations of the Company</w:t>
      </w:r>
      <w:r>
        <w:rPr>
          <w:rFonts w:ascii="Arial" w:cs="Arial" w:eastAsia="Arial" w:hAnsi="Arial"/>
          <w:sz w:val="17"/>
          <w:szCs w:val="17"/>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76" w:lineRule="exact"/>
        <w:rPr>
          <w:sz w:val="20"/>
          <w:szCs w:val="20"/>
          <w:color w:val="auto"/>
        </w:rPr>
      </w:pPr>
    </w:p>
    <w:p>
      <w:pPr>
        <w:jc w:val="both"/>
        <w:ind w:left="300" w:right="1239" w:firstLine="248"/>
        <w:spacing w:after="0" w:line="297" w:lineRule="auto"/>
        <w:tabs>
          <w:tab w:leader="none" w:pos="870" w:val="left"/>
        </w:tabs>
        <w:numPr>
          <w:ilvl w:val="0"/>
          <w:numId w:val="24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48" w:lineRule="exact"/>
        <w:rPr>
          <w:rFonts w:ascii="Arial" w:cs="Arial" w:eastAsia="Arial" w:hAnsi="Arial"/>
          <w:sz w:val="15"/>
          <w:szCs w:val="15"/>
          <w:color w:val="auto"/>
        </w:rPr>
      </w:pPr>
    </w:p>
    <w:p>
      <w:pPr>
        <w:jc w:val="both"/>
        <w:ind w:left="300" w:right="1239" w:firstLine="248"/>
        <w:spacing w:after="0" w:line="256" w:lineRule="auto"/>
        <w:tabs>
          <w:tab w:leader="none" w:pos="841"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Agreements and Covenants</w:t>
      </w:r>
      <w:r>
        <w:rPr>
          <w:rFonts w:ascii="Arial" w:cs="Arial" w:eastAsia="Arial" w:hAnsi="Arial"/>
          <w:sz w:val="17"/>
          <w:szCs w:val="17"/>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30" w:name="page331"/>
    <w:bookmarkEnd w:id="3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with such agreements and covenants which would not, individually or in the aggregate, reasonably be expected to have a Parent Material Adverse Effect;</w:t>
      </w:r>
    </w:p>
    <w:p>
      <w:pPr>
        <w:spacing w:after="0" w:line="66" w:lineRule="exact"/>
        <w:rPr>
          <w:sz w:val="20"/>
          <w:szCs w:val="20"/>
          <w:color w:val="auto"/>
        </w:rPr>
      </w:pPr>
    </w:p>
    <w:p>
      <w:pPr>
        <w:jc w:val="both"/>
        <w:ind w:left="300" w:right="1239" w:firstLine="248"/>
        <w:spacing w:after="0" w:line="266" w:lineRule="auto"/>
        <w:tabs>
          <w:tab w:leader="none" w:pos="832"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Third Party Consents</w:t>
      </w:r>
      <w:r>
        <w:rPr>
          <w:rFonts w:ascii="Arial" w:cs="Arial" w:eastAsia="Arial" w:hAnsi="Arial"/>
          <w:sz w:val="16"/>
          <w:szCs w:val="16"/>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72" w:lineRule="exact"/>
        <w:rPr>
          <w:rFonts w:ascii="Arial" w:cs="Arial" w:eastAsia="Arial" w:hAnsi="Arial"/>
          <w:sz w:val="16"/>
          <w:szCs w:val="16"/>
          <w:color w:val="auto"/>
        </w:rPr>
      </w:pPr>
    </w:p>
    <w:p>
      <w:pPr>
        <w:ind w:left="300" w:right="1239" w:firstLine="248"/>
        <w:spacing w:after="0" w:line="267" w:lineRule="auto"/>
        <w:tabs>
          <w:tab w:leader="none" w:pos="854"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Since the date of this Agreement, there shall not have occurred any Parent Material Adverse Effect;</w:t>
      </w:r>
    </w:p>
    <w:p>
      <w:pPr>
        <w:spacing w:after="0" w:line="66" w:lineRule="exact"/>
        <w:rPr>
          <w:rFonts w:ascii="Arial" w:cs="Arial" w:eastAsia="Arial" w:hAnsi="Arial"/>
          <w:sz w:val="17"/>
          <w:szCs w:val="17"/>
          <w:color w:val="auto"/>
        </w:rPr>
      </w:pPr>
    </w:p>
    <w:p>
      <w:pPr>
        <w:ind w:left="300" w:right="1239" w:firstLine="248"/>
        <w:spacing w:after="0" w:line="335" w:lineRule="auto"/>
        <w:tabs>
          <w:tab w:leader="none" w:pos="832"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19" w:lineRule="exact"/>
        <w:rPr>
          <w:rFonts w:ascii="Arial" w:cs="Arial" w:eastAsia="Arial" w:hAnsi="Arial"/>
          <w:sz w:val="15"/>
          <w:szCs w:val="15"/>
          <w:color w:val="auto"/>
        </w:rPr>
      </w:pPr>
    </w:p>
    <w:p>
      <w:pPr>
        <w:ind w:left="300" w:right="1239" w:firstLine="248"/>
        <w:spacing w:after="0" w:line="335" w:lineRule="auto"/>
        <w:tabs>
          <w:tab w:leader="none" w:pos="826"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Employment and Board Agreements</w:t>
      </w:r>
      <w:r>
        <w:rPr>
          <w:rFonts w:ascii="Arial" w:cs="Arial" w:eastAsia="Arial" w:hAnsi="Arial"/>
          <w:sz w:val="15"/>
          <w:szCs w:val="15"/>
          <w:color w:val="auto"/>
        </w:rPr>
        <w:t>. The (i) employment and board agreements set forth on Schedule 2.14 and (ii) client service agreement with Ambrose Employer Group each shall have been assigned to, and assumed by, Parent; and</w:t>
      </w:r>
    </w:p>
    <w:p>
      <w:pPr>
        <w:spacing w:after="0" w:line="19" w:lineRule="exact"/>
        <w:rPr>
          <w:rFonts w:ascii="Arial" w:cs="Arial" w:eastAsia="Arial" w:hAnsi="Arial"/>
          <w:sz w:val="15"/>
          <w:szCs w:val="15"/>
          <w:color w:val="auto"/>
        </w:rPr>
      </w:pPr>
    </w:p>
    <w:p>
      <w:pPr>
        <w:jc w:val="both"/>
        <w:ind w:left="300" w:right="1239" w:firstLine="248"/>
        <w:spacing w:after="0" w:line="251" w:lineRule="auto"/>
        <w:tabs>
          <w:tab w:leader="none" w:pos="904"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Other Deliveries</w:t>
      </w:r>
      <w:r>
        <w:rPr>
          <w:rFonts w:ascii="Arial" w:cs="Arial" w:eastAsia="Arial" w:hAnsi="Arial"/>
          <w:sz w:val="17"/>
          <w:szCs w:val="17"/>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7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VII</w:t>
      </w:r>
    </w:p>
    <w:p>
      <w:pPr>
        <w:spacing w:after="0" w:line="20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TERMINATION, AMENDMENT AND WAIVER</w:t>
      </w:r>
    </w:p>
    <w:p>
      <w:pPr>
        <w:spacing w:after="0" w:line="109"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and the Merger and other transactions contemplated hereby may be abandoned at any time prior to the Effective Time:</w:t>
      </w:r>
    </w:p>
    <w:p>
      <w:pPr>
        <w:spacing w:after="0" w:line="66" w:lineRule="exact"/>
        <w:rPr>
          <w:sz w:val="20"/>
          <w:szCs w:val="20"/>
          <w:color w:val="auto"/>
        </w:rPr>
      </w:pPr>
    </w:p>
    <w:p>
      <w:pPr>
        <w:ind w:left="840" w:hanging="292"/>
        <w:spacing w:after="0"/>
        <w:tabs>
          <w:tab w:leader="none" w:pos="8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by mutual written consent of the Company, Parent and Merger Sub duly authorized by each of the Boards of Directors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7"/>
          <w:szCs w:val="17"/>
          <w:color w:val="auto"/>
        </w:rPr>
        <w:t>of each;</w:t>
      </w:r>
    </w:p>
    <w:p>
      <w:pPr>
        <w:spacing w:after="0" w:line="92" w:lineRule="exact"/>
        <w:rPr>
          <w:rFonts w:ascii="Arial" w:cs="Arial" w:eastAsia="Arial" w:hAnsi="Arial"/>
          <w:sz w:val="15"/>
          <w:szCs w:val="15"/>
          <w:color w:val="auto"/>
        </w:rPr>
      </w:pPr>
    </w:p>
    <w:p>
      <w:pPr>
        <w:jc w:val="both"/>
        <w:ind w:left="300" w:right="1239" w:firstLine="248"/>
        <w:spacing w:after="0" w:line="253" w:lineRule="auto"/>
        <w:tabs>
          <w:tab w:leader="none" w:pos="86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by either Parent or the Company if the Merger shall not have been consummated on or before September 30,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77" w:lineRule="exact"/>
        <w:rPr>
          <w:rFonts w:ascii="Arial" w:cs="Arial" w:eastAsia="Arial" w:hAnsi="Arial"/>
          <w:sz w:val="17"/>
          <w:szCs w:val="17"/>
          <w:color w:val="auto"/>
        </w:rPr>
      </w:pPr>
    </w:p>
    <w:p>
      <w:pPr>
        <w:jc w:val="both"/>
        <w:ind w:left="300" w:right="1239" w:firstLine="248"/>
        <w:spacing w:after="0" w:line="280" w:lineRule="auto"/>
        <w:tabs>
          <w:tab w:leader="none" w:pos="82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57" w:lineRule="exact"/>
        <w:rPr>
          <w:rFonts w:ascii="Arial" w:cs="Arial" w:eastAsia="Arial" w:hAnsi="Arial"/>
          <w:sz w:val="16"/>
          <w:szCs w:val="16"/>
          <w:color w:val="auto"/>
        </w:rPr>
      </w:pPr>
    </w:p>
    <w:p>
      <w:pPr>
        <w:jc w:val="both"/>
        <w:ind w:left="300" w:right="1239" w:firstLine="248"/>
        <w:spacing w:after="0" w:line="249" w:lineRule="auto"/>
        <w:tabs>
          <w:tab w:leader="none" w:pos="92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200" w:lineRule="exact"/>
        <w:rPr>
          <w:sz w:val="20"/>
          <w:szCs w:val="20"/>
          <w:color w:val="auto"/>
        </w:rPr>
      </w:pPr>
    </w:p>
    <w:p>
      <w:pPr>
        <w:spacing w:after="0" w:line="29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1" w:name="page332"/>
    <w:bookmarkEnd w:id="3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67" w:lineRule="auto"/>
        <w:tabs>
          <w:tab w:leader="none" w:pos="888" w:val="left"/>
        </w:tabs>
        <w:numPr>
          <w:ilvl w:val="1"/>
          <w:numId w:val="250"/>
        </w:numPr>
        <w:rPr>
          <w:rFonts w:ascii="Arial" w:cs="Arial" w:eastAsia="Arial" w:hAnsi="Arial"/>
          <w:sz w:val="16"/>
          <w:szCs w:val="16"/>
          <w:color w:val="auto"/>
        </w:rPr>
      </w:pPr>
      <w:r>
        <w:rPr>
          <w:rFonts w:ascii="Arial" w:cs="Arial" w:eastAsia="Arial" w:hAnsi="Arial"/>
          <w:sz w:val="16"/>
          <w:szCs w:val="16"/>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70" w:lineRule="exact"/>
        <w:rPr>
          <w:rFonts w:ascii="Arial" w:cs="Arial" w:eastAsia="Arial" w:hAnsi="Arial"/>
          <w:sz w:val="16"/>
          <w:szCs w:val="16"/>
          <w:color w:val="auto"/>
        </w:rPr>
      </w:pPr>
    </w:p>
    <w:p>
      <w:pPr>
        <w:jc w:val="both"/>
        <w:ind w:left="300" w:right="1239" w:firstLine="248"/>
        <w:spacing w:after="0" w:line="266" w:lineRule="auto"/>
        <w:tabs>
          <w:tab w:leader="none" w:pos="843" w:val="left"/>
        </w:tabs>
        <w:numPr>
          <w:ilvl w:val="1"/>
          <w:numId w:val="250"/>
        </w:numPr>
        <w:rPr>
          <w:rFonts w:ascii="Arial" w:cs="Arial" w:eastAsia="Arial" w:hAnsi="Arial"/>
          <w:sz w:val="16"/>
          <w:szCs w:val="16"/>
          <w:color w:val="auto"/>
        </w:rPr>
      </w:pPr>
      <w:r>
        <w:rPr>
          <w:rFonts w:ascii="Arial" w:cs="Arial" w:eastAsia="Arial" w:hAnsi="Arial"/>
          <w:sz w:val="16"/>
          <w:szCs w:val="16"/>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72" w:lineRule="exact"/>
        <w:rPr>
          <w:rFonts w:ascii="Arial" w:cs="Arial" w:eastAsia="Arial" w:hAnsi="Arial"/>
          <w:sz w:val="16"/>
          <w:szCs w:val="16"/>
          <w:color w:val="auto"/>
        </w:rPr>
      </w:pPr>
    </w:p>
    <w:p>
      <w:pPr>
        <w:jc w:val="both"/>
        <w:ind w:left="300" w:right="1239" w:firstLine="248"/>
        <w:spacing w:after="0" w:line="283" w:lineRule="auto"/>
        <w:tabs>
          <w:tab w:leader="none" w:pos="847" w:val="left"/>
        </w:tabs>
        <w:numPr>
          <w:ilvl w:val="1"/>
          <w:numId w:val="250"/>
        </w:numPr>
        <w:rPr>
          <w:rFonts w:ascii="Arial" w:cs="Arial" w:eastAsia="Arial" w:hAnsi="Arial"/>
          <w:sz w:val="15"/>
          <w:szCs w:val="15"/>
          <w:color w:val="auto"/>
        </w:rPr>
      </w:pPr>
      <w:r>
        <w:rPr>
          <w:rFonts w:ascii="Arial" w:cs="Arial" w:eastAsia="Arial" w:hAnsi="Arial"/>
          <w:sz w:val="15"/>
          <w:szCs w:val="15"/>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w:t>
      </w:r>
    </w:p>
    <w:p>
      <w:pPr>
        <w:jc w:val="both"/>
        <w:ind w:left="300" w:right="1239" w:hanging="2"/>
        <w:spacing w:after="0" w:line="247" w:lineRule="auto"/>
        <w:tabs>
          <w:tab w:leader="none" w:pos="599" w:val="left"/>
        </w:tabs>
        <w:numPr>
          <w:ilvl w:val="0"/>
          <w:numId w:val="251"/>
        </w:numPr>
        <w:rPr>
          <w:rFonts w:ascii="Arial" w:cs="Arial" w:eastAsia="Arial" w:hAnsi="Arial"/>
          <w:sz w:val="17"/>
          <w:szCs w:val="17"/>
          <w:color w:val="auto"/>
        </w:rPr>
      </w:pPr>
      <w:r>
        <w:rPr>
          <w:rFonts w:ascii="Arial" w:cs="Arial" w:eastAsia="Arial" w:hAnsi="Arial"/>
          <w:sz w:val="17"/>
          <w:szCs w:val="17"/>
          <w:color w:val="auto"/>
        </w:rPr>
        <w:t>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84" w:lineRule="exact"/>
        <w:rPr>
          <w:rFonts w:ascii="Arial" w:cs="Arial" w:eastAsia="Arial" w:hAnsi="Arial"/>
          <w:sz w:val="17"/>
          <w:szCs w:val="17"/>
          <w:color w:val="auto"/>
        </w:rPr>
      </w:pPr>
    </w:p>
    <w:p>
      <w:pPr>
        <w:jc w:val="both"/>
        <w:ind w:left="300" w:right="1239" w:firstLine="248"/>
        <w:spacing w:after="0" w:line="270" w:lineRule="auto"/>
        <w:tabs>
          <w:tab w:leader="none" w:pos="82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67" w:lineRule="exact"/>
        <w:rPr>
          <w:rFonts w:ascii="Arial" w:cs="Arial" w:eastAsia="Arial" w:hAnsi="Arial"/>
          <w:sz w:val="16"/>
          <w:szCs w:val="16"/>
          <w:color w:val="auto"/>
        </w:rPr>
      </w:pPr>
    </w:p>
    <w:p>
      <w:pPr>
        <w:jc w:val="both"/>
        <w:ind w:left="300" w:right="1239" w:firstLine="248"/>
        <w:spacing w:after="0" w:line="292" w:lineRule="auto"/>
        <w:tabs>
          <w:tab w:leader="none" w:pos="861" w:val="left"/>
        </w:tabs>
        <w:numPr>
          <w:ilvl w:val="1"/>
          <w:numId w:val="251"/>
        </w:numPr>
        <w:rPr>
          <w:rFonts w:ascii="Arial" w:cs="Arial" w:eastAsia="Arial" w:hAnsi="Arial"/>
          <w:sz w:val="15"/>
          <w:szCs w:val="15"/>
          <w:color w:val="auto"/>
        </w:rPr>
      </w:pPr>
      <w:r>
        <w:rPr>
          <w:rFonts w:ascii="Arial" w:cs="Arial" w:eastAsia="Arial" w:hAnsi="Arial"/>
          <w:sz w:val="15"/>
          <w:szCs w:val="15"/>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53" w:lineRule="exact"/>
        <w:rPr>
          <w:rFonts w:ascii="Arial" w:cs="Arial" w:eastAsia="Arial" w:hAnsi="Arial"/>
          <w:sz w:val="15"/>
          <w:szCs w:val="15"/>
          <w:color w:val="auto"/>
        </w:rPr>
      </w:pPr>
    </w:p>
    <w:p>
      <w:pPr>
        <w:jc w:val="both"/>
        <w:ind w:left="300" w:right="1239" w:firstLine="248"/>
        <w:spacing w:after="0" w:line="285" w:lineRule="auto"/>
        <w:tabs>
          <w:tab w:leader="none" w:pos="84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2" w:name="page333"/>
    <w:bookmarkEnd w:id="3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97" w:lineRule="auto"/>
        <w:rPr>
          <w:sz w:val="20"/>
          <w:szCs w:val="20"/>
          <w:color w:val="auto"/>
        </w:rPr>
      </w:pPr>
      <w:r>
        <w:rPr>
          <w:rFonts w:ascii="Arial" w:cs="Arial" w:eastAsia="Arial" w:hAnsi="Arial"/>
          <w:sz w:val="15"/>
          <w:szCs w:val="15"/>
          <w:color w:val="auto"/>
        </w:rPr>
        <w:t>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(k) by the Company, at any time, upon the payment to Parent of the fee set forth in Section 7.3(b).</w:t>
      </w:r>
    </w:p>
    <w:p>
      <w:pPr>
        <w:spacing w:after="0" w:line="105" w:lineRule="exact"/>
        <w:rPr>
          <w:sz w:val="20"/>
          <w:szCs w:val="20"/>
          <w:color w:val="auto"/>
        </w:rPr>
      </w:pPr>
    </w:p>
    <w:p>
      <w:pPr>
        <w:jc w:val="both"/>
        <w:ind w:left="40" w:right="1239" w:firstLine="251"/>
        <w:spacing w:after="0" w:line="288"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Fees and Expenses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6" w:lineRule="auto"/>
        <w:tabs>
          <w:tab w:leader="none" w:pos="87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76" w:lineRule="exact"/>
        <w:rPr>
          <w:rFonts w:ascii="Arial" w:cs="Arial" w:eastAsia="Arial" w:hAnsi="Arial"/>
          <w:sz w:val="17"/>
          <w:szCs w:val="17"/>
          <w:color w:val="auto"/>
        </w:rPr>
      </w:pPr>
    </w:p>
    <w:p>
      <w:pPr>
        <w:jc w:val="both"/>
        <w:ind w:left="300" w:right="1239" w:firstLine="248"/>
        <w:spacing w:after="0" w:line="251" w:lineRule="auto"/>
        <w:tabs>
          <w:tab w:leader="none" w:pos="85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Fee</w:t>
      </w:r>
      <w:r>
        <w:rPr>
          <w:rFonts w:ascii="Arial" w:cs="Arial" w:eastAsia="Arial" w:hAnsi="Arial"/>
          <w:sz w:val="17"/>
          <w:szCs w:val="17"/>
          <w:color w:val="auto"/>
        </w:rPr>
        <w:t>”), which Company Termination Fee shall be payable by wire transfer of immediately available funds to an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specified by Parent.</w:t>
      </w:r>
    </w:p>
    <w:p>
      <w:pPr>
        <w:spacing w:after="0" w:line="80" w:lineRule="exact"/>
        <w:rPr>
          <w:rFonts w:ascii="Arial" w:cs="Arial" w:eastAsia="Arial" w:hAnsi="Arial"/>
          <w:sz w:val="17"/>
          <w:szCs w:val="17"/>
          <w:color w:val="auto"/>
        </w:rPr>
      </w:pPr>
    </w:p>
    <w:p>
      <w:pPr>
        <w:jc w:val="both"/>
        <w:ind w:left="300" w:right="1239" w:firstLine="248"/>
        <w:spacing w:after="0" w:line="285" w:lineRule="auto"/>
        <w:tabs>
          <w:tab w:leader="none" w:pos="853"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In the event that (i) the Company validly terminates this Agreement pursuant to Section 7.1(g) or (ii) Parent validly terminates this Agreement pursuant to Section 7.1(j)(A), then, in any such case, Parent shall pay to the Company, simultaneously with such termination of this Agreement, a fee (the “</w:t>
      </w:r>
      <w:r>
        <w:rPr>
          <w:rFonts w:ascii="Arial" w:cs="Arial" w:eastAsia="Arial" w:hAnsi="Arial"/>
          <w:sz w:val="15"/>
          <w:szCs w:val="15"/>
          <w:b w:val="1"/>
          <w:bCs w:val="1"/>
          <w:color w:val="auto"/>
        </w:rPr>
        <w:t>Parent Termination Fee</w:t>
      </w:r>
      <w:r>
        <w:rPr>
          <w:rFonts w:ascii="Arial" w:cs="Arial" w:eastAsia="Arial" w:hAnsi="Arial"/>
          <w:sz w:val="15"/>
          <w:szCs w:val="15"/>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61" w:lineRule="exact"/>
        <w:rPr>
          <w:rFonts w:ascii="Arial" w:cs="Arial" w:eastAsia="Arial" w:hAnsi="Arial"/>
          <w:sz w:val="15"/>
          <w:szCs w:val="15"/>
          <w:color w:val="auto"/>
        </w:rPr>
      </w:pPr>
    </w:p>
    <w:p>
      <w:pPr>
        <w:jc w:val="both"/>
        <w:ind w:left="300" w:right="1239" w:firstLine="248"/>
        <w:spacing w:after="0" w:line="265" w:lineRule="auto"/>
        <w:tabs>
          <w:tab w:leader="none" w:pos="85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 (6) 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200" w:lineRule="exact"/>
        <w:rPr>
          <w:sz w:val="20"/>
          <w:szCs w:val="20"/>
          <w:color w:val="auto"/>
        </w:rPr>
      </w:pPr>
    </w:p>
    <w:p>
      <w:pPr>
        <w:spacing w:after="0" w:line="28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3" w:name="page334"/>
    <w:bookmarkEnd w:id="3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5" w:lineRule="auto"/>
        <w:tabs>
          <w:tab w:leader="none" w:pos="83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56" w:lineRule="exact"/>
        <w:rPr>
          <w:rFonts w:ascii="Arial" w:cs="Arial" w:eastAsia="Arial" w:hAnsi="Arial"/>
          <w:sz w:val="15"/>
          <w:szCs w:val="15"/>
          <w:color w:val="auto"/>
        </w:rPr>
      </w:pPr>
    </w:p>
    <w:p>
      <w:pPr>
        <w:jc w:val="both"/>
        <w:ind w:left="300" w:right="1239" w:firstLine="248"/>
        <w:spacing w:after="0" w:line="285" w:lineRule="auto"/>
        <w:tabs>
          <w:tab w:leader="none" w:pos="841" w:val="left"/>
        </w:tabs>
        <w:numPr>
          <w:ilvl w:val="0"/>
          <w:numId w:val="253"/>
        </w:numPr>
        <w:rPr>
          <w:rFonts w:ascii="Arial" w:cs="Arial" w:eastAsia="Arial" w:hAnsi="Arial"/>
          <w:sz w:val="15"/>
          <w:szCs w:val="15"/>
          <w:color w:val="auto"/>
        </w:rPr>
      </w:pPr>
      <w:r>
        <w:rPr>
          <w:rFonts w:ascii="Arial" w:cs="Arial" w:eastAsia="Arial" w:hAnsi="Arial"/>
          <w:sz w:val="15"/>
          <w:szCs w:val="15"/>
          <w:color w:val="auto"/>
        </w:rPr>
        <w:t xml:space="preserve">Each of the Company and Parent acknowledges and agrees that the agreements contained in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5"/>
          <w:szCs w:val="15"/>
          <w:i w:val="1"/>
          <w:iCs w:val="1"/>
          <w:color w:val="auto"/>
        </w:rPr>
        <w:t>The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Wall Street Journal </w:t>
      </w:r>
      <w:r>
        <w:rPr>
          <w:rFonts w:ascii="Arial" w:cs="Arial" w:eastAsia="Arial" w:hAnsi="Arial"/>
          <w:sz w:val="15"/>
          <w:szCs w:val="15"/>
          <w:color w:val="auto"/>
        </w:rPr>
        <w:t>in effect on the date such payment was required to be made. Under no circumstances shall any Party be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may more than one fee in respect of termination under this Section 7.3.</w:t>
      </w:r>
    </w:p>
    <w:p>
      <w:pPr>
        <w:spacing w:after="0" w:line="56" w:lineRule="exact"/>
        <w:rPr>
          <w:rFonts w:ascii="Arial" w:cs="Arial" w:eastAsia="Arial" w:hAnsi="Arial"/>
          <w:sz w:val="15"/>
          <w:szCs w:val="15"/>
          <w:color w:val="auto"/>
        </w:rPr>
      </w:pPr>
    </w:p>
    <w:p>
      <w:pPr>
        <w:jc w:val="both"/>
        <w:ind w:left="300" w:right="1239" w:firstLine="248"/>
        <w:spacing w:after="0" w:line="266" w:lineRule="auto"/>
        <w:tabs>
          <w:tab w:leader="none" w:pos="8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76"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4" w:name="page335"/>
    <w:bookmarkEnd w:id="3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ARTICLE VIII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GENERAL PROVISIONS</w:t>
      </w:r>
    </w:p>
    <w:p>
      <w:pPr>
        <w:spacing w:after="0" w:line="109"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 24 hours of such electronic mail, or by telecopier, with confirmation as provided above addressed as follows:</w:t>
      </w:r>
    </w:p>
    <w:p>
      <w:pPr>
        <w:spacing w:after="0" w:line="62" w:lineRule="exact"/>
        <w:rPr>
          <w:sz w:val="20"/>
          <w:szCs w:val="20"/>
          <w:color w:val="auto"/>
        </w:rPr>
      </w:pPr>
    </w:p>
    <w:p>
      <w:pPr>
        <w:ind w:left="820" w:hanging="272"/>
        <w:spacing w:after="0"/>
        <w:tabs>
          <w:tab w:leader="none" w:pos="8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to Parent or Merger Sub:</w:t>
      </w:r>
    </w:p>
    <w:p>
      <w:pPr>
        <w:spacing w:after="0" w:line="105"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VRINGO, INC.</w:t>
      </w:r>
    </w:p>
    <w:p>
      <w:pPr>
        <w:spacing w:after="0" w:line="31" w:lineRule="exact"/>
        <w:rPr>
          <w:rFonts w:ascii="Arial" w:cs="Arial" w:eastAsia="Arial" w:hAnsi="Arial"/>
          <w:sz w:val="17"/>
          <w:szCs w:val="17"/>
          <w:color w:val="auto"/>
        </w:rPr>
      </w:pPr>
    </w:p>
    <w:p>
      <w:pPr>
        <w:ind w:left="800" w:right="7259"/>
        <w:spacing w:after="0" w:line="222" w:lineRule="auto"/>
        <w:rPr>
          <w:rFonts w:ascii="Arial" w:cs="Arial" w:eastAsia="Arial" w:hAnsi="Arial"/>
          <w:sz w:val="17"/>
          <w:szCs w:val="17"/>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Street, Suite 1414 New York, NY 10001 Telecopier: 509-271-5246</w:t>
      </w:r>
    </w:p>
    <w:p>
      <w:pPr>
        <w:ind w:left="800"/>
        <w:spacing w:after="0"/>
        <w:rPr>
          <w:rFonts w:ascii="Arial" w:cs="Arial" w:eastAsia="Arial" w:hAnsi="Arial"/>
          <w:sz w:val="17"/>
          <w:szCs w:val="17"/>
          <w:color w:val="auto"/>
        </w:rPr>
      </w:pPr>
      <w:r>
        <w:rPr>
          <w:rFonts w:ascii="Arial" w:cs="Arial" w:eastAsia="Arial" w:hAnsi="Arial"/>
          <w:sz w:val="17"/>
          <w:szCs w:val="17"/>
          <w:color w:val="auto"/>
        </w:rPr>
        <w:t>E-Mail: andrew.perlman@vringo.com</w:t>
      </w:r>
    </w:p>
    <w:p>
      <w:pPr>
        <w:spacing w:after="0" w:line="5" w:lineRule="exact"/>
        <w:rPr>
          <w:rFonts w:ascii="Arial" w:cs="Arial" w:eastAsia="Arial" w:hAnsi="Arial"/>
          <w:sz w:val="17"/>
          <w:szCs w:val="17"/>
          <w:color w:val="auto"/>
        </w:rPr>
      </w:pPr>
    </w:p>
    <w:p>
      <w:pPr>
        <w:ind w:left="800" w:right="7439"/>
        <w:spacing w:after="0" w:line="361" w:lineRule="auto"/>
        <w:rPr>
          <w:rFonts w:ascii="Arial" w:cs="Arial" w:eastAsia="Arial" w:hAnsi="Arial"/>
          <w:sz w:val="17"/>
          <w:szCs w:val="17"/>
          <w:color w:val="auto"/>
        </w:rPr>
      </w:pPr>
      <w:r>
        <w:rPr>
          <w:rFonts w:ascii="Arial" w:cs="Arial" w:eastAsia="Arial" w:hAnsi="Arial"/>
          <w:sz w:val="17"/>
          <w:szCs w:val="17"/>
          <w:color w:val="auto"/>
        </w:rPr>
        <w:t>Attention: Andrew Perlman With copies to:</w:t>
      </w:r>
    </w:p>
    <w:p>
      <w:pPr>
        <w:spacing w:after="0" w:line="1" w:lineRule="exact"/>
        <w:rPr>
          <w:rFonts w:ascii="Arial" w:cs="Arial" w:eastAsia="Arial" w:hAnsi="Arial"/>
          <w:sz w:val="17"/>
          <w:szCs w:val="17"/>
          <w:color w:val="auto"/>
        </w:rPr>
      </w:pPr>
    </w:p>
    <w:p>
      <w:pPr>
        <w:ind w:left="800" w:right="5759"/>
        <w:spacing w:after="0" w:line="253" w:lineRule="auto"/>
        <w:rPr>
          <w:rFonts w:ascii="Arial" w:cs="Arial" w:eastAsia="Arial" w:hAnsi="Arial"/>
          <w:sz w:val="17"/>
          <w:szCs w:val="17"/>
          <w:color w:val="auto"/>
        </w:rPr>
      </w:pPr>
      <w:r>
        <w:rPr>
          <w:rFonts w:ascii="Arial" w:cs="Arial" w:eastAsia="Arial" w:hAnsi="Arial"/>
          <w:sz w:val="17"/>
          <w:szCs w:val="17"/>
          <w:color w:val="auto"/>
        </w:rPr>
        <w:t>Mintz, Levin, Cohn, Ferris, Glovsky and Popeo, P.C. 666 Third Avenue</w:t>
      </w:r>
    </w:p>
    <w:p>
      <w:pPr>
        <w:spacing w:after="0" w:line="1" w:lineRule="exact"/>
        <w:rPr>
          <w:rFonts w:ascii="Arial" w:cs="Arial" w:eastAsia="Arial" w:hAnsi="Arial"/>
          <w:sz w:val="17"/>
          <w:szCs w:val="17"/>
          <w:color w:val="auto"/>
        </w:rPr>
      </w:pPr>
    </w:p>
    <w:p>
      <w:pPr>
        <w:ind w:left="800" w:right="7399"/>
        <w:spacing w:after="0" w:line="291" w:lineRule="auto"/>
        <w:rPr>
          <w:rFonts w:ascii="Arial" w:cs="Arial" w:eastAsia="Arial" w:hAnsi="Arial"/>
          <w:sz w:val="17"/>
          <w:szCs w:val="17"/>
          <w:color w:val="auto"/>
        </w:rPr>
      </w:pPr>
      <w:r>
        <w:rPr>
          <w:rFonts w:ascii="Arial" w:cs="Arial" w:eastAsia="Arial" w:hAnsi="Arial"/>
          <w:sz w:val="15"/>
          <w:szCs w:val="15"/>
          <w:color w:val="auto"/>
        </w:rPr>
        <w:t>New York, NY 10017 Telecopier: 212-983-3115 E-Mail: KKoch@mintz.com Attention: Ken Koch</w:t>
      </w:r>
    </w:p>
    <w:p>
      <w:pPr>
        <w:spacing w:after="0" w:line="53" w:lineRule="exact"/>
        <w:rPr>
          <w:rFonts w:ascii="Arial" w:cs="Arial" w:eastAsia="Arial" w:hAnsi="Arial"/>
          <w:sz w:val="17"/>
          <w:szCs w:val="17"/>
          <w:color w:val="auto"/>
        </w:rPr>
      </w:pPr>
    </w:p>
    <w:p>
      <w:pPr>
        <w:ind w:left="820" w:hanging="272"/>
        <w:spacing w:after="0"/>
        <w:tabs>
          <w:tab w:leader="none" w:pos="8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If to the Company:</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INNOVATE/PROTECT, INC.</w:t>
      </w:r>
    </w:p>
    <w:p>
      <w:pPr>
        <w:ind w:left="800"/>
        <w:spacing w:after="0" w:line="218" w:lineRule="auto"/>
        <w:rPr>
          <w:sz w:val="20"/>
          <w:szCs w:val="20"/>
          <w:color w:val="auto"/>
        </w:rPr>
      </w:pPr>
      <w:r>
        <w:rPr>
          <w:rFonts w:ascii="Arial" w:cs="Arial" w:eastAsia="Arial" w:hAnsi="Arial"/>
          <w:sz w:val="17"/>
          <w:szCs w:val="17"/>
          <w:color w:val="auto"/>
        </w:rPr>
        <w:t>380 Madison Avenue,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ind w:left="800"/>
        <w:spacing w:after="0"/>
        <w:rPr>
          <w:sz w:val="20"/>
          <w:szCs w:val="20"/>
          <w:color w:val="auto"/>
        </w:rPr>
      </w:pPr>
      <w:r>
        <w:rPr>
          <w:rFonts w:ascii="Arial" w:cs="Arial" w:eastAsia="Arial" w:hAnsi="Arial"/>
          <w:sz w:val="17"/>
          <w:szCs w:val="17"/>
          <w:color w:val="auto"/>
        </w:rPr>
        <w:t>New York, NY 10017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(646) 532-6775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aberger@innovateprotect.com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Alexander R. Berger</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With a copies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Weinberg Zareh &amp; Geyerhahn LLP</w:t>
      </w:r>
    </w:p>
    <w:p>
      <w:pPr>
        <w:ind w:left="800"/>
        <w:spacing w:after="0" w:line="218" w:lineRule="auto"/>
        <w:rPr>
          <w:sz w:val="20"/>
          <w:szCs w:val="20"/>
          <w:color w:val="auto"/>
        </w:rPr>
      </w:pPr>
      <w:r>
        <w:rPr>
          <w:rFonts w:ascii="Arial" w:cs="Arial" w:eastAsia="Arial" w:hAnsi="Arial"/>
          <w:sz w:val="17"/>
          <w:szCs w:val="17"/>
          <w:color w:val="auto"/>
        </w:rPr>
        <w:t>161 West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Street, Suite 12G</w:t>
      </w:r>
    </w:p>
    <w:p>
      <w:pPr>
        <w:ind w:left="800"/>
        <w:spacing w:after="0"/>
        <w:rPr>
          <w:sz w:val="20"/>
          <w:szCs w:val="20"/>
          <w:color w:val="auto"/>
        </w:rPr>
      </w:pPr>
      <w:r>
        <w:rPr>
          <w:rFonts w:ascii="Arial" w:cs="Arial" w:eastAsia="Arial" w:hAnsi="Arial"/>
          <w:sz w:val="17"/>
          <w:szCs w:val="17"/>
          <w:color w:val="auto"/>
        </w:rPr>
        <w:t>New York, New York 10023</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seth@wzgllp.com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Seth Weinberg</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Hudson Bay Master Fund Ltd.</w:t>
      </w:r>
    </w:p>
    <w:p>
      <w:pPr>
        <w:ind w:left="800"/>
        <w:spacing w:after="0" w:line="218" w:lineRule="auto"/>
        <w:rPr>
          <w:sz w:val="20"/>
          <w:szCs w:val="20"/>
          <w:color w:val="auto"/>
        </w:rPr>
      </w:pPr>
      <w:r>
        <w:rPr>
          <w:rFonts w:ascii="Arial" w:cs="Arial" w:eastAsia="Arial" w:hAnsi="Arial"/>
          <w:sz w:val="17"/>
          <w:szCs w:val="17"/>
          <w:color w:val="auto"/>
        </w:rPr>
        <w:t>777 Third Avenue,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800"/>
        <w:spacing w:after="0"/>
        <w:rPr>
          <w:sz w:val="20"/>
          <w:szCs w:val="20"/>
          <w:color w:val="auto"/>
        </w:rPr>
      </w:pPr>
      <w:r>
        <w:rPr>
          <w:rFonts w:ascii="Arial" w:cs="Arial" w:eastAsia="Arial" w:hAnsi="Arial"/>
          <w:sz w:val="17"/>
          <w:szCs w:val="17"/>
          <w:color w:val="auto"/>
        </w:rPr>
        <w:t>New York, NY 10017</w:t>
      </w:r>
    </w:p>
    <w:p>
      <w:pPr>
        <w:spacing w:after="0" w:line="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(212) 571-1325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investments@hudsonbaycapital.com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Yoav Roth</w:t>
      </w:r>
    </w:p>
    <w:p>
      <w:pPr>
        <w:spacing w:after="0" w:line="9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Schulte Roth &amp; Zabel LLP</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919 Third Avenue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New York 10022</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Telecopier: (212) 593-5955</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E-Mail: eleazer.klein@srz.com</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Attention: Eleazer Klein</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5" w:name="page336"/>
    <w:bookmarkEnd w:id="3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2" w:lineRule="auto"/>
        <w:rPr>
          <w:sz w:val="20"/>
          <w:szCs w:val="20"/>
          <w:color w:val="auto"/>
        </w:rPr>
      </w:pPr>
      <w:r>
        <w:rPr>
          <w:rFonts w:ascii="Arial" w:cs="Arial" w:eastAsia="Arial" w:hAnsi="Arial"/>
          <w:sz w:val="15"/>
          <w:szCs w:val="15"/>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5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Interpretation</w:t>
      </w:r>
      <w:r>
        <w:rPr>
          <w:rFonts w:ascii="Arial" w:cs="Arial" w:eastAsia="Arial" w:hAnsi="Arial"/>
          <w:sz w:val="15"/>
          <w:szCs w:val="15"/>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53"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53"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62"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76"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Parties in Interest</w:t>
      </w:r>
      <w:r>
        <w:rPr>
          <w:rFonts w:ascii="Arial" w:cs="Arial" w:eastAsia="Arial" w:hAnsi="Arial"/>
          <w:sz w:val="15"/>
          <w:szCs w:val="15"/>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the provisions of Article I and Sections 5.9 and 5.10 are intended for the benefit of each of the individuals specified therein and their successors and assigns.</w:t>
      </w:r>
    </w:p>
    <w:p>
      <w:pPr>
        <w:spacing w:after="0" w:line="48"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Governing Law; Enforcement</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67" w:lineRule="auto"/>
        <w:tabs>
          <w:tab w:leader="none" w:pos="843"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This Agreement and the rights and duties of the Parties hereunder shall be governed by, and construed in accordance with, the law of the State of New York, except to the extent required under Delaware law.</w:t>
      </w:r>
    </w:p>
    <w:p>
      <w:pPr>
        <w:spacing w:after="0" w:line="66" w:lineRule="exact"/>
        <w:rPr>
          <w:rFonts w:ascii="Arial" w:cs="Arial" w:eastAsia="Arial" w:hAnsi="Arial"/>
          <w:sz w:val="17"/>
          <w:szCs w:val="17"/>
          <w:color w:val="auto"/>
        </w:rPr>
      </w:pPr>
    </w:p>
    <w:p>
      <w:pPr>
        <w:jc w:val="both"/>
        <w:ind w:left="300" w:right="1239" w:firstLine="248"/>
        <w:spacing w:after="0" w:line="270" w:lineRule="auto"/>
        <w:tabs>
          <w:tab w:leader="none" w:pos="84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6" w:name="page337"/>
    <w:bookmarkEnd w:id="3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8" w:lineRule="auto"/>
        <w:rPr>
          <w:sz w:val="20"/>
          <w:szCs w:val="20"/>
          <w:color w:val="auto"/>
        </w:rPr>
      </w:pPr>
      <w:r>
        <w:rPr>
          <w:rFonts w:ascii="Arial" w:cs="Arial" w:eastAsia="Arial" w:hAnsi="Arial"/>
          <w:sz w:val="15"/>
          <w:szCs w:val="15"/>
          <w:color w:val="auto"/>
        </w:rPr>
        <w:t>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5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[REMAINDER OF PAGE INTENTIONALLY LEFT BLANK]</w:t>
      </w: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7" w:name="page338"/>
    <w:bookmarkEnd w:id="3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Parent, Merger Sub and the Company have caused this Agreement to 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jc w:val="center"/>
        <w:ind w:right="419"/>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tbl>
      <w:tblPr>
        <w:tblLayout w:type="fixed"/>
        <w:tblInd w:w="4280" w:type="dxa"/>
        <w:tblCellMar>
          <w:top w:w="0" w:type="dxa"/>
          <w:left w:w="0" w:type="dxa"/>
          <w:bottom w:w="0" w:type="dxa"/>
          <w:right w:w="0" w:type="dxa"/>
        </w:tblCellMar>
      </w:tblPr>
      <w:tr>
        <w:trPr>
          <w:trHeight w:val="201"/>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D. Perlman</w:t>
            </w:r>
          </w:p>
        </w:tc>
      </w:tr>
      <w:tr>
        <w:trPr>
          <w:trHeight w:val="181"/>
        </w:trPr>
        <w:tc>
          <w:tcPr>
            <w:tcW w:w="340" w:type="dxa"/>
            <w:vAlign w:val="bottom"/>
          </w:tcPr>
          <w:p>
            <w:pPr>
              <w:spacing w:after="0"/>
              <w:rPr>
                <w:sz w:val="15"/>
                <w:szCs w:val="15"/>
                <w:color w:val="auto"/>
              </w:rPr>
            </w:pPr>
          </w:p>
        </w:tc>
        <w:tc>
          <w:tcPr>
            <w:tcW w:w="3000" w:type="dxa"/>
            <w:vAlign w:val="bottom"/>
          </w:tcPr>
          <w:p>
            <w:pPr>
              <w:spacing w:after="0" w:line="180" w:lineRule="exact"/>
              <w:rPr>
                <w:sz w:val="20"/>
                <w:szCs w:val="20"/>
                <w:color w:val="auto"/>
              </w:rPr>
            </w:pPr>
            <w:r>
              <w:rPr>
                <w:rFonts w:ascii="Arial" w:cs="Arial" w:eastAsia="Arial" w:hAnsi="Arial"/>
                <w:sz w:val="17"/>
                <w:szCs w:val="17"/>
                <w:color w:val="auto"/>
              </w:rPr>
              <w:t>Name: Andrew D. Perlman</w:t>
            </w:r>
          </w:p>
        </w:tc>
      </w:tr>
      <w:tr>
        <w:trPr>
          <w:trHeight w:val="196"/>
        </w:trPr>
        <w:tc>
          <w:tcPr>
            <w:tcW w:w="340" w:type="dxa"/>
            <w:vAlign w:val="bottom"/>
          </w:tcPr>
          <w:p>
            <w:pPr>
              <w:spacing w:after="0"/>
              <w:rPr>
                <w:sz w:val="17"/>
                <w:szCs w:val="17"/>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Title: CEO</w:t>
            </w:r>
          </w:p>
        </w:tc>
      </w:tr>
      <w:tr>
        <w:trPr>
          <w:trHeight w:val="204"/>
        </w:trPr>
        <w:tc>
          <w:tcPr>
            <w:tcW w:w="3340" w:type="dxa"/>
            <w:vAlign w:val="bottom"/>
            <w:gridSpan w:val="2"/>
          </w:tcPr>
          <w:p>
            <w:pPr>
              <w:spacing w:after="0"/>
              <w:rPr>
                <w:sz w:val="20"/>
                <w:szCs w:val="20"/>
                <w:color w:val="auto"/>
              </w:rPr>
            </w:pPr>
            <w:r>
              <w:rPr>
                <w:rFonts w:ascii="Arial" w:cs="Arial" w:eastAsia="Arial" w:hAnsi="Arial"/>
                <w:sz w:val="17"/>
                <w:szCs w:val="17"/>
                <w:b w:val="1"/>
                <w:bCs w:val="1"/>
                <w:color w:val="auto"/>
              </w:rPr>
              <w:t>VIP MERGER SUB, INC.</w:t>
            </w:r>
          </w:p>
        </w:tc>
      </w:tr>
      <w:tr>
        <w:trPr>
          <w:trHeight w:val="213"/>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D. Perlman</w:t>
            </w:r>
          </w:p>
        </w:tc>
      </w:tr>
      <w:tr>
        <w:trPr>
          <w:trHeight w:val="194"/>
        </w:trPr>
        <w:tc>
          <w:tcPr>
            <w:tcW w:w="34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7"/>
                <w:szCs w:val="17"/>
                <w:color w:val="auto"/>
              </w:rPr>
              <w:t>Name: Andrew D. Perlman</w:t>
            </w:r>
          </w:p>
        </w:tc>
      </w:tr>
    </w:tbl>
    <w:p>
      <w:pPr>
        <w:ind w:left="4620"/>
        <w:spacing w:after="0"/>
        <w:rPr>
          <w:sz w:val="20"/>
          <w:szCs w:val="20"/>
          <w:color w:val="auto"/>
        </w:rPr>
      </w:pPr>
      <w:r>
        <w:rPr>
          <w:rFonts w:ascii="Arial" w:cs="Arial" w:eastAsia="Arial" w:hAnsi="Arial"/>
          <w:sz w:val="17"/>
          <w:szCs w:val="17"/>
          <w:color w:val="auto"/>
        </w:rPr>
        <w:t>Title: President</w:t>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INNOVATE/PROTECT, INC.</w:t>
      </w:r>
    </w:p>
    <w:p>
      <w:pPr>
        <w:spacing w:after="0" w:line="5" w:lineRule="exact"/>
        <w:rPr>
          <w:sz w:val="20"/>
          <w:szCs w:val="20"/>
          <w:color w:val="auto"/>
        </w:rPr>
      </w:pPr>
    </w:p>
    <w:p>
      <w:pPr>
        <w:ind w:left="4280"/>
        <w:spacing w:after="0"/>
        <w:tabs>
          <w:tab w:leader="none" w:pos="46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 Alexander Berger</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Title: COO and Director</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8" w:name="page339"/>
    <w:bookmarkEnd w:id="3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B</w:t>
      </w:r>
    </w:p>
    <w:p>
      <w:pPr>
        <w:spacing w:after="0" w:line="20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MERGER</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 Delaware Corporation)</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INTO</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VIP MERGER SUB, INC.</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(a Delaware Corporation)</w:t>
      </w:r>
    </w:p>
    <w:p>
      <w:pPr>
        <w:spacing w:after="0" w:line="93"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Pursuant to the provisions of Section 251(c)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the undersigned corporation hereby certifies as follows:</w:t>
      </w:r>
    </w:p>
    <w:p>
      <w:pPr>
        <w:spacing w:after="0" w:line="66" w:lineRule="exact"/>
        <w:rPr>
          <w:sz w:val="20"/>
          <w:szCs w:val="20"/>
          <w:color w:val="auto"/>
        </w:rPr>
      </w:pPr>
    </w:p>
    <w:p>
      <w:pPr>
        <w:jc w:val="both"/>
        <w:ind w:left="520" w:right="1239" w:hanging="260"/>
        <w:spacing w:after="0" w:line="256" w:lineRule="auto"/>
        <w:tabs>
          <w:tab w:leader="none" w:pos="5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constituent corporations are VIP Merger Sub, Inc., a Delaware corporation (sometimes referred to hereafter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Innovate/Protect, Inc., a Delaware corporation (together with the Surviving Corporation, the “</w:t>
      </w:r>
      <w:r>
        <w:rPr>
          <w:rFonts w:ascii="Arial" w:cs="Arial" w:eastAsia="Arial" w:hAnsi="Arial"/>
          <w:sz w:val="17"/>
          <w:szCs w:val="17"/>
          <w:u w:val="single" w:color="auto"/>
          <w:color w:val="auto"/>
        </w:rPr>
        <w:t>Constituent Corporations</w:t>
      </w:r>
      <w:r>
        <w:rPr>
          <w:rFonts w:ascii="Arial" w:cs="Arial" w:eastAsia="Arial" w:hAnsi="Arial"/>
          <w:sz w:val="17"/>
          <w:szCs w:val="17"/>
          <w:color w:val="auto"/>
        </w:rPr>
        <w:t>”).</w:t>
      </w:r>
    </w:p>
    <w:p>
      <w:pPr>
        <w:spacing w:after="0" w:line="76"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 Agreement and Plan of Merger, dated as of March __, 2012,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has been approved, adopted, certified, executed and acknowledged by each of the Constituent Corporations in accordance with Section 251 and 228 of the DGCL.</w:t>
      </w:r>
    </w:p>
    <w:p>
      <w:pPr>
        <w:spacing w:after="0" w:line="7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VIP Merger Sub, Inc. shall be the surviving corporation in the merger except that the name of the Surviving Corporation will become Innovate/Protect, Inc.</w:t>
      </w:r>
    </w:p>
    <w:p>
      <w:pPr>
        <w:spacing w:after="0" w:line="66" w:lineRule="exact"/>
        <w:rPr>
          <w:rFonts w:ascii="Arial" w:cs="Arial" w:eastAsia="Arial" w:hAnsi="Arial"/>
          <w:sz w:val="17"/>
          <w:szCs w:val="17"/>
          <w:color w:val="auto"/>
        </w:rPr>
      </w:pPr>
    </w:p>
    <w:p>
      <w:pPr>
        <w:ind w:left="520" w:right="1239" w:hanging="260"/>
        <w:spacing w:after="0" w:line="335" w:lineRule="auto"/>
        <w:tabs>
          <w:tab w:leader="none" w:pos="52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19" w:lineRule="exact"/>
        <w:rPr>
          <w:rFonts w:ascii="Arial" w:cs="Arial" w:eastAsia="Arial" w:hAnsi="Arial"/>
          <w:sz w:val="15"/>
          <w:szCs w:val="15"/>
          <w:color w:val="auto"/>
        </w:rPr>
      </w:pPr>
    </w:p>
    <w:p>
      <w:pPr>
        <w:ind w:left="520" w:right="1239" w:hanging="260"/>
        <w:spacing w:after="0" w:line="267" w:lineRule="auto"/>
        <w:tabs>
          <w:tab w:leader="none" w:pos="5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 copy of the executed Merger Agreement is on file at the office of the Surviving Corporation, the address of which is as follows: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w:t>
      </w:r>
    </w:p>
    <w:p>
      <w:pPr>
        <w:ind w:left="540"/>
        <w:spacing w:after="0"/>
        <w:rPr>
          <w:sz w:val="20"/>
          <w:szCs w:val="20"/>
          <w:color w:val="auto"/>
        </w:rPr>
      </w:pPr>
      <w:r>
        <w:rPr>
          <w:rFonts w:ascii="Arial" w:cs="Arial" w:eastAsia="Arial" w:hAnsi="Arial"/>
          <w:sz w:val="17"/>
          <w:szCs w:val="17"/>
          <w:color w:val="auto"/>
        </w:rPr>
        <w:t>New York, NY 10001</w:t>
      </w:r>
    </w:p>
    <w:p>
      <w:pPr>
        <w:spacing w:after="0" w:line="91" w:lineRule="exact"/>
        <w:rPr>
          <w:sz w:val="20"/>
          <w:szCs w:val="20"/>
          <w:color w:val="auto"/>
        </w:rPr>
      </w:pPr>
    </w:p>
    <w:p>
      <w:pPr>
        <w:ind w:left="520" w:right="1239" w:hanging="260"/>
        <w:spacing w:after="0" w:line="267" w:lineRule="auto"/>
        <w:tabs>
          <w:tab w:leader="none" w:pos="5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 copy of the Merger Agreement will be furnished by the Surviving Corporation, on request and without cost, to any stockholder of either Constituent Corporation.</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This Certificate of Merger (“</w:t>
      </w:r>
      <w:r>
        <w:rPr>
          <w:rFonts w:ascii="Arial" w:cs="Arial" w:eastAsia="Arial" w:hAnsi="Arial"/>
          <w:sz w:val="17"/>
          <w:szCs w:val="17"/>
          <w:u w:val="single" w:color="auto"/>
          <w:color w:val="auto"/>
        </w:rPr>
        <w:t>Certificate</w:t>
      </w:r>
      <w:r>
        <w:rPr>
          <w:rFonts w:ascii="Arial" w:cs="Arial" w:eastAsia="Arial" w:hAnsi="Arial"/>
          <w:sz w:val="17"/>
          <w:szCs w:val="17"/>
          <w:color w:val="auto"/>
        </w:rPr>
        <w:t>”) shall be effective at such time as this Certificate is filed with the Secretary of the State of Delaware in accordance with the provisions of Section 103 and 251(c) of the DGCL.</w:t>
      </w:r>
    </w:p>
    <w:p>
      <w:pPr>
        <w:spacing w:after="0" w:line="66"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the Surviving Corporation has caused this Certificate of Merger to be executed by a duly authorized officer as of _____________ 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7"/>
          <w:szCs w:val="17"/>
          <w:b w:val="1"/>
          <w:bCs w:val="1"/>
          <w:color w:val="auto"/>
        </w:rPr>
        <w:t>VIP MERGER SUB,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39" w:name="page340"/>
    <w:bookmarkEnd w:id="3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20"/>
        <w:spacing w:after="0"/>
        <w:rPr>
          <w:sz w:val="20"/>
          <w:szCs w:val="20"/>
          <w:color w:val="auto"/>
        </w:rPr>
      </w:pPr>
      <w:r>
        <w:rPr>
          <w:rFonts w:ascii="Arial" w:cs="Arial" w:eastAsia="Arial" w:hAnsi="Arial"/>
          <w:sz w:val="15"/>
          <w:szCs w:val="15"/>
          <w:color w:val="auto"/>
        </w:rPr>
        <w:t>Exhibit H</w:t>
      </w:r>
    </w:p>
    <w:p>
      <w:pPr>
        <w:spacing w:after="0" w:line="124"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6"/>
          <w:szCs w:val="16"/>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7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INNOVATE/PROTECT, INC.</w:t>
      </w:r>
    </w:p>
    <w:p>
      <w:pPr>
        <w:spacing w:after="0" w:line="10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FORM OF AMENDED AND RESTATED SENIOR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215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4620" w:val="left"/>
        </w:tabs>
        <w:rPr>
          <w:sz w:val="20"/>
          <w:szCs w:val="20"/>
          <w:color w:val="auto"/>
        </w:rPr>
      </w:pPr>
      <w:r>
        <w:rPr>
          <w:rFonts w:ascii="Arial" w:cs="Arial" w:eastAsia="Arial" w:hAnsi="Arial"/>
          <w:sz w:val="17"/>
          <w:szCs w:val="17"/>
          <w:color w:val="auto"/>
        </w:rPr>
        <w:t>Original Issuance Date: June 22, 2011</w:t>
      </w:r>
      <w:r>
        <w:rPr>
          <w:sz w:val="20"/>
          <w:szCs w:val="20"/>
          <w:color w:val="auto"/>
        </w:rPr>
        <w:tab/>
      </w:r>
      <w:r>
        <w:rPr>
          <w:rFonts w:ascii="Arial" w:cs="Arial" w:eastAsia="Arial" w:hAnsi="Arial"/>
          <w:sz w:val="15"/>
          <w:szCs w:val="15"/>
          <w:color w:val="auto"/>
        </w:rPr>
        <w:t>Original Principal Amount: U.S. $3,200,000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Amendment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Restatement Date: [________ ___,] 2012</w:t>
      </w:r>
    </w:p>
    <w:p>
      <w:pPr>
        <w:spacing w:after="0" w:line="89"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b w:val="1"/>
          <w:bCs w:val="1"/>
          <w:color w:val="auto"/>
        </w:rPr>
        <w:t xml:space="preserve">FOR VALUE RECEIVED, </w:t>
      </w:r>
      <w:r>
        <w:rPr>
          <w:rFonts w:ascii="Arial" w:cs="Arial" w:eastAsia="Arial" w:hAnsi="Arial"/>
          <w:sz w:val="15"/>
          <w:szCs w:val="15"/>
          <w:color w:val="auto"/>
        </w:rPr>
        <w:t>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promises to pay</w:t>
      </w:r>
      <w:r>
        <w:rPr>
          <w:rFonts w:ascii="Arial" w:cs="Arial" w:eastAsia="Arial" w:hAnsi="Arial"/>
          <w:sz w:val="15"/>
          <w:szCs w:val="15"/>
          <w:b w:val="1"/>
          <w:bCs w:val="1"/>
          <w:color w:val="auto"/>
        </w:rPr>
        <w:t xml:space="preserve"> </w:t>
      </w:r>
      <w:r>
        <w:rPr>
          <w:rFonts w:ascii="Arial" w:cs="Arial" w:eastAsia="Arial" w:hAnsi="Arial"/>
          <w:sz w:val="15"/>
          <w:szCs w:val="15"/>
          <w:color w:val="auto"/>
        </w:rPr>
        <w:t>to HUDSON BAY MASTER FUND LTD. or registered assigns (the “</w:t>
      </w:r>
      <w:r>
        <w:rPr>
          <w:rFonts w:ascii="Arial" w:cs="Arial" w:eastAsia="Arial" w:hAnsi="Arial"/>
          <w:sz w:val="15"/>
          <w:szCs w:val="15"/>
          <w:b w:val="1"/>
          <w:bCs w:val="1"/>
          <w:color w:val="auto"/>
        </w:rPr>
        <w:t>Holder</w:t>
      </w:r>
      <w:r>
        <w:rPr>
          <w:rFonts w:ascii="Arial" w:cs="Arial" w:eastAsia="Arial" w:hAnsi="Arial"/>
          <w:sz w:val="15"/>
          <w:szCs w:val="15"/>
          <w:color w:val="auto"/>
        </w:rPr>
        <w:t>”) the amount set out above as the Original Principal Amount (as reduced pursuant to the terms hereof pursuant to redemption or otherwise, the “</w:t>
      </w:r>
      <w:r>
        <w:rPr>
          <w:rFonts w:ascii="Arial" w:cs="Arial" w:eastAsia="Arial" w:hAnsi="Arial"/>
          <w:sz w:val="15"/>
          <w:szCs w:val="15"/>
          <w:b w:val="1"/>
          <w:bCs w:val="1"/>
          <w:color w:val="auto"/>
        </w:rPr>
        <w:t>Principal</w:t>
      </w:r>
      <w:r>
        <w:rPr>
          <w:rFonts w:ascii="Arial" w:cs="Arial" w:eastAsia="Arial" w:hAnsi="Arial"/>
          <w:sz w:val="15"/>
          <w:szCs w:val="15"/>
          <w:color w:val="auto"/>
        </w:rPr>
        <w:t>”) when due, whether upon the Maturity Date (as defined below), acceleration, redemption or otherwise (in each case in accordance with the terms hereof) and to pay interest (“</w:t>
      </w:r>
      <w:r>
        <w:rPr>
          <w:rFonts w:ascii="Arial" w:cs="Arial" w:eastAsia="Arial" w:hAnsi="Arial"/>
          <w:sz w:val="15"/>
          <w:szCs w:val="15"/>
          <w:b w:val="1"/>
          <w:bCs w:val="1"/>
          <w:color w:val="auto"/>
        </w:rPr>
        <w:t>Interest</w:t>
      </w:r>
      <w:r>
        <w:rPr>
          <w:rFonts w:ascii="Arial" w:cs="Arial" w:eastAsia="Arial" w:hAnsi="Arial"/>
          <w:sz w:val="15"/>
          <w:szCs w:val="15"/>
          <w:color w:val="auto"/>
        </w:rPr>
        <w:t>”) on any outstanding Principal at the applicable Interest Rate from the date set out above as the Original Issuance Date (the “</w:t>
      </w:r>
      <w:r>
        <w:rPr>
          <w:rFonts w:ascii="Arial" w:cs="Arial" w:eastAsia="Arial" w:hAnsi="Arial"/>
          <w:sz w:val="15"/>
          <w:szCs w:val="15"/>
          <w:b w:val="1"/>
          <w:bCs w:val="1"/>
          <w:color w:val="auto"/>
        </w:rPr>
        <w:t>Issuance Date</w:t>
      </w:r>
      <w:r>
        <w:rPr>
          <w:rFonts w:ascii="Arial" w:cs="Arial" w:eastAsia="Arial" w:hAnsi="Arial"/>
          <w:sz w:val="15"/>
          <w:szCs w:val="15"/>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5"/>
          <w:szCs w:val="15"/>
          <w:b w:val="1"/>
          <w:bCs w:val="1"/>
          <w:color w:val="auto"/>
        </w:rPr>
        <w:t>Note</w:t>
      </w:r>
      <w:r>
        <w:rPr>
          <w:rFonts w:ascii="Arial" w:cs="Arial" w:eastAsia="Arial" w:hAnsi="Arial"/>
          <w:sz w:val="15"/>
          <w:szCs w:val="15"/>
          <w:color w:val="auto"/>
        </w:rPr>
        <w:t>”) was issued pursuant to the Subscription Agreement on June 22, 2011. Certain capitalized terms used herein are defined in Section 25.</w:t>
      </w:r>
    </w:p>
    <w:p>
      <w:pPr>
        <w:spacing w:after="0" w:line="59" w:lineRule="exact"/>
        <w:rPr>
          <w:sz w:val="20"/>
          <w:szCs w:val="20"/>
          <w:color w:val="auto"/>
        </w:rPr>
      </w:pPr>
    </w:p>
    <w:p>
      <w:pPr>
        <w:jc w:val="both"/>
        <w:ind w:left="40" w:right="1239" w:firstLine="258"/>
        <w:spacing w:after="0" w:line="285" w:lineRule="auto"/>
        <w:tabs>
          <w:tab w:leader="none" w:pos="569" w:val="left"/>
        </w:tabs>
        <w:numPr>
          <w:ilvl w:val="0"/>
          <w:numId w:val="258"/>
        </w:numPr>
        <w:rPr>
          <w:rFonts w:ascii="Arial" w:cs="Arial" w:eastAsia="Arial" w:hAnsi="Arial"/>
          <w:sz w:val="15"/>
          <w:szCs w:val="15"/>
          <w:color w:val="auto"/>
        </w:rPr>
      </w:pPr>
      <w:r>
        <w:rPr>
          <w:rFonts w:ascii="Arial" w:cs="Arial" w:eastAsia="Arial" w:hAnsi="Arial"/>
          <w:sz w:val="15"/>
          <w:szCs w:val="15"/>
          <w:u w:val="single" w:color="auto"/>
          <w:color w:val="auto"/>
        </w:rPr>
        <w:t>PAYMENTS OF PRINCIPAL</w:t>
      </w:r>
      <w:r>
        <w:rPr>
          <w:rFonts w:ascii="Arial" w:cs="Arial" w:eastAsia="Arial" w:hAnsi="Arial"/>
          <w:sz w:val="15"/>
          <w:szCs w:val="15"/>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5"/>
          <w:szCs w:val="15"/>
          <w:b w:val="1"/>
          <w:bCs w:val="1"/>
          <w:color w:val="auto"/>
        </w:rPr>
        <w:t>Maturity Date</w:t>
      </w:r>
      <w:r>
        <w:rPr>
          <w:rFonts w:ascii="Arial" w:cs="Arial" w:eastAsia="Arial" w:hAnsi="Arial"/>
          <w:sz w:val="15"/>
          <w:szCs w:val="15"/>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56" w:lineRule="exact"/>
        <w:rPr>
          <w:rFonts w:ascii="Arial" w:cs="Arial" w:eastAsia="Arial" w:hAnsi="Arial"/>
          <w:sz w:val="15"/>
          <w:szCs w:val="15"/>
          <w:color w:val="auto"/>
        </w:rPr>
      </w:pPr>
    </w:p>
    <w:p>
      <w:pPr>
        <w:jc w:val="both"/>
        <w:ind w:left="40" w:right="1239" w:firstLine="258"/>
        <w:spacing w:after="0" w:line="256" w:lineRule="auto"/>
        <w:tabs>
          <w:tab w:leader="none" w:pos="606"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INTEREST; INTEREST RATE</w:t>
      </w:r>
      <w:r>
        <w:rPr>
          <w:rFonts w:ascii="Arial" w:cs="Arial" w:eastAsia="Arial" w:hAnsi="Arial"/>
          <w:sz w:val="17"/>
          <w:szCs w:val="17"/>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7"/>
          <w:szCs w:val="17"/>
          <w:b w:val="1"/>
          <w:bCs w:val="1"/>
          <w:color w:val="auto"/>
        </w:rPr>
        <w:t>Interest Date</w:t>
      </w:r>
      <w:r>
        <w:rPr>
          <w:rFonts w:ascii="Arial" w:cs="Arial" w:eastAsia="Arial" w:hAnsi="Arial"/>
          <w:sz w:val="17"/>
          <w:szCs w:val="17"/>
          <w:color w:val="auto"/>
        </w:rPr>
        <w:t>”)</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0" w:name="page341"/>
    <w:bookmarkEnd w:id="3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309" w:lineRule="auto"/>
        <w:rPr>
          <w:sz w:val="20"/>
          <w:szCs w:val="20"/>
          <w:color w:val="auto"/>
        </w:rPr>
      </w:pPr>
      <w:r>
        <w:rPr>
          <w:rFonts w:ascii="Arial" w:cs="Arial" w:eastAsia="Arial" w:hAnsi="Arial"/>
          <w:sz w:val="15"/>
          <w:szCs w:val="15"/>
          <w:color w:val="auto"/>
        </w:rPr>
        <w:t>with the first Interest Date being July 1, 2011. Interest shall be payable in cash on each Interest Date, to the record holder of this Note on the applicable Interest Date (“</w:t>
      </w:r>
      <w:r>
        <w:rPr>
          <w:rFonts w:ascii="Arial" w:cs="Arial" w:eastAsia="Arial" w:hAnsi="Arial"/>
          <w:sz w:val="15"/>
          <w:szCs w:val="15"/>
          <w:b w:val="1"/>
          <w:bCs w:val="1"/>
          <w:color w:val="auto"/>
        </w:rPr>
        <w:t>Interest</w:t>
      </w:r>
      <w:r>
        <w:rPr>
          <w:rFonts w:ascii="Arial" w:cs="Arial" w:eastAsia="Arial" w:hAnsi="Arial"/>
          <w:sz w:val="15"/>
          <w:szCs w:val="15"/>
          <w:color w:val="auto"/>
        </w:rPr>
        <w:t>”) It is understood and agreed that Interest has been paid through January 1, 2012.</w:t>
      </w:r>
      <w:r>
        <w:rPr>
          <w:rFonts w:ascii="Arial" w:cs="Arial" w:eastAsia="Arial" w:hAnsi="Arial"/>
          <w:sz w:val="24"/>
          <w:szCs w:val="24"/>
          <w:color w:val="auto"/>
          <w:vertAlign w:val="superscript"/>
        </w:rPr>
        <w:t>(1)</w:t>
      </w:r>
    </w:p>
    <w:p>
      <w:pPr>
        <w:jc w:val="both"/>
        <w:ind w:left="300" w:right="1239" w:firstLine="248"/>
        <w:spacing w:after="0" w:line="288" w:lineRule="auto"/>
        <w:tabs>
          <w:tab w:leader="none" w:pos="825" w:val="left"/>
        </w:tabs>
        <w:numPr>
          <w:ilvl w:val="2"/>
          <w:numId w:val="259"/>
        </w:numPr>
        <w:rPr>
          <w:rFonts w:ascii="Arial" w:cs="Arial" w:eastAsia="Arial" w:hAnsi="Arial"/>
          <w:sz w:val="15"/>
          <w:szCs w:val="15"/>
          <w:color w:val="auto"/>
        </w:rPr>
      </w:pPr>
      <w:r>
        <w:rPr>
          <w:rFonts w:ascii="Arial" w:cs="Arial" w:eastAsia="Arial" w:hAnsi="Arial"/>
          <w:sz w:val="15"/>
          <w:szCs w:val="15"/>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49" w:lineRule="exact"/>
        <w:rPr>
          <w:rFonts w:ascii="Arial" w:cs="Arial" w:eastAsia="Arial" w:hAnsi="Arial"/>
          <w:sz w:val="15"/>
          <w:szCs w:val="15"/>
          <w:color w:val="auto"/>
        </w:rPr>
      </w:pPr>
    </w:p>
    <w:p>
      <w:pPr>
        <w:jc w:val="both"/>
        <w:ind w:left="40" w:right="1239" w:firstLine="258"/>
        <w:spacing w:after="0" w:line="282" w:lineRule="auto"/>
        <w:tabs>
          <w:tab w:leader="none" w:pos="606" w:val="left"/>
        </w:tabs>
        <w:numPr>
          <w:ilvl w:val="1"/>
          <w:numId w:val="260"/>
        </w:numPr>
        <w:rPr>
          <w:rFonts w:ascii="Arial" w:cs="Arial" w:eastAsia="Arial" w:hAnsi="Arial"/>
          <w:sz w:val="15"/>
          <w:szCs w:val="15"/>
          <w:color w:val="auto"/>
        </w:rPr>
      </w:pPr>
      <w:r>
        <w:rPr>
          <w:rFonts w:ascii="Arial" w:cs="Arial" w:eastAsia="Arial" w:hAnsi="Arial"/>
          <w:sz w:val="15"/>
          <w:szCs w:val="15"/>
          <w:u w:val="single" w:color="auto"/>
          <w:color w:val="auto"/>
        </w:rPr>
        <w:t>REGISTRATION; BOOK-ENTRY</w:t>
      </w:r>
      <w:r>
        <w:rPr>
          <w:rFonts w:ascii="Arial" w:cs="Arial" w:eastAsia="Arial" w:hAnsi="Arial"/>
          <w:sz w:val="15"/>
          <w:szCs w:val="15"/>
          <w:color w:val="auto"/>
        </w:rPr>
        <w:t>. The Company shall maintain a register (the “</w:t>
      </w:r>
      <w:r>
        <w:rPr>
          <w:rFonts w:ascii="Arial" w:cs="Arial" w:eastAsia="Arial" w:hAnsi="Arial"/>
          <w:sz w:val="15"/>
          <w:szCs w:val="15"/>
          <w:b w:val="1"/>
          <w:bCs w:val="1"/>
          <w:color w:val="auto"/>
        </w:rPr>
        <w:t>Register</w:t>
      </w:r>
      <w:r>
        <w:rPr>
          <w:rFonts w:ascii="Arial" w:cs="Arial" w:eastAsia="Arial" w:hAnsi="Arial"/>
          <w:sz w:val="15"/>
          <w:szCs w:val="15"/>
          <w:color w:val="auto"/>
        </w:rPr>
        <w:t>”) for the recordation of the names and addresses of the holders of each Note and the principal amount of the Notes held by such holders (the “</w:t>
      </w:r>
      <w:r>
        <w:rPr>
          <w:rFonts w:ascii="Arial" w:cs="Arial" w:eastAsia="Arial" w:hAnsi="Arial"/>
          <w:sz w:val="15"/>
          <w:szCs w:val="15"/>
          <w:b w:val="1"/>
          <w:bCs w:val="1"/>
          <w:color w:val="auto"/>
        </w:rPr>
        <w:t>Registered</w:t>
      </w:r>
      <w:r>
        <w:rPr>
          <w:rFonts w:ascii="Arial" w:cs="Arial" w:eastAsia="Arial" w:hAnsi="Arial"/>
          <w:sz w:val="15"/>
          <w:szCs w:val="15"/>
          <w:color w:val="auto"/>
        </w:rPr>
        <w:t xml:space="preserve"> </w:t>
      </w:r>
      <w:r>
        <w:rPr>
          <w:rFonts w:ascii="Arial" w:cs="Arial" w:eastAsia="Arial" w:hAnsi="Arial"/>
          <w:sz w:val="15"/>
          <w:szCs w:val="15"/>
          <w:b w:val="1"/>
          <w:bCs w:val="1"/>
          <w:color w:val="auto"/>
        </w:rPr>
        <w:t>Notes</w:t>
      </w:r>
      <w:r>
        <w:rPr>
          <w:rFonts w:ascii="Arial" w:cs="Arial" w:eastAsia="Arial" w:hAnsi="Arial"/>
          <w:sz w:val="15"/>
          <w:szCs w:val="15"/>
          <w:color w:val="auto"/>
        </w:rPr>
        <w:t>”). The entries in the Register shall be conclusive and binding for all purposes absent manifest error. The Company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5"/>
          <w:szCs w:val="15"/>
          <w:b w:val="1"/>
          <w:bCs w:val="1"/>
          <w:color w:val="auto"/>
        </w:rPr>
        <w:t>Related Party Assignment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5"/>
          <w:szCs w:val="15"/>
          <w:b w:val="1"/>
          <w:bCs w:val="1"/>
          <w:color w:val="auto"/>
        </w:rPr>
        <w:t>Related Party Register</w:t>
      </w:r>
      <w:r>
        <w:rPr>
          <w:rFonts w:ascii="Arial" w:cs="Arial" w:eastAsia="Arial" w:hAnsi="Arial"/>
          <w:sz w:val="15"/>
          <w:szCs w:val="15"/>
          <w:color w:val="auto"/>
        </w:rPr>
        <w:t>”) comparable to the Register on behalf of the Company, and any such assignment or sale shall be effective upon recordation of such assignment or sale in the Related Party Register.</w:t>
      </w:r>
    </w:p>
    <w:p>
      <w:pPr>
        <w:spacing w:after="0" w:line="64" w:lineRule="exact"/>
        <w:rPr>
          <w:rFonts w:ascii="Arial" w:cs="Arial" w:eastAsia="Arial" w:hAnsi="Arial"/>
          <w:sz w:val="15"/>
          <w:szCs w:val="15"/>
          <w:color w:val="auto"/>
        </w:rPr>
      </w:pPr>
    </w:p>
    <w:p>
      <w:pPr>
        <w:ind w:left="580" w:hanging="282"/>
        <w:spacing w:after="0"/>
        <w:tabs>
          <w:tab w:leader="none" w:pos="580"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RIGHTS UPON EVENT OF DEFAULT</w:t>
      </w:r>
      <w:r>
        <w:rPr>
          <w:rFonts w:ascii="Arial" w:cs="Arial" w:eastAsia="Arial" w:hAnsi="Arial"/>
          <w:sz w:val="17"/>
          <w:szCs w:val="17"/>
          <w:color w:val="auto"/>
        </w:rPr>
        <w:t>.</w:t>
      </w:r>
    </w:p>
    <w:p>
      <w:pPr>
        <w:spacing w:after="0" w:line="101" w:lineRule="exact"/>
        <w:rPr>
          <w:rFonts w:ascii="Arial" w:cs="Arial" w:eastAsia="Arial" w:hAnsi="Arial"/>
          <w:sz w:val="17"/>
          <w:szCs w:val="17"/>
          <w:color w:val="auto"/>
        </w:rPr>
      </w:pPr>
    </w:p>
    <w:p>
      <w:pPr>
        <w:ind w:left="300" w:right="1239" w:firstLine="248"/>
        <w:spacing w:after="0" w:line="272" w:lineRule="auto"/>
        <w:tabs>
          <w:tab w:leader="none" w:pos="819" w:val="left"/>
        </w:tabs>
        <w:numPr>
          <w:ilvl w:val="2"/>
          <w:numId w:val="260"/>
        </w:numPr>
        <w:rPr>
          <w:rFonts w:ascii="Arial" w:cs="Arial" w:eastAsia="Arial" w:hAnsi="Arial"/>
          <w:sz w:val="17"/>
          <w:szCs w:val="17"/>
          <w:color w:val="auto"/>
        </w:rPr>
      </w:pPr>
      <w:r>
        <w:rPr>
          <w:rFonts w:ascii="Arial" w:cs="Arial" w:eastAsia="Arial" w:hAnsi="Arial"/>
          <w:sz w:val="17"/>
          <w:szCs w:val="17"/>
          <w:u w:val="single" w:color="auto"/>
          <w:color w:val="auto"/>
        </w:rPr>
        <w:t>Event of Default</w:t>
      </w:r>
      <w:r>
        <w:rPr>
          <w:rFonts w:ascii="Arial" w:cs="Arial" w:eastAsia="Arial" w:hAnsi="Arial"/>
          <w:sz w:val="17"/>
          <w:szCs w:val="17"/>
          <w:color w:val="auto"/>
        </w:rPr>
        <w:t>. Each of the following events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 upon receipt by the Company of a notice thereof by the Holder:</w:t>
      </w:r>
    </w:p>
    <w:p>
      <w:pPr>
        <w:spacing w:after="0" w:line="62" w:lineRule="exact"/>
        <w:rPr>
          <w:rFonts w:ascii="Arial" w:cs="Arial" w:eastAsia="Arial" w:hAnsi="Arial"/>
          <w:sz w:val="17"/>
          <w:szCs w:val="17"/>
          <w:color w:val="auto"/>
        </w:rPr>
      </w:pPr>
    </w:p>
    <w:p>
      <w:pPr>
        <w:jc w:val="both"/>
        <w:ind w:left="540" w:right="1239" w:firstLine="259"/>
        <w:spacing w:after="0" w:line="256" w:lineRule="auto"/>
        <w:tabs>
          <w:tab w:leader="none" w:pos="1051" w:val="left"/>
        </w:tabs>
        <w:numPr>
          <w:ilvl w:val="3"/>
          <w:numId w:val="260"/>
        </w:numPr>
        <w:rPr>
          <w:rFonts w:ascii="Arial" w:cs="Arial" w:eastAsia="Arial" w:hAnsi="Arial"/>
          <w:sz w:val="17"/>
          <w:szCs w:val="17"/>
          <w:color w:val="auto"/>
        </w:rPr>
      </w:pPr>
      <w:r>
        <w:rPr>
          <w:rFonts w:ascii="Arial" w:cs="Arial" w:eastAsia="Arial" w:hAnsi="Arial"/>
          <w:sz w:val="17"/>
          <w:szCs w:val="17"/>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76" w:lineRule="exact"/>
        <w:rPr>
          <w:rFonts w:ascii="Arial" w:cs="Arial" w:eastAsia="Arial" w:hAnsi="Arial"/>
          <w:sz w:val="17"/>
          <w:szCs w:val="17"/>
          <w:color w:val="auto"/>
        </w:rPr>
      </w:pPr>
    </w:p>
    <w:p>
      <w:pPr>
        <w:ind w:left="540" w:right="1239" w:firstLine="259"/>
        <w:spacing w:after="0" w:line="267" w:lineRule="auto"/>
        <w:tabs>
          <w:tab w:leader="none" w:pos="1094" w:val="left"/>
        </w:tabs>
        <w:numPr>
          <w:ilvl w:val="3"/>
          <w:numId w:val="260"/>
        </w:numPr>
        <w:rPr>
          <w:rFonts w:ascii="Arial" w:cs="Arial" w:eastAsia="Arial" w:hAnsi="Arial"/>
          <w:sz w:val="17"/>
          <w:szCs w:val="17"/>
          <w:color w:val="auto"/>
        </w:rPr>
      </w:pPr>
      <w:r>
        <w:rPr>
          <w:rFonts w:ascii="Arial" w:cs="Arial" w:eastAsia="Arial" w:hAnsi="Arial"/>
          <w:sz w:val="17"/>
          <w:szCs w:val="17"/>
          <w:color w:val="auto"/>
        </w:rPr>
        <w:t>any default under, redemption of or acceleration prior to maturity of any Indebtedness of any Note Party or any of its Subsidiaries;</w:t>
      </w:r>
    </w:p>
    <w:p>
      <w:pPr>
        <w:spacing w:after="0" w:line="66" w:lineRule="exact"/>
        <w:rPr>
          <w:rFonts w:ascii="Arial" w:cs="Arial" w:eastAsia="Arial" w:hAnsi="Arial"/>
          <w:sz w:val="17"/>
          <w:szCs w:val="17"/>
          <w:color w:val="auto"/>
        </w:rPr>
      </w:pPr>
    </w:p>
    <w:p>
      <w:pPr>
        <w:jc w:val="both"/>
        <w:ind w:left="540" w:right="1239" w:firstLine="259"/>
        <w:spacing w:after="0" w:line="287" w:lineRule="auto"/>
        <w:tabs>
          <w:tab w:leader="none" w:pos="1139" w:val="left"/>
        </w:tabs>
        <w:numPr>
          <w:ilvl w:val="3"/>
          <w:numId w:val="260"/>
        </w:numPr>
        <w:rPr>
          <w:rFonts w:ascii="Arial" w:cs="Arial" w:eastAsia="Arial" w:hAnsi="Arial"/>
          <w:sz w:val="15"/>
          <w:szCs w:val="15"/>
          <w:color w:val="auto"/>
        </w:rPr>
      </w:pPr>
      <w:r>
        <w:rPr>
          <w:rFonts w:ascii="Arial" w:cs="Arial" w:eastAsia="Arial" w:hAnsi="Arial"/>
          <w:sz w:val="15"/>
          <w:szCs w:val="15"/>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5"/>
          <w:szCs w:val="15"/>
          <w:b w:val="1"/>
          <w:bCs w:val="1"/>
          <w:color w:val="auto"/>
        </w:rPr>
        <w:t>Bankruptcy Law</w:t>
      </w:r>
      <w:r>
        <w:rPr>
          <w:rFonts w:ascii="Arial" w:cs="Arial" w:eastAsia="Arial" w:hAnsi="Arial"/>
          <w:sz w:val="15"/>
          <w:szCs w:val="15"/>
          <w:color w:val="auto"/>
        </w:rPr>
        <w:t>”), (A) commences a voluntary case,</w:t>
      </w:r>
    </w:p>
    <w:p>
      <w:pPr>
        <w:jc w:val="both"/>
        <w:ind w:left="540" w:right="1239"/>
        <w:spacing w:after="0" w:line="272" w:lineRule="auto"/>
        <w:rPr>
          <w:rFonts w:ascii="Arial" w:cs="Arial" w:eastAsia="Arial" w:hAnsi="Arial"/>
          <w:sz w:val="15"/>
          <w:szCs w:val="15"/>
          <w:color w:val="auto"/>
        </w:rPr>
      </w:pPr>
      <w:r>
        <w:rPr>
          <w:rFonts w:ascii="Arial" w:cs="Arial" w:eastAsia="Arial" w:hAnsi="Arial"/>
          <w:sz w:val="16"/>
          <w:szCs w:val="16"/>
          <w:color w:val="auto"/>
        </w:rPr>
        <w:t>(B) consents to the entry of an order for relief against it in an involuntary case, (C) consents to the appointment of a receiver, trustee, assignee, liquidator or similar official (a “</w:t>
      </w:r>
      <w:r>
        <w:rPr>
          <w:rFonts w:ascii="Arial" w:cs="Arial" w:eastAsia="Arial" w:hAnsi="Arial"/>
          <w:sz w:val="16"/>
          <w:szCs w:val="16"/>
          <w:b w:val="1"/>
          <w:bCs w:val="1"/>
          <w:color w:val="auto"/>
        </w:rPr>
        <w:t>Custodian</w:t>
      </w:r>
      <w:r>
        <w:rPr>
          <w:rFonts w:ascii="Arial" w:cs="Arial" w:eastAsia="Arial" w:hAnsi="Arial"/>
          <w:sz w:val="16"/>
          <w:szCs w:val="16"/>
          <w:color w:val="auto"/>
        </w:rPr>
        <w:t>”), (D) makes a general assignment for the benefit of its creditors or (E) admits in writing that it is generally unable to pay its debts as they become due;</w:t>
      </w:r>
    </w:p>
    <w:p>
      <w:pPr>
        <w:spacing w:after="0" w:line="63" w:lineRule="exact"/>
        <w:rPr>
          <w:rFonts w:ascii="Arial" w:cs="Arial" w:eastAsia="Arial" w:hAnsi="Arial"/>
          <w:sz w:val="15"/>
          <w:szCs w:val="15"/>
          <w:color w:val="auto"/>
        </w:rPr>
      </w:pPr>
    </w:p>
    <w:p>
      <w:pPr>
        <w:ind w:left="540" w:right="1239" w:firstLine="259"/>
        <w:spacing w:after="0" w:line="267" w:lineRule="auto"/>
        <w:tabs>
          <w:tab w:leader="none" w:pos="1128" w:val="left"/>
        </w:tabs>
        <w:numPr>
          <w:ilvl w:val="3"/>
          <w:numId w:val="260"/>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(A) is for relief against any Note Party or any of its Subsidiaries in an involuntary case,</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280" w:hanging="233"/>
        <w:spacing w:after="0"/>
        <w:tabs>
          <w:tab w:leader="none" w:pos="2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To be updated assuming the transaction closes after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57277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1" w:name="page342"/>
    <w:bookmarkEnd w:id="3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7"/>
        <w:spacing w:after="0" w:line="267" w:lineRule="auto"/>
        <w:tabs>
          <w:tab w:leader="none" w:pos="31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appoints a Custodian of any Note Party or any of its Subsidiaries or (C) orders the liquidation of any Note Party or any of its Subsidiaries;</w:t>
      </w:r>
    </w:p>
    <w:p>
      <w:pPr>
        <w:spacing w:after="0" w:line="66" w:lineRule="exact"/>
        <w:rPr>
          <w:rFonts w:ascii="Arial" w:cs="Arial" w:eastAsia="Arial" w:hAnsi="Arial"/>
          <w:sz w:val="17"/>
          <w:szCs w:val="17"/>
          <w:color w:val="auto"/>
        </w:rPr>
      </w:pPr>
    </w:p>
    <w:p>
      <w:pPr>
        <w:jc w:val="both"/>
        <w:ind w:left="540" w:right="1239" w:firstLine="259"/>
        <w:spacing w:after="0" w:line="286" w:lineRule="auto"/>
        <w:tabs>
          <w:tab w:leader="none" w:pos="1069" w:val="left"/>
        </w:tabs>
        <w:numPr>
          <w:ilvl w:val="2"/>
          <w:numId w:val="262"/>
        </w:numPr>
        <w:rPr>
          <w:rFonts w:ascii="Arial" w:cs="Arial" w:eastAsia="Arial" w:hAnsi="Arial"/>
          <w:sz w:val="15"/>
          <w:szCs w:val="15"/>
          <w:color w:val="auto"/>
        </w:rPr>
      </w:pPr>
      <w:r>
        <w:rPr>
          <w:rFonts w:ascii="Arial" w:cs="Arial" w:eastAsia="Arial" w:hAnsi="Arial"/>
          <w:sz w:val="15"/>
          <w:szCs w:val="15"/>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59" w:lineRule="exact"/>
        <w:rPr>
          <w:rFonts w:ascii="Arial" w:cs="Arial" w:eastAsia="Arial" w:hAnsi="Arial"/>
          <w:sz w:val="15"/>
          <w:szCs w:val="15"/>
          <w:color w:val="auto"/>
        </w:rPr>
      </w:pPr>
    </w:p>
    <w:p>
      <w:pPr>
        <w:ind w:left="540" w:right="1239" w:firstLine="259"/>
        <w:spacing w:after="0" w:line="267" w:lineRule="auto"/>
        <w:tabs>
          <w:tab w:leader="none" w:pos="1149"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any Note Party breaches any material representation, warranty, covenant or other term or condition of any Note Transaction Document;</w:t>
      </w:r>
    </w:p>
    <w:p>
      <w:pPr>
        <w:spacing w:after="0" w:line="66" w:lineRule="exact"/>
        <w:rPr>
          <w:rFonts w:ascii="Arial" w:cs="Arial" w:eastAsia="Arial" w:hAnsi="Arial"/>
          <w:sz w:val="17"/>
          <w:szCs w:val="17"/>
          <w:color w:val="auto"/>
        </w:rPr>
      </w:pPr>
    </w:p>
    <w:p>
      <w:pPr>
        <w:ind w:left="1180" w:hanging="381"/>
        <w:spacing w:after="0"/>
        <w:tabs>
          <w:tab w:leader="none" w:pos="118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any material breach or material failure in any respect to comply with Section 10 of this Note;</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210"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any Note Party or any of its Subsidiaries shall fail to perform or comply in any material respect with any covenant or agreement contained in the Security Documents to which it is a party;</w:t>
      </w:r>
    </w:p>
    <w:p>
      <w:pPr>
        <w:spacing w:after="0" w:line="66" w:lineRule="exact"/>
        <w:rPr>
          <w:rFonts w:ascii="Arial" w:cs="Arial" w:eastAsia="Arial" w:hAnsi="Arial"/>
          <w:sz w:val="17"/>
          <w:szCs w:val="17"/>
          <w:color w:val="auto"/>
        </w:rPr>
      </w:pPr>
    </w:p>
    <w:p>
      <w:pPr>
        <w:jc w:val="both"/>
        <w:ind w:left="540" w:right="1239" w:firstLine="259"/>
        <w:spacing w:after="0" w:line="288" w:lineRule="auto"/>
        <w:tabs>
          <w:tab w:leader="none" w:pos="1140" w:val="left"/>
        </w:tabs>
        <w:numPr>
          <w:ilvl w:val="2"/>
          <w:numId w:val="262"/>
        </w:numPr>
        <w:rPr>
          <w:rFonts w:ascii="Arial" w:cs="Arial" w:eastAsia="Arial" w:hAnsi="Arial"/>
          <w:sz w:val="15"/>
          <w:szCs w:val="15"/>
          <w:color w:val="auto"/>
        </w:rPr>
      </w:pPr>
      <w:r>
        <w:rPr>
          <w:rFonts w:ascii="Arial" w:cs="Arial" w:eastAsia="Arial" w:hAnsi="Arial"/>
          <w:sz w:val="15"/>
          <w:szCs w:val="15"/>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54" w:lineRule="exact"/>
        <w:rPr>
          <w:rFonts w:ascii="Arial" w:cs="Arial" w:eastAsia="Arial" w:hAnsi="Arial"/>
          <w:sz w:val="15"/>
          <w:szCs w:val="15"/>
          <w:color w:val="auto"/>
        </w:rPr>
      </w:pPr>
    </w:p>
    <w:p>
      <w:pPr>
        <w:jc w:val="both"/>
        <w:ind w:left="540" w:right="1239" w:firstLine="259"/>
        <w:spacing w:after="0" w:line="274" w:lineRule="auto"/>
        <w:tabs>
          <w:tab w:leader="none" w:pos="107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61" w:lineRule="exact"/>
        <w:rPr>
          <w:rFonts w:ascii="Arial" w:cs="Arial" w:eastAsia="Arial" w:hAnsi="Arial"/>
          <w:sz w:val="16"/>
          <w:szCs w:val="16"/>
          <w:color w:val="auto"/>
        </w:rPr>
      </w:pPr>
    </w:p>
    <w:p>
      <w:pPr>
        <w:jc w:val="both"/>
        <w:ind w:left="540" w:right="1239" w:firstLine="259"/>
        <w:spacing w:after="0" w:line="251" w:lineRule="auto"/>
        <w:tabs>
          <w:tab w:leader="none" w:pos="1128" w:val="left"/>
        </w:tabs>
        <w:numPr>
          <w:ilvl w:val="2"/>
          <w:numId w:val="262"/>
        </w:numPr>
        <w:rPr>
          <w:rFonts w:ascii="Arial" w:cs="Arial" w:eastAsia="Arial" w:hAnsi="Arial"/>
          <w:sz w:val="17"/>
          <w:szCs w:val="17"/>
          <w:color w:val="auto"/>
        </w:rPr>
      </w:pPr>
      <w:r>
        <w:rPr>
          <w:rFonts w:ascii="Arial" w:cs="Arial" w:eastAsia="Arial" w:hAnsi="Arial"/>
          <w:sz w:val="17"/>
          <w:szCs w:val="17"/>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80" w:lineRule="exact"/>
        <w:rPr>
          <w:rFonts w:ascii="Arial" w:cs="Arial" w:eastAsia="Arial" w:hAnsi="Arial"/>
          <w:sz w:val="17"/>
          <w:szCs w:val="17"/>
          <w:color w:val="auto"/>
        </w:rPr>
      </w:pPr>
    </w:p>
    <w:p>
      <w:pPr>
        <w:jc w:val="both"/>
        <w:ind w:left="300" w:right="1239" w:firstLine="248"/>
        <w:spacing w:after="0" w:line="285" w:lineRule="auto"/>
        <w:tabs>
          <w:tab w:leader="none" w:pos="841" w:val="left"/>
        </w:tabs>
        <w:numPr>
          <w:ilvl w:val="1"/>
          <w:numId w:val="262"/>
        </w:numPr>
        <w:rPr>
          <w:rFonts w:ascii="Arial" w:cs="Arial" w:eastAsia="Arial" w:hAnsi="Arial"/>
          <w:sz w:val="15"/>
          <w:szCs w:val="15"/>
          <w:color w:val="auto"/>
        </w:rPr>
      </w:pPr>
      <w:r>
        <w:rPr>
          <w:rFonts w:ascii="Arial" w:cs="Arial" w:eastAsia="Arial" w:hAnsi="Arial"/>
          <w:sz w:val="15"/>
          <w:szCs w:val="15"/>
          <w:u w:val="single" w:color="auto"/>
          <w:color w:val="auto"/>
        </w:rPr>
        <w:t>Redemption Right</w:t>
      </w:r>
      <w:r>
        <w:rPr>
          <w:rFonts w:ascii="Arial" w:cs="Arial" w:eastAsia="Arial" w:hAnsi="Arial"/>
          <w:sz w:val="15"/>
          <w:szCs w:val="15"/>
          <w:color w:val="auto"/>
        </w:rPr>
        <w:t>. On and after a Default Date, with respect to this Note, the Company shall within one (1) Business Day deliver written notice thereof via facsimile and overnight courier (an “</w:t>
      </w:r>
      <w:r>
        <w:rPr>
          <w:rFonts w:ascii="Arial" w:cs="Arial" w:eastAsia="Arial" w:hAnsi="Arial"/>
          <w:sz w:val="15"/>
          <w:szCs w:val="15"/>
          <w:b w:val="1"/>
          <w:bCs w:val="1"/>
          <w:color w:val="auto"/>
        </w:rPr>
        <w:t>Event of Default Notice</w:t>
      </w:r>
      <w:r>
        <w:rPr>
          <w:rFonts w:ascii="Arial" w:cs="Arial" w:eastAsia="Arial" w:hAnsi="Arial"/>
          <w:sz w:val="15"/>
          <w:szCs w:val="15"/>
          <w:color w:val="auto"/>
        </w:rPr>
        <w:t>”) to the Holder. At any time after the earlier of the Holder’s receipt of an Event of Default Notice and the Default Date, the Holder may require the Company to redeem (an “</w:t>
      </w:r>
      <w:r>
        <w:rPr>
          <w:rFonts w:ascii="Arial" w:cs="Arial" w:eastAsia="Arial" w:hAnsi="Arial"/>
          <w:sz w:val="15"/>
          <w:szCs w:val="15"/>
          <w:b w:val="1"/>
          <w:bCs w:val="1"/>
          <w:color w:val="auto"/>
        </w:rPr>
        <w:t>Event of Default Redemption</w:t>
      </w:r>
      <w:r>
        <w:rPr>
          <w:rFonts w:ascii="Arial" w:cs="Arial" w:eastAsia="Arial" w:hAnsi="Arial"/>
          <w:sz w:val="15"/>
          <w:szCs w:val="15"/>
          <w:color w:val="auto"/>
        </w:rPr>
        <w:t>”) all or any portion of this Note by delivering written notice thereof (the “</w:t>
      </w:r>
      <w:r>
        <w:rPr>
          <w:rFonts w:ascii="Arial" w:cs="Arial" w:eastAsia="Arial" w:hAnsi="Arial"/>
          <w:sz w:val="15"/>
          <w:szCs w:val="15"/>
          <w:b w:val="1"/>
          <w:bCs w:val="1"/>
          <w:color w:val="auto"/>
        </w:rPr>
        <w:t>Event of Default Redemption Notice</w:t>
      </w:r>
      <w:r>
        <w:rPr>
          <w:rFonts w:ascii="Arial" w:cs="Arial" w:eastAsia="Arial" w:hAnsi="Arial"/>
          <w:sz w:val="15"/>
          <w:szCs w:val="15"/>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5"/>
          <w:szCs w:val="15"/>
          <w:b w:val="1"/>
          <w:bCs w:val="1"/>
          <w:color w:val="auto"/>
        </w:rPr>
        <w:t>Event of Default Redemption Price</w:t>
      </w:r>
      <w:r>
        <w:rPr>
          <w:rFonts w:ascii="Arial" w:cs="Arial" w:eastAsia="Arial" w:hAnsi="Arial"/>
          <w:sz w:val="15"/>
          <w:szCs w:val="15"/>
          <w:color w:val="auto"/>
        </w:rPr>
        <w:t>”). Redemptions required by this Section 4(b) shall be made in accordance with the provisions of Section 8. To the extent redemptions required by this Section 4(b)</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42" w:name="page343"/>
    <w:bookmarkEnd w:id="3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84" w:lineRule="exact"/>
        <w:rPr>
          <w:sz w:val="20"/>
          <w:szCs w:val="20"/>
          <w:color w:val="auto"/>
        </w:rPr>
      </w:pPr>
    </w:p>
    <w:p>
      <w:pPr>
        <w:ind w:left="580" w:hanging="282"/>
        <w:spacing w:after="0"/>
        <w:tabs>
          <w:tab w:leader="none" w:pos="580"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RIGHTS UPON FUNDAMENTAL TRANSACTION AND CHANGE OF CONTROL</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83" w:lineRule="auto"/>
        <w:tabs>
          <w:tab w:leader="none" w:pos="832"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Assumption</w:t>
      </w:r>
      <w:r>
        <w:rPr>
          <w:rFonts w:ascii="Arial" w:cs="Arial" w:eastAsia="Arial" w:hAnsi="Arial"/>
          <w:sz w:val="15"/>
          <w:szCs w:val="15"/>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62" w:lineRule="exact"/>
        <w:rPr>
          <w:rFonts w:ascii="Arial" w:cs="Arial" w:eastAsia="Arial" w:hAnsi="Arial"/>
          <w:sz w:val="15"/>
          <w:szCs w:val="15"/>
          <w:color w:val="auto"/>
        </w:rPr>
      </w:pPr>
    </w:p>
    <w:p>
      <w:pPr>
        <w:jc w:val="both"/>
        <w:ind w:left="300" w:right="1239" w:firstLine="248"/>
        <w:spacing w:after="0" w:line="282" w:lineRule="auto"/>
        <w:tabs>
          <w:tab w:leader="none" w:pos="829" w:val="left"/>
        </w:tabs>
        <w:numPr>
          <w:ilvl w:val="1"/>
          <w:numId w:val="263"/>
        </w:numPr>
        <w:rPr>
          <w:rFonts w:ascii="Arial" w:cs="Arial" w:eastAsia="Arial" w:hAnsi="Arial"/>
          <w:sz w:val="15"/>
          <w:szCs w:val="15"/>
          <w:color w:val="auto"/>
        </w:rPr>
      </w:pPr>
      <w:r>
        <w:rPr>
          <w:rFonts w:ascii="Arial" w:cs="Arial" w:eastAsia="Arial" w:hAnsi="Arial"/>
          <w:sz w:val="15"/>
          <w:szCs w:val="15"/>
          <w:u w:val="single" w:color="auto"/>
          <w:color w:val="auto"/>
        </w:rPr>
        <w:t>Redemption Right</w:t>
      </w:r>
      <w:r>
        <w:rPr>
          <w:rFonts w:ascii="Arial" w:cs="Arial" w:eastAsia="Arial" w:hAnsi="Arial"/>
          <w:sz w:val="15"/>
          <w:szCs w:val="15"/>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5"/>
          <w:szCs w:val="15"/>
          <w:b w:val="1"/>
          <w:bCs w:val="1"/>
          <w:color w:val="auto"/>
        </w:rPr>
        <w:t>Change of Control Notice</w:t>
      </w:r>
      <w:r>
        <w:rPr>
          <w:rFonts w:ascii="Arial" w:cs="Arial" w:eastAsia="Arial" w:hAnsi="Arial"/>
          <w:sz w:val="15"/>
          <w:szCs w:val="15"/>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5"/>
          <w:szCs w:val="15"/>
          <w:b w:val="1"/>
          <w:bCs w:val="1"/>
          <w:color w:val="auto"/>
        </w:rPr>
        <w:t>Change of Control</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w:t>
      </w:r>
      <w:r>
        <w:rPr>
          <w:rFonts w:ascii="Arial" w:cs="Arial" w:eastAsia="Arial" w:hAnsi="Arial"/>
          <w:sz w:val="15"/>
          <w:szCs w:val="15"/>
          <w:color w:val="auto"/>
        </w:rPr>
        <w:t>”) all or any portion of this Note by delivering written notice thereof (“</w:t>
      </w:r>
      <w:r>
        <w:rPr>
          <w:rFonts w:ascii="Arial" w:cs="Arial" w:eastAsia="Arial" w:hAnsi="Arial"/>
          <w:sz w:val="15"/>
          <w:szCs w:val="15"/>
          <w:b w:val="1"/>
          <w:bCs w:val="1"/>
          <w:color w:val="auto"/>
        </w:rPr>
        <w:t>Change of Control Redemption Notice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and the date thereof, the “</w:t>
      </w:r>
      <w:r>
        <w:rPr>
          <w:rFonts w:ascii="Arial" w:cs="Arial" w:eastAsia="Arial" w:hAnsi="Arial"/>
          <w:sz w:val="15"/>
          <w:szCs w:val="15"/>
          <w:b w:val="1"/>
          <w:bCs w:val="1"/>
          <w:color w:val="auto"/>
        </w:rPr>
        <w:t>Change of Control Redemption Notice Date</w:t>
      </w:r>
      <w:r>
        <w:rPr>
          <w:rFonts w:ascii="Arial" w:cs="Arial" w:eastAsia="Arial" w:hAnsi="Arial"/>
          <w:sz w:val="15"/>
          <w:szCs w:val="15"/>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60" w:lineRule="exact"/>
        <w:rPr>
          <w:rFonts w:ascii="Arial" w:cs="Arial" w:eastAsia="Arial" w:hAnsi="Arial"/>
          <w:sz w:val="15"/>
          <w:szCs w:val="15"/>
          <w:color w:val="auto"/>
        </w:rPr>
      </w:pPr>
    </w:p>
    <w:p>
      <w:pPr>
        <w:jc w:val="both"/>
        <w:ind w:left="40" w:right="1239" w:firstLine="258"/>
        <w:spacing w:after="0" w:line="251" w:lineRule="auto"/>
        <w:tabs>
          <w:tab w:leader="none" w:pos="581"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OPTIONAL REDEMPTION RIGHT</w:t>
      </w:r>
      <w:r>
        <w:rPr>
          <w:rFonts w:ascii="Arial" w:cs="Arial" w:eastAsia="Arial" w:hAnsi="Arial"/>
          <w:sz w:val="17"/>
          <w:szCs w:val="17"/>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3" w:name="page344"/>
    <w:bookmarkEnd w:id="3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5"/>
          <w:szCs w:val="15"/>
          <w:b w:val="1"/>
          <w:bCs w:val="1"/>
          <w:color w:val="auto"/>
        </w:rPr>
        <w:t>Optional Redemption</w:t>
      </w:r>
      <w:r>
        <w:rPr>
          <w:rFonts w:ascii="Arial" w:cs="Arial" w:eastAsia="Arial" w:hAnsi="Arial"/>
          <w:sz w:val="15"/>
          <w:szCs w:val="15"/>
          <w:color w:val="auto"/>
        </w:rPr>
        <w:t>”), in each case by delivering written notice thereof (the “</w:t>
      </w:r>
      <w:r>
        <w:rPr>
          <w:rFonts w:ascii="Arial" w:cs="Arial" w:eastAsia="Arial" w:hAnsi="Arial"/>
          <w:sz w:val="15"/>
          <w:szCs w:val="15"/>
          <w:b w:val="1"/>
          <w:bCs w:val="1"/>
          <w:color w:val="auto"/>
        </w:rPr>
        <w:t>Optional Redemption Notice</w:t>
      </w:r>
      <w:r>
        <w:rPr>
          <w:rFonts w:ascii="Arial" w:cs="Arial" w:eastAsia="Arial" w:hAnsi="Arial"/>
          <w:sz w:val="15"/>
          <w:szCs w:val="15"/>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5"/>
          <w:szCs w:val="15"/>
          <w:b w:val="1"/>
          <w:bCs w:val="1"/>
          <w:color w:val="auto"/>
        </w:rPr>
        <w:t>Optional</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Price</w:t>
      </w:r>
      <w:r>
        <w:rPr>
          <w:rFonts w:ascii="Arial" w:cs="Arial" w:eastAsia="Arial" w:hAnsi="Arial"/>
          <w:sz w:val="15"/>
          <w:szCs w:val="15"/>
          <w:color w:val="auto"/>
        </w:rPr>
        <w:t>”). Redemptions required by this Section 6 shall be made in accordance with the provisions of Section 8.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264" w:lineRule="exact"/>
        <w:rPr>
          <w:sz w:val="20"/>
          <w:szCs w:val="20"/>
          <w:color w:val="auto"/>
        </w:rPr>
      </w:pPr>
    </w:p>
    <w:p>
      <w:pPr>
        <w:jc w:val="both"/>
        <w:ind w:left="40" w:right="1239" w:firstLine="258"/>
        <w:spacing w:after="0" w:line="251" w:lineRule="auto"/>
        <w:tabs>
          <w:tab w:leader="none" w:pos="594"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80" w:lineRule="exact"/>
        <w:rPr>
          <w:rFonts w:ascii="Arial" w:cs="Arial" w:eastAsia="Arial" w:hAnsi="Arial"/>
          <w:sz w:val="17"/>
          <w:szCs w:val="17"/>
          <w:color w:val="auto"/>
        </w:rPr>
      </w:pPr>
    </w:p>
    <w:p>
      <w:pPr>
        <w:ind w:left="580" w:hanging="282"/>
        <w:spacing w:after="0"/>
        <w:tabs>
          <w:tab w:leader="none" w:pos="580" w:val="left"/>
        </w:tabs>
        <w:numPr>
          <w:ilvl w:val="1"/>
          <w:numId w:val="264"/>
        </w:numPr>
        <w:rPr>
          <w:rFonts w:ascii="Arial" w:cs="Arial" w:eastAsia="Arial" w:hAnsi="Arial"/>
          <w:sz w:val="15"/>
          <w:szCs w:val="15"/>
          <w:color w:val="auto"/>
        </w:rPr>
      </w:pPr>
      <w:r>
        <w:rPr>
          <w:rFonts w:ascii="Arial" w:cs="Arial" w:eastAsia="Arial" w:hAnsi="Arial"/>
          <w:sz w:val="15"/>
          <w:szCs w:val="15"/>
          <w:u w:val="single" w:color="auto"/>
          <w:color w:val="auto"/>
        </w:rPr>
        <w:t>REDEMPTIONS</w:t>
      </w:r>
      <w:r>
        <w:rPr>
          <w:rFonts w:ascii="Arial" w:cs="Arial" w:eastAsia="Arial" w:hAnsi="Arial"/>
          <w:sz w:val="15"/>
          <w:szCs w:val="15"/>
          <w:color w:val="auto"/>
        </w:rPr>
        <w:t>. The Company shall deliver the applicable Event of Default Redemption Price to the Holder within five</w:t>
      </w:r>
    </w:p>
    <w:p>
      <w:pPr>
        <w:spacing w:after="0" w:line="40" w:lineRule="exact"/>
        <w:rPr>
          <w:rFonts w:ascii="Arial" w:cs="Arial" w:eastAsia="Arial" w:hAnsi="Arial"/>
          <w:sz w:val="15"/>
          <w:szCs w:val="15"/>
          <w:color w:val="auto"/>
        </w:rPr>
      </w:pPr>
    </w:p>
    <w:p>
      <w:pPr>
        <w:jc w:val="both"/>
        <w:ind w:left="40" w:right="1239" w:firstLine="7"/>
        <w:spacing w:after="0" w:line="281" w:lineRule="auto"/>
        <w:tabs>
          <w:tab w:leader="none" w:pos="309" w:val="left"/>
        </w:tabs>
        <w:numPr>
          <w:ilvl w:val="0"/>
          <w:numId w:val="265"/>
        </w:numPr>
        <w:rPr>
          <w:rFonts w:ascii="Arial" w:cs="Arial" w:eastAsia="Arial" w:hAnsi="Arial"/>
          <w:sz w:val="15"/>
          <w:szCs w:val="15"/>
          <w:color w:val="auto"/>
        </w:rPr>
      </w:pPr>
      <w:r>
        <w:rPr>
          <w:rFonts w:ascii="Arial" w:cs="Arial" w:eastAsia="Arial" w:hAnsi="Arial"/>
          <w:sz w:val="15"/>
          <w:szCs w:val="15"/>
          <w:color w:val="auto"/>
        </w:rPr>
        <w:t>Business Days after the Company’s receipt of the Holder’s Event of Default Redemption Notice (the “</w:t>
      </w:r>
      <w:r>
        <w:rPr>
          <w:rFonts w:ascii="Arial" w:cs="Arial" w:eastAsia="Arial" w:hAnsi="Arial"/>
          <w:sz w:val="15"/>
          <w:szCs w:val="15"/>
          <w:b w:val="1"/>
          <w:bCs w:val="1"/>
          <w:color w:val="auto"/>
        </w:rPr>
        <w:t>Event of Default</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Date</w:t>
      </w:r>
      <w:r>
        <w:rPr>
          <w:rFonts w:ascii="Arial" w:cs="Arial" w:eastAsia="Arial" w:hAnsi="Arial"/>
          <w:sz w:val="15"/>
          <w:szCs w:val="15"/>
          <w:color w:val="auto"/>
        </w:rPr>
        <w:t>”). If the Holder has submitted a Change of Control Redemption Notice in accordance with Section 5(b),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5"/>
          <w:szCs w:val="15"/>
          <w:b w:val="1"/>
          <w:bCs w:val="1"/>
          <w:color w:val="auto"/>
        </w:rPr>
        <w:t>Change of Control Redemption Date</w:t>
      </w:r>
      <w:r>
        <w:rPr>
          <w:rFonts w:ascii="Arial" w:cs="Arial" w:eastAsia="Arial" w:hAnsi="Arial"/>
          <w:sz w:val="15"/>
          <w:szCs w:val="15"/>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5"/>
          <w:szCs w:val="15"/>
          <w:b w:val="1"/>
          <w:bCs w:val="1"/>
          <w:color w:val="auto"/>
        </w:rPr>
        <w:t>Optional Redemption Date</w:t>
      </w:r>
      <w:r>
        <w:rPr>
          <w:rFonts w:ascii="Arial" w:cs="Arial" w:eastAsia="Arial" w:hAnsi="Arial"/>
          <w:sz w:val="15"/>
          <w:szCs w:val="15"/>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4" w:name="page345"/>
    <w:bookmarkEnd w:id="3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8"/>
        <w:spacing w:after="0" w:line="267" w:lineRule="auto"/>
        <w:tabs>
          <w:tab w:leader="none" w:pos="569"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 shall have no voting rights as the holder of this Note, except as required by law, including, but not limited to, the laws of the State of Delaware, and as expressly provided in this Note.</w:t>
      </w:r>
    </w:p>
    <w:p>
      <w:pPr>
        <w:spacing w:after="0" w:line="66" w:lineRule="exact"/>
        <w:rPr>
          <w:rFonts w:ascii="Arial" w:cs="Arial" w:eastAsia="Arial" w:hAnsi="Arial"/>
          <w:sz w:val="17"/>
          <w:szCs w:val="17"/>
          <w:color w:val="auto"/>
        </w:rPr>
      </w:pPr>
    </w:p>
    <w:p>
      <w:pPr>
        <w:ind w:left="660" w:hanging="362"/>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COVENANTS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300" w:right="1239" w:firstLine="248"/>
        <w:spacing w:after="0" w:line="267" w:lineRule="auto"/>
        <w:tabs>
          <w:tab w:leader="none" w:pos="832"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Rank</w:t>
      </w:r>
      <w:r>
        <w:rPr>
          <w:rFonts w:ascii="Arial" w:cs="Arial" w:eastAsia="Arial" w:hAnsi="Arial"/>
          <w:sz w:val="17"/>
          <w:szCs w:val="17"/>
          <w:color w:val="auto"/>
        </w:rPr>
        <w:t>. All payments due under this Note shall be senior to all other Indebtedness of the Company and its Subsidiaries other than Permitted Senior Indebtedness.</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54"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Incurrence of Indebtedness</w:t>
      </w:r>
      <w:r>
        <w:rPr>
          <w:rFonts w:ascii="Arial" w:cs="Arial" w:eastAsia="Arial" w:hAnsi="Arial"/>
          <w:sz w:val="17"/>
          <w:szCs w:val="17"/>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77" w:lineRule="exact"/>
        <w:rPr>
          <w:rFonts w:ascii="Arial" w:cs="Arial" w:eastAsia="Arial" w:hAnsi="Arial"/>
          <w:sz w:val="17"/>
          <w:szCs w:val="17"/>
          <w:color w:val="auto"/>
        </w:rPr>
      </w:pPr>
    </w:p>
    <w:p>
      <w:pPr>
        <w:jc w:val="both"/>
        <w:ind w:left="300" w:right="1239" w:firstLine="248"/>
        <w:spacing w:after="0" w:line="251" w:lineRule="auto"/>
        <w:tabs>
          <w:tab w:leader="none" w:pos="832"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Existence of Liens</w:t>
      </w:r>
      <w:r>
        <w:rPr>
          <w:rFonts w:ascii="Arial" w:cs="Arial" w:eastAsia="Arial" w:hAnsi="Arial"/>
          <w:sz w:val="17"/>
          <w:szCs w:val="17"/>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7"/>
          <w:szCs w:val="17"/>
          <w:b w:val="1"/>
          <w:bCs w:val="1"/>
          <w:color w:val="auto"/>
        </w:rPr>
        <w:t>Liens</w:t>
      </w:r>
      <w:r>
        <w:rPr>
          <w:rFonts w:ascii="Arial" w:cs="Arial" w:eastAsia="Arial" w:hAnsi="Arial"/>
          <w:sz w:val="17"/>
          <w:szCs w:val="17"/>
          <w:color w:val="auto"/>
        </w:rPr>
        <w:t>”) other than Permitted Liens.</w:t>
      </w:r>
    </w:p>
    <w:p>
      <w:pPr>
        <w:spacing w:after="0" w:line="80" w:lineRule="exact"/>
        <w:rPr>
          <w:rFonts w:ascii="Arial" w:cs="Arial" w:eastAsia="Arial" w:hAnsi="Arial"/>
          <w:sz w:val="17"/>
          <w:szCs w:val="17"/>
          <w:color w:val="auto"/>
        </w:rPr>
      </w:pPr>
    </w:p>
    <w:p>
      <w:pPr>
        <w:jc w:val="both"/>
        <w:ind w:left="300" w:right="1239" w:firstLine="248"/>
        <w:spacing w:after="0" w:line="249" w:lineRule="auto"/>
        <w:tabs>
          <w:tab w:leader="none" w:pos="829"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81" w:lineRule="exact"/>
        <w:rPr>
          <w:rFonts w:ascii="Arial" w:cs="Arial" w:eastAsia="Arial" w:hAnsi="Arial"/>
          <w:sz w:val="17"/>
          <w:szCs w:val="17"/>
          <w:color w:val="auto"/>
        </w:rPr>
      </w:pPr>
    </w:p>
    <w:p>
      <w:pPr>
        <w:jc w:val="both"/>
        <w:ind w:left="300" w:right="1239" w:firstLine="248"/>
        <w:spacing w:after="0" w:line="307" w:lineRule="auto"/>
        <w:tabs>
          <w:tab w:leader="none" w:pos="832"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Restriction on Redemption</w:t>
      </w:r>
      <w:r>
        <w:rPr>
          <w:rFonts w:ascii="Arial" w:cs="Arial" w:eastAsia="Arial" w:hAnsi="Arial"/>
          <w:sz w:val="15"/>
          <w:szCs w:val="15"/>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39" w:lineRule="exact"/>
        <w:rPr>
          <w:rFonts w:ascii="Arial" w:cs="Arial" w:eastAsia="Arial" w:hAnsi="Arial"/>
          <w:sz w:val="15"/>
          <w:szCs w:val="15"/>
          <w:color w:val="auto"/>
        </w:rPr>
      </w:pPr>
    </w:p>
    <w:p>
      <w:pPr>
        <w:ind w:left="800" w:hanging="252"/>
        <w:spacing w:after="0"/>
        <w:tabs>
          <w:tab w:leader="none" w:pos="800" w:val="left"/>
        </w:tabs>
        <w:numPr>
          <w:ilvl w:val="1"/>
          <w:numId w:val="266"/>
        </w:numPr>
        <w:rPr>
          <w:rFonts w:ascii="Arial" w:cs="Arial" w:eastAsia="Arial" w:hAnsi="Arial"/>
          <w:sz w:val="17"/>
          <w:szCs w:val="17"/>
          <w:color w:val="auto"/>
        </w:rPr>
      </w:pPr>
      <w:r>
        <w:rPr>
          <w:rFonts w:ascii="Arial" w:cs="Arial" w:eastAsia="Arial" w:hAnsi="Arial"/>
          <w:sz w:val="17"/>
          <w:szCs w:val="17"/>
          <w:u w:val="single" w:color="auto"/>
          <w:color w:val="auto"/>
        </w:rPr>
        <w:t>[Intentionally Omitted]</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29"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61" w:lineRule="exact"/>
        <w:rPr>
          <w:rFonts w:ascii="Arial" w:cs="Arial" w:eastAsia="Arial" w:hAnsi="Arial"/>
          <w:sz w:val="15"/>
          <w:szCs w:val="15"/>
          <w:color w:val="auto"/>
        </w:rPr>
      </w:pPr>
    </w:p>
    <w:p>
      <w:pPr>
        <w:jc w:val="both"/>
        <w:ind w:left="300" w:right="1239" w:firstLine="248"/>
        <w:spacing w:after="0" w:line="270" w:lineRule="auto"/>
        <w:tabs>
          <w:tab w:leader="none" w:pos="866"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5" w:name="page346"/>
    <w:bookmarkEnd w:id="3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29"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Maintenance of Properties, Etc</w:t>
      </w:r>
      <w:r>
        <w:rPr>
          <w:rFonts w:ascii="Arial" w:cs="Arial" w:eastAsia="Arial" w:hAnsi="Arial"/>
          <w:sz w:val="17"/>
          <w:szCs w:val="17"/>
          <w:color w:val="auto"/>
        </w:rPr>
        <w:t>.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81" w:lineRule="exact"/>
        <w:rPr>
          <w:rFonts w:ascii="Arial" w:cs="Arial" w:eastAsia="Arial" w:hAnsi="Arial"/>
          <w:sz w:val="17"/>
          <w:szCs w:val="17"/>
          <w:color w:val="auto"/>
        </w:rPr>
      </w:pPr>
    </w:p>
    <w:p>
      <w:pPr>
        <w:jc w:val="both"/>
        <w:ind w:left="300" w:right="1239" w:firstLine="248"/>
        <w:spacing w:after="0" w:line="290" w:lineRule="auto"/>
        <w:tabs>
          <w:tab w:leader="none" w:pos="817" w:val="left"/>
        </w:tabs>
        <w:numPr>
          <w:ilvl w:val="1"/>
          <w:numId w:val="267"/>
        </w:numPr>
        <w:rPr>
          <w:rFonts w:ascii="Arial" w:cs="Arial" w:eastAsia="Arial" w:hAnsi="Arial"/>
          <w:sz w:val="15"/>
          <w:szCs w:val="15"/>
          <w:color w:val="auto"/>
        </w:rPr>
      </w:pP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52" w:lineRule="exact"/>
        <w:rPr>
          <w:rFonts w:ascii="Arial" w:cs="Arial" w:eastAsia="Arial" w:hAnsi="Arial"/>
          <w:sz w:val="15"/>
          <w:szCs w:val="15"/>
          <w:color w:val="auto"/>
        </w:rPr>
      </w:pPr>
    </w:p>
    <w:p>
      <w:pPr>
        <w:ind w:left="40" w:right="1239" w:firstLine="258"/>
        <w:spacing w:after="0" w:line="267" w:lineRule="auto"/>
        <w:tabs>
          <w:tab w:leader="none" w:pos="646"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VOTE TO ISSUE, OR CHANGE THE TERMS OF, NOTES</w:t>
      </w:r>
      <w:r>
        <w:rPr>
          <w:rFonts w:ascii="Arial" w:cs="Arial" w:eastAsia="Arial" w:hAnsi="Arial"/>
          <w:sz w:val="17"/>
          <w:szCs w:val="17"/>
          <w:color w:val="auto"/>
        </w:rPr>
        <w:t>. The consent of the Holder shall be required for any change or amendment to this Note.</w:t>
      </w:r>
    </w:p>
    <w:p>
      <w:pPr>
        <w:spacing w:after="0" w:line="66" w:lineRule="exact"/>
        <w:rPr>
          <w:rFonts w:ascii="Arial" w:cs="Arial" w:eastAsia="Arial" w:hAnsi="Arial"/>
          <w:sz w:val="17"/>
          <w:szCs w:val="17"/>
          <w:color w:val="auto"/>
        </w:rPr>
      </w:pPr>
    </w:p>
    <w:p>
      <w:pPr>
        <w:ind w:left="660" w:hanging="362"/>
        <w:spacing w:after="0"/>
        <w:tabs>
          <w:tab w:leader="none" w:pos="660" w:val="left"/>
        </w:tabs>
        <w:numPr>
          <w:ilvl w:val="0"/>
          <w:numId w:val="268"/>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may be offered, sold, assigned or transferred by the Holder without the consent of the Company.</w:t>
      </w:r>
    </w:p>
    <w:p>
      <w:pPr>
        <w:spacing w:after="0" w:line="128" w:lineRule="exact"/>
        <w:rPr>
          <w:rFonts w:ascii="Arial" w:cs="Arial" w:eastAsia="Arial" w:hAnsi="Arial"/>
          <w:sz w:val="15"/>
          <w:szCs w:val="15"/>
          <w:color w:val="auto"/>
        </w:rPr>
      </w:pPr>
    </w:p>
    <w:p>
      <w:pPr>
        <w:ind w:left="660" w:hanging="362"/>
        <w:spacing w:after="0"/>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REISSUANCE OF THIS NOTE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82"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41"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Note</w:t>
      </w:r>
      <w:r>
        <w:rPr>
          <w:rFonts w:ascii="Arial" w:cs="Arial" w:eastAsia="Arial" w:hAnsi="Arial"/>
          <w:sz w:val="17"/>
          <w:szCs w:val="17"/>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80" w:lineRule="exact"/>
        <w:rPr>
          <w:rFonts w:ascii="Arial" w:cs="Arial" w:eastAsia="Arial" w:hAnsi="Arial"/>
          <w:sz w:val="17"/>
          <w:szCs w:val="17"/>
          <w:color w:val="auto"/>
        </w:rPr>
      </w:pPr>
    </w:p>
    <w:p>
      <w:pPr>
        <w:jc w:val="both"/>
        <w:ind w:left="300" w:right="1239" w:firstLine="248"/>
        <w:spacing w:after="0" w:line="297" w:lineRule="auto"/>
        <w:tabs>
          <w:tab w:leader="none" w:pos="832"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t>Note Exchangeable for Different Denominations</w:t>
      </w:r>
      <w:r>
        <w:rPr>
          <w:rFonts w:ascii="Arial" w:cs="Arial" w:eastAsia="Arial" w:hAnsi="Arial"/>
          <w:sz w:val="15"/>
          <w:szCs w:val="15"/>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48" w:lineRule="exact"/>
        <w:rPr>
          <w:rFonts w:ascii="Arial" w:cs="Arial" w:eastAsia="Arial" w:hAnsi="Arial"/>
          <w:sz w:val="15"/>
          <w:szCs w:val="15"/>
          <w:color w:val="auto"/>
        </w:rPr>
      </w:pPr>
    </w:p>
    <w:p>
      <w:pPr>
        <w:jc w:val="both"/>
        <w:ind w:left="300" w:right="1239" w:firstLine="248"/>
        <w:spacing w:after="0" w:line="286" w:lineRule="auto"/>
        <w:tabs>
          <w:tab w:leader="none" w:pos="854"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6" w:name="page347"/>
    <w:bookmarkEnd w:id="3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60" w:hanging="362"/>
        <w:spacing w:after="0"/>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78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6"/>
          <w:szCs w:val="16"/>
          <w:b w:val="1"/>
          <w:bCs w:val="1"/>
          <w:color w:val="auto"/>
        </w:rPr>
        <w:t>Tax Deduction</w:t>
      </w:r>
      <w:r>
        <w:rPr>
          <w:rFonts w:ascii="Arial" w:cs="Arial" w:eastAsia="Arial" w:hAnsi="Arial"/>
          <w:sz w:val="16"/>
          <w:szCs w:val="16"/>
          <w:color w:val="auto"/>
        </w:rPr>
        <w:t>”), unless a Tax Deduction is required by law. If the Corporation is aware that it must make a Tax Deduction (or that there is a change in the rate or the basis of a Tax Deduction), it must notify the Holder promptly.</w:t>
      </w:r>
    </w:p>
    <w:p>
      <w:pPr>
        <w:spacing w:after="0" w:line="67" w:lineRule="exact"/>
        <w:rPr>
          <w:rFonts w:ascii="Arial" w:cs="Arial" w:eastAsia="Arial" w:hAnsi="Arial"/>
          <w:sz w:val="16"/>
          <w:szCs w:val="16"/>
          <w:color w:val="auto"/>
        </w:rPr>
      </w:pPr>
    </w:p>
    <w:p>
      <w:pPr>
        <w:ind w:left="840" w:hanging="292"/>
        <w:spacing w:after="0"/>
        <w:tabs>
          <w:tab w:leader="none" w:pos="840" w:val="left"/>
        </w:tabs>
        <w:numPr>
          <w:ilvl w:val="1"/>
          <w:numId w:val="269"/>
        </w:numPr>
        <w:rPr>
          <w:rFonts w:ascii="Arial" w:cs="Arial" w:eastAsia="Arial" w:hAnsi="Arial"/>
          <w:sz w:val="15"/>
          <w:szCs w:val="15"/>
          <w:color w:val="auto"/>
        </w:rPr>
      </w:pPr>
      <w:r>
        <w:rPr>
          <w:rFonts w:ascii="Arial" w:cs="Arial" w:eastAsia="Arial" w:hAnsi="Arial"/>
          <w:sz w:val="15"/>
          <w:szCs w:val="15"/>
          <w:color w:val="auto"/>
        </w:rPr>
        <w:t>If the Corporation is required to make a Tax Deduction from or in respect to any sum payable hereunder to the Holder,</w:t>
      </w:r>
    </w:p>
    <w:p>
      <w:pPr>
        <w:spacing w:after="0" w:line="40" w:lineRule="exact"/>
        <w:rPr>
          <w:rFonts w:ascii="Arial" w:cs="Arial" w:eastAsia="Arial" w:hAnsi="Arial"/>
          <w:sz w:val="15"/>
          <w:szCs w:val="15"/>
          <w:color w:val="auto"/>
        </w:rPr>
      </w:pPr>
    </w:p>
    <w:p>
      <w:pPr>
        <w:jc w:val="both"/>
        <w:ind w:left="300" w:right="1239"/>
        <w:spacing w:after="0" w:line="285" w:lineRule="auto"/>
        <w:rPr>
          <w:rFonts w:ascii="Arial" w:cs="Arial" w:eastAsia="Arial" w:hAnsi="Arial"/>
          <w:sz w:val="15"/>
          <w:szCs w:val="15"/>
          <w:color w:val="auto"/>
        </w:rPr>
      </w:pPr>
      <w:r>
        <w:rPr>
          <w:rFonts w:ascii="Arial" w:cs="Arial" w:eastAsia="Arial" w:hAnsi="Arial"/>
          <w:sz w:val="15"/>
          <w:szCs w:val="15"/>
          <w:color w:val="auto"/>
        </w:rPr>
        <w:t>(i) the sum payable shall be increased by the amount by which the sum payable would otherwise have to be increased (the “</w:t>
      </w:r>
      <w:r>
        <w:rPr>
          <w:rFonts w:ascii="Arial" w:cs="Arial" w:eastAsia="Arial" w:hAnsi="Arial"/>
          <w:sz w:val="15"/>
          <w:szCs w:val="15"/>
          <w:b w:val="1"/>
          <w:bCs w:val="1"/>
          <w:color w:val="auto"/>
        </w:rPr>
        <w:t>tax</w:t>
      </w:r>
      <w:r>
        <w:rPr>
          <w:rFonts w:ascii="Arial" w:cs="Arial" w:eastAsia="Arial" w:hAnsi="Arial"/>
          <w:sz w:val="15"/>
          <w:szCs w:val="15"/>
          <w:color w:val="auto"/>
        </w:rPr>
        <w:t xml:space="preserve"> </w:t>
      </w:r>
      <w:r>
        <w:rPr>
          <w:rFonts w:ascii="Arial" w:cs="Arial" w:eastAsia="Arial" w:hAnsi="Arial"/>
          <w:sz w:val="15"/>
          <w:szCs w:val="15"/>
          <w:b w:val="1"/>
          <w:bCs w:val="1"/>
          <w:color w:val="auto"/>
        </w:rPr>
        <w:t>gross up amount</w:t>
      </w:r>
      <w:r>
        <w:rPr>
          <w:rFonts w:ascii="Arial" w:cs="Arial" w:eastAsia="Arial" w:hAnsi="Arial"/>
          <w:sz w:val="15"/>
          <w:szCs w:val="15"/>
          <w:color w:val="auto"/>
        </w:rPr>
        <w:t>”) to ensure that after making all required deductions (including deductions applicable to the tax gross-up</w:t>
      </w:r>
      <w:r>
        <w:rPr>
          <w:rFonts w:ascii="Arial" w:cs="Arial" w:eastAsia="Arial" w:hAnsi="Arial"/>
          <w:sz w:val="15"/>
          <w:szCs w:val="15"/>
          <w:b w:val="1"/>
          <w:bCs w:val="1"/>
          <w:color w:val="auto"/>
        </w:rPr>
        <w:t xml:space="preserve"> </w:t>
      </w:r>
      <w:r>
        <w:rPr>
          <w:rFonts w:ascii="Arial" w:cs="Arial" w:eastAsia="Arial" w:hAnsi="Arial"/>
          <w:sz w:val="15"/>
          <w:szCs w:val="15"/>
          <w:color w:val="auto"/>
        </w:rPr>
        <w:t>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57" w:lineRule="exact"/>
        <w:rPr>
          <w:rFonts w:ascii="Arial" w:cs="Arial" w:eastAsia="Arial" w:hAnsi="Arial"/>
          <w:sz w:val="15"/>
          <w:szCs w:val="15"/>
          <w:color w:val="auto"/>
        </w:rPr>
      </w:pPr>
    </w:p>
    <w:p>
      <w:pPr>
        <w:ind w:left="300" w:right="1239" w:firstLine="248"/>
        <w:spacing w:after="0" w:line="267" w:lineRule="auto"/>
        <w:tabs>
          <w:tab w:leader="none" w:pos="891"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obligations of the Corporation under this Section 14 shall survive the termination of this Note and the payment of the Note and all other amounts payable hereunder.</w:t>
      </w:r>
    </w:p>
    <w:p>
      <w:pPr>
        <w:spacing w:after="0" w:line="66" w:lineRule="exact"/>
        <w:rPr>
          <w:rFonts w:ascii="Arial" w:cs="Arial" w:eastAsia="Arial" w:hAnsi="Arial"/>
          <w:sz w:val="17"/>
          <w:szCs w:val="17"/>
          <w:color w:val="auto"/>
        </w:rPr>
      </w:pPr>
    </w:p>
    <w:p>
      <w:pPr>
        <w:jc w:val="both"/>
        <w:ind w:left="40" w:right="1239" w:firstLine="258"/>
        <w:spacing w:after="0" w:line="284" w:lineRule="auto"/>
        <w:tabs>
          <w:tab w:leader="none" w:pos="715" w:val="left"/>
        </w:tabs>
        <w:numPr>
          <w:ilvl w:val="0"/>
          <w:numId w:val="269"/>
        </w:numPr>
        <w:rPr>
          <w:rFonts w:ascii="Arial" w:cs="Arial" w:eastAsia="Arial" w:hAnsi="Arial"/>
          <w:sz w:val="15"/>
          <w:szCs w:val="15"/>
          <w:color w:val="auto"/>
        </w:rPr>
      </w:pPr>
      <w:r>
        <w:rPr>
          <w:rFonts w:ascii="Arial" w:cs="Arial" w:eastAsia="Arial" w:hAnsi="Arial"/>
          <w:sz w:val="15"/>
          <w:szCs w:val="15"/>
          <w:u w:val="single" w:color="auto"/>
          <w:color w:val="auto"/>
        </w:rPr>
        <w:t>REMEDIES, CHARACTERIZATIONS, OTHER OBLIGATIONS, BREACHES AND INJUNCTIVE RELIEF</w:t>
      </w:r>
      <w:r>
        <w:rPr>
          <w:rFonts w:ascii="Arial" w:cs="Arial" w:eastAsia="Arial" w:hAnsi="Arial"/>
          <w:sz w:val="15"/>
          <w:szCs w:val="15"/>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60" w:lineRule="exact"/>
        <w:rPr>
          <w:rFonts w:ascii="Arial" w:cs="Arial" w:eastAsia="Arial" w:hAnsi="Arial"/>
          <w:sz w:val="15"/>
          <w:szCs w:val="15"/>
          <w:color w:val="auto"/>
        </w:rPr>
      </w:pPr>
    </w:p>
    <w:p>
      <w:pPr>
        <w:jc w:val="both"/>
        <w:ind w:left="40" w:right="1239" w:firstLine="258"/>
        <w:spacing w:after="0" w:line="290" w:lineRule="auto"/>
        <w:tabs>
          <w:tab w:leader="none" w:pos="665" w:val="left"/>
        </w:tabs>
        <w:numPr>
          <w:ilvl w:val="0"/>
          <w:numId w:val="269"/>
        </w:numPr>
        <w:rPr>
          <w:rFonts w:ascii="Arial" w:cs="Arial" w:eastAsia="Arial" w:hAnsi="Arial"/>
          <w:sz w:val="15"/>
          <w:szCs w:val="15"/>
          <w:color w:val="auto"/>
        </w:rPr>
      </w:pPr>
      <w:r>
        <w:rPr>
          <w:rFonts w:ascii="Arial" w:cs="Arial" w:eastAsia="Arial" w:hAnsi="Arial"/>
          <w:sz w:val="15"/>
          <w:szCs w:val="15"/>
          <w:u w:val="single" w:color="auto"/>
          <w:color w:val="auto"/>
        </w:rPr>
        <w:t>PAYMENT OF COLLECTION, ENFORCEMENT AND OTHER COSTS</w:t>
      </w:r>
      <w:r>
        <w:rPr>
          <w:rFonts w:ascii="Arial" w:cs="Arial" w:eastAsia="Arial" w:hAnsi="Arial"/>
          <w:sz w:val="15"/>
          <w:szCs w:val="15"/>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52" w:lineRule="exact"/>
        <w:rPr>
          <w:rFonts w:ascii="Arial" w:cs="Arial" w:eastAsia="Arial" w:hAnsi="Arial"/>
          <w:sz w:val="15"/>
          <w:szCs w:val="15"/>
          <w:color w:val="auto"/>
        </w:rPr>
      </w:pPr>
    </w:p>
    <w:p>
      <w:pPr>
        <w:jc w:val="both"/>
        <w:ind w:left="40" w:right="1239" w:firstLine="258"/>
        <w:spacing w:after="0" w:line="256" w:lineRule="auto"/>
        <w:tabs>
          <w:tab w:leader="none" w:pos="665"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CONSTRUCTION; HEADINGS</w:t>
      </w:r>
      <w:r>
        <w:rPr>
          <w:rFonts w:ascii="Arial" w:cs="Arial" w:eastAsia="Arial" w:hAnsi="Arial"/>
          <w:sz w:val="17"/>
          <w:szCs w:val="17"/>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76" w:lineRule="exact"/>
        <w:rPr>
          <w:rFonts w:ascii="Arial" w:cs="Arial" w:eastAsia="Arial" w:hAnsi="Arial"/>
          <w:sz w:val="17"/>
          <w:szCs w:val="17"/>
          <w:color w:val="auto"/>
        </w:rPr>
      </w:pPr>
    </w:p>
    <w:p>
      <w:pPr>
        <w:jc w:val="both"/>
        <w:ind w:left="40" w:right="1239" w:firstLine="258"/>
        <w:spacing w:after="0" w:line="256" w:lineRule="auto"/>
        <w:tabs>
          <w:tab w:leader="none" w:pos="652"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FAILURE OR INDULGENCE NOT WAIVER</w:t>
      </w:r>
      <w:r>
        <w:rPr>
          <w:rFonts w:ascii="Arial" w:cs="Arial" w:eastAsia="Arial" w:hAnsi="Arial"/>
          <w:sz w:val="17"/>
          <w:szCs w:val="17"/>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7" w:name="page348"/>
    <w:bookmarkEnd w:id="3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8"/>
        <w:spacing w:after="0" w:line="285" w:lineRule="auto"/>
        <w:tabs>
          <w:tab w:leader="none" w:pos="665" w:val="left"/>
        </w:tabs>
        <w:numPr>
          <w:ilvl w:val="0"/>
          <w:numId w:val="270"/>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56" w:lineRule="exact"/>
        <w:rPr>
          <w:rFonts w:ascii="Arial" w:cs="Arial" w:eastAsia="Arial" w:hAnsi="Arial"/>
          <w:sz w:val="15"/>
          <w:szCs w:val="15"/>
          <w:color w:val="auto"/>
        </w:rPr>
      </w:pPr>
    </w:p>
    <w:p>
      <w:pPr>
        <w:ind w:left="660" w:hanging="362"/>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NOTICES; PAYMENTS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2" w:lineRule="auto"/>
        <w:tabs>
          <w:tab w:leader="none" w:pos="832" w:val="left"/>
        </w:tabs>
        <w:numPr>
          <w:ilvl w:val="1"/>
          <w:numId w:val="27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the Company:</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Innovate/Protect, Inc.</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 Vringo, Inc.</w:t>
      </w:r>
    </w:p>
    <w:p>
      <w:pPr>
        <w:ind w:left="800"/>
        <w:spacing w:after="0" w:line="20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NY 10001</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571-1244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aberger@smartsearchlabs.com</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Chief Operating Officer</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Ellenoff Grossman &amp; Schole LLP</w:t>
      </w:r>
    </w:p>
    <w:p>
      <w:pPr>
        <w:ind w:left="800"/>
        <w:spacing w:after="0" w:line="218" w:lineRule="auto"/>
        <w:rPr>
          <w:sz w:val="20"/>
          <w:szCs w:val="20"/>
          <w:color w:val="auto"/>
        </w:rPr>
      </w:pPr>
      <w:r>
        <w:rPr>
          <w:rFonts w:ascii="Arial" w:cs="Arial" w:eastAsia="Arial" w:hAnsi="Arial"/>
          <w:sz w:val="17"/>
          <w:szCs w:val="17"/>
          <w:color w:val="auto"/>
        </w:rPr>
        <w:t>150 East 42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p>
      <w:pPr>
        <w:ind w:left="800"/>
        <w:spacing w:after="0"/>
        <w:rPr>
          <w:sz w:val="20"/>
          <w:szCs w:val="20"/>
          <w:color w:val="auto"/>
        </w:rPr>
      </w:pPr>
      <w:r>
        <w:rPr>
          <w:rFonts w:ascii="Arial" w:cs="Arial" w:eastAsia="Arial" w:hAnsi="Arial"/>
          <w:sz w:val="17"/>
          <w:szCs w:val="17"/>
          <w:color w:val="auto"/>
        </w:rPr>
        <w:t>New York, NY 10017</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370-1300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(212) 370-7889</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bigrossman@egsllp.com</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Barry I. Grossman, Esq.</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If to the Buyer:</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Hudson Bay Master Fund Ltd.</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 Hudson Bay Capital Management LP</w:t>
      </w:r>
    </w:p>
    <w:p>
      <w:pPr>
        <w:ind w:left="800"/>
        <w:spacing w:after="0" w:line="208" w:lineRule="auto"/>
        <w:rPr>
          <w:sz w:val="20"/>
          <w:szCs w:val="20"/>
          <w:color w:val="auto"/>
        </w:rPr>
      </w:pPr>
      <w:r>
        <w:rPr>
          <w:rFonts w:ascii="Arial" w:cs="Arial" w:eastAsia="Arial" w:hAnsi="Arial"/>
          <w:sz w:val="17"/>
          <w:szCs w:val="17"/>
          <w:color w:val="auto"/>
        </w:rPr>
        <w:t>777 Third Avenue, 30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NY 10017</w:t>
      </w:r>
    </w:p>
    <w:p>
      <w:pPr>
        <w:spacing w:after="0" w:line="9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571-1244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4"/>
          <w:szCs w:val="14"/>
          <w:color w:val="auto"/>
        </w:rPr>
        <w:t>investments@hudsonbaycapital.com</w:t>
      </w:r>
    </w:p>
    <w:p>
      <w:pPr>
        <w:spacing w:after="0" w:line="17"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operations@hudsonbaycapital.com</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Yoav Roth</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8" w:name="page349"/>
    <w:bookmarkEnd w:id="3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(for informational purposes only) to:</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Schulte Roth &amp; Zabel LLP</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919 Third Avenue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New York, New York 10022</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Telephone:(212) 756-2000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Facsimile: (212) 593-5955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Attention: Eleazer N. Klein, Esq.</w:t>
      </w:r>
    </w:p>
    <w:p>
      <w:pPr>
        <w:spacing w:after="0" w:line="105" w:lineRule="exact"/>
        <w:rPr>
          <w:sz w:val="20"/>
          <w:szCs w:val="20"/>
          <w:color w:val="auto"/>
        </w:rPr>
      </w:pPr>
    </w:p>
    <w:p>
      <w:pPr>
        <w:ind w:left="760"/>
        <w:spacing w:after="0"/>
        <w:tabs>
          <w:tab w:leader="none" w:pos="15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5"/>
          <w:szCs w:val="15"/>
          <w:color w:val="auto"/>
        </w:rPr>
        <w:t>eleazer.klein@srz.com</w:t>
      </w:r>
    </w:p>
    <w:p>
      <w:pPr>
        <w:spacing w:after="0" w:line="105" w:lineRule="exact"/>
        <w:rPr>
          <w:sz w:val="20"/>
          <w:szCs w:val="20"/>
          <w:color w:val="auto"/>
        </w:rPr>
      </w:pPr>
    </w:p>
    <w:p>
      <w:pPr>
        <w:jc w:val="both"/>
        <w:ind w:left="300" w:right="1239"/>
        <w:spacing w:after="0" w:line="264" w:lineRule="auto"/>
        <w:rPr>
          <w:sz w:val="20"/>
          <w:szCs w:val="20"/>
          <w:color w:val="auto"/>
        </w:rPr>
      </w:pPr>
      <w:r>
        <w:rPr>
          <w:rFonts w:ascii="Arial" w:cs="Arial" w:eastAsia="Arial" w:hAnsi="Arial"/>
          <w:sz w:val="16"/>
          <w:szCs w:val="16"/>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7" w:lineRule="exact"/>
        <w:rPr>
          <w:sz w:val="20"/>
          <w:szCs w:val="20"/>
          <w:color w:val="auto"/>
        </w:rPr>
      </w:pPr>
    </w:p>
    <w:p>
      <w:pPr>
        <w:jc w:val="both"/>
        <w:ind w:left="300" w:right="1239" w:firstLine="248"/>
        <w:spacing w:after="0" w:line="264" w:lineRule="auto"/>
        <w:tabs>
          <w:tab w:leader="none" w:pos="854"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6"/>
          <w:szCs w:val="16"/>
          <w:b w:val="1"/>
          <w:bCs w:val="1"/>
          <w:color w:val="auto"/>
        </w:rPr>
        <w:t>Late</w:t>
      </w:r>
      <w:r>
        <w:rPr>
          <w:rFonts w:ascii="Arial" w:cs="Arial" w:eastAsia="Arial" w:hAnsi="Arial"/>
          <w:sz w:val="16"/>
          <w:szCs w:val="16"/>
          <w:color w:val="auto"/>
        </w:rPr>
        <w:t xml:space="preserve"> </w:t>
      </w:r>
      <w:r>
        <w:rPr>
          <w:rFonts w:ascii="Arial" w:cs="Arial" w:eastAsia="Arial" w:hAnsi="Arial"/>
          <w:sz w:val="16"/>
          <w:szCs w:val="16"/>
          <w:b w:val="1"/>
          <w:bCs w:val="1"/>
          <w:color w:val="auto"/>
        </w:rPr>
        <w:t>Charge</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jc w:val="both"/>
        <w:ind w:left="40" w:right="1239" w:firstLine="258"/>
        <w:spacing w:after="0" w:line="256" w:lineRule="auto"/>
        <w:tabs>
          <w:tab w:leader="none" w:pos="652"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76" w:lineRule="exact"/>
        <w:rPr>
          <w:rFonts w:ascii="Arial" w:cs="Arial" w:eastAsia="Arial" w:hAnsi="Arial"/>
          <w:sz w:val="17"/>
          <w:szCs w:val="17"/>
          <w:color w:val="auto"/>
        </w:rPr>
      </w:pPr>
    </w:p>
    <w:p>
      <w:pPr>
        <w:ind w:left="40" w:right="1239" w:firstLine="258"/>
        <w:spacing w:after="0" w:line="299" w:lineRule="auto"/>
        <w:tabs>
          <w:tab w:leader="none" w:pos="652"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To the extent permitted by law, the Company hereby waives demand, notice, protest and all other demands and notices in connection with the delivery, acceptance, performance, default or enforcement of this Note.</w:t>
      </w:r>
    </w:p>
    <w:p>
      <w:pPr>
        <w:spacing w:after="0" w:line="42" w:lineRule="exact"/>
        <w:rPr>
          <w:rFonts w:ascii="Arial" w:cs="Arial" w:eastAsia="Arial" w:hAnsi="Arial"/>
          <w:sz w:val="16"/>
          <w:szCs w:val="16"/>
          <w:color w:val="auto"/>
        </w:rPr>
      </w:pPr>
    </w:p>
    <w:p>
      <w:pPr>
        <w:jc w:val="both"/>
        <w:ind w:left="40" w:right="1239" w:firstLine="258"/>
        <w:spacing w:after="0" w:line="266" w:lineRule="auto"/>
        <w:tabs>
          <w:tab w:leader="none" w:pos="67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49" w:name="page350"/>
    <w:bookmarkEnd w:id="3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1" w:lineRule="auto"/>
        <w:rPr>
          <w:sz w:val="20"/>
          <w:szCs w:val="20"/>
          <w:color w:val="auto"/>
        </w:rPr>
      </w:pPr>
      <w:r>
        <w:rPr>
          <w:rFonts w:ascii="Arial" w:cs="Arial" w:eastAsia="Arial" w:hAnsi="Arial"/>
          <w:sz w:val="15"/>
          <w:szCs w:val="15"/>
          <w:color w:val="auto"/>
        </w:rPr>
        <w:t xml:space="preserve">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5"/>
          <w:szCs w:val="15"/>
          <w:b w:val="1"/>
          <w:bCs w:val="1"/>
          <w:color w:val="auto"/>
        </w:rPr>
        <w:t>THE COMPANY HEREBY IRREVOCABLY</w:t>
      </w:r>
    </w:p>
    <w:p>
      <w:pPr>
        <w:spacing w:after="0" w:line="1" w:lineRule="exact"/>
        <w:rPr>
          <w:sz w:val="20"/>
          <w:szCs w:val="20"/>
          <w:color w:val="auto"/>
        </w:rPr>
      </w:pPr>
    </w:p>
    <w:p>
      <w:pPr>
        <w:jc w:val="both"/>
        <w:ind w:left="40" w:right="1239"/>
        <w:spacing w:after="0" w:line="249" w:lineRule="auto"/>
        <w:rPr>
          <w:sz w:val="20"/>
          <w:szCs w:val="20"/>
          <w:color w:val="auto"/>
        </w:rPr>
      </w:pPr>
      <w:r>
        <w:rPr>
          <w:rFonts w:ascii="Arial" w:cs="Arial" w:eastAsia="Arial" w:hAnsi="Arial"/>
          <w:sz w:val="17"/>
          <w:szCs w:val="17"/>
          <w:b w:val="1"/>
          <w:bCs w:val="1"/>
          <w:color w:val="auto"/>
        </w:rPr>
        <w:t>WAIVES ANY RIGHT IT MAY HAVE, AND AGREES NOT TO REQUEST, A JURY TRIAL FOR THE ADJUDICATION OF ANY DISPUTE HEREUNDER OR IN CONNECTION WITH OR ARISING OUT OF THIS NOTE OR ANY TRANSACTION CONTEMPLATED HEREBY.</w:t>
      </w:r>
    </w:p>
    <w:p>
      <w:pPr>
        <w:spacing w:after="0" w:line="81" w:lineRule="exact"/>
        <w:rPr>
          <w:sz w:val="20"/>
          <w:szCs w:val="20"/>
          <w:color w:val="auto"/>
        </w:rPr>
      </w:pPr>
    </w:p>
    <w:p>
      <w:pPr>
        <w:jc w:val="both"/>
        <w:ind w:left="40" w:right="1239" w:firstLine="258"/>
        <w:spacing w:after="0" w:line="285" w:lineRule="auto"/>
        <w:tabs>
          <w:tab w:leader="none" w:pos="740"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1" w:lineRule="exact"/>
        <w:rPr>
          <w:rFonts w:ascii="Arial" w:cs="Arial" w:eastAsia="Arial" w:hAnsi="Arial"/>
          <w:sz w:val="15"/>
          <w:szCs w:val="15"/>
          <w:color w:val="auto"/>
        </w:rPr>
      </w:pPr>
    </w:p>
    <w:p>
      <w:pPr>
        <w:ind w:left="660" w:hanging="362"/>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Note, the following terms shall have the following meanings:</w:t>
      </w:r>
    </w:p>
    <w:p>
      <w:pPr>
        <w:spacing w:after="0" w:line="101" w:lineRule="exact"/>
        <w:rPr>
          <w:rFonts w:ascii="Arial" w:cs="Arial" w:eastAsia="Arial" w:hAnsi="Arial"/>
          <w:sz w:val="17"/>
          <w:szCs w:val="17"/>
          <w:color w:val="auto"/>
        </w:rPr>
      </w:pPr>
    </w:p>
    <w:p>
      <w:pPr>
        <w:ind w:left="820" w:hanging="272"/>
        <w:spacing w:after="0"/>
        <w:tabs>
          <w:tab w:leader="none" w:pos="8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has the meaning set forth in Rule 405 under the Securities Act of 1933, as amended.</w:t>
      </w:r>
    </w:p>
    <w:p>
      <w:pPr>
        <w:spacing w:after="0" w:line="105" w:lineRule="exact"/>
        <w:rPr>
          <w:rFonts w:ascii="Arial" w:cs="Arial" w:eastAsia="Arial" w:hAnsi="Arial"/>
          <w:sz w:val="17"/>
          <w:szCs w:val="17"/>
          <w:color w:val="auto"/>
        </w:rPr>
      </w:pPr>
    </w:p>
    <w:p>
      <w:pPr>
        <w:ind w:left="300" w:right="1239" w:firstLine="248"/>
        <w:spacing w:after="0" w:line="272" w:lineRule="auto"/>
        <w:tabs>
          <w:tab w:leader="none" w:pos="841"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w:t>
      </w:r>
    </w:p>
    <w:p>
      <w:pPr>
        <w:spacing w:after="0" w:line="58" w:lineRule="exact"/>
        <w:rPr>
          <w:rFonts w:ascii="Arial" w:cs="Arial" w:eastAsia="Arial" w:hAnsi="Arial"/>
          <w:sz w:val="17"/>
          <w:szCs w:val="17"/>
          <w:color w:val="auto"/>
        </w:rPr>
      </w:pPr>
    </w:p>
    <w:p>
      <w:pPr>
        <w:jc w:val="both"/>
        <w:ind w:left="300" w:right="1239" w:firstLine="248"/>
        <w:spacing w:after="0" w:line="289" w:lineRule="auto"/>
        <w:tabs>
          <w:tab w:leader="none" w:pos="895" w:val="left"/>
        </w:tabs>
        <w:numPr>
          <w:ilvl w:val="1"/>
          <w:numId w:val="2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49" w:lineRule="exact"/>
        <w:rPr>
          <w:rFonts w:ascii="Arial" w:cs="Arial" w:eastAsia="Arial" w:hAnsi="Arial"/>
          <w:sz w:val="15"/>
          <w:szCs w:val="15"/>
          <w:color w:val="auto"/>
        </w:rPr>
      </w:pPr>
    </w:p>
    <w:p>
      <w:pPr>
        <w:jc w:val="both"/>
        <w:ind w:left="300" w:right="1239" w:firstLine="248"/>
        <w:spacing w:after="0" w:line="254" w:lineRule="auto"/>
        <w:tabs>
          <w:tab w:leader="none" w:pos="854"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74" w:lineRule="exact"/>
        <w:rPr>
          <w:rFonts w:ascii="Arial" w:cs="Arial" w:eastAsia="Arial" w:hAnsi="Arial"/>
          <w:sz w:val="17"/>
          <w:szCs w:val="17"/>
          <w:color w:val="auto"/>
        </w:rPr>
      </w:pPr>
    </w:p>
    <w:p>
      <w:pPr>
        <w:jc w:val="both"/>
        <w:ind w:left="300" w:right="1239" w:firstLine="248"/>
        <w:spacing w:after="0" w:line="294" w:lineRule="auto"/>
        <w:tabs>
          <w:tab w:leader="none" w:pos="820" w:val="left"/>
        </w:tabs>
        <w:numPr>
          <w:ilvl w:val="1"/>
          <w:numId w:val="2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Equivalents</w:t>
      </w:r>
      <w:r>
        <w:rPr>
          <w:rFonts w:ascii="Arial" w:cs="Arial" w:eastAsia="Arial" w:hAnsi="Arial"/>
          <w:sz w:val="15"/>
          <w:szCs w:val="15"/>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w:t>
      </w:r>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0" w:name="page351"/>
    <w:bookmarkEnd w:id="3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1" w:lineRule="auto"/>
        <w:rPr>
          <w:sz w:val="20"/>
          <w:szCs w:val="20"/>
          <w:color w:val="auto"/>
        </w:rPr>
      </w:pPr>
      <w:r>
        <w:rPr>
          <w:rFonts w:ascii="Arial" w:cs="Arial" w:eastAsia="Arial" w:hAnsi="Arial"/>
          <w:sz w:val="15"/>
          <w:szCs w:val="15"/>
          <w:color w:val="auto"/>
        </w:rPr>
        <w:t>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w:t>
      </w:r>
    </w:p>
    <w:p>
      <w:pPr>
        <w:spacing w:after="0" w:line="4" w:lineRule="exact"/>
        <w:rPr>
          <w:sz w:val="20"/>
          <w:szCs w:val="20"/>
          <w:color w:val="auto"/>
        </w:rPr>
      </w:pPr>
    </w:p>
    <w:p>
      <w:pPr>
        <w:ind w:left="460" w:hanging="162"/>
        <w:spacing w:after="0"/>
        <w:tabs>
          <w:tab w:leader="none" w:pos="4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Poor’s, in each case, maturing within six months from the date of acquisition thereof.</w:t>
      </w:r>
    </w:p>
    <w:p>
      <w:pPr>
        <w:spacing w:after="0" w:line="88" w:lineRule="exact"/>
        <w:rPr>
          <w:rFonts w:ascii="Arial" w:cs="Arial" w:eastAsia="Arial" w:hAnsi="Arial"/>
          <w:sz w:val="17"/>
          <w:szCs w:val="17"/>
          <w:color w:val="auto"/>
        </w:rPr>
      </w:pPr>
    </w:p>
    <w:p>
      <w:pPr>
        <w:ind w:left="800" w:hanging="252"/>
        <w:spacing w:after="0"/>
        <w:tabs>
          <w:tab w:leader="none" w:pos="80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Company’s common stock, par value $0.0001 per share.</w:t>
      </w:r>
    </w:p>
    <w:p>
      <w:pPr>
        <w:spacing w:after="0" w:line="105" w:lineRule="exact"/>
        <w:rPr>
          <w:rFonts w:ascii="Arial" w:cs="Arial" w:eastAsia="Arial" w:hAnsi="Arial"/>
          <w:sz w:val="17"/>
          <w:szCs w:val="17"/>
          <w:color w:val="auto"/>
        </w:rPr>
      </w:pPr>
    </w:p>
    <w:p>
      <w:pPr>
        <w:jc w:val="both"/>
        <w:ind w:left="300" w:right="1239" w:firstLine="248"/>
        <w:spacing w:after="0" w:line="272" w:lineRule="auto"/>
        <w:tabs>
          <w:tab w:leader="none" w:pos="866"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0" w:lineRule="exact"/>
        <w:rPr>
          <w:rFonts w:ascii="Arial" w:cs="Arial" w:eastAsia="Arial" w:hAnsi="Arial"/>
          <w:sz w:val="16"/>
          <w:szCs w:val="16"/>
          <w:color w:val="auto"/>
        </w:rPr>
      </w:pPr>
    </w:p>
    <w:p>
      <w:pPr>
        <w:ind w:left="300" w:right="1239" w:firstLine="248"/>
        <w:spacing w:after="0" w:line="272" w:lineRule="auto"/>
        <w:tabs>
          <w:tab w:leader="none" w:pos="829"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 Date</w:t>
      </w:r>
      <w:r>
        <w:rPr>
          <w:rFonts w:ascii="Arial" w:cs="Arial" w:eastAsia="Arial" w:hAnsi="Arial"/>
          <w:sz w:val="17"/>
          <w:szCs w:val="17"/>
          <w:color w:val="auto"/>
        </w:rPr>
        <w:t>” means the date that is four (4) days after the Holder gives notice of the existence of an Event of Default that has occurred and continued for at least eight (8) days.</w:t>
      </w:r>
    </w:p>
    <w:p>
      <w:pPr>
        <w:spacing w:after="0" w:line="58" w:lineRule="exact"/>
        <w:rPr>
          <w:rFonts w:ascii="Arial" w:cs="Arial" w:eastAsia="Arial" w:hAnsi="Arial"/>
          <w:sz w:val="17"/>
          <w:szCs w:val="17"/>
          <w:color w:val="auto"/>
        </w:rPr>
      </w:pPr>
    </w:p>
    <w:p>
      <w:pPr>
        <w:ind w:left="780" w:hanging="232"/>
        <w:spacing w:after="0"/>
        <w:tabs>
          <w:tab w:leader="none" w:pos="78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105" w:lineRule="exact"/>
        <w:rPr>
          <w:rFonts w:ascii="Arial" w:cs="Arial" w:eastAsia="Arial" w:hAnsi="Arial"/>
          <w:sz w:val="17"/>
          <w:szCs w:val="17"/>
          <w:color w:val="auto"/>
        </w:rPr>
      </w:pPr>
    </w:p>
    <w:p>
      <w:pPr>
        <w:jc w:val="both"/>
        <w:ind w:left="300" w:right="1239" w:firstLine="248"/>
        <w:spacing w:after="0" w:line="283" w:lineRule="auto"/>
        <w:tabs>
          <w:tab w:leader="none" w:pos="879" w:val="left"/>
        </w:tabs>
        <w:numPr>
          <w:ilvl w:val="1"/>
          <w:numId w:val="2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59" w:lineRule="exact"/>
        <w:rPr>
          <w:rFonts w:ascii="Arial" w:cs="Arial" w:eastAsia="Arial" w:hAnsi="Arial"/>
          <w:sz w:val="15"/>
          <w:szCs w:val="15"/>
          <w:color w:val="auto"/>
        </w:rPr>
      </w:pPr>
    </w:p>
    <w:p>
      <w:pPr>
        <w:ind w:left="820" w:hanging="272"/>
        <w:spacing w:after="0"/>
        <w:tabs>
          <w:tab w:leader="none" w:pos="8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United States generally accepted accounting principles, consistently applied.</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04" w:val="left"/>
        </w:tabs>
        <w:numPr>
          <w:ilvl w:val="1"/>
          <w:numId w:val="2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1" w:name="page352"/>
    <w:bookmarkEnd w:id="3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70" w:lineRule="auto"/>
        <w:rPr>
          <w:sz w:val="20"/>
          <w:szCs w:val="20"/>
          <w:color w:val="auto"/>
        </w:rPr>
      </w:pPr>
      <w:r>
        <w:rPr>
          <w:rFonts w:ascii="Arial" w:cs="Arial" w:eastAsia="Arial" w:hAnsi="Arial"/>
          <w:sz w:val="16"/>
          <w:szCs w:val="16"/>
          <w:color w:val="auto"/>
        </w:rPr>
        <w:t>(or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64" w:lineRule="exact"/>
        <w:rPr>
          <w:sz w:val="20"/>
          <w:szCs w:val="20"/>
          <w:color w:val="auto"/>
        </w:rPr>
      </w:pPr>
    </w:p>
    <w:p>
      <w:pPr>
        <w:ind w:left="880" w:hanging="332"/>
        <w:spacing w:after="0"/>
        <w:tabs>
          <w:tab w:leader="none" w:pos="88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0.46% per annum, subject to adjustment as set forth in Section 2.</w:t>
      </w:r>
    </w:p>
    <w:p>
      <w:pPr>
        <w:spacing w:after="0" w:line="105" w:lineRule="exact"/>
        <w:rPr>
          <w:rFonts w:ascii="Arial" w:cs="Arial" w:eastAsia="Arial" w:hAnsi="Arial"/>
          <w:sz w:val="17"/>
          <w:szCs w:val="17"/>
          <w:color w:val="auto"/>
        </w:rPr>
      </w:pPr>
    </w:p>
    <w:p>
      <w:pPr>
        <w:jc w:val="both"/>
        <w:ind w:left="300" w:right="1239" w:firstLine="248"/>
        <w:spacing w:after="0" w:line="252" w:lineRule="auto"/>
        <w:tabs>
          <w:tab w:leader="none" w:pos="82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76" w:lineRule="exact"/>
        <w:rPr>
          <w:rFonts w:ascii="Arial" w:cs="Arial" w:eastAsia="Arial" w:hAnsi="Arial"/>
          <w:sz w:val="17"/>
          <w:szCs w:val="17"/>
          <w:color w:val="auto"/>
        </w:rPr>
      </w:pPr>
    </w:p>
    <w:p>
      <w:pPr>
        <w:ind w:left="300" w:right="1239" w:firstLine="248"/>
        <w:spacing w:after="0" w:line="272" w:lineRule="auto"/>
        <w:tabs>
          <w:tab w:leader="none" w:pos="879"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Party</w:t>
      </w:r>
      <w:r>
        <w:rPr>
          <w:rFonts w:ascii="Arial" w:cs="Arial" w:eastAsia="Arial" w:hAnsi="Arial"/>
          <w:sz w:val="17"/>
          <w:szCs w:val="17"/>
          <w:color w:val="auto"/>
        </w:rPr>
        <w:t>” means each of the Company, the Parent and each other Subsidiary of the Parent party to any Note Transaction Document.</w:t>
      </w:r>
    </w:p>
    <w:p>
      <w:pPr>
        <w:spacing w:after="0" w:line="58" w:lineRule="exact"/>
        <w:rPr>
          <w:rFonts w:ascii="Arial" w:cs="Arial" w:eastAsia="Arial" w:hAnsi="Arial"/>
          <w:sz w:val="17"/>
          <w:szCs w:val="17"/>
          <w:color w:val="auto"/>
        </w:rPr>
      </w:pPr>
    </w:p>
    <w:p>
      <w:pPr>
        <w:ind w:left="820" w:hanging="272"/>
        <w:spacing w:after="0"/>
        <w:tabs>
          <w:tab w:leader="none" w:pos="82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Note Transaction Documents</w:t>
      </w:r>
      <w:r>
        <w:rPr>
          <w:rFonts w:ascii="Arial" w:cs="Arial" w:eastAsia="Arial" w:hAnsi="Arial"/>
          <w:sz w:val="17"/>
          <w:szCs w:val="17"/>
          <w:color w:val="auto"/>
        </w:rPr>
        <w:t>” means this Note and the Security Documents.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2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w:t>
      </w:r>
      <w:r>
        <w:rPr>
          <w:rFonts w:ascii="Arial" w:cs="Arial" w:eastAsia="Arial" w:hAnsi="Arial"/>
          <w:sz w:val="17"/>
          <w:szCs w:val="17"/>
          <w:color w:val="auto"/>
        </w:rPr>
        <w:t>” means Vringo, Inc., a Delaware corporation.</w:t>
      </w:r>
    </w:p>
    <w:p>
      <w:pPr>
        <w:spacing w:after="0" w:line="105" w:lineRule="exact"/>
        <w:rPr>
          <w:rFonts w:ascii="Arial" w:cs="Arial" w:eastAsia="Arial" w:hAnsi="Arial"/>
          <w:sz w:val="17"/>
          <w:szCs w:val="17"/>
          <w:color w:val="auto"/>
        </w:rPr>
      </w:pPr>
    </w:p>
    <w:p>
      <w:pPr>
        <w:jc w:val="both"/>
        <w:ind w:left="300" w:right="1239" w:firstLine="248"/>
        <w:spacing w:after="0" w:line="289" w:lineRule="auto"/>
        <w:tabs>
          <w:tab w:leader="none" w:pos="801" w:val="left"/>
        </w:tabs>
        <w:numPr>
          <w:ilvl w:val="1"/>
          <w:numId w:val="2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Indebtedness</w:t>
      </w:r>
      <w:r>
        <w:rPr>
          <w:rFonts w:ascii="Arial" w:cs="Arial" w:eastAsia="Arial" w:hAnsi="Arial"/>
          <w:sz w:val="15"/>
          <w:szCs w:val="15"/>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49" w:lineRule="exact"/>
        <w:rPr>
          <w:rFonts w:ascii="Arial" w:cs="Arial" w:eastAsia="Arial" w:hAnsi="Arial"/>
          <w:sz w:val="15"/>
          <w:szCs w:val="15"/>
          <w:color w:val="auto"/>
        </w:rPr>
      </w:pPr>
    </w:p>
    <w:p>
      <w:pPr>
        <w:jc w:val="both"/>
        <w:ind w:left="300" w:right="1239" w:firstLine="248"/>
        <w:spacing w:after="0" w:line="280" w:lineRule="auto"/>
        <w:tabs>
          <w:tab w:leader="none" w:pos="873" w:val="left"/>
        </w:tabs>
        <w:numPr>
          <w:ilvl w:val="1"/>
          <w:numId w:val="2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w:t>
      </w:r>
    </w:p>
    <w:p>
      <w:pPr>
        <w:spacing w:after="0" w:line="4" w:lineRule="exact"/>
        <w:rPr>
          <w:rFonts w:ascii="Arial" w:cs="Arial" w:eastAsia="Arial" w:hAnsi="Arial"/>
          <w:sz w:val="15"/>
          <w:szCs w:val="15"/>
          <w:color w:val="auto"/>
        </w:rPr>
      </w:pPr>
    </w:p>
    <w:p>
      <w:pPr>
        <w:ind w:left="580" w:hanging="282"/>
        <w:spacing w:after="0"/>
        <w:tabs>
          <w:tab w:leader="none" w:pos="5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Liens securing Specified Indebtedness as described in such definition.</w:t>
      </w:r>
    </w:p>
    <w:p>
      <w:pPr>
        <w:spacing w:after="0" w:line="88" w:lineRule="exact"/>
        <w:rPr>
          <w:rFonts w:ascii="Arial" w:cs="Arial" w:eastAsia="Arial" w:hAnsi="Arial"/>
          <w:sz w:val="17"/>
          <w:szCs w:val="17"/>
          <w:color w:val="auto"/>
        </w:rPr>
      </w:pPr>
    </w:p>
    <w:p>
      <w:pPr>
        <w:jc w:val="both"/>
        <w:ind w:left="300" w:right="1239" w:firstLine="248"/>
        <w:spacing w:after="0" w:line="259" w:lineRule="auto"/>
        <w:tabs>
          <w:tab w:leader="none" w:pos="829" w:val="left"/>
        </w:tabs>
        <w:numPr>
          <w:ilvl w:val="1"/>
          <w:numId w:val="2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Senior Indebtedness</w:t>
      </w:r>
      <w:r>
        <w:rPr>
          <w:rFonts w:ascii="Arial" w:cs="Arial" w:eastAsia="Arial" w:hAnsi="Arial"/>
          <w:sz w:val="17"/>
          <w:szCs w:val="17"/>
          <w:color w:val="auto"/>
        </w:rPr>
        <w:t>” means the following Indebtedness (with applicable lien priorities which may be senior or junior, as the case may be and with payment priorities to the extent, but only to the extent, of any proceeds from the collateral which the holders of Permitted Senior</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2" w:name="page353"/>
    <w:bookmarkEnd w:id="3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72" w:lineRule="exact"/>
        <w:rPr>
          <w:sz w:val="20"/>
          <w:szCs w:val="20"/>
          <w:color w:val="auto"/>
        </w:rPr>
      </w:pPr>
    </w:p>
    <w:p>
      <w:pPr>
        <w:ind w:left="300" w:right="1239" w:firstLine="248"/>
        <w:spacing w:after="0" w:line="272" w:lineRule="auto"/>
        <w:tabs>
          <w:tab w:leader="none" w:pos="86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5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Company Date</w:t>
      </w:r>
      <w:r>
        <w:rPr>
          <w:rFonts w:ascii="Arial" w:cs="Arial" w:eastAsia="Arial" w:hAnsi="Arial"/>
          <w:sz w:val="17"/>
          <w:szCs w:val="17"/>
          <w:color w:val="auto"/>
        </w:rPr>
        <w:t>” means the date the shares of Common Stock of the Company (or its successor by merger, recapitalization, reorganization, or otherwise) are registered under the Exchange Act.</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6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Amount</w:t>
      </w:r>
      <w:r>
        <w:rPr>
          <w:rFonts w:ascii="Arial" w:cs="Arial" w:eastAsia="Arial" w:hAnsi="Arial"/>
          <w:sz w:val="17"/>
          <w:szCs w:val="17"/>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68" w:lineRule="exact"/>
        <w:rPr>
          <w:rFonts w:ascii="Arial" w:cs="Arial" w:eastAsia="Arial" w:hAnsi="Arial"/>
          <w:sz w:val="17"/>
          <w:szCs w:val="17"/>
          <w:color w:val="auto"/>
        </w:rPr>
      </w:pPr>
    </w:p>
    <w:p>
      <w:pPr>
        <w:ind w:left="300" w:right="1239" w:firstLine="248"/>
        <w:spacing w:after="0" w:line="304" w:lineRule="auto"/>
        <w:tabs>
          <w:tab w:leader="none" w:pos="917"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Notices</w:t>
      </w:r>
      <w:r>
        <w:rPr>
          <w:rFonts w:ascii="Arial" w:cs="Arial" w:eastAsia="Arial" w:hAnsi="Arial"/>
          <w:sz w:val="16"/>
          <w:szCs w:val="16"/>
          <w:color w:val="auto"/>
        </w:rPr>
        <w:t>” means, collectively, the Event of Default Redemption Notices, the Change of Control Redemption Notices and the Optional Redemption Notices, each of the foregoing, individually, a Redemption Notice.</w:t>
      </w:r>
    </w:p>
    <w:p>
      <w:pPr>
        <w:spacing w:after="0" w:line="35" w:lineRule="exact"/>
        <w:rPr>
          <w:rFonts w:ascii="Arial" w:cs="Arial" w:eastAsia="Arial" w:hAnsi="Arial"/>
          <w:sz w:val="16"/>
          <w:szCs w:val="16"/>
          <w:color w:val="auto"/>
        </w:rPr>
      </w:pPr>
    </w:p>
    <w:p>
      <w:pPr>
        <w:ind w:left="300" w:right="1239" w:firstLine="248"/>
        <w:spacing w:after="0" w:line="272" w:lineRule="auto"/>
        <w:tabs>
          <w:tab w:leader="none" w:pos="84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Prices</w:t>
      </w:r>
      <w:r>
        <w:rPr>
          <w:rFonts w:ascii="Arial" w:cs="Arial" w:eastAsia="Arial" w:hAnsi="Arial"/>
          <w:sz w:val="17"/>
          <w:szCs w:val="17"/>
          <w:color w:val="auto"/>
        </w:rPr>
        <w:t>” means, collectively, the Event of Default Redemption Price, the Change of Control Redemption Price and the Optional Redemption Prices, each of the foregoing, individually, a Redemption Price.</w:t>
      </w:r>
    </w:p>
    <w:p>
      <w:pPr>
        <w:spacing w:after="0" w:line="58"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0"/>
          <w:numId w:val="27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Documents</w:t>
      </w:r>
      <w:r>
        <w:rPr>
          <w:rFonts w:ascii="Arial" w:cs="Arial" w:eastAsia="Arial" w:hAnsi="Arial"/>
          <w:sz w:val="15"/>
          <w:szCs w:val="15"/>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54" w:lineRule="exact"/>
        <w:rPr>
          <w:sz w:val="20"/>
          <w:szCs w:val="20"/>
          <w:color w:val="auto"/>
        </w:rPr>
      </w:pPr>
    </w:p>
    <w:p>
      <w:pPr>
        <w:jc w:val="both"/>
        <w:ind w:left="300" w:right="1239" w:firstLine="248"/>
        <w:spacing w:after="0" w:line="266" w:lineRule="auto"/>
        <w:tabs>
          <w:tab w:leader="none" w:pos="931"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Indebtedness</w:t>
      </w:r>
      <w:r>
        <w:rPr>
          <w:rFonts w:ascii="Arial" w:cs="Arial" w:eastAsia="Arial" w:hAnsi="Arial"/>
          <w:sz w:val="16"/>
          <w:szCs w:val="16"/>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this Note;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65" w:lineRule="exact"/>
        <w:rPr>
          <w:rFonts w:ascii="Arial" w:cs="Arial" w:eastAsia="Arial" w:hAnsi="Arial"/>
          <w:sz w:val="16"/>
          <w:szCs w:val="16"/>
          <w:color w:val="auto"/>
        </w:rPr>
      </w:pPr>
    </w:p>
    <w:p>
      <w:pPr>
        <w:jc w:val="both"/>
        <w:ind w:left="300" w:right="1239" w:firstLine="248"/>
        <w:spacing w:after="0" w:line="309" w:lineRule="auto"/>
        <w:tabs>
          <w:tab w:leader="none" w:pos="937" w:val="left"/>
        </w:tabs>
        <w:numPr>
          <w:ilvl w:val="0"/>
          <w:numId w:val="27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35" w:lineRule="exact"/>
        <w:rPr>
          <w:rFonts w:ascii="Arial" w:cs="Arial" w:eastAsia="Arial" w:hAnsi="Arial"/>
          <w:sz w:val="15"/>
          <w:szCs w:val="15"/>
          <w:color w:val="auto"/>
        </w:rPr>
      </w:pPr>
    </w:p>
    <w:p>
      <w:pPr>
        <w:ind w:left="300" w:right="1239" w:firstLine="248"/>
        <w:spacing w:after="0" w:line="272" w:lineRule="auto"/>
        <w:tabs>
          <w:tab w:leader="none" w:pos="90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entity in which the Parent, directly or indirectly, owns at least a majority of the voting stock or voting securities.</w:t>
      </w:r>
    </w:p>
    <w:p>
      <w:pPr>
        <w:spacing w:after="0" w:line="58" w:lineRule="exact"/>
        <w:rPr>
          <w:rFonts w:ascii="Arial" w:cs="Arial" w:eastAsia="Arial" w:hAnsi="Arial"/>
          <w:sz w:val="17"/>
          <w:szCs w:val="17"/>
          <w:color w:val="auto"/>
        </w:rPr>
      </w:pPr>
    </w:p>
    <w:p>
      <w:pPr>
        <w:ind w:left="300" w:right="1239" w:firstLine="248"/>
        <w:spacing w:after="0" w:line="304" w:lineRule="auto"/>
        <w:tabs>
          <w:tab w:leader="none" w:pos="96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which may be the Company, formed by, resulting from or surviving any Fundamental Transaction or the Person with which such Fundamental Transaction shall have been made.</w:t>
      </w:r>
    </w:p>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53" w:name="page354"/>
    <w:bookmarkEnd w:id="3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75" w:lineRule="auto"/>
        <w:tabs>
          <w:tab w:leader="none" w:pos="906" w:val="left"/>
        </w:tabs>
        <w:numPr>
          <w:ilvl w:val="1"/>
          <w:numId w:val="2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62" w:lineRule="exact"/>
        <w:rPr>
          <w:rFonts w:ascii="Arial" w:cs="Arial" w:eastAsia="Arial" w:hAnsi="Arial"/>
          <w:sz w:val="16"/>
          <w:szCs w:val="16"/>
          <w:color w:val="auto"/>
        </w:rPr>
      </w:pPr>
    </w:p>
    <w:p>
      <w:pPr>
        <w:jc w:val="both"/>
        <w:ind w:left="40" w:right="1239" w:firstLine="258"/>
        <w:spacing w:after="0" w:line="265" w:lineRule="auto"/>
        <w:tabs>
          <w:tab w:leader="none" w:pos="665"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69" w:lineRule="exact"/>
        <w:rPr>
          <w:rFonts w:ascii="Arial" w:cs="Arial" w:eastAsia="Arial" w:hAnsi="Arial"/>
          <w:sz w:val="16"/>
          <w:szCs w:val="16"/>
          <w:color w:val="auto"/>
        </w:rPr>
      </w:pPr>
    </w:p>
    <w:p>
      <w:pPr>
        <w:jc w:val="both"/>
        <w:ind w:left="40" w:right="1239" w:firstLine="258"/>
        <w:spacing w:after="0" w:line="251" w:lineRule="auto"/>
        <w:tabs>
          <w:tab w:leader="none" w:pos="665"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ASSUMPTION; AMENDMENT AND RESTATEMENT</w:t>
      </w:r>
      <w:r>
        <w:rPr>
          <w:rFonts w:ascii="Arial" w:cs="Arial" w:eastAsia="Arial" w:hAnsi="Arial"/>
          <w:sz w:val="17"/>
          <w:szCs w:val="17"/>
          <w:b w:val="1"/>
          <w:bCs w:val="1"/>
          <w:color w:val="auto"/>
        </w:rPr>
        <w:t>. This Note amends and restates in its entirety the Senior Secured Note, dated June 22, 2011, as amended, originally made by the Company (as successor to Labrador Search Corporation) to the order of the Holder (the “Original Note”). This Note shall not in any way constitute (i) 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81"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4" w:name="page355"/>
    <w:bookmarkEnd w:id="3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the Company has caused this Note to be duly executed as of the Amendment and Restatement Date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7"/>
          <w:szCs w:val="17"/>
          <w:b w:val="1"/>
          <w:bCs w:val="1"/>
          <w:color w:val="auto"/>
        </w:rPr>
        <w:t>INNOVATE/PROTECT,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-123190</wp:posOffset>
            </wp:positionV>
            <wp:extent cx="190182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5" w:name="page356"/>
    <w:bookmarkEnd w:id="3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I</w:t>
      </w:r>
    </w:p>
    <w:p>
      <w:pPr>
        <w:spacing w:after="0" w:line="201" w:lineRule="exact"/>
        <w:rPr>
          <w:sz w:val="20"/>
          <w:szCs w:val="20"/>
          <w:color w:val="auto"/>
        </w:rPr>
      </w:pPr>
    </w:p>
    <w:p>
      <w:pPr>
        <w:ind w:left="1340"/>
        <w:spacing w:after="0"/>
        <w:rPr>
          <w:sz w:val="20"/>
          <w:szCs w:val="20"/>
          <w:color w:val="auto"/>
        </w:rPr>
      </w:pPr>
      <w:r>
        <w:rPr>
          <w:rFonts w:ascii="Arial" w:cs="Arial" w:eastAsia="Arial" w:hAnsi="Arial"/>
          <w:sz w:val="17"/>
          <w:szCs w:val="17"/>
          <w:b w:val="1"/>
          <w:bCs w:val="1"/>
          <w:color w:val="auto"/>
        </w:rPr>
        <w:t>FORM OF AMENDED AND RESTATED PLEDGE AND SECURITY AGREEMENT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AMENDED AND RESTATED PLEDGE AND SECURITY AGREEMENT</w:t>
      </w:r>
      <w:r>
        <w:rPr>
          <w:rFonts w:ascii="Arial" w:cs="Arial" w:eastAsia="Arial" w:hAnsi="Arial"/>
          <w:sz w:val="17"/>
          <w:szCs w:val="17"/>
          <w:color w:val="auto"/>
        </w:rPr>
        <w:t>, dated as of [_______ __], 2012 (this</w:t>
      </w:r>
    </w:p>
    <w:p>
      <w:pPr>
        <w:spacing w:after="0" w:line="21"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made by </w:t>
      </w:r>
      <w:r>
        <w:rPr>
          <w:rFonts w:ascii="Arial" w:cs="Arial" w:eastAsia="Arial" w:hAnsi="Arial"/>
          <w:sz w:val="16"/>
          <w:szCs w:val="16"/>
          <w:b w:val="1"/>
          <w:bCs w:val="1"/>
          <w:color w:val="auto"/>
        </w:rPr>
        <w:t>VRINGO, INC.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its existing “Subsidiaries” (as defined in the Note defined below) as named on the signature pages hereto (collectively, the “</w:t>
      </w:r>
      <w:r>
        <w:rPr>
          <w:rFonts w:ascii="Arial" w:cs="Arial" w:eastAsia="Arial" w:hAnsi="Arial"/>
          <w:sz w:val="16"/>
          <w:szCs w:val="16"/>
          <w:b w:val="1"/>
          <w:bCs w:val="1"/>
          <w:color w:val="auto"/>
        </w:rPr>
        <w:t>Existing Subsidiaries</w:t>
      </w:r>
      <w:r>
        <w:rPr>
          <w:rFonts w:ascii="Arial" w:cs="Arial" w:eastAsia="Arial" w:hAnsi="Arial"/>
          <w:sz w:val="16"/>
          <w:szCs w:val="16"/>
          <w:color w:val="auto"/>
        </w:rPr>
        <w:t>”) and each other Subsidiary of the Company hereafter becoming party hereto (each individually referred to herein as a “</w:t>
      </w:r>
      <w:r>
        <w:rPr>
          <w:rFonts w:ascii="Arial" w:cs="Arial" w:eastAsia="Arial" w:hAnsi="Arial"/>
          <w:sz w:val="16"/>
          <w:szCs w:val="16"/>
          <w:b w:val="1"/>
          <w:bCs w:val="1"/>
          <w:color w:val="auto"/>
        </w:rPr>
        <w:t>New Subsidiary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Subsidiaries</w:t>
      </w:r>
      <w:r>
        <w:rPr>
          <w:rFonts w:ascii="Arial" w:cs="Arial" w:eastAsia="Arial" w:hAnsi="Arial"/>
          <w:sz w:val="16"/>
          <w:szCs w:val="16"/>
          <w:color w:val="auto"/>
        </w:rPr>
        <w:t>,” together with the Company and the Existing Subsidiaries, each a “</w:t>
      </w:r>
      <w:r>
        <w:rPr>
          <w:rFonts w:ascii="Arial" w:cs="Arial" w:eastAsia="Arial" w:hAnsi="Arial"/>
          <w:sz w:val="16"/>
          <w:szCs w:val="16"/>
          <w:b w:val="1"/>
          <w:bCs w:val="1"/>
          <w:color w:val="auto"/>
        </w:rPr>
        <w:t>Grantor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Grantors</w:t>
      </w:r>
      <w:r>
        <w:rPr>
          <w:rFonts w:ascii="Arial" w:cs="Arial" w:eastAsia="Arial" w:hAnsi="Arial"/>
          <w:sz w:val="16"/>
          <w:szCs w:val="16"/>
          <w:color w:val="auto"/>
        </w:rPr>
        <w:t>”), in favor of Hudson Bay Master Fund Ltd. (the “</w:t>
      </w:r>
      <w:r>
        <w:rPr>
          <w:rFonts w:ascii="Arial" w:cs="Arial" w:eastAsia="Arial" w:hAnsi="Arial"/>
          <w:sz w:val="16"/>
          <w:szCs w:val="16"/>
          <w:b w:val="1"/>
          <w:bCs w:val="1"/>
          <w:color w:val="auto"/>
        </w:rPr>
        <w:t>Buyer</w:t>
      </w:r>
      <w:r>
        <w:rPr>
          <w:rFonts w:ascii="Arial" w:cs="Arial" w:eastAsia="Arial" w:hAnsi="Arial"/>
          <w:sz w:val="16"/>
          <w:szCs w:val="16"/>
          <w:color w:val="auto"/>
        </w:rPr>
        <w:t>”).</w:t>
      </w:r>
    </w:p>
    <w:p>
      <w:pPr>
        <w:spacing w:after="0" w:line="16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WITNESSETH</w:t>
      </w:r>
      <w:r>
        <w:rPr>
          <w:rFonts w:ascii="Arial" w:cs="Arial" w:eastAsia="Arial" w:hAnsi="Arial"/>
          <w:sz w:val="17"/>
          <w:szCs w:val="17"/>
          <w:b w:val="1"/>
          <w:bCs w:val="1"/>
          <w:color w:val="auto"/>
        </w:rPr>
        <w:t>:</w:t>
      </w:r>
    </w:p>
    <w:p>
      <w:pPr>
        <w:spacing w:after="0" w:line="105" w:lineRule="exact"/>
        <w:rPr>
          <w:sz w:val="20"/>
          <w:szCs w:val="20"/>
          <w:color w:val="auto"/>
        </w:rPr>
      </w:pPr>
    </w:p>
    <w:p>
      <w:pPr>
        <w:jc w:val="both"/>
        <w:ind w:left="40" w:right="1239" w:firstLine="251"/>
        <w:spacing w:after="0" w:line="272" w:lineRule="auto"/>
        <w:rPr>
          <w:sz w:val="20"/>
          <w:szCs w:val="20"/>
          <w:color w:val="auto"/>
        </w:rPr>
      </w:pPr>
      <w:r>
        <w:rPr>
          <w:rFonts w:ascii="Arial" w:cs="Arial" w:eastAsia="Arial" w:hAnsi="Arial"/>
          <w:sz w:val="16"/>
          <w:szCs w:val="16"/>
          <w:color w:val="auto"/>
        </w:rPr>
        <w:t>WHEREAS, Innovate/Protect, Inc., a Delaware corporation formerly known as Labrador Search Corporation (“</w:t>
      </w:r>
      <w:r>
        <w:rPr>
          <w:rFonts w:ascii="Arial" w:cs="Arial" w:eastAsia="Arial" w:hAnsi="Arial"/>
          <w:sz w:val="16"/>
          <w:szCs w:val="16"/>
          <w:b w:val="1"/>
          <w:bCs w:val="1"/>
          <w:color w:val="auto"/>
        </w:rPr>
        <w:t>I/P</w:t>
      </w:r>
      <w:r>
        <w:rPr>
          <w:rFonts w:ascii="Arial" w:cs="Arial" w:eastAsia="Arial" w:hAnsi="Arial"/>
          <w:sz w:val="16"/>
          <w:szCs w:val="16"/>
          <w:color w:val="auto"/>
        </w:rPr>
        <w:t>”), and the Buyer are parties to the Subscription Agreement, dated as of June 22, 2011 (as amended, restated, supplemented or otherwise modified from time to time,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6"/>
          <w:szCs w:val="16"/>
          <w:b w:val="1"/>
          <w:bCs w:val="1"/>
          <w:color w:val="auto"/>
        </w:rPr>
        <w:t>Note</w:t>
      </w:r>
      <w:r>
        <w:rPr>
          <w:rFonts w:ascii="Arial" w:cs="Arial" w:eastAsia="Arial" w:hAnsi="Arial"/>
          <w:sz w:val="16"/>
          <w:szCs w:val="16"/>
          <w:color w:val="auto"/>
        </w:rPr>
        <w:t>”);</w:t>
      </w:r>
    </w:p>
    <w:p>
      <w:pPr>
        <w:spacing w:after="0" w:line="64" w:lineRule="exact"/>
        <w:rPr>
          <w:sz w:val="20"/>
          <w:szCs w:val="20"/>
          <w:color w:val="auto"/>
        </w:rPr>
      </w:pPr>
    </w:p>
    <w:p>
      <w:pPr>
        <w:jc w:val="both"/>
        <w:ind w:left="40" w:right="1239" w:firstLine="251"/>
        <w:spacing w:after="0" w:line="286" w:lineRule="auto"/>
        <w:rPr>
          <w:sz w:val="20"/>
          <w:szCs w:val="20"/>
          <w:color w:val="auto"/>
        </w:rPr>
      </w:pPr>
      <w:r>
        <w:rPr>
          <w:rFonts w:ascii="Arial" w:cs="Arial" w:eastAsia="Arial" w:hAnsi="Arial"/>
          <w:sz w:val="15"/>
          <w:szCs w:val="15"/>
          <w:color w:val="auto"/>
        </w:rPr>
        <w:t>WHEREAS, pursuant to a Pledge and Security Agreement dated as of June 22, 2011 (as amended or supplemented prior to the date hereof, the “</w:t>
      </w:r>
      <w:r>
        <w:rPr>
          <w:rFonts w:ascii="Arial" w:cs="Arial" w:eastAsia="Arial" w:hAnsi="Arial"/>
          <w:sz w:val="15"/>
          <w:szCs w:val="15"/>
          <w:b w:val="1"/>
          <w:bCs w:val="1"/>
          <w:color w:val="auto"/>
        </w:rPr>
        <w:t>Existing Security Agreement</w:t>
      </w:r>
      <w:r>
        <w:rPr>
          <w:rFonts w:ascii="Arial" w:cs="Arial" w:eastAsia="Arial" w:hAnsi="Arial"/>
          <w:sz w:val="15"/>
          <w:szCs w:val="15"/>
          <w:color w:val="auto"/>
        </w:rPr>
        <w:t>”), I/P,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 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I/P Engine, each individually referred to herein as an “</w:t>
      </w:r>
      <w:r>
        <w:rPr>
          <w:rFonts w:ascii="Arial" w:cs="Arial" w:eastAsia="Arial" w:hAnsi="Arial"/>
          <w:sz w:val="15"/>
          <w:szCs w:val="15"/>
          <w:b w:val="1"/>
          <w:bCs w:val="1"/>
          <w:color w:val="auto"/>
        </w:rPr>
        <w:t>Existing Grantor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w:t>
      </w:r>
      <w:r>
        <w:rPr>
          <w:rFonts w:ascii="Arial" w:cs="Arial" w:eastAsia="Arial" w:hAnsi="Arial"/>
          <w:sz w:val="15"/>
          <w:szCs w:val="15"/>
          <w:color w:val="auto"/>
        </w:rPr>
        <w:t xml:space="preserve"> </w:t>
      </w:r>
      <w:r>
        <w:rPr>
          <w:rFonts w:ascii="Arial" w:cs="Arial" w:eastAsia="Arial" w:hAnsi="Arial"/>
          <w:sz w:val="15"/>
          <w:szCs w:val="15"/>
          <w:b w:val="1"/>
          <w:bCs w:val="1"/>
          <w:color w:val="auto"/>
        </w:rPr>
        <w:t>Grantors</w:t>
      </w:r>
      <w:r>
        <w:rPr>
          <w:rFonts w:ascii="Arial" w:cs="Arial" w:eastAsia="Arial" w:hAnsi="Arial"/>
          <w:sz w:val="15"/>
          <w:szCs w:val="15"/>
          <w:color w:val="auto"/>
        </w:rPr>
        <w:t>”), granted liens and security interests in the collateral described therein to the Buyer as security for the Existing</w:t>
      </w:r>
      <w:r>
        <w:rPr>
          <w:rFonts w:ascii="Arial" w:cs="Arial" w:eastAsia="Arial" w:hAnsi="Arial"/>
          <w:sz w:val="15"/>
          <w:szCs w:val="15"/>
          <w:b w:val="1"/>
          <w:bCs w:val="1"/>
          <w:color w:val="auto"/>
        </w:rPr>
        <w:t xml:space="preserve"> </w:t>
      </w:r>
      <w:r>
        <w:rPr>
          <w:rFonts w:ascii="Arial" w:cs="Arial" w:eastAsia="Arial" w:hAnsi="Arial"/>
          <w:sz w:val="15"/>
          <w:szCs w:val="15"/>
          <w:color w:val="auto"/>
        </w:rPr>
        <w:t>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5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WHEREAS, the Company, I/P and Vringo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a wholly-owned subsidiary of the Company, have entered into that certain Agreement and Plan of Merger, dated as of March [__], 2012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among other things, I/P shall be merged with and into Merger Sub (the “</w:t>
      </w:r>
      <w:r>
        <w:rPr>
          <w:rFonts w:ascii="Arial" w:cs="Arial" w:eastAsia="Arial" w:hAnsi="Arial"/>
          <w:sz w:val="16"/>
          <w:szCs w:val="16"/>
          <w:b w:val="1"/>
          <w:bCs w:val="1"/>
          <w:color w:val="auto"/>
        </w:rPr>
        <w:t>Merger Transaction</w:t>
      </w:r>
      <w:r>
        <w:rPr>
          <w:rFonts w:ascii="Arial" w:cs="Arial" w:eastAsia="Arial" w:hAnsi="Arial"/>
          <w:sz w:val="16"/>
          <w:szCs w:val="16"/>
          <w:color w:val="auto"/>
        </w:rPr>
        <w:t>”);</w:t>
      </w:r>
    </w:p>
    <w:p>
      <w:pPr>
        <w:spacing w:after="0" w:line="57"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6"/>
          <w:szCs w:val="16"/>
          <w:b w:val="1"/>
          <w:bCs w:val="1"/>
          <w:color w:val="auto"/>
        </w:rPr>
        <w:t>Vringo Israel</w:t>
      </w:r>
      <w:r>
        <w:rPr>
          <w:rFonts w:ascii="Arial" w:cs="Arial" w:eastAsia="Arial" w:hAnsi="Arial"/>
          <w:sz w:val="16"/>
          <w:szCs w:val="16"/>
          <w:color w:val="auto"/>
        </w:rPr>
        <w:t>”), and Vringo Israel has agreed, to grant liens on and security interest in the collateral described hereunder;</w:t>
      </w:r>
    </w:p>
    <w:p>
      <w:pPr>
        <w:spacing w:after="0" w:line="58"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6"/>
          <w:szCs w:val="16"/>
          <w:b w:val="1"/>
          <w:bCs w:val="1"/>
          <w:color w:val="auto"/>
        </w:rPr>
        <w:t>New Grantor</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Grantors</w:t>
      </w:r>
      <w:r>
        <w:rPr>
          <w:rFonts w:ascii="Arial" w:cs="Arial" w:eastAsia="Arial" w:hAnsi="Arial"/>
          <w:sz w:val="16"/>
          <w:szCs w:val="16"/>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71"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6" w:name="page357"/>
    <w:bookmarkEnd w:id="3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WHEREAS, the Company and each other Grantor has determined that the execution, delivery and performance of this Agreement directly benefits, and are in the best interest of the Company and each other Grantor; and</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NOW, THEREFORE, in consideration of the premises and the agreements herein and in order to induce the Buyer to perform under the Debt Assumption Agreement, each Grantor agrees with the Buyer as follows: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69" w:lineRule="auto"/>
        <w:tabs>
          <w:tab w:leader="none" w:pos="84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as in effect from time to time in the State of New York, and which are not otherwise defined herein shall have the same meanings herein as set forth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65" w:lineRule="exact"/>
        <w:rPr>
          <w:rFonts w:ascii="Arial" w:cs="Arial" w:eastAsia="Arial" w:hAnsi="Arial"/>
          <w:sz w:val="16"/>
          <w:szCs w:val="16"/>
          <w:color w:val="auto"/>
        </w:rPr>
      </w:pPr>
    </w:p>
    <w:p>
      <w:pPr>
        <w:jc w:val="both"/>
        <w:ind w:left="300" w:right="1239" w:firstLine="248"/>
        <w:spacing w:after="0" w:line="251" w:lineRule="auto"/>
        <w:tabs>
          <w:tab w:leader="none" w:pos="88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80" w:lineRule="exact"/>
        <w:rPr>
          <w:rFonts w:ascii="Arial" w:cs="Arial" w:eastAsia="Arial" w:hAnsi="Arial"/>
          <w:sz w:val="17"/>
          <w:szCs w:val="17"/>
          <w:color w:val="auto"/>
        </w:rPr>
      </w:pPr>
    </w:p>
    <w:p>
      <w:pPr>
        <w:ind w:left="300" w:right="1239" w:firstLine="248"/>
        <w:spacing w:after="0" w:line="267" w:lineRule="auto"/>
        <w:tabs>
          <w:tab w:leader="none" w:pos="81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As used in this Agreement, the following terms shall have the respective meanings indicated below, such meanings to be applicable equally to both the singular and plural forms of such terms:</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05" w:lineRule="exact"/>
        <w:rPr>
          <w:sz w:val="20"/>
          <w:szCs w:val="20"/>
          <w:color w:val="auto"/>
        </w:rPr>
      </w:pPr>
    </w:p>
    <w:p>
      <w:pPr>
        <w:jc w:val="both"/>
        <w:ind w:left="540" w:right="1239" w:firstLine="25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Copyright Licenses</w:t>
      </w:r>
      <w:r>
        <w:rPr>
          <w:rFonts w:ascii="Arial" w:cs="Arial" w:eastAsia="Arial" w:hAnsi="Arial"/>
          <w:sz w:val="17"/>
          <w:szCs w:val="17"/>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69" w:lineRule="exact"/>
        <w:rPr>
          <w:sz w:val="20"/>
          <w:szCs w:val="20"/>
          <w:color w:val="auto"/>
        </w:rPr>
      </w:pPr>
    </w:p>
    <w:p>
      <w:pPr>
        <w:jc w:val="both"/>
        <w:ind w:left="540" w:right="1239" w:firstLine="251"/>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Copyrights</w:t>
      </w:r>
      <w:r>
        <w:rPr>
          <w:rFonts w:ascii="Arial" w:cs="Arial" w:eastAsia="Arial" w:hAnsi="Arial"/>
          <w:sz w:val="15"/>
          <w:szCs w:val="15"/>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50" w:lineRule="exact"/>
        <w:rPr>
          <w:sz w:val="20"/>
          <w:szCs w:val="20"/>
          <w:color w:val="auto"/>
        </w:rPr>
      </w:pPr>
    </w:p>
    <w:p>
      <w:pPr>
        <w:jc w:val="both"/>
        <w:ind w:left="540" w:right="1239" w:firstLine="251"/>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Event of Default</w:t>
      </w:r>
      <w:r>
        <w:rPr>
          <w:rFonts w:ascii="Arial" w:cs="Arial" w:eastAsia="Arial" w:hAnsi="Arial"/>
          <w:sz w:val="15"/>
          <w:szCs w:val="15"/>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4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Issuer</w:t>
      </w:r>
      <w:r>
        <w:rPr>
          <w:rFonts w:ascii="Arial" w:cs="Arial" w:eastAsia="Arial" w:hAnsi="Arial"/>
          <w:sz w:val="17"/>
          <w:szCs w:val="17"/>
          <w:color w:val="auto"/>
        </w:rPr>
        <w:t>” has the meaning specified therefor in the definition of the term “Pledged Shares”.</w:t>
      </w:r>
    </w:p>
    <w:p>
      <w:pPr>
        <w:spacing w:after="0" w:line="105" w:lineRule="exact"/>
        <w:rPr>
          <w:sz w:val="20"/>
          <w:szCs w:val="20"/>
          <w:color w:val="auto"/>
        </w:rPr>
      </w:pPr>
    </w:p>
    <w:p>
      <w:pPr>
        <w:jc w:val="both"/>
        <w:ind w:left="540" w:right="1239" w:firstLine="2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w:t>
      </w:r>
      <w:r>
        <w:rPr>
          <w:rFonts w:ascii="Arial" w:cs="Arial" w:eastAsia="Arial" w:hAnsi="Arial"/>
          <w:sz w:val="17"/>
          <w:szCs w:val="17"/>
          <w:color w:val="auto"/>
        </w:rPr>
        <w:t>” means the Amended and Restated Guaranty, dated as of the date hereof, by the Existing Subsidiaries in favor of the Buyer.</w:t>
      </w:r>
    </w:p>
    <w:p>
      <w:pPr>
        <w:spacing w:after="0" w:line="58" w:lineRule="exact"/>
        <w:rPr>
          <w:sz w:val="20"/>
          <w:szCs w:val="20"/>
          <w:color w:val="auto"/>
        </w:rPr>
      </w:pPr>
    </w:p>
    <w:p>
      <w:pPr>
        <w:jc w:val="both"/>
        <w:ind w:left="540" w:right="1239" w:firstLine="251"/>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7" w:name="page358"/>
    <w:bookmarkEnd w:id="3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67" w:lineRule="auto"/>
        <w:rPr>
          <w:sz w:val="20"/>
          <w:szCs w:val="20"/>
          <w:color w:val="auto"/>
        </w:rPr>
      </w:pPr>
      <w:r>
        <w:rPr>
          <w:rFonts w:ascii="Arial" w:cs="Arial" w:eastAsia="Arial" w:hAnsi="Arial"/>
          <w:sz w:val="17"/>
          <w:szCs w:val="17"/>
          <w:color w:val="auto"/>
        </w:rPr>
        <w:t>moratoria, compositions, or extensions generally with creditors, or proceedings seeking reorganization, arrangement, or other similar relief.</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the Copyrights, Trademarks and Patents.</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Licenses</w:t>
      </w:r>
      <w:r>
        <w:rPr>
          <w:rFonts w:ascii="Arial" w:cs="Arial" w:eastAsia="Arial" w:hAnsi="Arial"/>
          <w:sz w:val="17"/>
          <w:szCs w:val="17"/>
          <w:color w:val="auto"/>
        </w:rPr>
        <w:t>” means the Copyright Licenses, the Trademark Licenses and the Patent Licenses.</w:t>
      </w:r>
    </w:p>
    <w:p>
      <w:pPr>
        <w:spacing w:after="0" w:line="105" w:lineRule="exact"/>
        <w:rPr>
          <w:sz w:val="20"/>
          <w:szCs w:val="20"/>
          <w:color w:val="auto"/>
        </w:rPr>
      </w:pPr>
    </w:p>
    <w:p>
      <w:pPr>
        <w:jc w:val="both"/>
        <w:ind w:left="540" w:right="1239" w:firstLine="251"/>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w:t>
      </w:r>
    </w:p>
    <w:p>
      <w:pPr>
        <w:spacing w:after="0" w:line="105" w:lineRule="exact"/>
        <w:rPr>
          <w:sz w:val="20"/>
          <w:szCs w:val="20"/>
          <w:color w:val="auto"/>
        </w:rPr>
      </w:pPr>
    </w:p>
    <w:p>
      <w:pPr>
        <w:jc w:val="both"/>
        <w:ind w:left="540" w:right="1239" w:firstLine="25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 Licenses</w:t>
      </w:r>
      <w:r>
        <w:rPr>
          <w:rFonts w:ascii="Arial" w:cs="Arial" w:eastAsia="Arial" w:hAnsi="Arial"/>
          <w:sz w:val="16"/>
          <w:szCs w:val="16"/>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53" w:lineRule="exact"/>
        <w:rPr>
          <w:sz w:val="20"/>
          <w:szCs w:val="20"/>
          <w:color w:val="auto"/>
        </w:rPr>
      </w:pPr>
    </w:p>
    <w:p>
      <w:pPr>
        <w:jc w:val="both"/>
        <w:ind w:left="540" w:right="1239" w:firstLine="25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Patents</w:t>
      </w:r>
      <w:r>
        <w:rPr>
          <w:rFonts w:ascii="Arial" w:cs="Arial" w:eastAsia="Arial" w:hAnsi="Arial"/>
          <w:sz w:val="15"/>
          <w:szCs w:val="15"/>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5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shall have the meaning as ascribed to such term in the Note.</w:t>
      </w:r>
    </w:p>
    <w:p>
      <w:pPr>
        <w:spacing w:after="0" w:line="105" w:lineRule="exact"/>
        <w:rPr>
          <w:sz w:val="20"/>
          <w:szCs w:val="20"/>
          <w:color w:val="auto"/>
        </w:rPr>
      </w:pPr>
    </w:p>
    <w:p>
      <w:pPr>
        <w:jc w:val="both"/>
        <w:ind w:left="540" w:right="1239" w:firstLine="251"/>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Debt</w:t>
      </w:r>
      <w:r>
        <w:rPr>
          <w:rFonts w:ascii="Arial" w:cs="Arial" w:eastAsia="Arial" w:hAnsi="Arial"/>
          <w:sz w:val="17"/>
          <w:szCs w:val="17"/>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77" w:lineRule="exact"/>
        <w:rPr>
          <w:sz w:val="20"/>
          <w:szCs w:val="20"/>
          <w:color w:val="auto"/>
        </w:rPr>
      </w:pPr>
    </w:p>
    <w:p>
      <w:pPr>
        <w:jc w:val="both"/>
        <w:ind w:left="540" w:right="1239" w:firstLine="25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Interests</w:t>
      </w:r>
      <w:r>
        <w:rPr>
          <w:rFonts w:ascii="Arial" w:cs="Arial" w:eastAsia="Arial" w:hAnsi="Arial"/>
          <w:sz w:val="17"/>
          <w:szCs w:val="17"/>
          <w:color w:val="auto"/>
        </w:rPr>
        <w:t>” means, collectively, (a) the Pledged Debt, (b) the Pledged Shares and (c) all security entitlements in any and all of the foregoing.</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Pledged Issuer</w:t>
      </w:r>
      <w:r>
        <w:rPr>
          <w:rFonts w:ascii="Arial" w:cs="Arial" w:eastAsia="Arial" w:hAnsi="Arial"/>
          <w:sz w:val="17"/>
          <w:szCs w:val="17"/>
          <w:color w:val="auto"/>
        </w:rPr>
        <w:t>” has the meaning specified therefor in the definition of the term “Pledged Shares”.</w:t>
      </w:r>
    </w:p>
    <w:p>
      <w:pPr>
        <w:spacing w:after="0" w:line="105" w:lineRule="exact"/>
        <w:rPr>
          <w:sz w:val="20"/>
          <w:szCs w:val="20"/>
          <w:color w:val="auto"/>
        </w:rPr>
      </w:pPr>
    </w:p>
    <w:p>
      <w:pPr>
        <w:jc w:val="both"/>
        <w:ind w:left="540" w:right="1239" w:firstLine="251"/>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Shares</w:t>
      </w:r>
      <w:r>
        <w:rPr>
          <w:rFonts w:ascii="Arial" w:cs="Arial" w:eastAsia="Arial" w:hAnsi="Arial"/>
          <w:sz w:val="15"/>
          <w:szCs w:val="15"/>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5"/>
          <w:szCs w:val="15"/>
          <w:u w:val="single" w:color="auto"/>
          <w:color w:val="auto"/>
        </w:rPr>
        <w:t>Existing Issuers</w:t>
      </w:r>
      <w:r>
        <w:rPr>
          <w:rFonts w:ascii="Arial" w:cs="Arial" w:eastAsia="Arial" w:hAnsi="Arial"/>
          <w:sz w:val="15"/>
          <w:szCs w:val="15"/>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5"/>
          <w:szCs w:val="15"/>
          <w:u w:val="single" w:color="auto"/>
          <w:color w:val="auto"/>
        </w:rPr>
        <w:t>Pledged Issuers</w:t>
      </w:r>
      <w:r>
        <w:rPr>
          <w:rFonts w:ascii="Arial" w:cs="Arial" w:eastAsia="Arial" w:hAnsi="Arial"/>
          <w:sz w:val="15"/>
          <w:szCs w:val="15"/>
          <w:color w:val="auto"/>
        </w:rPr>
        <w:t>” and each individually as a “</w:t>
      </w:r>
      <w:r>
        <w:rPr>
          <w:rFonts w:ascii="Arial" w:cs="Arial" w:eastAsia="Arial" w:hAnsi="Arial"/>
          <w:sz w:val="15"/>
          <w:szCs w:val="15"/>
          <w:u w:val="single" w:color="auto"/>
          <w:color w:val="auto"/>
        </w:rPr>
        <w:t>Pledged Issuer</w:t>
      </w:r>
      <w:r>
        <w:rPr>
          <w:rFonts w:ascii="Arial" w:cs="Arial" w:eastAsia="Arial" w:hAnsi="Arial"/>
          <w:sz w:val="15"/>
          <w:szCs w:val="15"/>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w:t>
      </w: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8" w:name="page359"/>
    <w:bookmarkEnd w:id="3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72" w:lineRule="exact"/>
        <w:rPr>
          <w:sz w:val="20"/>
          <w:szCs w:val="20"/>
          <w:color w:val="auto"/>
        </w:rPr>
      </w:pPr>
    </w:p>
    <w:p>
      <w:pPr>
        <w:jc w:val="both"/>
        <w:ind w:left="540" w:right="1239" w:firstLine="251"/>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 Licenses</w:t>
      </w:r>
      <w:r>
        <w:rPr>
          <w:rFonts w:ascii="Arial" w:cs="Arial" w:eastAsia="Arial" w:hAnsi="Arial"/>
          <w:sz w:val="15"/>
          <w:szCs w:val="15"/>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46" w:lineRule="exact"/>
        <w:rPr>
          <w:sz w:val="20"/>
          <w:szCs w:val="20"/>
          <w:color w:val="auto"/>
        </w:rPr>
      </w:pPr>
    </w:p>
    <w:p>
      <w:pPr>
        <w:jc w:val="both"/>
        <w:ind w:left="540" w:right="1239" w:firstLine="251"/>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7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6"/>
          <w:szCs w:val="16"/>
          <w:b w:val="1"/>
          <w:bCs w:val="1"/>
          <w:color w:val="auto"/>
        </w:rPr>
        <w:t>Collateral</w:t>
      </w:r>
      <w:r>
        <w:rPr>
          <w:rFonts w:ascii="Arial" w:cs="Arial" w:eastAsia="Arial" w:hAnsi="Arial"/>
          <w:sz w:val="16"/>
          <w:szCs w:val="16"/>
          <w:color w:val="auto"/>
        </w:rPr>
        <w:t>”), including, without limitation, the following:</w:t>
      </w:r>
    </w:p>
    <w:p>
      <w:pPr>
        <w:spacing w:after="0" w:line="62" w:lineRule="exact"/>
        <w:rPr>
          <w:sz w:val="20"/>
          <w:szCs w:val="20"/>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Accounts;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Chattel Paper (whether tangible or electronic);</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the Commercial Tort Claims specified on </w:t>
      </w:r>
      <w:r>
        <w:rPr>
          <w:rFonts w:ascii="Arial" w:cs="Arial" w:eastAsia="Arial" w:hAnsi="Arial"/>
          <w:sz w:val="17"/>
          <w:szCs w:val="17"/>
          <w:u w:val="single" w:color="auto"/>
          <w:color w:val="auto"/>
        </w:rPr>
        <w:t>Schedule VI</w:t>
      </w:r>
      <w:r>
        <w:rPr>
          <w:rFonts w:ascii="Arial" w:cs="Arial" w:eastAsia="Arial" w:hAnsi="Arial"/>
          <w:sz w:val="17"/>
          <w:szCs w:val="17"/>
          <w:color w:val="auto"/>
        </w:rPr>
        <w:t xml:space="preserve"> hereto;</w:t>
      </w:r>
    </w:p>
    <w:p>
      <w:pPr>
        <w:spacing w:after="0" w:line="105" w:lineRule="exact"/>
        <w:rPr>
          <w:rFonts w:ascii="Arial" w:cs="Arial" w:eastAsia="Arial" w:hAnsi="Arial"/>
          <w:sz w:val="17"/>
          <w:szCs w:val="17"/>
          <w:color w:val="auto"/>
        </w:rPr>
      </w:pPr>
    </w:p>
    <w:p>
      <w:pPr>
        <w:jc w:val="both"/>
        <w:ind w:left="300" w:right="1239" w:firstLine="248"/>
        <w:spacing w:after="0" w:line="256" w:lineRule="auto"/>
        <w:tabs>
          <w:tab w:leader="none" w:pos="83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76"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Documents;</w:t>
      </w:r>
    </w:p>
    <w:p>
      <w:pPr>
        <w:spacing w:after="0" w:line="105" w:lineRule="exact"/>
        <w:rPr>
          <w:rFonts w:ascii="Arial" w:cs="Arial" w:eastAsia="Arial" w:hAnsi="Arial"/>
          <w:sz w:val="17"/>
          <w:szCs w:val="17"/>
          <w:color w:val="auto"/>
        </w:rPr>
      </w:pPr>
    </w:p>
    <w:p>
      <w:pPr>
        <w:ind w:left="800" w:hanging="252"/>
        <w:spacing w:after="0"/>
        <w:tabs>
          <w:tab w:leader="none" w:pos="8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General Intangibles (including, without limitation, all Payment Intangibles);</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Goods;</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Instruments (including, without limitation, Promissory Notes and each certificated Security);</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Inventory;</w:t>
      </w:r>
    </w:p>
    <w:p>
      <w:pPr>
        <w:spacing w:after="0" w:line="105" w:lineRule="exact"/>
        <w:rPr>
          <w:rFonts w:ascii="Arial" w:cs="Arial" w:eastAsia="Arial" w:hAnsi="Arial"/>
          <w:sz w:val="17"/>
          <w:szCs w:val="17"/>
          <w:color w:val="auto"/>
        </w:rPr>
      </w:pPr>
    </w:p>
    <w:p>
      <w:pPr>
        <w:ind w:left="780" w:hanging="232"/>
        <w:spacing w:after="0"/>
        <w:tabs>
          <w:tab w:leader="none" w:pos="7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Investment Property;</w:t>
      </w:r>
    </w:p>
    <w:p>
      <w:pPr>
        <w:spacing w:after="0" w:line="105" w:lineRule="exact"/>
        <w:rPr>
          <w:rFonts w:ascii="Arial" w:cs="Arial" w:eastAsia="Arial" w:hAnsi="Arial"/>
          <w:sz w:val="17"/>
          <w:szCs w:val="17"/>
          <w:color w:val="auto"/>
        </w:rPr>
      </w:pPr>
    </w:p>
    <w:p>
      <w:pPr>
        <w:ind w:left="880" w:hanging="332"/>
        <w:spacing w:after="0"/>
        <w:tabs>
          <w:tab w:leader="none" w:pos="8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Copyrights, Patents and Trademarks, and all Licenses;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Letter-of-Credit Rights;</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all Supporting Obligations;</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59" w:name="page360"/>
    <w:bookmarkEnd w:id="3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all Pledged Interests;</w:t>
      </w:r>
    </w:p>
    <w:p>
      <w:pPr>
        <w:spacing w:after="0" w:line="105" w:lineRule="exact"/>
        <w:rPr>
          <w:rFonts w:ascii="Arial" w:cs="Arial" w:eastAsia="Arial" w:hAnsi="Arial"/>
          <w:sz w:val="17"/>
          <w:szCs w:val="17"/>
          <w:color w:val="auto"/>
        </w:rPr>
      </w:pPr>
    </w:p>
    <w:p>
      <w:pPr>
        <w:jc w:val="both"/>
        <w:ind w:left="300" w:right="1239" w:firstLine="248"/>
        <w:spacing w:after="0" w:line="285" w:lineRule="auto"/>
        <w:tabs>
          <w:tab w:leader="none" w:pos="871" w:val="left"/>
        </w:tabs>
        <w:numPr>
          <w:ilvl w:val="0"/>
          <w:numId w:val="283"/>
        </w:numPr>
        <w:rPr>
          <w:rFonts w:ascii="Arial" w:cs="Arial" w:eastAsia="Arial" w:hAnsi="Arial"/>
          <w:sz w:val="15"/>
          <w:szCs w:val="15"/>
          <w:color w:val="auto"/>
        </w:rPr>
      </w:pPr>
      <w:r>
        <w:rPr>
          <w:rFonts w:ascii="Arial" w:cs="Arial" w:eastAsia="Arial" w:hAnsi="Arial"/>
          <w:sz w:val="15"/>
          <w:szCs w:val="15"/>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are otherwise necessary or helpful in the collection or realization thereof; and</w:t>
      </w:r>
    </w:p>
    <w:p>
      <w:pPr>
        <w:spacing w:after="0" w:line="61" w:lineRule="exact"/>
        <w:rPr>
          <w:rFonts w:ascii="Arial" w:cs="Arial" w:eastAsia="Arial" w:hAnsi="Arial"/>
          <w:sz w:val="15"/>
          <w:szCs w:val="15"/>
          <w:color w:val="auto"/>
        </w:rPr>
      </w:pPr>
    </w:p>
    <w:p>
      <w:pPr>
        <w:ind w:left="800" w:hanging="252"/>
        <w:spacing w:after="0"/>
        <w:tabs>
          <w:tab w:leader="none" w:pos="80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all Proceeds, including all Cash Proceeds and Noncash Proceeds, and products of any and all of the foregoing Collateral;</w:t>
      </w:r>
    </w:p>
    <w:p>
      <w:pPr>
        <w:spacing w:after="0" w:line="128" w:lineRule="exact"/>
        <w:rPr>
          <w:sz w:val="20"/>
          <w:szCs w:val="20"/>
          <w:color w:val="auto"/>
        </w:rPr>
      </w:pPr>
    </w:p>
    <w:p>
      <w:pPr>
        <w:jc w:val="both"/>
        <w:ind w:left="40" w:right="1239"/>
        <w:spacing w:after="0" w:line="267" w:lineRule="auto"/>
        <w:rPr>
          <w:sz w:val="20"/>
          <w:szCs w:val="20"/>
          <w:color w:val="auto"/>
        </w:rPr>
      </w:pPr>
      <w:r>
        <w:rPr>
          <w:rFonts w:ascii="Arial" w:cs="Arial" w:eastAsia="Arial" w:hAnsi="Arial"/>
          <w:sz w:val="17"/>
          <w:szCs w:val="17"/>
          <w:color w:val="auto"/>
        </w:rPr>
        <w:t>in each case howsoever such Grantor’s interest therein may arise or appear (whether by ownership, security interest, claim or otherwise).</w:t>
      </w:r>
    </w:p>
    <w:p>
      <w:pPr>
        <w:spacing w:after="0" w:line="66" w:lineRule="exact"/>
        <w:rPr>
          <w:sz w:val="20"/>
          <w:szCs w:val="20"/>
          <w:color w:val="auto"/>
        </w:rPr>
      </w:pPr>
    </w:p>
    <w:p>
      <w:pPr>
        <w:jc w:val="both"/>
        <w:ind w:left="40" w:right="1239"/>
        <w:spacing w:after="0" w:line="250" w:lineRule="auto"/>
        <w:rPr>
          <w:sz w:val="20"/>
          <w:szCs w:val="20"/>
          <w:color w:val="auto"/>
        </w:rPr>
      </w:pPr>
      <w:r>
        <w:rPr>
          <w:rFonts w:ascii="Arial" w:cs="Arial" w:eastAsia="Arial" w:hAnsi="Arial"/>
          <w:sz w:val="17"/>
          <w:szCs w:val="17"/>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81"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Security for Obligations</w:t>
      </w:r>
      <w:r>
        <w:rPr>
          <w:rFonts w:ascii="Arial" w:cs="Arial" w:eastAsia="Arial" w:hAnsi="Arial"/>
          <w:sz w:val="15"/>
          <w:szCs w:val="15"/>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20" w:lineRule="exact"/>
        <w:rPr>
          <w:sz w:val="20"/>
          <w:szCs w:val="20"/>
          <w:color w:val="auto"/>
        </w:rPr>
      </w:pPr>
    </w:p>
    <w:p>
      <w:pPr>
        <w:jc w:val="both"/>
        <w:ind w:left="300" w:right="1239" w:firstLine="248"/>
        <w:spacing w:after="0" w:line="282" w:lineRule="auto"/>
        <w:tabs>
          <w:tab w:leader="none" w:pos="872" w:val="left"/>
        </w:tabs>
        <w:numPr>
          <w:ilvl w:val="1"/>
          <w:numId w:val="284"/>
        </w:numPr>
        <w:rPr>
          <w:rFonts w:ascii="Arial" w:cs="Arial" w:eastAsia="Arial" w:hAnsi="Arial"/>
          <w:sz w:val="15"/>
          <w:szCs w:val="15"/>
          <w:color w:val="auto"/>
        </w:rPr>
      </w:pPr>
      <w:r>
        <w:rPr>
          <w:rFonts w:ascii="Arial" w:cs="Arial" w:eastAsia="Arial" w:hAnsi="Arial"/>
          <w:sz w:val="15"/>
          <w:szCs w:val="15"/>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w:t>
      </w:r>
    </w:p>
    <w:p>
      <w:pPr>
        <w:spacing w:after="0" w:line="1" w:lineRule="exact"/>
        <w:rPr>
          <w:rFonts w:ascii="Arial" w:cs="Arial" w:eastAsia="Arial" w:hAnsi="Arial"/>
          <w:sz w:val="15"/>
          <w:szCs w:val="15"/>
          <w:color w:val="auto"/>
        </w:rPr>
      </w:pPr>
    </w:p>
    <w:p>
      <w:pPr>
        <w:ind w:left="560" w:hanging="262"/>
        <w:spacing w:after="0"/>
        <w:tabs>
          <w:tab w:leader="none" w:pos="5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all amounts from time to time owing by such Grantor under the Guaranty; and</w:t>
      </w:r>
    </w:p>
    <w:p>
      <w:pPr>
        <w:spacing w:after="0" w:line="92" w:lineRule="exact"/>
        <w:rPr>
          <w:rFonts w:ascii="Arial" w:cs="Arial" w:eastAsia="Arial" w:hAnsi="Arial"/>
          <w:sz w:val="17"/>
          <w:szCs w:val="17"/>
          <w:color w:val="auto"/>
        </w:rPr>
      </w:pPr>
    </w:p>
    <w:p>
      <w:pPr>
        <w:ind w:left="300" w:right="1239" w:firstLine="248"/>
        <w:spacing w:after="0" w:line="267" w:lineRule="auto"/>
        <w:tabs>
          <w:tab w:leader="none" w:pos="835"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the due performance and observance by each Grantor of all of its other obligations from time to time existing in respect of any of the Note Transaction Documents for so long as the Note are outstanding.</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Grantor (that is not an Existing Grantor) represents and warrants as to itself as follows:</w:t>
      </w:r>
    </w:p>
    <w:p>
      <w:pPr>
        <w:spacing w:after="0" w:line="66" w:lineRule="exact"/>
        <w:rPr>
          <w:sz w:val="20"/>
          <w:szCs w:val="20"/>
          <w:color w:val="auto"/>
        </w:rPr>
      </w:pPr>
    </w:p>
    <w:p>
      <w:pPr>
        <w:ind w:left="300" w:right="1239" w:firstLine="248"/>
        <w:spacing w:after="0" w:line="267" w:lineRule="auto"/>
        <w:tabs>
          <w:tab w:leader="none" w:pos="819"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sets forth (i) the exact legal name of such Grantor, and (ii) the organizational identification number of such Grantor or states that no such organizational identification number exists.</w:t>
      </w:r>
    </w:p>
    <w:p>
      <w:pPr>
        <w:spacing w:after="0" w:line="66" w:lineRule="exact"/>
        <w:rPr>
          <w:rFonts w:ascii="Arial" w:cs="Arial" w:eastAsia="Arial" w:hAnsi="Arial"/>
          <w:sz w:val="17"/>
          <w:szCs w:val="17"/>
          <w:color w:val="auto"/>
        </w:rPr>
      </w:pPr>
    </w:p>
    <w:p>
      <w:pPr>
        <w:jc w:val="both"/>
        <w:ind w:left="300" w:right="1239" w:firstLine="248"/>
        <w:spacing w:after="0" w:line="274" w:lineRule="auto"/>
        <w:tabs>
          <w:tab w:leader="none" w:pos="826"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61" w:lineRule="exact"/>
        <w:rPr>
          <w:rFonts w:ascii="Arial" w:cs="Arial" w:eastAsia="Arial" w:hAnsi="Arial"/>
          <w:sz w:val="16"/>
          <w:szCs w:val="16"/>
          <w:color w:val="auto"/>
        </w:rPr>
      </w:pPr>
    </w:p>
    <w:p>
      <w:pPr>
        <w:jc w:val="both"/>
        <w:ind w:left="300" w:right="1239" w:firstLine="248"/>
        <w:spacing w:after="0" w:line="253" w:lineRule="auto"/>
        <w:tabs>
          <w:tab w:leader="none" w:pos="8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0" w:name="page361"/>
    <w:bookmarkEnd w:id="3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78" w:lineRule="exact"/>
        <w:rPr>
          <w:sz w:val="20"/>
          <w:szCs w:val="20"/>
          <w:color w:val="auto"/>
        </w:rPr>
      </w:pPr>
    </w:p>
    <w:p>
      <w:pPr>
        <w:jc w:val="both"/>
        <w:ind w:left="300" w:right="1239" w:firstLine="248"/>
        <w:spacing w:after="0" w:line="281" w:lineRule="auto"/>
        <w:tabs>
          <w:tab w:leader="none" w:pos="846" w:val="left"/>
        </w:tabs>
        <w:numPr>
          <w:ilvl w:val="1"/>
          <w:numId w:val="287"/>
        </w:numPr>
        <w:rPr>
          <w:rFonts w:ascii="Arial" w:cs="Arial" w:eastAsia="Arial" w:hAnsi="Arial"/>
          <w:sz w:val="15"/>
          <w:szCs w:val="15"/>
          <w:color w:val="auto"/>
        </w:rPr>
      </w:pPr>
      <w:r>
        <w:rPr>
          <w:rFonts w:ascii="Arial" w:cs="Arial" w:eastAsia="Arial" w:hAnsi="Arial"/>
          <w:sz w:val="15"/>
          <w:szCs w:val="15"/>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and with respect to which the Buyer has filed financing statements and otherwise fully perfected its Liens thereon, subject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5"/>
          <w:szCs w:val="15"/>
          <w:u w:val="single" w:color="auto"/>
          <w:color w:val="auto"/>
        </w:rPr>
        <w:t>Schedule III</w:t>
      </w:r>
      <w:r>
        <w:rPr>
          <w:rFonts w:ascii="Arial" w:cs="Arial" w:eastAsia="Arial" w:hAnsi="Arial"/>
          <w:sz w:val="15"/>
          <w:szCs w:val="15"/>
          <w:color w:val="auto"/>
        </w:rPr>
        <w:t xml:space="preserve"> hereto. None of the Accounts is evidenced by Promissory Notes or other Instruments. Set forth in </w:t>
      </w:r>
      <w:r>
        <w:rPr>
          <w:rFonts w:ascii="Arial" w:cs="Arial" w:eastAsia="Arial" w:hAnsi="Arial"/>
          <w:sz w:val="15"/>
          <w:szCs w:val="15"/>
          <w:u w:val="single" w:color="auto"/>
          <w:color w:val="auto"/>
        </w:rPr>
        <w:t>Schedule IV</w:t>
      </w:r>
      <w:r>
        <w:rPr>
          <w:rFonts w:ascii="Arial" w:cs="Arial" w:eastAsia="Arial" w:hAnsi="Arial"/>
          <w:sz w:val="15"/>
          <w:szCs w:val="15"/>
          <w:color w:val="auto"/>
        </w:rPr>
        <w:t xml:space="preserve"> hereto is a complete and accurate list, as of the date of this Agreement, of</w:t>
      </w:r>
    </w:p>
    <w:p>
      <w:pPr>
        <w:jc w:val="both"/>
        <w:ind w:left="300" w:right="1239" w:hanging="2"/>
        <w:spacing w:after="0" w:line="288" w:lineRule="auto"/>
        <w:tabs>
          <w:tab w:leader="none" w:pos="524"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55" w:lineRule="exact"/>
        <w:rPr>
          <w:rFonts w:ascii="Arial" w:cs="Arial" w:eastAsia="Arial" w:hAnsi="Arial"/>
          <w:sz w:val="15"/>
          <w:szCs w:val="15"/>
          <w:color w:val="auto"/>
        </w:rPr>
      </w:pPr>
    </w:p>
    <w:p>
      <w:pPr>
        <w:jc w:val="both"/>
        <w:ind w:left="300" w:right="1239" w:firstLine="248"/>
        <w:spacing w:after="0" w:line="285" w:lineRule="auto"/>
        <w:tabs>
          <w:tab w:leader="none" w:pos="847" w:val="left"/>
        </w:tabs>
        <w:numPr>
          <w:ilvl w:val="1"/>
          <w:numId w:val="288"/>
        </w:numPr>
        <w:rPr>
          <w:rFonts w:ascii="Arial" w:cs="Arial" w:eastAsia="Arial" w:hAnsi="Arial"/>
          <w:sz w:val="15"/>
          <w:szCs w:val="15"/>
          <w:color w:val="auto"/>
        </w:rPr>
      </w:pPr>
      <w:r>
        <w:rPr>
          <w:rFonts w:ascii="Arial" w:cs="Arial" w:eastAsia="Arial" w:hAnsi="Arial"/>
          <w:sz w:val="15"/>
          <w:szCs w:val="15"/>
          <w:color w:val="auto"/>
        </w:rPr>
        <w:t xml:space="preserve">Such Grantor has delivered or made available to the Buyer complete and correct copies of each License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56" w:lineRule="exact"/>
        <w:rPr>
          <w:rFonts w:ascii="Arial" w:cs="Arial" w:eastAsia="Arial" w:hAnsi="Arial"/>
          <w:sz w:val="15"/>
          <w:szCs w:val="15"/>
          <w:color w:val="auto"/>
        </w:rPr>
      </w:pPr>
    </w:p>
    <w:p>
      <w:pPr>
        <w:jc w:val="both"/>
        <w:ind w:left="300" w:right="1239" w:firstLine="248"/>
        <w:spacing w:after="0" w:line="283" w:lineRule="auto"/>
        <w:tabs>
          <w:tab w:leader="none" w:pos="808" w:val="left"/>
        </w:tabs>
        <w:numPr>
          <w:ilvl w:val="1"/>
          <w:numId w:val="288"/>
        </w:numPr>
        <w:rPr>
          <w:rFonts w:ascii="Arial" w:cs="Arial" w:eastAsia="Arial" w:hAnsi="Arial"/>
          <w:sz w:val="15"/>
          <w:szCs w:val="15"/>
          <w:color w:val="auto"/>
        </w:rPr>
      </w:pPr>
      <w:r>
        <w:rPr>
          <w:rFonts w:ascii="Arial" w:cs="Arial" w:eastAsia="Arial" w:hAnsi="Arial"/>
          <w:sz w:val="15"/>
          <w:szCs w:val="15"/>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1" w:name="page362"/>
    <w:bookmarkEnd w:id="3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1" w:lineRule="auto"/>
        <w:tabs>
          <w:tab w:leader="none" w:pos="83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7"/>
          <w:szCs w:val="17"/>
          <w:u w:val="single" w:color="auto"/>
          <w:color w:val="auto"/>
        </w:rPr>
        <w:t>Section 5(n)</w:t>
      </w:r>
      <w:r>
        <w:rPr>
          <w:rFonts w:ascii="Arial" w:cs="Arial" w:eastAsia="Arial" w:hAnsi="Arial"/>
          <w:sz w:val="17"/>
          <w:szCs w:val="17"/>
          <w:color w:val="auto"/>
        </w:rPr>
        <w:t xml:space="preserve"> hereof, and (B) such as may have been filed to perfect any Permitted Liens.</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84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76" w:lineRule="exact"/>
        <w:rPr>
          <w:rFonts w:ascii="Arial" w:cs="Arial" w:eastAsia="Arial" w:hAnsi="Arial"/>
          <w:sz w:val="17"/>
          <w:szCs w:val="17"/>
          <w:color w:val="auto"/>
        </w:rPr>
      </w:pPr>
    </w:p>
    <w:p>
      <w:pPr>
        <w:jc w:val="both"/>
        <w:ind w:left="300" w:right="1239" w:firstLine="248"/>
        <w:spacing w:after="0" w:line="270" w:lineRule="auto"/>
        <w:tabs>
          <w:tab w:leader="none" w:pos="82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w:t>
      </w:r>
    </w:p>
    <w:p>
      <w:pPr>
        <w:spacing w:after="0" w:line="67" w:lineRule="exact"/>
        <w:rPr>
          <w:rFonts w:ascii="Arial" w:cs="Arial" w:eastAsia="Arial" w:hAnsi="Arial"/>
          <w:sz w:val="16"/>
          <w:szCs w:val="16"/>
          <w:color w:val="auto"/>
        </w:rPr>
      </w:pPr>
    </w:p>
    <w:p>
      <w:pPr>
        <w:ind w:left="300" w:right="1239" w:firstLine="248"/>
        <w:spacing w:after="0" w:line="335" w:lineRule="auto"/>
        <w:tabs>
          <w:tab w:leader="none" w:pos="789"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19" w:lineRule="exact"/>
        <w:rPr>
          <w:rFonts w:ascii="Arial" w:cs="Arial" w:eastAsia="Arial" w:hAnsi="Arial"/>
          <w:sz w:val="15"/>
          <w:szCs w:val="15"/>
          <w:color w:val="auto"/>
        </w:rPr>
      </w:pPr>
    </w:p>
    <w:p>
      <w:pPr>
        <w:ind w:left="300" w:right="1239" w:firstLine="248"/>
        <w:spacing w:after="0" w:line="267" w:lineRule="auto"/>
        <w:tabs>
          <w:tab w:leader="none" w:pos="8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As of the date hereof, such Grantor does not hold any Commercial Tort Claims nor is aware of any such pending claims, except for such claims described in </w:t>
      </w:r>
      <w:r>
        <w:rPr>
          <w:rFonts w:ascii="Arial" w:cs="Arial" w:eastAsia="Arial" w:hAnsi="Arial"/>
          <w:sz w:val="17"/>
          <w:szCs w:val="17"/>
          <w:u w:val="single" w:color="auto"/>
          <w:color w:val="auto"/>
        </w:rPr>
        <w:t>Schedule VI</w:t>
      </w:r>
      <w:r>
        <w:rPr>
          <w:rFonts w:ascii="Arial" w:cs="Arial" w:eastAsia="Arial" w:hAnsi="Arial"/>
          <w:sz w:val="17"/>
          <w:szCs w:val="17"/>
          <w:color w:val="auto"/>
        </w:rPr>
        <w:t>.</w:t>
      </w:r>
    </w:p>
    <w:p>
      <w:pPr>
        <w:spacing w:after="0" w:line="66"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Covenants as to the Collateral</w:t>
      </w:r>
      <w:r>
        <w:rPr>
          <w:rFonts w:ascii="Arial" w:cs="Arial" w:eastAsia="Arial" w:hAnsi="Arial"/>
          <w:sz w:val="17"/>
          <w:szCs w:val="17"/>
          <w:color w:val="auto"/>
        </w:rPr>
        <w:t>. Subject in all respects to Section 5(n), so long as any of the Obligations shall remain outstanding, unless the Buyer shall otherwise consent in writing:</w:t>
      </w:r>
    </w:p>
    <w:p>
      <w:pPr>
        <w:spacing w:after="0" w:line="66" w:lineRule="exact"/>
        <w:rPr>
          <w:sz w:val="20"/>
          <w:szCs w:val="20"/>
          <w:color w:val="auto"/>
        </w:rPr>
      </w:pPr>
    </w:p>
    <w:p>
      <w:pPr>
        <w:jc w:val="both"/>
        <w:ind w:left="300" w:right="1239" w:firstLine="248"/>
        <w:spacing w:after="0" w:line="281" w:lineRule="auto"/>
        <w:tabs>
          <w:tab w:leader="none" w:pos="819" w:val="left"/>
        </w:tabs>
        <w:numPr>
          <w:ilvl w:val="0"/>
          <w:numId w:val="290"/>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2" w:name="page363"/>
    <w:bookmarkEnd w:id="3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other law, as applicable, in any relevant Uniform Commercial Code jurisdiction, or by other law as applicable in any foreign jurisdiction.</w:t>
      </w:r>
    </w:p>
    <w:p>
      <w:pPr>
        <w:spacing w:after="0" w:line="66" w:lineRule="exact"/>
        <w:rPr>
          <w:sz w:val="20"/>
          <w:szCs w:val="20"/>
          <w:color w:val="auto"/>
        </w:rPr>
      </w:pPr>
    </w:p>
    <w:p>
      <w:pPr>
        <w:jc w:val="both"/>
        <w:ind w:left="300" w:right="1239" w:firstLine="248"/>
        <w:spacing w:after="0" w:line="307" w:lineRule="auto"/>
        <w:tabs>
          <w:tab w:leader="none" w:pos="841"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Location of Equipment and Inventory</w:t>
      </w:r>
      <w:r>
        <w:rPr>
          <w:rFonts w:ascii="Arial" w:cs="Arial" w:eastAsia="Arial" w:hAnsi="Arial"/>
          <w:sz w:val="15"/>
          <w:szCs w:val="15"/>
          <w:color w:val="auto"/>
        </w:rPr>
        <w:t xml:space="preserve">. Each Grantor will keep the Equipment and Inventory at the locations specified therefor in </w:t>
      </w:r>
      <w:r>
        <w:rPr>
          <w:rFonts w:ascii="Arial" w:cs="Arial" w:eastAsia="Arial" w:hAnsi="Arial"/>
          <w:sz w:val="15"/>
          <w:szCs w:val="15"/>
          <w:u w:val="single" w:color="auto"/>
          <w:color w:val="auto"/>
        </w:rPr>
        <w:t>Section 4(g)</w:t>
      </w:r>
      <w:r>
        <w:rPr>
          <w:rFonts w:ascii="Arial" w:cs="Arial" w:eastAsia="Arial" w:hAnsi="Arial"/>
          <w:sz w:val="15"/>
          <w:szCs w:val="15"/>
          <w:color w:val="auto"/>
        </w:rPr>
        <w:t xml:space="preserve"> hereof or, upon not less than thirty (30) days’ prior written notice to the Buyer accompanied by a new </w:t>
      </w:r>
      <w:r>
        <w:rPr>
          <w:rFonts w:ascii="Arial" w:cs="Arial" w:eastAsia="Arial" w:hAnsi="Arial"/>
          <w:sz w:val="15"/>
          <w:szCs w:val="15"/>
          <w:u w:val="single" w:color="auto"/>
          <w:color w:val="auto"/>
        </w:rPr>
        <w:t>Schedule V</w:t>
      </w:r>
      <w:r>
        <w:rPr>
          <w:rFonts w:ascii="Arial" w:cs="Arial" w:eastAsia="Arial" w:hAnsi="Arial"/>
          <w:sz w:val="15"/>
          <w:szCs w:val="15"/>
          <w:color w:val="auto"/>
        </w:rPr>
        <w:t xml:space="preserve"> hereto indicating each new location of the Equipment and Inventory, at such other locations in the United States.</w:t>
      </w:r>
    </w:p>
    <w:p>
      <w:pPr>
        <w:spacing w:after="0" w:line="39" w:lineRule="exact"/>
        <w:rPr>
          <w:rFonts w:ascii="Arial" w:cs="Arial" w:eastAsia="Arial" w:hAnsi="Arial"/>
          <w:sz w:val="15"/>
          <w:szCs w:val="15"/>
          <w:color w:val="auto"/>
        </w:rPr>
      </w:pPr>
    </w:p>
    <w:p>
      <w:pPr>
        <w:jc w:val="both"/>
        <w:ind w:left="300" w:right="1239" w:firstLine="248"/>
        <w:spacing w:after="0" w:line="249" w:lineRule="auto"/>
        <w:tabs>
          <w:tab w:leader="none" w:pos="819"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Condition of Equipment</w:t>
      </w:r>
      <w:r>
        <w:rPr>
          <w:rFonts w:ascii="Arial" w:cs="Arial" w:eastAsia="Arial" w:hAnsi="Arial"/>
          <w:sz w:val="17"/>
          <w:szCs w:val="17"/>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83" w:lineRule="exact"/>
        <w:rPr>
          <w:rFonts w:ascii="Arial" w:cs="Arial" w:eastAsia="Arial" w:hAnsi="Arial"/>
          <w:sz w:val="17"/>
          <w:szCs w:val="17"/>
          <w:color w:val="auto"/>
        </w:rPr>
      </w:pPr>
    </w:p>
    <w:p>
      <w:pPr>
        <w:jc w:val="both"/>
        <w:ind w:left="300" w:right="1239" w:firstLine="248"/>
        <w:spacing w:after="0" w:line="270" w:lineRule="auto"/>
        <w:tabs>
          <w:tab w:leader="none" w:pos="829"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Taxes, Etc</w:t>
      </w:r>
      <w:r>
        <w:rPr>
          <w:rFonts w:ascii="Arial" w:cs="Arial" w:eastAsia="Arial" w:hAnsi="Arial"/>
          <w:sz w:val="16"/>
          <w:szCs w:val="16"/>
          <w:color w:val="auto"/>
        </w:rPr>
        <w:t>.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67" w:lineRule="exact"/>
        <w:rPr>
          <w:rFonts w:ascii="Arial" w:cs="Arial" w:eastAsia="Arial" w:hAnsi="Arial"/>
          <w:sz w:val="16"/>
          <w:szCs w:val="16"/>
          <w:color w:val="auto"/>
        </w:rPr>
      </w:pPr>
    </w:p>
    <w:p>
      <w:pPr>
        <w:ind w:left="820" w:hanging="272"/>
        <w:spacing w:after="0"/>
        <w:tabs>
          <w:tab w:leader="none" w:pos="82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63" w:lineRule="auto"/>
        <w:tabs>
          <w:tab w:leader="none" w:pos="1105"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80" w:lineRule="exact"/>
        <w:rPr>
          <w:rFonts w:ascii="Arial" w:cs="Arial" w:eastAsia="Arial" w:hAnsi="Arial"/>
          <w:sz w:val="16"/>
          <w:szCs w:val="16"/>
          <w:color w:val="auto"/>
        </w:rPr>
      </w:pPr>
    </w:p>
    <w:p>
      <w:pPr>
        <w:jc w:val="both"/>
        <w:ind w:left="540" w:right="1239" w:firstLine="259"/>
        <w:spacing w:after="0" w:line="267" w:lineRule="auto"/>
        <w:tabs>
          <w:tab w:leader="none" w:pos="111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Reimbursement under any liability insurance maintained by a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shall be paid to the Buyer (except as to which paragraph (iii) of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shall be paid by the Buyer to such Grantor as reimbursement for the costs of such repairs or replacements.</w:t>
      </w: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3" w:name="page364"/>
    <w:bookmarkEnd w:id="3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right="1239" w:firstLine="259"/>
        <w:spacing w:after="0" w:line="267" w:lineRule="auto"/>
        <w:tabs>
          <w:tab w:leader="none" w:pos="117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 xml:space="preserve">All insurance payments in respect of such Equipment or Inventory shall be paid to the Buyer and applied as specified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w:t>
      </w:r>
    </w:p>
    <w:p>
      <w:pPr>
        <w:spacing w:after="0" w:line="66" w:lineRule="exact"/>
        <w:rPr>
          <w:rFonts w:ascii="Arial" w:cs="Arial" w:eastAsia="Arial" w:hAnsi="Arial"/>
          <w:sz w:val="17"/>
          <w:szCs w:val="17"/>
          <w:color w:val="auto"/>
        </w:rPr>
      </w:pPr>
    </w:p>
    <w:p>
      <w:pPr>
        <w:ind w:left="800" w:hanging="252"/>
        <w:spacing w:after="0"/>
        <w:tabs>
          <w:tab w:leader="none" w:pos="80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Provisions Concerning the Accounts and the Licenses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69" w:lineRule="auto"/>
        <w:tabs>
          <w:tab w:leader="none" w:pos="105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66" w:lineRule="exact"/>
        <w:rPr>
          <w:sz w:val="20"/>
          <w:szCs w:val="20"/>
          <w:color w:val="auto"/>
        </w:rPr>
      </w:pPr>
    </w:p>
    <w:p>
      <w:pPr>
        <w:jc w:val="both"/>
        <w:ind w:left="540" w:right="1239" w:firstLine="259"/>
        <w:spacing w:after="0" w:line="281" w:lineRule="auto"/>
        <w:tabs>
          <w:tab w:leader="none" w:pos="1104"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w:t>
      </w:r>
    </w:p>
    <w:p>
      <w:pPr>
        <w:spacing w:after="0" w:line="266" w:lineRule="exact"/>
        <w:rPr>
          <w:rFonts w:ascii="Arial" w:cs="Arial" w:eastAsia="Arial" w:hAnsi="Arial"/>
          <w:sz w:val="15"/>
          <w:szCs w:val="15"/>
          <w:color w:val="auto"/>
        </w:rPr>
      </w:pPr>
    </w:p>
    <w:p>
      <w:pPr>
        <w:jc w:val="both"/>
        <w:ind w:left="540" w:right="1239" w:firstLine="259"/>
        <w:spacing w:after="0" w:line="292" w:lineRule="auto"/>
        <w:tabs>
          <w:tab w:leader="none" w:pos="1132" w:val="left"/>
        </w:tabs>
        <w:numPr>
          <w:ilvl w:val="0"/>
          <w:numId w:val="294"/>
        </w:numPr>
        <w:rPr>
          <w:rFonts w:ascii="Arial" w:cs="Arial" w:eastAsia="Arial" w:hAnsi="Arial"/>
          <w:sz w:val="15"/>
          <w:szCs w:val="15"/>
          <w:color w:val="auto"/>
        </w:rPr>
      </w:pPr>
      <w:r>
        <w:rPr>
          <w:rFonts w:ascii="Arial" w:cs="Arial" w:eastAsia="Arial" w:hAnsi="Arial"/>
          <w:sz w:val="15"/>
          <w:szCs w:val="15"/>
          <w:color w:val="auto"/>
        </w:rPr>
        <w:t xml:space="preserve">Upon the occurrence and during the continuance of any breach or default under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53" w:lineRule="exact"/>
        <w:rPr>
          <w:rFonts w:ascii="Arial" w:cs="Arial" w:eastAsia="Arial" w:hAnsi="Arial"/>
          <w:sz w:val="15"/>
          <w:szCs w:val="15"/>
          <w:color w:val="auto"/>
        </w:rPr>
      </w:pPr>
    </w:p>
    <w:p>
      <w:pPr>
        <w:jc w:val="both"/>
        <w:ind w:left="540" w:right="1239" w:firstLine="259"/>
        <w:spacing w:after="0" w:line="280" w:lineRule="auto"/>
        <w:tabs>
          <w:tab w:leader="none" w:pos="115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purports to exercise any of its rights or affect any of its obligations thereunder, together with a copy of any reply by such Grantor thereto.</w:t>
      </w:r>
    </w:p>
    <w:p>
      <w:pPr>
        <w:spacing w:after="0" w:line="200" w:lineRule="exact"/>
        <w:rPr>
          <w:sz w:val="20"/>
          <w:szCs w:val="20"/>
          <w:color w:val="auto"/>
        </w:rPr>
      </w:pPr>
    </w:p>
    <w:p>
      <w:pPr>
        <w:spacing w:after="0" w:line="27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4" w:name="page365"/>
    <w:bookmarkEnd w:id="3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firstLine="259"/>
        <w:spacing w:after="0" w:line="270" w:lineRule="auto"/>
        <w:tabs>
          <w:tab w:leader="none" w:pos="1106"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67" w:lineRule="exact"/>
        <w:rPr>
          <w:rFonts w:ascii="Arial" w:cs="Arial" w:eastAsia="Arial" w:hAnsi="Arial"/>
          <w:sz w:val="16"/>
          <w:szCs w:val="16"/>
          <w:color w:val="auto"/>
        </w:rPr>
      </w:pPr>
    </w:p>
    <w:p>
      <w:pPr>
        <w:ind w:left="820" w:hanging="272"/>
        <w:spacing w:after="0"/>
        <w:tabs>
          <w:tab w:leader="none" w:pos="82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Transfers and Other Liens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307" w:lineRule="auto"/>
        <w:tabs>
          <w:tab w:leader="none" w:pos="1071" w:val="left"/>
        </w:tabs>
        <w:numPr>
          <w:ilvl w:val="1"/>
          <w:numId w:val="296"/>
        </w:numPr>
        <w:rPr>
          <w:rFonts w:ascii="Arial" w:cs="Arial" w:eastAsia="Arial" w:hAnsi="Arial"/>
          <w:sz w:val="15"/>
          <w:szCs w:val="15"/>
          <w:color w:val="auto"/>
        </w:rPr>
      </w:pPr>
      <w:r>
        <w:rPr>
          <w:rFonts w:ascii="Arial" w:cs="Arial" w:eastAsia="Arial" w:hAnsi="Arial"/>
          <w:sz w:val="15"/>
          <w:szCs w:val="15"/>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40" w:lineRule="exact"/>
        <w:rPr>
          <w:sz w:val="20"/>
          <w:szCs w:val="20"/>
          <w:color w:val="auto"/>
        </w:rPr>
      </w:pPr>
    </w:p>
    <w:p>
      <w:pPr>
        <w:ind w:left="540" w:right="1239" w:firstLine="259"/>
        <w:spacing w:after="0" w:line="267" w:lineRule="auto"/>
        <w:tabs>
          <w:tab w:leader="none" w:pos="11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No Grantor will create, suffer to exist or grant any Lien upon or with respect to any Collateral other than a Permitted Lien.</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80" w:lineRule="auto"/>
        <w:tabs>
          <w:tab w:leader="none" w:pos="1033" w:val="left"/>
        </w:tabs>
        <w:numPr>
          <w:ilvl w:val="1"/>
          <w:numId w:val="298"/>
        </w:numPr>
        <w:rPr>
          <w:rFonts w:ascii="Arial" w:cs="Arial" w:eastAsia="Arial" w:hAnsi="Arial"/>
          <w:sz w:val="15"/>
          <w:szCs w:val="15"/>
          <w:color w:val="auto"/>
        </w:rPr>
      </w:pPr>
      <w:r>
        <w:rPr>
          <w:rFonts w:ascii="Arial" w:cs="Arial" w:eastAsia="Arial" w:hAnsi="Arial"/>
          <w:sz w:val="15"/>
          <w:szCs w:val="15"/>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5" w:name="page366"/>
    <w:bookmarkEnd w:id="3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307" w:lineRule="auto"/>
        <w:rPr>
          <w:sz w:val="20"/>
          <w:szCs w:val="20"/>
          <w:color w:val="auto"/>
        </w:rPr>
      </w:pPr>
      <w:r>
        <w:rPr>
          <w:rFonts w:ascii="Arial" w:cs="Arial" w:eastAsia="Arial" w:hAnsi="Arial"/>
          <w:sz w:val="14"/>
          <w:szCs w:val="14"/>
          <w:color w:val="auto"/>
        </w:rPr>
        <w:t xml:space="preserve">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46" w:lineRule="exact"/>
        <w:rPr>
          <w:sz w:val="20"/>
          <w:szCs w:val="20"/>
          <w:color w:val="auto"/>
        </w:rPr>
      </w:pPr>
    </w:p>
    <w:p>
      <w:pPr>
        <w:jc w:val="both"/>
        <w:ind w:left="540" w:right="1239" w:firstLine="259"/>
        <w:spacing w:after="0" w:line="284" w:lineRule="auto"/>
        <w:tabs>
          <w:tab w:leader="none" w:pos="108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56" w:lineRule="exact"/>
        <w:rPr>
          <w:rFonts w:ascii="Arial" w:cs="Arial" w:eastAsia="Arial" w:hAnsi="Arial"/>
          <w:sz w:val="15"/>
          <w:szCs w:val="15"/>
          <w:color w:val="auto"/>
        </w:rPr>
      </w:pPr>
    </w:p>
    <w:p>
      <w:pPr>
        <w:jc w:val="both"/>
        <w:ind w:left="540" w:right="1239" w:firstLine="259"/>
        <w:spacing w:after="0" w:line="286" w:lineRule="auto"/>
        <w:tabs>
          <w:tab w:leader="none" w:pos="1159" w:val="left"/>
        </w:tabs>
        <w:numPr>
          <w:ilvl w:val="1"/>
          <w:numId w:val="299"/>
        </w:numPr>
        <w:rPr>
          <w:rFonts w:ascii="Arial" w:cs="Arial" w:eastAsia="Arial" w:hAnsi="Arial"/>
          <w:sz w:val="15"/>
          <w:szCs w:val="15"/>
          <w:color w:val="auto"/>
        </w:rPr>
      </w:pPr>
      <w:r>
        <w:rPr>
          <w:rFonts w:ascii="Arial" w:cs="Arial" w:eastAsia="Arial" w:hAnsi="Arial"/>
          <w:sz w:val="15"/>
          <w:szCs w:val="15"/>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5"/>
          <w:szCs w:val="15"/>
          <w:u w:val="single" w:color="auto"/>
          <w:color w:val="auto"/>
        </w:rPr>
        <w:t>inter alia</w:t>
      </w:r>
      <w:r>
        <w:rPr>
          <w:rFonts w:ascii="Arial" w:cs="Arial" w:eastAsia="Arial" w:hAnsi="Arial"/>
          <w:sz w:val="15"/>
          <w:szCs w:val="15"/>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59" w:lineRule="exact"/>
        <w:rPr>
          <w:rFonts w:ascii="Arial" w:cs="Arial" w:eastAsia="Arial" w:hAnsi="Arial"/>
          <w:sz w:val="15"/>
          <w:szCs w:val="15"/>
          <w:color w:val="auto"/>
        </w:rPr>
      </w:pPr>
    </w:p>
    <w:p>
      <w:pPr>
        <w:jc w:val="both"/>
        <w:ind w:left="300" w:right="1239" w:firstLine="248"/>
        <w:spacing w:after="0" w:line="264" w:lineRule="auto"/>
        <w:tabs>
          <w:tab w:leader="none" w:pos="829"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Deposit, Commodities and Securities Accounts</w:t>
      </w:r>
      <w:r>
        <w:rPr>
          <w:rFonts w:ascii="Arial" w:cs="Arial" w:eastAsia="Arial" w:hAnsi="Arial"/>
          <w:sz w:val="16"/>
          <w:szCs w:val="16"/>
          <w:color w:val="auto"/>
        </w:rPr>
        <w:t xml:space="preserve">. Upon the Buyer’s request, each Grantor shall cause each bank and other financial institution with an account referred to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6"/>
          <w:szCs w:val="16"/>
          <w:u w:val="single" w:color="auto"/>
          <w:color w:val="auto"/>
        </w:rPr>
        <w:t>inter alia</w:t>
      </w:r>
      <w:r>
        <w:rPr>
          <w:rFonts w:ascii="Arial" w:cs="Arial" w:eastAsia="Arial" w:hAnsi="Arial"/>
          <w:sz w:val="16"/>
          <w:szCs w:val="16"/>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6" w:name="page367"/>
    <w:bookmarkEnd w:id="3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2" w:lineRule="auto"/>
        <w:rPr>
          <w:sz w:val="20"/>
          <w:szCs w:val="20"/>
          <w:color w:val="auto"/>
        </w:rPr>
      </w:pPr>
      <w:r>
        <w:rPr>
          <w:rFonts w:ascii="Arial" w:cs="Arial" w:eastAsia="Arial" w:hAnsi="Arial"/>
          <w:sz w:val="15"/>
          <w:szCs w:val="15"/>
          <w:color w:val="auto"/>
        </w:rPr>
        <w:t xml:space="preserve">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5"/>
          <w:szCs w:val="15"/>
          <w:u w:val="single" w:color="auto"/>
          <w:color w:val="auto"/>
        </w:rPr>
        <w:t>Schedule IV</w:t>
      </w:r>
      <w:r>
        <w:rPr>
          <w:rFonts w:ascii="Arial" w:cs="Arial" w:eastAsia="Arial" w:hAnsi="Arial"/>
          <w:sz w:val="15"/>
          <w:szCs w:val="15"/>
          <w:color w:val="auto"/>
        </w:rPr>
        <w:t xml:space="preserve"> hereto. The provisions of this paragraph 5(i) shall not apply to (i) Deposit Accounts for which the Buyer is the depositary and</w:t>
      </w:r>
    </w:p>
    <w:p>
      <w:pPr>
        <w:spacing w:after="0" w:line="1" w:lineRule="exact"/>
        <w:rPr>
          <w:sz w:val="20"/>
          <w:szCs w:val="20"/>
          <w:color w:val="auto"/>
        </w:rPr>
      </w:pPr>
    </w:p>
    <w:p>
      <w:pPr>
        <w:ind w:left="300" w:right="1239" w:hanging="2"/>
        <w:spacing w:after="0" w:line="252" w:lineRule="auto"/>
        <w:tabs>
          <w:tab w:leader="none" w:pos="55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Deposit Accounts specially and exclusively used for payroll, payroll taxes and other employee wage and benefit payments to or for the benefit of a Grantor’s salaried employees.</w:t>
      </w:r>
    </w:p>
    <w:p>
      <w:pPr>
        <w:spacing w:after="0" w:line="78" w:lineRule="exact"/>
        <w:rPr>
          <w:rFonts w:ascii="Arial" w:cs="Arial" w:eastAsia="Arial" w:hAnsi="Arial"/>
          <w:sz w:val="17"/>
          <w:szCs w:val="17"/>
          <w:color w:val="auto"/>
        </w:rPr>
      </w:pPr>
    </w:p>
    <w:p>
      <w:pPr>
        <w:ind w:left="780" w:hanging="232"/>
        <w:spacing w:after="0"/>
        <w:tabs>
          <w:tab w:leader="none" w:pos="780"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t>Motor Vehicles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074" w:val="left"/>
        </w:tabs>
        <w:numPr>
          <w:ilvl w:val="2"/>
          <w:numId w:val="301"/>
        </w:numPr>
        <w:rPr>
          <w:rFonts w:ascii="Arial" w:cs="Arial" w:eastAsia="Arial" w:hAnsi="Arial"/>
          <w:sz w:val="17"/>
          <w:szCs w:val="17"/>
          <w:color w:val="auto"/>
        </w:rPr>
      </w:pPr>
      <w:r>
        <w:rPr>
          <w:rFonts w:ascii="Arial" w:cs="Arial" w:eastAsia="Arial" w:hAnsi="Arial"/>
          <w:sz w:val="17"/>
          <w:szCs w:val="17"/>
          <w:color w:val="auto"/>
        </w:rPr>
        <w:t>Upon the Buyer’s written request, each Grantor shall deliver to the Buyer originals of the certificates of title or ownership for all motor vehicles owned by it with the Buyer listed as lienholder.</w:t>
      </w:r>
    </w:p>
    <w:p>
      <w:pPr>
        <w:spacing w:after="0" w:line="66" w:lineRule="exact"/>
        <w:rPr>
          <w:rFonts w:ascii="Arial" w:cs="Arial" w:eastAsia="Arial" w:hAnsi="Arial"/>
          <w:sz w:val="17"/>
          <w:szCs w:val="17"/>
          <w:color w:val="auto"/>
        </w:rPr>
      </w:pPr>
    </w:p>
    <w:p>
      <w:pPr>
        <w:jc w:val="both"/>
        <w:ind w:left="540" w:right="1239" w:firstLine="259"/>
        <w:spacing w:after="0" w:line="285" w:lineRule="auto"/>
        <w:tabs>
          <w:tab w:leader="none" w:pos="1100" w:val="left"/>
        </w:tabs>
        <w:numPr>
          <w:ilvl w:val="2"/>
          <w:numId w:val="301"/>
        </w:numPr>
        <w:rPr>
          <w:rFonts w:ascii="Arial" w:cs="Arial" w:eastAsia="Arial" w:hAnsi="Arial"/>
          <w:sz w:val="15"/>
          <w:szCs w:val="15"/>
          <w:color w:val="auto"/>
        </w:rPr>
      </w:pPr>
      <w:r>
        <w:rPr>
          <w:rFonts w:ascii="Arial" w:cs="Arial" w:eastAsia="Arial" w:hAnsi="Arial"/>
          <w:sz w:val="15"/>
          <w:szCs w:val="15"/>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56" w:lineRule="exact"/>
        <w:rPr>
          <w:rFonts w:ascii="Arial" w:cs="Arial" w:eastAsia="Arial" w:hAnsi="Arial"/>
          <w:sz w:val="15"/>
          <w:szCs w:val="15"/>
          <w:color w:val="auto"/>
        </w:rPr>
      </w:pPr>
    </w:p>
    <w:p>
      <w:pPr>
        <w:ind w:left="540" w:right="1239" w:firstLine="259"/>
        <w:spacing w:after="0" w:line="267" w:lineRule="auto"/>
        <w:tabs>
          <w:tab w:leader="none" w:pos="1153"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Any certificates of title or ownership delivered pursuant to the terms hereof shall be accompanied by odometer statements for each motor vehicle covered thereby.</w:t>
      </w:r>
    </w:p>
    <w:p>
      <w:pPr>
        <w:spacing w:after="0" w:line="66" w:lineRule="exact"/>
        <w:rPr>
          <w:rFonts w:ascii="Arial" w:cs="Arial" w:eastAsia="Arial" w:hAnsi="Arial"/>
          <w:sz w:val="17"/>
          <w:szCs w:val="17"/>
          <w:color w:val="auto"/>
        </w:rPr>
      </w:pPr>
    </w:p>
    <w:p>
      <w:pPr>
        <w:jc w:val="both"/>
        <w:ind w:left="540" w:right="1239" w:firstLine="259"/>
        <w:spacing w:after="0" w:line="266" w:lineRule="auto"/>
        <w:tabs>
          <w:tab w:leader="none" w:pos="1123" w:val="left"/>
        </w:tabs>
        <w:numPr>
          <w:ilvl w:val="2"/>
          <w:numId w:val="301"/>
        </w:numPr>
        <w:rPr>
          <w:rFonts w:ascii="Arial" w:cs="Arial" w:eastAsia="Arial" w:hAnsi="Arial"/>
          <w:sz w:val="16"/>
          <w:szCs w:val="16"/>
          <w:color w:val="auto"/>
        </w:rPr>
      </w:pPr>
      <w:r>
        <w:rPr>
          <w:rFonts w:ascii="Arial" w:cs="Arial" w:eastAsia="Arial" w:hAnsi="Arial"/>
          <w:sz w:val="16"/>
          <w:szCs w:val="16"/>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72" w:lineRule="exact"/>
        <w:rPr>
          <w:rFonts w:ascii="Arial" w:cs="Arial" w:eastAsia="Arial" w:hAnsi="Arial"/>
          <w:sz w:val="16"/>
          <w:szCs w:val="16"/>
          <w:color w:val="auto"/>
        </w:rPr>
      </w:pPr>
    </w:p>
    <w:p>
      <w:pPr>
        <w:jc w:val="both"/>
        <w:ind w:left="300" w:right="1239" w:firstLine="248"/>
        <w:spacing w:after="0" w:line="253" w:lineRule="auto"/>
        <w:tabs>
          <w:tab w:leader="none" w:pos="829"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77" w:lineRule="exact"/>
        <w:rPr>
          <w:rFonts w:ascii="Arial" w:cs="Arial" w:eastAsia="Arial" w:hAnsi="Arial"/>
          <w:sz w:val="17"/>
          <w:szCs w:val="17"/>
          <w:color w:val="auto"/>
        </w:rPr>
      </w:pPr>
    </w:p>
    <w:p>
      <w:pPr>
        <w:jc w:val="both"/>
        <w:ind w:left="300" w:right="1239" w:firstLine="248"/>
        <w:spacing w:after="0" w:line="283" w:lineRule="auto"/>
        <w:tabs>
          <w:tab w:leader="none" w:pos="854" w:val="left"/>
        </w:tabs>
        <w:numPr>
          <w:ilvl w:val="1"/>
          <w:numId w:val="301"/>
        </w:numPr>
        <w:rPr>
          <w:rFonts w:ascii="Arial" w:cs="Arial" w:eastAsia="Arial" w:hAnsi="Arial"/>
          <w:sz w:val="15"/>
          <w:szCs w:val="15"/>
          <w:color w:val="auto"/>
        </w:rPr>
      </w:pPr>
      <w:r>
        <w:rPr>
          <w:rFonts w:ascii="Arial" w:cs="Arial" w:eastAsia="Arial" w:hAnsi="Arial"/>
          <w:sz w:val="15"/>
          <w:szCs w:val="15"/>
          <w:u w:val="single" w:color="auto"/>
          <w:color w:val="auto"/>
        </w:rPr>
        <w:t>Inspection and Reporting</w:t>
      </w:r>
      <w:r>
        <w:rPr>
          <w:rFonts w:ascii="Arial" w:cs="Arial" w:eastAsia="Arial" w:hAnsi="Arial"/>
          <w:sz w:val="15"/>
          <w:szCs w:val="15"/>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w:t>
      </w:r>
    </w:p>
    <w:p>
      <w:pPr>
        <w:ind w:left="300" w:right="1239" w:hanging="2"/>
        <w:spacing w:after="0" w:line="283" w:lineRule="auto"/>
        <w:tabs>
          <w:tab w:leader="none" w:pos="62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to conduct audits, physical counts, appraisals and/or valuations, examinations at the locations of such Grantor. Each Grantor shall also permit the Buyer, or any agent or representatives thereof or such professionals or other</w:t>
      </w:r>
    </w:p>
    <w:p>
      <w:pPr>
        <w:spacing w:after="0" w:line="200" w:lineRule="exact"/>
        <w:rPr>
          <w:sz w:val="20"/>
          <w:szCs w:val="20"/>
          <w:color w:val="auto"/>
        </w:rPr>
      </w:pPr>
    </w:p>
    <w:p>
      <w:pPr>
        <w:spacing w:after="0" w:line="268"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7" w:name="page368"/>
    <w:bookmarkEnd w:id="3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Persons as the Buyer may designate to discuss such Grantor’s affairs, finances and accounts with any of its officers subject to the execution by the Buyer or its designee(s) of a mutually agreeable confidentiality agreement.</w:t>
      </w:r>
    </w:p>
    <w:p>
      <w:pPr>
        <w:spacing w:after="0" w:line="66" w:lineRule="exact"/>
        <w:rPr>
          <w:sz w:val="20"/>
          <w:szCs w:val="20"/>
          <w:color w:val="auto"/>
        </w:rPr>
      </w:pPr>
    </w:p>
    <w:p>
      <w:pPr>
        <w:jc w:val="both"/>
        <w:ind w:left="300" w:right="1239" w:firstLine="248"/>
        <w:spacing w:after="0" w:line="274" w:lineRule="auto"/>
        <w:tabs>
          <w:tab w:leader="none" w:pos="875"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Future Subsidiaries</w:t>
      </w:r>
      <w:r>
        <w:rPr>
          <w:rFonts w:ascii="Arial" w:cs="Arial" w:eastAsia="Arial" w:hAnsi="Arial"/>
          <w:sz w:val="16"/>
          <w:szCs w:val="16"/>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66"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The Company and Vringo Israel</w:t>
      </w:r>
      <w:r>
        <w:rPr>
          <w:rFonts w:ascii="Arial" w:cs="Arial" w:eastAsia="Arial" w:hAnsi="Arial"/>
          <w:sz w:val="16"/>
          <w:szCs w:val="16"/>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6"/>
          <w:szCs w:val="16"/>
          <w:u w:val="single" w:color="auto"/>
          <w:color w:val="auto"/>
        </w:rPr>
        <w:t>provided that</w:t>
      </w:r>
      <w:r>
        <w:rPr>
          <w:rFonts w:ascii="Arial" w:cs="Arial" w:eastAsia="Arial" w:hAnsi="Arial"/>
          <w:sz w:val="16"/>
          <w:szCs w:val="16"/>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Additional Provisions Concerning the Collateral</w:t>
      </w:r>
      <w:r>
        <w:rPr>
          <w:rFonts w:ascii="Arial" w:cs="Arial" w:eastAsia="Arial" w:hAnsi="Arial"/>
          <w:sz w:val="17"/>
          <w:szCs w:val="17"/>
          <w:color w:val="auto"/>
        </w:rPr>
        <w:t>. Subject to Section 5(n)</w:t>
      </w:r>
    </w:p>
    <w:p>
      <w:pPr>
        <w:spacing w:after="0" w:line="105" w:lineRule="exact"/>
        <w:rPr>
          <w:sz w:val="20"/>
          <w:szCs w:val="20"/>
          <w:color w:val="auto"/>
        </w:rPr>
      </w:pPr>
    </w:p>
    <w:p>
      <w:pPr>
        <w:jc w:val="both"/>
        <w:ind w:left="300" w:right="1239" w:firstLine="248"/>
        <w:spacing w:after="0" w:line="251" w:lineRule="auto"/>
        <w:tabs>
          <w:tab w:leader="none" w:pos="834"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80" w:lineRule="exact"/>
        <w:rPr>
          <w:rFonts w:ascii="Arial" w:cs="Arial" w:eastAsia="Arial" w:hAnsi="Arial"/>
          <w:sz w:val="17"/>
          <w:szCs w:val="17"/>
          <w:color w:val="auto"/>
        </w:rPr>
      </w:pPr>
    </w:p>
    <w:p>
      <w:pPr>
        <w:jc w:val="both"/>
        <w:ind w:left="300" w:right="1239" w:firstLine="248"/>
        <w:spacing w:after="0" w:line="283" w:lineRule="auto"/>
        <w:tabs>
          <w:tab w:leader="none" w:pos="857" w:val="left"/>
        </w:tabs>
        <w:numPr>
          <w:ilvl w:val="0"/>
          <w:numId w:val="304"/>
        </w:numPr>
        <w:rPr>
          <w:rFonts w:ascii="Arial" w:cs="Arial" w:eastAsia="Arial" w:hAnsi="Arial"/>
          <w:sz w:val="15"/>
          <w:szCs w:val="15"/>
          <w:color w:val="auto"/>
        </w:rPr>
      </w:pPr>
      <w:r>
        <w:rPr>
          <w:rFonts w:ascii="Arial" w:cs="Arial" w:eastAsia="Arial" w:hAnsi="Arial"/>
          <w:sz w:val="15"/>
          <w:szCs w:val="15"/>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hereof), including, without limitation, (i) to obtain and adjust insurance required to be paid to the Buyer pursuant to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2" w:lineRule="exact"/>
        <w:rPr>
          <w:rFonts w:ascii="Arial" w:cs="Arial" w:eastAsia="Arial" w:hAnsi="Arial"/>
          <w:sz w:val="15"/>
          <w:szCs w:val="15"/>
          <w:color w:val="auto"/>
        </w:rPr>
      </w:pPr>
    </w:p>
    <w:p>
      <w:pPr>
        <w:jc w:val="both"/>
        <w:ind w:left="300" w:right="1239" w:firstLine="248"/>
        <w:spacing w:after="0" w:line="285" w:lineRule="auto"/>
        <w:tabs>
          <w:tab w:leader="none" w:pos="853" w:val="left"/>
        </w:tabs>
        <w:numPr>
          <w:ilvl w:val="0"/>
          <w:numId w:val="304"/>
        </w:numPr>
        <w:rPr>
          <w:rFonts w:ascii="Arial" w:cs="Arial" w:eastAsia="Arial" w:hAnsi="Arial"/>
          <w:sz w:val="15"/>
          <w:szCs w:val="15"/>
          <w:color w:val="auto"/>
        </w:rPr>
      </w:pPr>
      <w:r>
        <w:rPr>
          <w:rFonts w:ascii="Arial" w:cs="Arial" w:eastAsia="Arial" w:hAnsi="Arial"/>
          <w:sz w:val="15"/>
          <w:szCs w:val="15"/>
          <w:color w:val="auto"/>
        </w:rPr>
        <w:t>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8" w:name="page369"/>
    <w:bookmarkEnd w:id="3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3" w:lineRule="auto"/>
        <w:rPr>
          <w:sz w:val="20"/>
          <w:szCs w:val="20"/>
          <w:color w:val="auto"/>
        </w:rPr>
      </w:pPr>
      <w:r>
        <w:rPr>
          <w:rFonts w:ascii="Arial" w:cs="Arial" w:eastAsia="Arial" w:hAnsi="Arial"/>
          <w:sz w:val="15"/>
          <w:szCs w:val="15"/>
          <w:color w:val="auto"/>
        </w:rPr>
        <w:t xml:space="preserve">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5"/>
          <w:szCs w:val="15"/>
          <w:u w:val="single" w:color="auto"/>
          <w:color w:val="auto"/>
        </w:rPr>
        <w:t>Section 10(e)</w:t>
      </w:r>
      <w:r>
        <w:rPr>
          <w:rFonts w:ascii="Arial" w:cs="Arial" w:eastAsia="Arial" w:hAnsi="Arial"/>
          <w:sz w:val="15"/>
          <w:szCs w:val="15"/>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62" w:lineRule="exact"/>
        <w:rPr>
          <w:sz w:val="20"/>
          <w:szCs w:val="20"/>
          <w:color w:val="auto"/>
        </w:rPr>
      </w:pPr>
    </w:p>
    <w:p>
      <w:pPr>
        <w:jc w:val="both"/>
        <w:ind w:left="300" w:right="1239" w:firstLine="248"/>
        <w:spacing w:after="0" w:line="307" w:lineRule="auto"/>
        <w:tabs>
          <w:tab w:leader="none" w:pos="851"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and shall be secured by the Collateral.</w:t>
      </w:r>
    </w:p>
    <w:p>
      <w:pPr>
        <w:spacing w:after="0" w:line="39" w:lineRule="exact"/>
        <w:rPr>
          <w:rFonts w:ascii="Arial" w:cs="Arial" w:eastAsia="Arial" w:hAnsi="Arial"/>
          <w:sz w:val="15"/>
          <w:szCs w:val="15"/>
          <w:color w:val="auto"/>
        </w:rPr>
      </w:pPr>
    </w:p>
    <w:p>
      <w:pPr>
        <w:jc w:val="both"/>
        <w:ind w:left="300" w:right="1239" w:firstLine="248"/>
        <w:spacing w:after="0" w:line="274" w:lineRule="auto"/>
        <w:tabs>
          <w:tab w:leader="none" w:pos="82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1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 If any Event of Default shall have occurred and be continuing:</w:t>
      </w:r>
    </w:p>
    <w:p>
      <w:pPr>
        <w:spacing w:after="0" w:line="105" w:lineRule="exact"/>
        <w:rPr>
          <w:sz w:val="20"/>
          <w:szCs w:val="20"/>
          <w:color w:val="auto"/>
        </w:rPr>
      </w:pPr>
    </w:p>
    <w:p>
      <w:pPr>
        <w:jc w:val="both"/>
        <w:ind w:left="300" w:right="1239" w:firstLine="248"/>
        <w:spacing w:after="0" w:line="283" w:lineRule="auto"/>
        <w:tabs>
          <w:tab w:leader="none" w:pos="826" w:val="left"/>
        </w:tabs>
        <w:numPr>
          <w:ilvl w:val="0"/>
          <w:numId w:val="306"/>
        </w:numPr>
        <w:rPr>
          <w:rFonts w:ascii="Arial" w:cs="Arial" w:eastAsia="Arial" w:hAnsi="Arial"/>
          <w:sz w:val="15"/>
          <w:szCs w:val="15"/>
          <w:color w:val="auto"/>
        </w:rPr>
      </w:pPr>
      <w:r>
        <w:rPr>
          <w:rFonts w:ascii="Arial" w:cs="Arial" w:eastAsia="Arial" w:hAnsi="Arial"/>
          <w:sz w:val="15"/>
          <w:szCs w:val="15"/>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69" w:name="page370"/>
    <w:bookmarkEnd w:id="3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81" w:lineRule="auto"/>
        <w:rPr>
          <w:sz w:val="20"/>
          <w:szCs w:val="20"/>
          <w:color w:val="auto"/>
        </w:rPr>
      </w:pPr>
      <w:r>
        <w:rPr>
          <w:rFonts w:ascii="Arial" w:cs="Arial" w:eastAsia="Arial" w:hAnsi="Arial"/>
          <w:sz w:val="15"/>
          <w:szCs w:val="15"/>
          <w:color w:val="auto"/>
        </w:rPr>
        <w:t xml:space="preserve">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(3) the Buyer may, at any time, pursuant to the authority granted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64" w:lineRule="exact"/>
        <w:rPr>
          <w:sz w:val="20"/>
          <w:szCs w:val="20"/>
          <w:color w:val="auto"/>
        </w:rPr>
      </w:pPr>
    </w:p>
    <w:p>
      <w:pPr>
        <w:jc w:val="both"/>
        <w:ind w:left="300" w:right="1239" w:firstLine="248"/>
        <w:spacing w:after="0" w:line="286" w:lineRule="auto"/>
        <w:tabs>
          <w:tab w:leader="none" w:pos="858" w:val="left"/>
        </w:tabs>
        <w:numPr>
          <w:ilvl w:val="0"/>
          <w:numId w:val="307"/>
        </w:numPr>
        <w:rPr>
          <w:rFonts w:ascii="Arial" w:cs="Arial" w:eastAsia="Arial" w:hAnsi="Arial"/>
          <w:sz w:val="15"/>
          <w:szCs w:val="15"/>
          <w:color w:val="auto"/>
        </w:rPr>
      </w:pPr>
      <w:r>
        <w:rPr>
          <w:rFonts w:ascii="Arial" w:cs="Arial" w:eastAsia="Arial" w:hAnsi="Arial"/>
          <w:sz w:val="15"/>
          <w:szCs w:val="15"/>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59" w:lineRule="exact"/>
        <w:rPr>
          <w:rFonts w:ascii="Arial" w:cs="Arial" w:eastAsia="Arial" w:hAnsi="Arial"/>
          <w:sz w:val="15"/>
          <w:szCs w:val="15"/>
          <w:color w:val="auto"/>
        </w:rPr>
      </w:pPr>
    </w:p>
    <w:p>
      <w:pPr>
        <w:jc w:val="both"/>
        <w:ind w:left="300" w:right="1239" w:firstLine="248"/>
        <w:spacing w:after="0" w:line="270" w:lineRule="auto"/>
        <w:tabs>
          <w:tab w:leader="none" w:pos="82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67" w:lineRule="exact"/>
        <w:rPr>
          <w:rFonts w:ascii="Arial" w:cs="Arial" w:eastAsia="Arial" w:hAnsi="Arial"/>
          <w:sz w:val="16"/>
          <w:szCs w:val="16"/>
          <w:color w:val="auto"/>
        </w:rPr>
      </w:pPr>
    </w:p>
    <w:p>
      <w:pPr>
        <w:jc w:val="both"/>
        <w:ind w:left="300" w:right="1239" w:firstLine="248"/>
        <w:spacing w:after="0" w:line="256" w:lineRule="auto"/>
        <w:tabs>
          <w:tab w:leader="none" w:pos="87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0" w:name="page371"/>
    <w:bookmarkEnd w:id="37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66" w:lineRule="auto"/>
        <w:tabs>
          <w:tab w:leader="none" w:pos="83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Indemnity and Expenses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0" w:lineRule="auto"/>
        <w:tabs>
          <w:tab w:leader="none" w:pos="83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81" w:lineRule="exact"/>
        <w:rPr>
          <w:rFonts w:ascii="Arial" w:cs="Arial" w:eastAsia="Arial" w:hAnsi="Arial"/>
          <w:sz w:val="17"/>
          <w:szCs w:val="17"/>
          <w:color w:val="auto"/>
        </w:rPr>
      </w:pPr>
    </w:p>
    <w:p>
      <w:pPr>
        <w:jc w:val="both"/>
        <w:ind w:left="300" w:right="1239" w:firstLine="248"/>
        <w:spacing w:after="0" w:line="267" w:lineRule="auto"/>
        <w:tabs>
          <w:tab w:leader="none" w:pos="87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71"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53" w:lineRule="auto"/>
        <w:tabs>
          <w:tab w:leader="none" w:pos="83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77" w:lineRule="exact"/>
        <w:rPr>
          <w:rFonts w:ascii="Arial" w:cs="Arial" w:eastAsia="Arial" w:hAnsi="Arial"/>
          <w:sz w:val="17"/>
          <w:szCs w:val="17"/>
          <w:color w:val="auto"/>
        </w:rPr>
      </w:pPr>
    </w:p>
    <w:p>
      <w:pPr>
        <w:jc w:val="both"/>
        <w:ind w:left="300" w:right="1239" w:firstLine="248"/>
        <w:spacing w:after="0" w:line="269" w:lineRule="auto"/>
        <w:tabs>
          <w:tab w:leader="none" w:pos="83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1" w:name="page372"/>
    <w:bookmarkEnd w:id="37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of its rights under any of the other Note Transaction Documents against such party or against any other Person, including but not limited to, any Grantor.</w:t>
      </w:r>
    </w:p>
    <w:p>
      <w:pPr>
        <w:spacing w:after="0" w:line="66" w:lineRule="exact"/>
        <w:rPr>
          <w:sz w:val="20"/>
          <w:szCs w:val="20"/>
          <w:color w:val="auto"/>
        </w:rPr>
      </w:pPr>
    </w:p>
    <w:p>
      <w:pPr>
        <w:jc w:val="both"/>
        <w:ind w:left="300" w:right="1239" w:firstLine="248"/>
        <w:spacing w:after="0" w:line="290" w:lineRule="auto"/>
        <w:tabs>
          <w:tab w:leader="none" w:pos="828" w:val="left"/>
        </w:tabs>
        <w:numPr>
          <w:ilvl w:val="0"/>
          <w:numId w:val="311"/>
        </w:numPr>
        <w:rPr>
          <w:rFonts w:ascii="Arial" w:cs="Arial" w:eastAsia="Arial" w:hAnsi="Arial"/>
          <w:sz w:val="15"/>
          <w:szCs w:val="15"/>
          <w:color w:val="auto"/>
        </w:rPr>
      </w:pPr>
      <w:r>
        <w:rPr>
          <w:rFonts w:ascii="Arial" w:cs="Arial" w:eastAsia="Arial" w:hAnsi="Arial"/>
          <w:sz w:val="15"/>
          <w:szCs w:val="15"/>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52" w:lineRule="exact"/>
        <w:rPr>
          <w:rFonts w:ascii="Arial" w:cs="Arial" w:eastAsia="Arial" w:hAnsi="Arial"/>
          <w:sz w:val="15"/>
          <w:szCs w:val="15"/>
          <w:color w:val="auto"/>
        </w:rPr>
      </w:pPr>
    </w:p>
    <w:p>
      <w:pPr>
        <w:jc w:val="both"/>
        <w:ind w:left="300" w:right="1239" w:firstLine="248"/>
        <w:spacing w:after="0" w:line="282" w:lineRule="auto"/>
        <w:tabs>
          <w:tab w:leader="none" w:pos="848" w:val="left"/>
        </w:tabs>
        <w:numPr>
          <w:ilvl w:val="0"/>
          <w:numId w:val="311"/>
        </w:numPr>
        <w:rPr>
          <w:rFonts w:ascii="Arial" w:cs="Arial" w:eastAsia="Arial" w:hAnsi="Arial"/>
          <w:sz w:val="15"/>
          <w:szCs w:val="15"/>
          <w:color w:val="auto"/>
        </w:rPr>
      </w:pPr>
      <w:r>
        <w:rPr>
          <w:rFonts w:ascii="Arial" w:cs="Arial" w:eastAsia="Arial" w:hAnsi="Arial"/>
          <w:sz w:val="15"/>
          <w:szCs w:val="15"/>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67" w:lineRule="exact"/>
        <w:rPr>
          <w:rFonts w:ascii="Arial" w:cs="Arial" w:eastAsia="Arial" w:hAnsi="Arial"/>
          <w:sz w:val="15"/>
          <w:szCs w:val="15"/>
          <w:color w:val="auto"/>
        </w:rPr>
      </w:pPr>
    </w:p>
    <w:p>
      <w:pPr>
        <w:jc w:val="both"/>
        <w:ind w:left="300" w:right="1239" w:firstLine="248"/>
        <w:spacing w:after="0" w:line="256" w:lineRule="auto"/>
        <w:tabs>
          <w:tab w:leader="none" w:pos="8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76" w:lineRule="exact"/>
        <w:rPr>
          <w:rFonts w:ascii="Arial" w:cs="Arial" w:eastAsia="Arial" w:hAnsi="Arial"/>
          <w:sz w:val="17"/>
          <w:szCs w:val="17"/>
          <w:color w:val="auto"/>
        </w:rPr>
      </w:pPr>
    </w:p>
    <w:p>
      <w:pPr>
        <w:jc w:val="both"/>
        <w:ind w:left="300" w:right="1239" w:firstLine="248"/>
        <w:spacing w:after="0" w:line="284" w:lineRule="auto"/>
        <w:tabs>
          <w:tab w:leader="none" w:pos="818"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56" w:lineRule="exact"/>
        <w:rPr>
          <w:rFonts w:ascii="Arial" w:cs="Arial" w:eastAsia="Arial" w:hAnsi="Arial"/>
          <w:sz w:val="15"/>
          <w:szCs w:val="15"/>
          <w:color w:val="auto"/>
        </w:rPr>
      </w:pPr>
    </w:p>
    <w:p>
      <w:pPr>
        <w:jc w:val="both"/>
        <w:ind w:left="300" w:right="1239" w:firstLine="248"/>
        <w:spacing w:after="0" w:line="253" w:lineRule="auto"/>
        <w:tabs>
          <w:tab w:leader="none" w:pos="9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w:t>
      </w:r>
    </w:p>
    <w:p>
      <w:pPr>
        <w:spacing w:after="0" w:line="200" w:lineRule="exact"/>
        <w:rPr>
          <w:sz w:val="20"/>
          <w:szCs w:val="20"/>
          <w:color w:val="auto"/>
        </w:rPr>
      </w:pPr>
    </w:p>
    <w:p>
      <w:pPr>
        <w:spacing w:after="0" w:line="29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2" w:name="page373"/>
    <w:bookmarkEnd w:id="37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74" w:lineRule="auto"/>
        <w:rPr>
          <w:sz w:val="20"/>
          <w:szCs w:val="20"/>
          <w:color w:val="auto"/>
        </w:rPr>
      </w:pPr>
      <w:r>
        <w:rPr>
          <w:rFonts w:ascii="Arial" w:cs="Arial" w:eastAsia="Arial" w:hAnsi="Arial"/>
          <w:sz w:val="16"/>
          <w:szCs w:val="16"/>
          <w:color w:val="auto"/>
        </w:rPr>
        <w:t>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62" w:lineRule="exact"/>
        <w:rPr>
          <w:sz w:val="20"/>
          <w:szCs w:val="20"/>
          <w:color w:val="auto"/>
        </w:rPr>
      </w:pPr>
    </w:p>
    <w:p>
      <w:pPr>
        <w:jc w:val="both"/>
        <w:ind w:left="300" w:right="1239" w:firstLine="248"/>
        <w:spacing w:after="0" w:line="250" w:lineRule="auto"/>
        <w:tabs>
          <w:tab w:leader="none" w:pos="82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81" w:lineRule="exact"/>
        <w:rPr>
          <w:rFonts w:ascii="Arial" w:cs="Arial" w:eastAsia="Arial" w:hAnsi="Arial"/>
          <w:sz w:val="17"/>
          <w:szCs w:val="17"/>
          <w:color w:val="auto"/>
        </w:rPr>
      </w:pPr>
    </w:p>
    <w:p>
      <w:pPr>
        <w:jc w:val="both"/>
        <w:ind w:left="300" w:right="1239" w:firstLine="248"/>
        <w:spacing w:after="0" w:line="265" w:lineRule="auto"/>
        <w:tabs>
          <w:tab w:leader="none" w:pos="92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6"/>
          <w:szCs w:val="16"/>
          <w:u w:val="single" w:color="auto"/>
          <w:color w:val="auto"/>
        </w:rPr>
        <w:t>FORUM NON CONVENIENS</w:t>
      </w:r>
      <w:r>
        <w:rPr>
          <w:rFonts w:ascii="Arial" w:cs="Arial" w:eastAsia="Arial" w:hAnsi="Arial"/>
          <w:sz w:val="16"/>
          <w:szCs w:val="16"/>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70" w:lineRule="exact"/>
        <w:rPr>
          <w:rFonts w:ascii="Arial" w:cs="Arial" w:eastAsia="Arial" w:hAnsi="Arial"/>
          <w:sz w:val="16"/>
          <w:szCs w:val="16"/>
          <w:color w:val="auto"/>
        </w:rPr>
      </w:pPr>
    </w:p>
    <w:p>
      <w:pPr>
        <w:jc w:val="both"/>
        <w:ind w:left="300" w:right="1239" w:firstLine="248"/>
        <w:spacing w:after="0" w:line="251" w:lineRule="auto"/>
        <w:tabs>
          <w:tab w:leader="none" w:pos="83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80" w:lineRule="exact"/>
        <w:rPr>
          <w:rFonts w:ascii="Arial" w:cs="Arial" w:eastAsia="Arial" w:hAnsi="Arial"/>
          <w:sz w:val="17"/>
          <w:szCs w:val="17"/>
          <w:color w:val="auto"/>
        </w:rPr>
      </w:pPr>
    </w:p>
    <w:p>
      <w:pPr>
        <w:jc w:val="both"/>
        <w:ind w:left="300" w:right="1239" w:firstLine="248"/>
        <w:spacing w:after="0" w:line="256" w:lineRule="auto"/>
        <w:tabs>
          <w:tab w:leader="none" w:pos="85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0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Each Grantor irrevocably and unconditionally waives any right it may have to claim or recover in any legal action, suit or proceeding referred to in this Section any special, exemplary, punitive or consequential damages.</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956" w:val="left"/>
        </w:tabs>
        <w:numPr>
          <w:ilvl w:val="0"/>
          <w:numId w:val="312"/>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constitute a part of this Agreement for any other purpose.</w:t>
      </w:r>
    </w:p>
    <w:p>
      <w:pPr>
        <w:spacing w:after="0" w:line="66" w:lineRule="exact"/>
        <w:rPr>
          <w:rFonts w:ascii="Arial" w:cs="Arial" w:eastAsia="Arial" w:hAnsi="Arial"/>
          <w:sz w:val="17"/>
          <w:szCs w:val="17"/>
          <w:color w:val="auto"/>
        </w:rPr>
      </w:pPr>
    </w:p>
    <w:p>
      <w:pPr>
        <w:ind w:left="300" w:right="1239" w:firstLine="248"/>
        <w:spacing w:after="0" w:line="335" w:lineRule="auto"/>
        <w:tabs>
          <w:tab w:leader="none" w:pos="829"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9" w:lineRule="exact"/>
        <w:rPr>
          <w:rFonts w:ascii="Arial" w:cs="Arial" w:eastAsia="Arial" w:hAnsi="Arial"/>
          <w:sz w:val="15"/>
          <w:szCs w:val="15"/>
          <w:color w:val="auto"/>
        </w:rPr>
      </w:pPr>
    </w:p>
    <w:p>
      <w:pPr>
        <w:jc w:val="both"/>
        <w:ind w:left="300" w:right="1239" w:firstLine="248"/>
        <w:spacing w:after="0" w:line="307" w:lineRule="auto"/>
        <w:tabs>
          <w:tab w:leader="none" w:pos="843" w:val="left"/>
        </w:tabs>
        <w:numPr>
          <w:ilvl w:val="0"/>
          <w:numId w:val="312"/>
        </w:numPr>
        <w:rPr>
          <w:rFonts w:ascii="Arial" w:cs="Arial" w:eastAsia="Arial" w:hAnsi="Arial"/>
          <w:sz w:val="15"/>
          <w:szCs w:val="15"/>
          <w:color w:val="auto"/>
        </w:rPr>
      </w:pPr>
      <w:r>
        <w:rPr>
          <w:rFonts w:ascii="Arial" w:cs="Arial" w:eastAsia="Arial" w:hAnsi="Arial"/>
          <w:sz w:val="15"/>
          <w:szCs w:val="15"/>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40"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[REMAINDER OF THIS PAGE INTENTIONALLY LEFT BLANK]</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3" w:name="page374"/>
    <w:bookmarkEnd w:id="37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each Grantor has caused this Agreement to be 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1393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480568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INNOVATE/PROTECT, INC.</w:t>
      </w:r>
      <w:r>
        <w:rPr>
          <w:rFonts w:ascii="Arial" w:cs="Arial" w:eastAsia="Arial" w:hAnsi="Arial"/>
          <w:sz w:val="17"/>
          <w:szCs w:val="17"/>
          <w:color w:val="auto"/>
        </w:rPr>
        <w:t>, 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formerly known as Labrador Search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056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I/P LABS, INC.</w:t>
      </w:r>
      <w:r>
        <w:rPr>
          <w:rFonts w:ascii="Arial" w:cs="Arial" w:eastAsia="Arial" w:hAnsi="Arial"/>
          <w:sz w:val="17"/>
          <w:szCs w:val="17"/>
          <w:color w:val="auto"/>
        </w:rPr>
        <w:t>, a Delaware corporation formerly known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as Scottish Terrier Capital,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056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I/P ENGINE, INC.</w:t>
      </w:r>
      <w:r>
        <w:rPr>
          <w:rFonts w:ascii="Arial" w:cs="Arial" w:eastAsia="Arial" w:hAnsi="Arial"/>
          <w:sz w:val="17"/>
          <w:szCs w:val="17"/>
          <w:color w:val="auto"/>
        </w:rPr>
        <w:t>, a Virginia corporation formerly</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known as Smart Search Labs,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-123190</wp:posOffset>
            </wp:positionV>
            <wp:extent cx="22993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74" w:name="page375"/>
    <w:bookmarkEnd w:id="37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81393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6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VRINGO, LTD.</w:t>
      </w:r>
      <w:r>
        <w:rPr>
          <w:rFonts w:ascii="Arial" w:cs="Arial" w:eastAsia="Arial" w:hAnsi="Arial"/>
          <w:sz w:val="16"/>
          <w:szCs w:val="16"/>
          <w:color w:val="auto"/>
        </w:rPr>
        <w:t>, an Israeli corporation</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481393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u w:val="single" w:color="auto"/>
          <w:color w:val="auto"/>
        </w:rPr>
        <w:t>ACCEPTED BY</w:t>
      </w:r>
      <w:r>
        <w:rPr>
          <w:rFonts w:ascii="Arial" w:cs="Arial" w:eastAsia="Arial" w:hAnsi="Arial"/>
          <w:sz w:val="17"/>
          <w:szCs w:val="17"/>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HUDSON BAY MASTER FUND LTD.,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as Buyer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wp:posOffset>
            </wp:positionV>
            <wp:extent cx="191770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91770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Address:</w:t>
      </w:r>
    </w:p>
    <w:p>
      <w:pPr>
        <w:spacing w:after="0" w:line="9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Vringo Pledge and Security Agreement</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5" w:name="page376"/>
    <w:bookmarkEnd w:id="37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J</w:t>
      </w:r>
    </w:p>
    <w:p>
      <w:pPr>
        <w:spacing w:after="0" w:line="201"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FORM OF AMENDED AND RESTATED GUARANTY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AMENDED AND RESTATED GUARANTY, dated as of [_______ __], 2012 (this “</w:t>
      </w:r>
      <w:r>
        <w:rPr>
          <w:rFonts w:ascii="Arial" w:cs="Arial" w:eastAsia="Arial" w:hAnsi="Arial"/>
          <w:sz w:val="16"/>
          <w:szCs w:val="16"/>
          <w:b w:val="1"/>
          <w:bCs w:val="1"/>
          <w:color w:val="auto"/>
        </w:rPr>
        <w:t>Guaranty</w:t>
      </w:r>
      <w:r>
        <w:rPr>
          <w:rFonts w:ascii="Arial" w:cs="Arial" w:eastAsia="Arial" w:hAnsi="Arial"/>
          <w:sz w:val="16"/>
          <w:szCs w:val="16"/>
          <w:color w:val="auto"/>
        </w:rPr>
        <w:t xml:space="preserve">”), made by </w:t>
      </w:r>
      <w:r>
        <w:rPr>
          <w:rFonts w:ascii="Arial" w:cs="Arial" w:eastAsia="Arial" w:hAnsi="Arial"/>
          <w:sz w:val="16"/>
          <w:szCs w:val="16"/>
          <w:b w:val="1"/>
          <w:bCs w:val="1"/>
          <w:color w:val="auto"/>
        </w:rPr>
        <w:t>VRINGO, INC.</w:t>
      </w:r>
      <w:r>
        <w:rPr>
          <w:rFonts w:ascii="Arial" w:cs="Arial" w:eastAsia="Arial" w:hAnsi="Arial"/>
          <w:sz w:val="16"/>
          <w:szCs w:val="16"/>
          <w:color w:val="auto"/>
        </w:rPr>
        <w:t>, a</w:t>
      </w:r>
    </w:p>
    <w:p>
      <w:pPr>
        <w:spacing w:after="0" w:line="33" w:lineRule="exact"/>
        <w:rPr>
          <w:sz w:val="20"/>
          <w:szCs w:val="20"/>
          <w:color w:val="auto"/>
        </w:rPr>
      </w:pPr>
    </w:p>
    <w:p>
      <w:pPr>
        <w:jc w:val="both"/>
        <w:ind w:left="40" w:right="1239"/>
        <w:spacing w:after="0" w:line="266" w:lineRule="auto"/>
        <w:rPr>
          <w:sz w:val="20"/>
          <w:szCs w:val="20"/>
          <w:color w:val="auto"/>
        </w:rPr>
      </w:pPr>
      <w:r>
        <w:rPr>
          <w:rFonts w:ascii="Arial" w:cs="Arial" w:eastAsia="Arial" w:hAnsi="Arial"/>
          <w:sz w:val="16"/>
          <w:szCs w:val="16"/>
          <w:color w:val="auto"/>
        </w:rPr>
        <w:t>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its existing “Subsidiaries” (as defined in the Note defined below) as named on the signature pages hereto (collectively, the “</w:t>
      </w:r>
      <w:r>
        <w:rPr>
          <w:rFonts w:ascii="Arial" w:cs="Arial" w:eastAsia="Arial" w:hAnsi="Arial"/>
          <w:sz w:val="16"/>
          <w:szCs w:val="16"/>
          <w:b w:val="1"/>
          <w:bCs w:val="1"/>
          <w:color w:val="auto"/>
        </w:rPr>
        <w:t>Existing Subsidiaries</w:t>
      </w:r>
      <w:r>
        <w:rPr>
          <w:rFonts w:ascii="Arial" w:cs="Arial" w:eastAsia="Arial" w:hAnsi="Arial"/>
          <w:sz w:val="16"/>
          <w:szCs w:val="16"/>
          <w:color w:val="auto"/>
        </w:rPr>
        <w:t>”) and each other Subsidiary of the Company hereafter becoming party hereto (each individually referred to herein as a “</w:t>
      </w:r>
      <w:r>
        <w:rPr>
          <w:rFonts w:ascii="Arial" w:cs="Arial" w:eastAsia="Arial" w:hAnsi="Arial"/>
          <w:sz w:val="16"/>
          <w:szCs w:val="16"/>
          <w:b w:val="1"/>
          <w:bCs w:val="1"/>
          <w:color w:val="auto"/>
        </w:rPr>
        <w:t>New Subsidiary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New Subsidiaries</w:t>
      </w:r>
      <w:r>
        <w:rPr>
          <w:rFonts w:ascii="Arial" w:cs="Arial" w:eastAsia="Arial" w:hAnsi="Arial"/>
          <w:sz w:val="16"/>
          <w:szCs w:val="16"/>
          <w:color w:val="auto"/>
        </w:rPr>
        <w:t xml:space="preserve">,” together with the Company and the Existing Subsidiaries, each a “ </w:t>
      </w:r>
      <w:r>
        <w:rPr>
          <w:rFonts w:ascii="Arial" w:cs="Arial" w:eastAsia="Arial" w:hAnsi="Arial"/>
          <w:sz w:val="16"/>
          <w:szCs w:val="16"/>
          <w:b w:val="1"/>
          <w:bCs w:val="1"/>
          <w:color w:val="auto"/>
        </w:rPr>
        <w:t>Guarantor</w:t>
      </w:r>
      <w:r>
        <w:rPr>
          <w:rFonts w:ascii="Arial" w:cs="Arial" w:eastAsia="Arial" w:hAnsi="Arial"/>
          <w:sz w:val="16"/>
          <w:szCs w:val="16"/>
          <w:color w:val="auto"/>
        </w:rPr>
        <w:t>” and, collectively, the “</w:t>
      </w:r>
      <w:r>
        <w:rPr>
          <w:rFonts w:ascii="Arial" w:cs="Arial" w:eastAsia="Arial" w:hAnsi="Arial"/>
          <w:sz w:val="16"/>
          <w:szCs w:val="16"/>
          <w:b w:val="1"/>
          <w:bCs w:val="1"/>
          <w:color w:val="auto"/>
        </w:rPr>
        <w:t>Guarantor</w:t>
      </w:r>
      <w:r>
        <w:rPr>
          <w:rFonts w:ascii="Arial" w:cs="Arial" w:eastAsia="Arial" w:hAnsi="Arial"/>
          <w:sz w:val="16"/>
          <w:szCs w:val="16"/>
          <w:color w:val="auto"/>
        </w:rPr>
        <w:t>”), in favor of the “Buyer” (as defined below) party to the Note referenced below.</w:t>
      </w:r>
    </w:p>
    <w:p>
      <w:pPr>
        <w:spacing w:after="0" w:line="167"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WITNESSETH</w:t>
      </w:r>
      <w:r>
        <w:rPr>
          <w:rFonts w:ascii="Arial" w:cs="Arial" w:eastAsia="Arial" w:hAnsi="Arial"/>
          <w:sz w:val="17"/>
          <w:szCs w:val="17"/>
          <w:b w:val="1"/>
          <w:bCs w:val="1"/>
          <w:color w:val="auto"/>
        </w:rPr>
        <w:t>:</w:t>
      </w:r>
    </w:p>
    <w:p>
      <w:pPr>
        <w:spacing w:after="0" w:line="105" w:lineRule="exact"/>
        <w:rPr>
          <w:sz w:val="20"/>
          <w:szCs w:val="20"/>
          <w:color w:val="auto"/>
        </w:rPr>
      </w:pPr>
    </w:p>
    <w:p>
      <w:pPr>
        <w:jc w:val="both"/>
        <w:ind w:left="40" w:right="1239" w:firstLine="251"/>
        <w:spacing w:after="0" w:line="252" w:lineRule="auto"/>
        <w:rPr>
          <w:sz w:val="20"/>
          <w:szCs w:val="20"/>
          <w:color w:val="auto"/>
        </w:rPr>
      </w:pPr>
      <w:r>
        <w:rPr>
          <w:rFonts w:ascii="Arial" w:cs="Arial" w:eastAsia="Arial" w:hAnsi="Arial"/>
          <w:sz w:val="17"/>
          <w:szCs w:val="17"/>
          <w:color w:val="auto"/>
        </w:rPr>
        <w:t>WHEREAS, Innovate/Protect, Inc., a Delaware corporation formerly known as Labrador Search Corporation (“</w:t>
      </w:r>
      <w:r>
        <w:rPr>
          <w:rFonts w:ascii="Arial" w:cs="Arial" w:eastAsia="Arial" w:hAnsi="Arial"/>
          <w:sz w:val="17"/>
          <w:szCs w:val="17"/>
          <w:b w:val="1"/>
          <w:bCs w:val="1"/>
          <w:color w:val="auto"/>
        </w:rPr>
        <w:t>I/P</w:t>
      </w:r>
      <w:r>
        <w:rPr>
          <w:rFonts w:ascii="Arial" w:cs="Arial" w:eastAsia="Arial" w:hAnsi="Arial"/>
          <w:sz w:val="17"/>
          <w:szCs w:val="17"/>
          <w:color w:val="auto"/>
        </w:rPr>
        <w:t>”), and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 are parties to that certain Subscription Agreement, dated as of June 22, 2011 (as amended, restated or otherwise modified from time to time,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7"/>
          <w:szCs w:val="17"/>
          <w:b w:val="1"/>
          <w:bCs w:val="1"/>
          <w:color w:val="auto"/>
        </w:rPr>
        <w:t>Note</w:t>
      </w:r>
      <w:r>
        <w:rPr>
          <w:rFonts w:ascii="Arial" w:cs="Arial" w:eastAsia="Arial" w:hAnsi="Arial"/>
          <w:sz w:val="17"/>
          <w:szCs w:val="17"/>
          <w:color w:val="auto"/>
        </w:rPr>
        <w:t>”) to the Buyer;</w:t>
      </w:r>
    </w:p>
    <w:p>
      <w:pPr>
        <w:spacing w:after="0" w:line="76"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WHEREAS, pursuant to the Guaranty dated as of June 22, 2011 (as amended prior to the date hereof,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Guaranty</w:t>
      </w:r>
      <w:r>
        <w:rPr>
          <w:rFonts w:ascii="Arial" w:cs="Arial" w:eastAsia="Arial" w:hAnsi="Arial"/>
          <w:sz w:val="17"/>
          <w:szCs w:val="17"/>
          <w:color w:val="auto"/>
        </w:rPr>
        <w:t>”),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Engine, each individually referred to herein as an “</w:t>
      </w:r>
      <w:r>
        <w:rPr>
          <w:rFonts w:ascii="Arial" w:cs="Arial" w:eastAsia="Arial" w:hAnsi="Arial"/>
          <w:sz w:val="17"/>
          <w:szCs w:val="17"/>
          <w:b w:val="1"/>
          <w:bCs w:val="1"/>
          <w:color w:val="auto"/>
        </w:rPr>
        <w:t>Existing Guarantor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 Guarantors</w:t>
      </w:r>
      <w:r>
        <w:rPr>
          <w:rFonts w:ascii="Arial" w:cs="Arial" w:eastAsia="Arial" w:hAnsi="Arial"/>
          <w:sz w:val="17"/>
          <w:szCs w:val="17"/>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78"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6"/>
          <w:szCs w:val="16"/>
          <w:color w:val="auto"/>
        </w:rPr>
        <w:t>WHEREAS, the Company, I/P and Vringo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a wholly-owned subsidiary of the Company, have entered into that certain Agreement and Plan of Merger, dated as of March [__], 2012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among other things, I/P shall be merged with and into Merger Sub (the “</w:t>
      </w:r>
      <w:r>
        <w:rPr>
          <w:rFonts w:ascii="Arial" w:cs="Arial" w:eastAsia="Arial" w:hAnsi="Arial"/>
          <w:sz w:val="16"/>
          <w:szCs w:val="16"/>
          <w:b w:val="1"/>
          <w:bCs w:val="1"/>
          <w:color w:val="auto"/>
        </w:rPr>
        <w:t>Merger Transaction</w:t>
      </w:r>
      <w:r>
        <w:rPr>
          <w:rFonts w:ascii="Arial" w:cs="Arial" w:eastAsia="Arial" w:hAnsi="Arial"/>
          <w:sz w:val="16"/>
          <w:szCs w:val="16"/>
          <w:color w:val="auto"/>
        </w:rPr>
        <w:t>”);</w:t>
      </w:r>
    </w:p>
    <w:p>
      <w:pPr>
        <w:spacing w:after="0" w:line="57"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5"/>
          <w:szCs w:val="15"/>
          <w:b w:val="1"/>
          <w:bCs w:val="1"/>
          <w:color w:val="auto"/>
        </w:rPr>
        <w:t>Vringo Israel</w:t>
      </w:r>
      <w:r>
        <w:rPr>
          <w:rFonts w:ascii="Arial" w:cs="Arial" w:eastAsia="Arial" w:hAnsi="Arial"/>
          <w:sz w:val="15"/>
          <w:szCs w:val="15"/>
          <w:color w:val="auto"/>
        </w:rPr>
        <w:t>”), and Vringo Israel has agreed, to guarantee the obligations of I/P under the Note and the Note Transaction Documents;</w:t>
      </w:r>
    </w:p>
    <w:p>
      <w:pPr>
        <w:spacing w:after="0" w:line="40"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WHEREAS, pursuant to an Amended and Restated Pledge and Security Agreement, dated as of the date hereof (as amended, restated or otherwise modified from time to time, the “</w:t>
      </w:r>
      <w:r>
        <w:rPr>
          <w:rFonts w:ascii="Arial" w:cs="Arial" w:eastAsia="Arial" w:hAnsi="Arial"/>
          <w:sz w:val="17"/>
          <w:szCs w:val="17"/>
          <w:b w:val="1"/>
          <w:bCs w:val="1"/>
          <w:color w:val="auto"/>
        </w:rPr>
        <w:t>Security Agreement</w:t>
      </w:r>
      <w:r>
        <w:rPr>
          <w:rFonts w:ascii="Arial" w:cs="Arial" w:eastAsia="Arial" w:hAnsi="Arial"/>
          <w:sz w:val="17"/>
          <w:szCs w:val="17"/>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78"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62"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NOW, THEREFORE, in consideration of the premises and the agreements herein and for other consideration, the sufficiency of which is hereby acknowledged, each Guarantor hereby agrees with the Buyer as follows:</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Definitions</w:t>
      </w:r>
      <w:r>
        <w:rPr>
          <w:rFonts w:ascii="Arial" w:cs="Arial" w:eastAsia="Arial" w:hAnsi="Arial"/>
          <w:sz w:val="15"/>
          <w:szCs w:val="15"/>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200" w:lineRule="exact"/>
        <w:rPr>
          <w:sz w:val="20"/>
          <w:szCs w:val="20"/>
          <w:color w:val="auto"/>
        </w:rPr>
      </w:pPr>
    </w:p>
    <w:p>
      <w:pPr>
        <w:spacing w:after="0" w:line="23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6" w:name="page377"/>
    <w:bookmarkEnd w:id="37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Guaranty</w:t>
      </w:r>
      <w:r>
        <w:rPr>
          <w:rFonts w:ascii="Arial" w:cs="Arial" w:eastAsia="Arial" w:hAnsi="Arial"/>
          <w:sz w:val="16"/>
          <w:szCs w:val="16"/>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6"/>
          <w:szCs w:val="16"/>
          <w:b w:val="1"/>
          <w:bCs w:val="1"/>
          <w:color w:val="auto"/>
        </w:rPr>
        <w:t>Insolvency Proceeding</w:t>
      </w:r>
      <w:r>
        <w:rPr>
          <w:rFonts w:ascii="Arial" w:cs="Arial" w:eastAsia="Arial" w:hAnsi="Arial"/>
          <w:sz w:val="16"/>
          <w:szCs w:val="16"/>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w:t>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Guaranty Absolute; Continuing Guaranty; Assignments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86" w:lineRule="auto"/>
        <w:tabs>
          <w:tab w:leader="none" w:pos="826" w:val="left"/>
        </w:tabs>
        <w:numPr>
          <w:ilvl w:val="0"/>
          <w:numId w:val="313"/>
        </w:numPr>
        <w:rPr>
          <w:rFonts w:ascii="Arial" w:cs="Arial" w:eastAsia="Arial" w:hAnsi="Arial"/>
          <w:sz w:val="15"/>
          <w:szCs w:val="15"/>
          <w:color w:val="auto"/>
        </w:rPr>
      </w:pPr>
      <w:r>
        <w:rPr>
          <w:rFonts w:ascii="Arial" w:cs="Arial" w:eastAsia="Arial" w:hAnsi="Arial"/>
          <w:sz w:val="15"/>
          <w:szCs w:val="15"/>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59" w:lineRule="exact"/>
        <w:rPr>
          <w:rFonts w:ascii="Arial" w:cs="Arial" w:eastAsia="Arial" w:hAnsi="Arial"/>
          <w:sz w:val="15"/>
          <w:szCs w:val="15"/>
          <w:color w:val="auto"/>
        </w:rPr>
      </w:pPr>
    </w:p>
    <w:p>
      <w:pPr>
        <w:ind w:left="1080" w:hanging="281"/>
        <w:spacing w:after="0"/>
        <w:tabs>
          <w:tab w:leader="none" w:pos="1080" w:val="left"/>
        </w:tabs>
        <w:numPr>
          <w:ilvl w:val="1"/>
          <w:numId w:val="313"/>
        </w:numPr>
        <w:rPr>
          <w:rFonts w:ascii="Arial" w:cs="Arial" w:eastAsia="Arial" w:hAnsi="Arial"/>
          <w:sz w:val="15"/>
          <w:szCs w:val="15"/>
          <w:color w:val="auto"/>
        </w:rPr>
      </w:pPr>
      <w:r>
        <w:rPr>
          <w:rFonts w:ascii="Arial" w:cs="Arial" w:eastAsia="Arial" w:hAnsi="Arial"/>
          <w:sz w:val="15"/>
          <w:szCs w:val="15"/>
          <w:color w:val="auto"/>
        </w:rPr>
        <w:t>any lack of validity or enforceability of any Note Transaction Document or any agreement or instrument relating</w:t>
      </w:r>
    </w:p>
    <w:p>
      <w:pPr>
        <w:spacing w:after="0" w:line="4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thereto;</w:t>
      </w:r>
    </w:p>
    <w:p>
      <w:pPr>
        <w:spacing w:after="0" w:line="92" w:lineRule="exact"/>
        <w:rPr>
          <w:rFonts w:ascii="Arial" w:cs="Arial" w:eastAsia="Arial" w:hAnsi="Arial"/>
          <w:sz w:val="15"/>
          <w:szCs w:val="15"/>
          <w:color w:val="auto"/>
        </w:rPr>
      </w:pPr>
    </w:p>
    <w:p>
      <w:pPr>
        <w:jc w:val="both"/>
        <w:ind w:left="540" w:right="1239" w:firstLine="259"/>
        <w:spacing w:after="0" w:line="253" w:lineRule="auto"/>
        <w:tabs>
          <w:tab w:leader="none" w:pos="1127"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77" w:lineRule="exact"/>
        <w:rPr>
          <w:rFonts w:ascii="Arial" w:cs="Arial" w:eastAsia="Arial" w:hAnsi="Arial"/>
          <w:sz w:val="17"/>
          <w:szCs w:val="17"/>
          <w:color w:val="auto"/>
        </w:rPr>
      </w:pPr>
    </w:p>
    <w:p>
      <w:pPr>
        <w:jc w:val="both"/>
        <w:ind w:left="540" w:right="1239" w:firstLine="259"/>
        <w:spacing w:after="0" w:line="256" w:lineRule="auto"/>
        <w:tabs>
          <w:tab w:leader="none" w:pos="1127"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76" w:lineRule="exact"/>
        <w:rPr>
          <w:rFonts w:ascii="Arial" w:cs="Arial" w:eastAsia="Arial" w:hAnsi="Arial"/>
          <w:sz w:val="17"/>
          <w:szCs w:val="17"/>
          <w:color w:val="auto"/>
        </w:rPr>
      </w:pPr>
    </w:p>
    <w:p>
      <w:pPr>
        <w:ind w:left="540" w:right="1239" w:firstLine="259"/>
        <w:spacing w:after="0" w:line="267" w:lineRule="auto"/>
        <w:tabs>
          <w:tab w:leader="none" w:pos="1165"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any change, restructuring or termination of the corporate, limited liability company or partnership structure or existence of any Transaction Party.</w:t>
      </w:r>
    </w:p>
    <w:p>
      <w:pPr>
        <w:spacing w:after="0" w:line="66"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58" w:lineRule="exact"/>
        <w:rPr>
          <w:sz w:val="20"/>
          <w:szCs w:val="20"/>
          <w:color w:val="auto"/>
        </w:rPr>
      </w:pPr>
    </w:p>
    <w:p>
      <w:pPr>
        <w:jc w:val="both"/>
        <w:ind w:left="300" w:right="1239" w:firstLine="248"/>
        <w:spacing w:after="0" w:line="297" w:lineRule="auto"/>
        <w:tabs>
          <w:tab w:leader="none" w:pos="830" w:val="left"/>
        </w:tabs>
        <w:numPr>
          <w:ilvl w:val="0"/>
          <w:numId w:val="314"/>
        </w:numPr>
        <w:rPr>
          <w:rFonts w:ascii="Arial" w:cs="Arial" w:eastAsia="Arial" w:hAnsi="Arial"/>
          <w:sz w:val="15"/>
          <w:szCs w:val="15"/>
          <w:color w:val="auto"/>
        </w:rPr>
      </w:pPr>
      <w:r>
        <w:rPr>
          <w:rFonts w:ascii="Arial" w:cs="Arial" w:eastAsia="Arial" w:hAnsi="Arial"/>
          <w:sz w:val="15"/>
          <w:szCs w:val="15"/>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w:t>
      </w:r>
    </w:p>
    <w:p>
      <w:pPr>
        <w:spacing w:after="0" w:line="200" w:lineRule="exact"/>
        <w:rPr>
          <w:sz w:val="20"/>
          <w:szCs w:val="20"/>
          <w:color w:val="auto"/>
        </w:rPr>
      </w:pPr>
    </w:p>
    <w:p>
      <w:pPr>
        <w:spacing w:after="0" w:line="26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7" w:name="page378"/>
    <w:bookmarkEnd w:id="37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0" w:lineRule="auto"/>
        <w:rPr>
          <w:sz w:val="20"/>
          <w:szCs w:val="20"/>
          <w:color w:val="auto"/>
        </w:rPr>
      </w:pPr>
      <w:r>
        <w:rPr>
          <w:rFonts w:ascii="Arial" w:cs="Arial" w:eastAsia="Arial" w:hAnsi="Arial"/>
          <w:sz w:val="17"/>
          <w:szCs w:val="17"/>
          <w:color w:val="auto"/>
        </w:rPr>
        <w:t>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81"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Waivers</w:t>
      </w:r>
      <w:r>
        <w:rPr>
          <w:rFonts w:ascii="Arial" w:cs="Arial" w:eastAsia="Arial" w:hAnsi="Arial"/>
          <w:sz w:val="16"/>
          <w:szCs w:val="16"/>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71" w:lineRule="exact"/>
        <w:rPr>
          <w:sz w:val="20"/>
          <w:szCs w:val="20"/>
          <w:color w:val="auto"/>
        </w:rPr>
      </w:pPr>
    </w:p>
    <w:p>
      <w:pPr>
        <w:jc w:val="both"/>
        <w:ind w:left="40" w:right="1239" w:firstLine="251"/>
        <w:spacing w:after="0" w:line="281"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Subrogation</w:t>
      </w:r>
      <w:r>
        <w:rPr>
          <w:rFonts w:ascii="Arial" w:cs="Arial" w:eastAsia="Arial" w:hAnsi="Arial"/>
          <w:sz w:val="15"/>
          <w:szCs w:val="15"/>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Representations, Warranties and Covenants</w:t>
      </w:r>
      <w:r>
        <w:rPr>
          <w:rFonts w:ascii="Arial" w:cs="Arial" w:eastAsia="Arial" w:hAnsi="Arial"/>
          <w:sz w:val="17"/>
          <w:szCs w:val="17"/>
          <w:color w:val="auto"/>
        </w:rPr>
        <w:t>.</w:t>
      </w:r>
    </w:p>
    <w:p>
      <w:pPr>
        <w:spacing w:after="0" w:line="105" w:lineRule="exact"/>
        <w:rPr>
          <w:sz w:val="20"/>
          <w:szCs w:val="20"/>
          <w:color w:val="auto"/>
        </w:rPr>
      </w:pPr>
    </w:p>
    <w:p>
      <w:pPr>
        <w:ind w:left="820" w:hanging="272"/>
        <w:spacing w:after="0"/>
        <w:tabs>
          <w:tab w:leader="none" w:pos="82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Each Guarantor hereby represents and warrants as of the date first written above as follows:</w:t>
      </w:r>
    </w:p>
    <w:p>
      <w:pPr>
        <w:spacing w:after="0" w:line="105" w:lineRule="exact"/>
        <w:rPr>
          <w:rFonts w:ascii="Arial" w:cs="Arial" w:eastAsia="Arial" w:hAnsi="Arial"/>
          <w:sz w:val="17"/>
          <w:szCs w:val="17"/>
          <w:color w:val="auto"/>
        </w:rPr>
      </w:pPr>
    </w:p>
    <w:p>
      <w:pPr>
        <w:jc w:val="both"/>
        <w:ind w:left="540" w:right="1239" w:firstLine="259"/>
        <w:spacing w:after="0" w:line="292" w:lineRule="auto"/>
        <w:tabs>
          <w:tab w:leader="none" w:pos="1032" w:val="left"/>
        </w:tabs>
        <w:numPr>
          <w:ilvl w:val="1"/>
          <w:numId w:val="315"/>
        </w:numPr>
        <w:rPr>
          <w:rFonts w:ascii="Arial" w:cs="Arial" w:eastAsia="Arial" w:hAnsi="Arial"/>
          <w:sz w:val="15"/>
          <w:szCs w:val="15"/>
          <w:color w:val="auto"/>
        </w:rPr>
      </w:pPr>
      <w:r>
        <w:rPr>
          <w:rFonts w:ascii="Arial" w:cs="Arial" w:eastAsia="Arial" w:hAnsi="Arial"/>
          <w:sz w:val="15"/>
          <w:szCs w:val="15"/>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w:t>
      </w: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8" w:name="page379"/>
    <w:bookmarkEnd w:id="37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76" w:lineRule="exact"/>
        <w:rPr>
          <w:sz w:val="20"/>
          <w:szCs w:val="20"/>
          <w:color w:val="auto"/>
        </w:rPr>
      </w:pPr>
    </w:p>
    <w:p>
      <w:pPr>
        <w:jc w:val="both"/>
        <w:ind w:left="540" w:right="1239" w:firstLine="259"/>
        <w:spacing w:after="0" w:line="248" w:lineRule="auto"/>
        <w:tabs>
          <w:tab w:leader="none" w:pos="112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86" w:lineRule="exact"/>
        <w:rPr>
          <w:rFonts w:ascii="Arial" w:cs="Arial" w:eastAsia="Arial" w:hAnsi="Arial"/>
          <w:sz w:val="17"/>
          <w:szCs w:val="17"/>
          <w:color w:val="auto"/>
        </w:rPr>
      </w:pPr>
    </w:p>
    <w:p>
      <w:pPr>
        <w:jc w:val="both"/>
        <w:ind w:left="540" w:right="1239" w:firstLine="259"/>
        <w:spacing w:after="0" w:line="253" w:lineRule="auto"/>
        <w:tabs>
          <w:tab w:leader="none" w:pos="116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77" w:lineRule="exact"/>
        <w:rPr>
          <w:rFonts w:ascii="Arial" w:cs="Arial" w:eastAsia="Arial" w:hAnsi="Arial"/>
          <w:sz w:val="17"/>
          <w:szCs w:val="17"/>
          <w:color w:val="auto"/>
        </w:rPr>
      </w:pPr>
    </w:p>
    <w:p>
      <w:pPr>
        <w:jc w:val="both"/>
        <w:ind w:left="540" w:right="1239" w:firstLine="259"/>
        <w:spacing w:after="0" w:line="270" w:lineRule="auto"/>
        <w:tabs>
          <w:tab w:leader="none" w:pos="111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67" w:lineRule="exact"/>
        <w:rPr>
          <w:rFonts w:ascii="Arial" w:cs="Arial" w:eastAsia="Arial" w:hAnsi="Arial"/>
          <w:sz w:val="16"/>
          <w:szCs w:val="16"/>
          <w:color w:val="auto"/>
        </w:rPr>
      </w:pPr>
    </w:p>
    <w:p>
      <w:pPr>
        <w:jc w:val="both"/>
        <w:ind w:left="540" w:right="1239" w:firstLine="259"/>
        <w:spacing w:after="0" w:line="251" w:lineRule="auto"/>
        <w:tabs>
          <w:tab w:leader="none" w:pos="109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80" w:lineRule="exact"/>
        <w:rPr>
          <w:rFonts w:ascii="Arial" w:cs="Arial" w:eastAsia="Arial" w:hAnsi="Arial"/>
          <w:sz w:val="17"/>
          <w:szCs w:val="17"/>
          <w:color w:val="auto"/>
        </w:rPr>
      </w:pPr>
    </w:p>
    <w:p>
      <w:pPr>
        <w:jc w:val="both"/>
        <w:ind w:left="540" w:right="1239" w:firstLine="259"/>
        <w:spacing w:after="0" w:line="270" w:lineRule="auto"/>
        <w:tabs>
          <w:tab w:leader="none" w:pos="113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68"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Right of Set-off</w:t>
      </w:r>
      <w:r>
        <w:rPr>
          <w:rFonts w:ascii="Arial" w:cs="Arial" w:eastAsia="Arial" w:hAnsi="Arial"/>
          <w:sz w:val="15"/>
          <w:szCs w:val="15"/>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79" w:name="page380"/>
    <w:bookmarkEnd w:id="37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Notices, Etc</w:t>
      </w:r>
      <w:r>
        <w:rPr>
          <w:rFonts w:ascii="Arial" w:cs="Arial" w:eastAsia="Arial" w:hAnsi="Arial"/>
          <w:sz w:val="15"/>
          <w:szCs w:val="15"/>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5"/>
          <w:szCs w:val="15"/>
          <w:u w:val="single" w:color="auto"/>
          <w:color w:val="auto"/>
        </w:rPr>
        <w:t>Section 8</w:t>
      </w:r>
      <w:r>
        <w:rPr>
          <w:rFonts w:ascii="Arial" w:cs="Arial" w:eastAsia="Arial" w:hAnsi="Arial"/>
          <w:sz w:val="15"/>
          <w:szCs w:val="15"/>
          <w:color w:val="auto"/>
        </w:rPr>
        <w:t>. All such notices and other communications shall be effective</w:t>
      </w:r>
    </w:p>
    <w:p>
      <w:pPr>
        <w:spacing w:after="0" w:line="1" w:lineRule="exact"/>
        <w:rPr>
          <w:sz w:val="20"/>
          <w:szCs w:val="20"/>
          <w:color w:val="auto"/>
        </w:rPr>
      </w:pPr>
    </w:p>
    <w:p>
      <w:pPr>
        <w:jc w:val="both"/>
        <w:ind w:left="40" w:right="1239" w:firstLine="7"/>
        <w:spacing w:after="0" w:line="248" w:lineRule="auto"/>
        <w:tabs>
          <w:tab w:leader="none" w:pos="24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82" w:lineRule="exact"/>
        <w:rPr>
          <w:sz w:val="20"/>
          <w:szCs w:val="20"/>
          <w:color w:val="auto"/>
        </w:rPr>
      </w:pPr>
    </w:p>
    <w:p>
      <w:pPr>
        <w:jc w:val="both"/>
        <w:ind w:left="40" w:right="1239" w:firstLine="251"/>
        <w:spacing w:after="0" w:line="26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CONSENT TO JURISDICTION; SERVICE OF PROCESS AND VENUE</w:t>
      </w:r>
      <w:r>
        <w:rPr>
          <w:rFonts w:ascii="Arial" w:cs="Arial" w:eastAsia="Arial" w:hAnsi="Arial"/>
          <w:sz w:val="16"/>
          <w:szCs w:val="16"/>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81"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WAIVER OF JURY TRIAL, ETC</w:t>
      </w:r>
      <w:r>
        <w:rPr>
          <w:rFonts w:ascii="Arial" w:cs="Arial" w:eastAsia="Arial" w:hAnsi="Arial"/>
          <w:sz w:val="16"/>
          <w:szCs w:val="16"/>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105" w:lineRule="exact"/>
        <w:rPr>
          <w:sz w:val="20"/>
          <w:szCs w:val="20"/>
          <w:color w:val="auto"/>
        </w:rPr>
      </w:pPr>
    </w:p>
    <w:p>
      <w:pPr>
        <w:jc w:val="both"/>
        <w:ind w:left="300" w:right="1239" w:firstLine="248"/>
        <w:spacing w:after="0" w:line="292" w:lineRule="auto"/>
        <w:tabs>
          <w:tab w:leader="none" w:pos="863" w:val="left"/>
        </w:tabs>
        <w:numPr>
          <w:ilvl w:val="0"/>
          <w:numId w:val="318"/>
        </w:numPr>
        <w:rPr>
          <w:rFonts w:ascii="Arial" w:cs="Arial" w:eastAsia="Arial" w:hAnsi="Arial"/>
          <w:sz w:val="15"/>
          <w:szCs w:val="15"/>
          <w:color w:val="auto"/>
        </w:rPr>
      </w:pPr>
      <w:r>
        <w:rPr>
          <w:rFonts w:ascii="Arial" w:cs="Arial" w:eastAsia="Arial" w:hAnsi="Arial"/>
          <w:sz w:val="15"/>
          <w:szCs w:val="15"/>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5"/>
          <w:szCs w:val="15"/>
          <w:u w:val="single" w:color="auto"/>
          <w:color w:val="auto"/>
        </w:rPr>
        <w:t>excluding</w:t>
      </w:r>
      <w:r>
        <w:rPr>
          <w:rFonts w:ascii="Arial" w:cs="Arial" w:eastAsia="Arial" w:hAnsi="Arial"/>
          <w:sz w:val="15"/>
          <w:szCs w:val="15"/>
          <w:color w:val="auto"/>
        </w:rPr>
        <w:t xml:space="preserve"> taxes imposed on the net income of the Buyer by the jurisdiction in which the Buyer is organized or where it has its principal lending office (all</w:t>
      </w: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0" w:name="page381"/>
    <w:bookmarkEnd w:id="38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color w:val="auto"/>
        </w:rPr>
        <w:t>such nonexcluded taxes, levies, imposts, deductions, charges, withholdings and liabilities, collectively or individually, “</w:t>
      </w:r>
      <w:r>
        <w:rPr>
          <w:rFonts w:ascii="Arial" w:cs="Arial" w:eastAsia="Arial" w:hAnsi="Arial"/>
          <w:sz w:val="17"/>
          <w:szCs w:val="17"/>
          <w:b w:val="1"/>
          <w:bCs w:val="1"/>
          <w:color w:val="auto"/>
        </w:rPr>
        <w:t>Taxes</w:t>
      </w:r>
      <w:r>
        <w:rPr>
          <w:rFonts w:ascii="Arial" w:cs="Arial" w:eastAsia="Arial" w:hAnsi="Arial"/>
          <w:sz w:val="17"/>
          <w:szCs w:val="17"/>
          <w:color w:val="auto"/>
        </w:rPr>
        <w:t>”). If any Guarantor shall be required to deduct or to withhold any Taxes from or in respect of any amount payable hereunder or under any other Note Transaction Document:</w:t>
      </w:r>
    </w:p>
    <w:p>
      <w:pPr>
        <w:spacing w:after="0" w:line="76" w:lineRule="exact"/>
        <w:rPr>
          <w:sz w:val="20"/>
          <w:szCs w:val="20"/>
          <w:color w:val="auto"/>
        </w:rPr>
      </w:pPr>
    </w:p>
    <w:p>
      <w:pPr>
        <w:jc w:val="both"/>
        <w:ind w:left="540" w:right="1239" w:firstLine="259"/>
        <w:spacing w:after="0" w:line="280" w:lineRule="auto"/>
        <w:tabs>
          <w:tab w:leader="none" w:pos="1063" w:val="left"/>
        </w:tabs>
        <w:numPr>
          <w:ilvl w:val="1"/>
          <w:numId w:val="319"/>
        </w:numPr>
        <w:rPr>
          <w:rFonts w:ascii="Arial" w:cs="Arial" w:eastAsia="Arial" w:hAnsi="Arial"/>
          <w:sz w:val="16"/>
          <w:szCs w:val="16"/>
          <w:color w:val="auto"/>
        </w:rPr>
      </w:pPr>
      <w:r>
        <w:rPr>
          <w:rFonts w:ascii="Arial" w:cs="Arial" w:eastAsia="Arial" w:hAnsi="Arial"/>
          <w:sz w:val="16"/>
          <w:szCs w:val="16"/>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57" w:lineRule="exact"/>
        <w:rPr>
          <w:rFonts w:ascii="Arial" w:cs="Arial" w:eastAsia="Arial" w:hAnsi="Arial"/>
          <w:sz w:val="16"/>
          <w:szCs w:val="16"/>
          <w:color w:val="auto"/>
        </w:rPr>
      </w:pPr>
    </w:p>
    <w:p>
      <w:pPr>
        <w:ind w:left="1080" w:hanging="281"/>
        <w:spacing w:after="0"/>
        <w:tabs>
          <w:tab w:leader="none" w:pos="108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such Guarantor shall make such deduction or withholding,</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127" w:val="left"/>
        </w:tabs>
        <w:numPr>
          <w:ilvl w:val="1"/>
          <w:numId w:val="319"/>
        </w:numPr>
        <w:rPr>
          <w:rFonts w:ascii="Arial" w:cs="Arial" w:eastAsia="Arial" w:hAnsi="Arial"/>
          <w:sz w:val="17"/>
          <w:szCs w:val="17"/>
          <w:color w:val="auto"/>
        </w:rPr>
      </w:pPr>
      <w:r>
        <w:rPr>
          <w:rFonts w:ascii="Arial" w:cs="Arial" w:eastAsia="Arial" w:hAnsi="Arial"/>
          <w:sz w:val="17"/>
          <w:szCs w:val="17"/>
          <w:color w:val="auto"/>
        </w:rPr>
        <w:t>such Guarantor shall pay the full amount deducted or withheld to the relevant taxation authority in accordance with applicable law, and</w:t>
      </w:r>
    </w:p>
    <w:p>
      <w:pPr>
        <w:spacing w:after="0" w:line="66" w:lineRule="exact"/>
        <w:rPr>
          <w:rFonts w:ascii="Arial" w:cs="Arial" w:eastAsia="Arial" w:hAnsi="Arial"/>
          <w:sz w:val="17"/>
          <w:szCs w:val="17"/>
          <w:color w:val="auto"/>
        </w:rPr>
      </w:pPr>
    </w:p>
    <w:p>
      <w:pPr>
        <w:jc w:val="both"/>
        <w:ind w:left="540" w:right="1239" w:firstLine="259"/>
        <w:spacing w:after="0" w:line="292" w:lineRule="auto"/>
        <w:tabs>
          <w:tab w:leader="none" w:pos="1129" w:val="left"/>
        </w:tabs>
        <w:numPr>
          <w:ilvl w:val="1"/>
          <w:numId w:val="319"/>
        </w:numPr>
        <w:rPr>
          <w:rFonts w:ascii="Arial" w:cs="Arial" w:eastAsia="Arial" w:hAnsi="Arial"/>
          <w:sz w:val="15"/>
          <w:szCs w:val="15"/>
          <w:color w:val="auto"/>
        </w:rPr>
      </w:pPr>
      <w:r>
        <w:rPr>
          <w:rFonts w:ascii="Arial" w:cs="Arial" w:eastAsia="Arial" w:hAnsi="Arial"/>
          <w:sz w:val="15"/>
          <w:szCs w:val="15"/>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5"/>
          <w:szCs w:val="15"/>
          <w:b w:val="1"/>
          <w:bCs w:val="1"/>
          <w:color w:val="auto"/>
        </w:rPr>
        <w:t>Other Taxes</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jc w:val="both"/>
        <w:ind w:left="300" w:right="1239" w:firstLine="248"/>
        <w:spacing w:after="0" w:line="249" w:lineRule="auto"/>
        <w:tabs>
          <w:tab w:leader="none" w:pos="87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81" w:lineRule="exact"/>
        <w:rPr>
          <w:rFonts w:ascii="Arial" w:cs="Arial" w:eastAsia="Arial" w:hAnsi="Arial"/>
          <w:sz w:val="17"/>
          <w:szCs w:val="17"/>
          <w:color w:val="auto"/>
        </w:rPr>
      </w:pPr>
    </w:p>
    <w:p>
      <w:pPr>
        <w:jc w:val="both"/>
        <w:ind w:left="300" w:right="1239" w:firstLine="248"/>
        <w:spacing w:after="0" w:line="253" w:lineRule="auto"/>
        <w:tabs>
          <w:tab w:leader="none" w:pos="82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 xml:space="preserve">If any Guarantor fails to perform any of its obligations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survive the termination of this Guaranty and the payment of the Obligations and all other amounts payable hereunder.</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5" w:lineRule="exact"/>
        <w:rPr>
          <w:sz w:val="20"/>
          <w:szCs w:val="20"/>
          <w:color w:val="auto"/>
        </w:rPr>
      </w:pPr>
    </w:p>
    <w:p>
      <w:pPr>
        <w:ind w:left="300" w:right="1239" w:firstLine="248"/>
        <w:spacing w:after="0" w:line="299" w:lineRule="auto"/>
        <w:tabs>
          <w:tab w:leader="none" w:pos="91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42" w:lineRule="exact"/>
        <w:rPr>
          <w:rFonts w:ascii="Arial" w:cs="Arial" w:eastAsia="Arial" w:hAnsi="Arial"/>
          <w:sz w:val="16"/>
          <w:szCs w:val="16"/>
          <w:color w:val="auto"/>
        </w:rPr>
      </w:pPr>
    </w:p>
    <w:p>
      <w:pPr>
        <w:jc w:val="both"/>
        <w:ind w:left="300" w:right="1239" w:firstLine="248"/>
        <w:spacing w:after="0" w:line="307" w:lineRule="auto"/>
        <w:tabs>
          <w:tab w:leader="none" w:pos="898" w:val="left"/>
        </w:tabs>
        <w:numPr>
          <w:ilvl w:val="0"/>
          <w:numId w:val="321"/>
        </w:numPr>
        <w:rPr>
          <w:rFonts w:ascii="Arial" w:cs="Arial" w:eastAsia="Arial" w:hAnsi="Arial"/>
          <w:sz w:val="15"/>
          <w:szCs w:val="15"/>
          <w:color w:val="auto"/>
        </w:rPr>
      </w:pPr>
      <w:r>
        <w:rPr>
          <w:rFonts w:ascii="Arial" w:cs="Arial" w:eastAsia="Arial" w:hAnsi="Arial"/>
          <w:sz w:val="15"/>
          <w:szCs w:val="15"/>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39" w:lineRule="exact"/>
        <w:rPr>
          <w:rFonts w:ascii="Arial" w:cs="Arial" w:eastAsia="Arial" w:hAnsi="Arial"/>
          <w:sz w:val="15"/>
          <w:szCs w:val="15"/>
          <w:color w:val="auto"/>
        </w:rPr>
      </w:pPr>
    </w:p>
    <w:p>
      <w:pPr>
        <w:jc w:val="both"/>
        <w:ind w:left="300" w:right="1239" w:firstLine="248"/>
        <w:spacing w:after="0" w:line="288" w:lineRule="auto"/>
        <w:tabs>
          <w:tab w:leader="none" w:pos="828" w:val="left"/>
        </w:tabs>
        <w:numPr>
          <w:ilvl w:val="0"/>
          <w:numId w:val="321"/>
        </w:numPr>
        <w:rPr>
          <w:rFonts w:ascii="Arial" w:cs="Arial" w:eastAsia="Arial" w:hAnsi="Arial"/>
          <w:sz w:val="15"/>
          <w:szCs w:val="15"/>
          <w:color w:val="auto"/>
        </w:rPr>
      </w:pPr>
      <w:r>
        <w:rPr>
          <w:rFonts w:ascii="Arial" w:cs="Arial" w:eastAsia="Arial" w:hAnsi="Arial"/>
          <w:sz w:val="15"/>
          <w:szCs w:val="15"/>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200" w:lineRule="exact"/>
        <w:rPr>
          <w:sz w:val="20"/>
          <w:szCs w:val="20"/>
          <w:color w:val="auto"/>
        </w:rPr>
      </w:pPr>
    </w:p>
    <w:p>
      <w:pPr>
        <w:spacing w:after="0" w:line="268"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1" w:name="page382"/>
    <w:bookmarkEnd w:id="38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4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76" w:lineRule="exact"/>
        <w:rPr>
          <w:rFonts w:ascii="Arial" w:cs="Arial" w:eastAsia="Arial" w:hAnsi="Arial"/>
          <w:sz w:val="17"/>
          <w:szCs w:val="17"/>
          <w:color w:val="auto"/>
        </w:rPr>
      </w:pPr>
    </w:p>
    <w:p>
      <w:pPr>
        <w:jc w:val="both"/>
        <w:ind w:left="300" w:right="1239" w:firstLine="248"/>
        <w:spacing w:after="0" w:line="267" w:lineRule="auto"/>
        <w:tabs>
          <w:tab w:leader="none" w:pos="83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70" w:lineRule="exact"/>
        <w:rPr>
          <w:rFonts w:ascii="Arial" w:cs="Arial" w:eastAsia="Arial" w:hAnsi="Arial"/>
          <w:sz w:val="16"/>
          <w:szCs w:val="16"/>
          <w:color w:val="auto"/>
        </w:rPr>
      </w:pPr>
    </w:p>
    <w:p>
      <w:pPr>
        <w:ind w:left="300" w:right="1239" w:firstLine="248"/>
        <w:spacing w:after="0" w:line="267" w:lineRule="auto"/>
        <w:tabs>
          <w:tab w:leader="none" w:pos="81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This Guaranty reflects the entire understanding of the transaction contemplated hereby and shall not be contradicted or qualified by any other agreement, oral or written, entered into before the date hereof.</w:t>
      </w:r>
    </w:p>
    <w:p>
      <w:pPr>
        <w:spacing w:after="0" w:line="66" w:lineRule="exact"/>
        <w:rPr>
          <w:rFonts w:ascii="Arial" w:cs="Arial" w:eastAsia="Arial" w:hAnsi="Arial"/>
          <w:sz w:val="17"/>
          <w:szCs w:val="17"/>
          <w:color w:val="auto"/>
        </w:rPr>
      </w:pPr>
    </w:p>
    <w:p>
      <w:pPr>
        <w:ind w:left="300" w:right="1239" w:firstLine="248"/>
        <w:spacing w:after="0" w:line="267" w:lineRule="auto"/>
        <w:tabs>
          <w:tab w:leader="none" w:pos="833" w:val="left"/>
        </w:tabs>
        <w:numPr>
          <w:ilvl w:val="0"/>
          <w:numId w:val="322"/>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constitute a part of this Agreement for any other purpose.</w:t>
      </w:r>
    </w:p>
    <w:p>
      <w:pPr>
        <w:spacing w:after="0" w:line="66" w:lineRule="exact"/>
        <w:rPr>
          <w:rFonts w:ascii="Arial" w:cs="Arial" w:eastAsia="Arial" w:hAnsi="Arial"/>
          <w:sz w:val="17"/>
          <w:szCs w:val="17"/>
          <w:color w:val="auto"/>
        </w:rPr>
      </w:pPr>
    </w:p>
    <w:p>
      <w:pPr>
        <w:jc w:val="both"/>
        <w:ind w:left="300" w:right="1239" w:firstLine="248"/>
        <w:spacing w:after="0" w:line="256" w:lineRule="auto"/>
        <w:tabs>
          <w:tab w:leader="none" w:pos="85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THIS GUARANTY SHALL BE GOVERNED BY AND CONSTRUED IN ACCORDANCE WITH THE LAW OF THE STATE OF NEW YORK APPLICABLE TO CONTRACTS MADE AND TO BE PERFORMED THEREIN WITHOUT REGARD TO CONFLICT OF LAW PRINCIPLES.</w:t>
      </w:r>
    </w:p>
    <w:p>
      <w:pPr>
        <w:spacing w:after="0" w:line="76" w:lineRule="exact"/>
        <w:rPr>
          <w:rFonts w:ascii="Arial" w:cs="Arial" w:eastAsia="Arial" w:hAnsi="Arial"/>
          <w:sz w:val="17"/>
          <w:szCs w:val="17"/>
          <w:color w:val="auto"/>
        </w:rPr>
      </w:pPr>
    </w:p>
    <w:p>
      <w:pPr>
        <w:jc w:val="both"/>
        <w:ind w:left="300" w:right="1239" w:firstLine="248"/>
        <w:spacing w:after="0" w:line="274" w:lineRule="auto"/>
        <w:tabs>
          <w:tab w:leader="none" w:pos="83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61" w:lineRule="exact"/>
        <w:rPr>
          <w:rFonts w:ascii="Arial" w:cs="Arial" w:eastAsia="Arial" w:hAnsi="Arial"/>
          <w:sz w:val="16"/>
          <w:szCs w:val="16"/>
          <w:color w:val="auto"/>
        </w:rPr>
      </w:pPr>
    </w:p>
    <w:p>
      <w:pPr>
        <w:jc w:val="both"/>
        <w:ind w:left="300" w:right="1239" w:firstLine="248"/>
        <w:spacing w:after="0" w:line="267" w:lineRule="auto"/>
        <w:tabs>
          <w:tab w:leader="none" w:pos="81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67"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[REMAINDER OF THIS PAGE INTENTIONALLY LEFT BLANK]</w:t>
      </w: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2" w:name="page383"/>
    <w:bookmarkEnd w:id="38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firstLine="251"/>
        <w:spacing w:after="0" w:line="253" w:lineRule="auto"/>
        <w:rPr>
          <w:sz w:val="20"/>
          <w:szCs w:val="20"/>
          <w:color w:val="auto"/>
        </w:rPr>
      </w:pPr>
      <w:r>
        <w:rPr>
          <w:rFonts w:ascii="Arial" w:cs="Arial" w:eastAsia="Arial" w:hAnsi="Arial"/>
          <w:sz w:val="17"/>
          <w:szCs w:val="17"/>
          <w:color w:val="auto"/>
        </w:rPr>
        <w:t>IN WITNESS WHEREOF, each Guarantor has caused this Guaranty to be executed by its respective duly authorized officer,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481393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-123190</wp:posOffset>
            </wp:positionV>
            <wp:extent cx="229171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 xml:space="preserve">I/P LABS, INC., </w:t>
      </w:r>
      <w:r>
        <w:rPr>
          <w:rFonts w:ascii="Arial" w:cs="Arial" w:eastAsia="Arial" w:hAnsi="Arial"/>
          <w:sz w:val="17"/>
          <w:szCs w:val="17"/>
          <w:color w:val="auto"/>
        </w:rPr>
        <w:t>a Delaware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formerly known as Scottish Terrier Capital,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Vringo Guaranty</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3" w:name="page384"/>
    <w:bookmarkEnd w:id="38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48139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6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 xml:space="preserve">I/P ENGINE, INC., </w:t>
      </w:r>
      <w:r>
        <w:rPr>
          <w:rFonts w:ascii="Arial" w:cs="Arial" w:eastAsia="Arial" w:hAnsi="Arial"/>
          <w:sz w:val="16"/>
          <w:szCs w:val="16"/>
          <w:color w:val="auto"/>
        </w:rPr>
        <w:t>a Virginia corporation</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5"/>
          <w:szCs w:val="15"/>
          <w:color w:val="auto"/>
        </w:rPr>
        <w:t>formerly known as Smart Search Labs, Inc.</w:t>
      </w:r>
    </w:p>
    <w:p>
      <w:pPr>
        <w:spacing w:after="0" w:line="28"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 xml:space="preserve">VRINGO, LTD., </w:t>
      </w:r>
      <w:r>
        <w:rPr>
          <w:rFonts w:ascii="Arial" w:cs="Arial" w:eastAsia="Arial" w:hAnsi="Arial"/>
          <w:sz w:val="17"/>
          <w:szCs w:val="17"/>
          <w:color w:val="auto"/>
        </w:rPr>
        <w:t>an Israeli corporation</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Address for Notices:</w:t>
      </w:r>
    </w:p>
    <w:p>
      <w:pPr>
        <w:ind w:left="3660"/>
        <w:spacing w:after="0" w:line="189" w:lineRule="auto"/>
        <w:rPr>
          <w:sz w:val="20"/>
          <w:szCs w:val="20"/>
          <w:color w:val="auto"/>
        </w:rPr>
      </w:pPr>
      <w:r>
        <w:rPr>
          <w:rFonts w:ascii="Arial" w:cs="Arial" w:eastAsia="Arial" w:hAnsi="Arial"/>
          <w:sz w:val="17"/>
          <w:szCs w:val="17"/>
          <w:color w:val="auto"/>
        </w:rPr>
        <w:t>120 Broadway, 40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3660"/>
        <w:spacing w:after="0"/>
        <w:rPr>
          <w:sz w:val="20"/>
          <w:szCs w:val="20"/>
          <w:color w:val="auto"/>
        </w:rPr>
      </w:pPr>
      <w:r>
        <w:rPr>
          <w:rFonts w:ascii="Arial" w:cs="Arial" w:eastAsia="Arial" w:hAnsi="Arial"/>
          <w:sz w:val="17"/>
          <w:szCs w:val="17"/>
          <w:color w:val="auto"/>
        </w:rPr>
        <w:t>New York, NY 10271</w:t>
      </w:r>
    </w:p>
    <w:p>
      <w:pPr>
        <w:spacing w:after="0" w:line="191"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Facsimile: (646) 214-7946</w:t>
      </w:r>
    </w:p>
    <w:p>
      <w:pPr>
        <w:spacing w:after="0" w:line="105"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Vringo Guaranty</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4" w:name="page385"/>
    <w:bookmarkEnd w:id="38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Exhibit K</w:t>
      </w:r>
    </w:p>
    <w:p>
      <w:pPr>
        <w:spacing w:after="0" w:line="213"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INCORPORATION</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VIP MERGER SUB, INC.</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undersigned, for the purpose of organizing a corporation under the provisions and subject to the requirements of the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Delaware General Corporation Law (the “DGCL”), hereby certifies that:</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FIRST: The name of the corporation is VIP Merger Sub, Inc. (the “Corporation”).</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20"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THIRD: The purpose of the Corporation is to engage in any lawful act or activity for which corporations may be organized under the DGCL.</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FOURTH: The total number of shares of all classes of stock which the Corporation shall have authority to issue is five thousand (5,000) shares of common stock, par value $0.01 per share.</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FIFTH: The name and mailing address of the sole incorporator of the Corporation is Michael A. Brown, c/o Mintz, Levin, Cohn, Ferris, Glovsky and Popeo, P.C., 666 Third Avenue, New York, New York 10017.</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SIXTH: The Corporation is to have perpetual existence.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76" w:lineRule="exact"/>
        <w:rPr>
          <w:sz w:val="20"/>
          <w:szCs w:val="20"/>
          <w:color w:val="auto"/>
        </w:rPr>
      </w:pPr>
    </w:p>
    <w:p>
      <w:pPr>
        <w:jc w:val="both"/>
        <w:ind w:left="300" w:right="1239" w:firstLine="248"/>
        <w:spacing w:after="0" w:line="251" w:lineRule="auto"/>
        <w:tabs>
          <w:tab w:leader="none" w:pos="847"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80" w:lineRule="exact"/>
        <w:rPr>
          <w:rFonts w:ascii="Arial" w:cs="Arial" w:eastAsia="Arial" w:hAnsi="Arial"/>
          <w:sz w:val="17"/>
          <w:szCs w:val="17"/>
          <w:color w:val="auto"/>
        </w:rPr>
      </w:pPr>
    </w:p>
    <w:p>
      <w:pPr>
        <w:jc w:val="both"/>
        <w:ind w:left="300" w:right="1239" w:firstLine="248"/>
        <w:spacing w:after="0" w:line="253" w:lineRule="auto"/>
        <w:tabs>
          <w:tab w:leader="none" w:pos="80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77" w:lineRule="exact"/>
        <w:rPr>
          <w:rFonts w:ascii="Arial" w:cs="Arial" w:eastAsia="Arial" w:hAnsi="Arial"/>
          <w:sz w:val="17"/>
          <w:szCs w:val="17"/>
          <w:color w:val="auto"/>
        </w:rPr>
      </w:pPr>
    </w:p>
    <w:p>
      <w:pPr>
        <w:ind w:left="300" w:right="1239" w:firstLine="248"/>
        <w:spacing w:after="0" w:line="299" w:lineRule="auto"/>
        <w:tabs>
          <w:tab w:leader="none" w:pos="80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43"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w:t>
      </w:r>
    </w:p>
    <w:p>
      <w:pPr>
        <w:spacing w:after="0" w:line="200" w:lineRule="exact"/>
        <w:rPr>
          <w:sz w:val="20"/>
          <w:szCs w:val="20"/>
          <w:color w:val="auto"/>
        </w:rPr>
      </w:pPr>
    </w:p>
    <w:p>
      <w:pPr>
        <w:spacing w:after="0" w:line="27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5" w:name="page386"/>
    <w:bookmarkEnd w:id="38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97" w:lineRule="auto"/>
        <w:rPr>
          <w:sz w:val="20"/>
          <w:szCs w:val="20"/>
          <w:color w:val="auto"/>
        </w:rPr>
      </w:pPr>
      <w:r>
        <w:rPr>
          <w:rFonts w:ascii="Arial" w:cs="Arial" w:eastAsia="Arial" w:hAnsi="Arial"/>
          <w:sz w:val="15"/>
          <w:szCs w:val="15"/>
          <w:color w:val="auto"/>
        </w:rPr>
        <w:t>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48"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70"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74930</wp:posOffset>
            </wp:positionV>
            <wp:extent cx="133667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6" w:name="page387"/>
    <w:bookmarkEnd w:id="38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L</w:t>
      </w:r>
    </w:p>
    <w:p>
      <w:pPr>
        <w:spacing w:after="0" w:line="20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VIP MERGER SUB,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BYLAWS</w:t>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17"/>
          <w:szCs w:val="17"/>
          <w:b w:val="1"/>
          <w:bCs w:val="1"/>
          <w:i w:val="1"/>
          <w:iCs w:val="1"/>
          <w:color w:val="auto"/>
        </w:rPr>
        <w:t>ARTICLE I — STOCKHOLDERS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Annual Meeting.</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Special Meetings.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Notice of Meetings.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78"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Quorum.</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80"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Organization.</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387" w:name="page388"/>
    <w:bookmarkEnd w:id="38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Conduct of Business.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Proxies and Voting.</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At any meeting of the stockholders, every stockholder entitled to vote may vote in person or by proxy authorized by an instrument in writing filed in accordance with the procedure established for the meeting.</w:t>
      </w:r>
    </w:p>
    <w:p>
      <w:pPr>
        <w:spacing w:after="0" w:line="66"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Each stockholder shall have one (1) vote for every share of stock entitled to vote which is registered in his or her name on the record date for the meeting, except as otherwise provided herein or required by law.</w:t>
      </w:r>
    </w:p>
    <w:p>
      <w:pPr>
        <w:spacing w:after="0" w:line="66"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20"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Action Without Meeting.</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Stock List.</w:t>
      </w:r>
    </w:p>
    <w:p>
      <w:pPr>
        <w:spacing w:after="0" w:line="105"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5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88" w:name="page389"/>
    <w:bookmarkEnd w:id="38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4239" w:firstLine="2768"/>
        <w:spacing w:after="0" w:line="369" w:lineRule="auto"/>
        <w:rPr>
          <w:sz w:val="20"/>
          <w:szCs w:val="20"/>
          <w:color w:val="auto"/>
        </w:rPr>
      </w:pPr>
      <w:r>
        <w:rPr>
          <w:rFonts w:ascii="Arial" w:cs="Arial" w:eastAsia="Arial" w:hAnsi="Arial"/>
          <w:sz w:val="17"/>
          <w:szCs w:val="17"/>
          <w:i w:val="1"/>
          <w:iCs w:val="1"/>
          <w:color w:val="auto"/>
        </w:rPr>
        <w:t>ARTICLE II — BOARD OF DIRECTORS Section 1. Number, Election, Tenure and Qualification.</w:t>
      </w:r>
    </w:p>
    <w:p>
      <w:pPr>
        <w:jc w:val="both"/>
        <w:ind w:left="40" w:right="1239" w:firstLine="251"/>
        <w:spacing w:after="0" w:line="270" w:lineRule="auto"/>
        <w:rPr>
          <w:sz w:val="20"/>
          <w:szCs w:val="20"/>
          <w:color w:val="auto"/>
        </w:rPr>
      </w:pPr>
      <w:r>
        <w:rPr>
          <w:rFonts w:ascii="Arial" w:cs="Arial" w:eastAsia="Arial" w:hAnsi="Arial"/>
          <w:sz w:val="16"/>
          <w:szCs w:val="16"/>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Vacancies and Newly Created Directorships.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Resignation and Removal.</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Regular Meetings.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Special Meetings.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Quorum.</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Action by Consent.</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200" w:lineRule="exact"/>
        <w:rPr>
          <w:sz w:val="20"/>
          <w:szCs w:val="20"/>
          <w:color w:val="auto"/>
        </w:rPr>
      </w:pPr>
    </w:p>
    <w:p>
      <w:pPr>
        <w:spacing w:after="0" w:line="275"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89" w:name="page390"/>
    <w:bookmarkEnd w:id="38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Participation in Meetings By Conference Telephone.</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Conduct of Business.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Powers.</w:t>
      </w:r>
    </w:p>
    <w:p>
      <w:pPr>
        <w:spacing w:after="0" w:line="105"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20" w:lineRule="exact"/>
        <w:rPr>
          <w:sz w:val="20"/>
          <w:szCs w:val="20"/>
          <w:color w:val="auto"/>
        </w:rPr>
      </w:pPr>
    </w:p>
    <w:p>
      <w:pPr>
        <w:ind w:left="520" w:hanging="260"/>
        <w:spacing w:after="0"/>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declare dividends from time to time in accordance with law;</w:t>
      </w:r>
    </w:p>
    <w:p>
      <w:pPr>
        <w:spacing w:after="0" w:line="105" w:lineRule="exact"/>
        <w:rPr>
          <w:rFonts w:ascii="Arial" w:cs="Arial" w:eastAsia="Arial" w:hAnsi="Arial"/>
          <w:sz w:val="17"/>
          <w:szCs w:val="17"/>
          <w:color w:val="auto"/>
        </w:rPr>
      </w:pPr>
    </w:p>
    <w:p>
      <w:pPr>
        <w:ind w:left="520" w:hanging="260"/>
        <w:spacing w:after="0"/>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purchase or otherwise acquire any property, rights or privileges on such terms as it shall determine;</w:t>
      </w:r>
    </w:p>
    <w:p>
      <w:pPr>
        <w:spacing w:after="0" w:line="105" w:lineRule="exact"/>
        <w:rPr>
          <w:rFonts w:ascii="Arial" w:cs="Arial" w:eastAsia="Arial" w:hAnsi="Arial"/>
          <w:sz w:val="17"/>
          <w:szCs w:val="17"/>
          <w:color w:val="auto"/>
        </w:rPr>
      </w:pPr>
    </w:p>
    <w:p>
      <w:pPr>
        <w:jc w:val="both"/>
        <w:ind w:left="520" w:right="1239" w:hanging="260"/>
        <w:spacing w:after="0" w:line="256"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7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remove any officer of the Corporation with or without cause, and from time to time to devolve the powers and duties of any officer upon any other person for the time being;</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confer upon any officer of the Corporation the power to appoint, remove and suspend subordinate officers, employees and agents;</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adopt from time to time such stock, option, stock purchase, bonus or other compensation plans for directors, officers, employees and agents of the Corporation and its subsidiaries as it may determine;</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adopt from time to time such insurance, retirement, and other benefit plans for directors, officers, employees and agents of the Corporation and its subsidiaries as it may determine; and,</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 adopt from time to time regulations, not inconsistent with these Bylaws, for the management of the Corporation’s business and affairs.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11. Compensation of Directors.</w:t>
      </w:r>
    </w:p>
    <w:p>
      <w:pPr>
        <w:spacing w:after="0" w:line="105" w:lineRule="exact"/>
        <w:rPr>
          <w:sz w:val="20"/>
          <w:szCs w:val="20"/>
          <w:color w:val="auto"/>
        </w:rPr>
      </w:pPr>
    </w:p>
    <w:p>
      <w:pPr>
        <w:jc w:val="both"/>
        <w:ind w:left="40" w:right="1239" w:firstLine="251"/>
        <w:spacing w:after="0" w:line="299" w:lineRule="auto"/>
        <w:rPr>
          <w:sz w:val="20"/>
          <w:szCs w:val="20"/>
          <w:color w:val="auto"/>
        </w:rPr>
      </w:pPr>
      <w:r>
        <w:rPr>
          <w:rFonts w:ascii="Arial" w:cs="Arial" w:eastAsia="Arial" w:hAnsi="Arial"/>
          <w:sz w:val="16"/>
          <w:szCs w:val="16"/>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43" w:lineRule="exact"/>
        <w:rPr>
          <w:sz w:val="20"/>
          <w:szCs w:val="20"/>
          <w:color w:val="auto"/>
        </w:rPr>
      </w:pPr>
    </w:p>
    <w:p>
      <w:pPr>
        <w:ind w:left="3380"/>
        <w:spacing w:after="0"/>
        <w:rPr>
          <w:sz w:val="20"/>
          <w:szCs w:val="20"/>
          <w:color w:val="auto"/>
        </w:rPr>
      </w:pPr>
      <w:r>
        <w:rPr>
          <w:rFonts w:ascii="Arial" w:cs="Arial" w:eastAsia="Arial" w:hAnsi="Arial"/>
          <w:sz w:val="17"/>
          <w:szCs w:val="17"/>
          <w:i w:val="1"/>
          <w:iCs w:val="1"/>
          <w:color w:val="auto"/>
        </w:rPr>
        <w:t>ARTICLE III — COMMITTEES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Committees of the Board of Directors.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w:t>
      </w: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0" w:name="page391"/>
    <w:bookmarkEnd w:id="39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4" w:lineRule="auto"/>
        <w:rPr>
          <w:sz w:val="20"/>
          <w:szCs w:val="20"/>
          <w:color w:val="auto"/>
        </w:rPr>
      </w:pPr>
      <w:r>
        <w:rPr>
          <w:rFonts w:ascii="Arial" w:cs="Arial" w:eastAsia="Arial" w:hAnsi="Arial"/>
          <w:sz w:val="15"/>
          <w:szCs w:val="15"/>
          <w:color w:val="auto"/>
        </w:rPr>
        <w:t>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Conduct of Business.</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68" w:lineRule="exact"/>
        <w:rPr>
          <w:sz w:val="20"/>
          <w:szCs w:val="20"/>
          <w:color w:val="auto"/>
        </w:rPr>
      </w:pPr>
    </w:p>
    <w:p>
      <w:pPr>
        <w:ind w:left="3520"/>
        <w:spacing w:after="0"/>
        <w:rPr>
          <w:sz w:val="20"/>
          <w:szCs w:val="20"/>
          <w:color w:val="auto"/>
        </w:rPr>
      </w:pPr>
      <w:r>
        <w:rPr>
          <w:rFonts w:ascii="Arial" w:cs="Arial" w:eastAsia="Arial" w:hAnsi="Arial"/>
          <w:sz w:val="17"/>
          <w:szCs w:val="17"/>
          <w:i w:val="1"/>
          <w:iCs w:val="1"/>
          <w:color w:val="auto"/>
        </w:rPr>
        <w:t>ARTICLE IV — OFFICERS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Enumeration.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Election.</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Qualification.</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Tenure and Removal.</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1" w:name="page392"/>
    <w:bookmarkEnd w:id="39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56" w:lineRule="auto"/>
        <w:rPr>
          <w:sz w:val="20"/>
          <w:szCs w:val="20"/>
          <w:color w:val="auto"/>
        </w:rPr>
      </w:pPr>
      <w:r>
        <w:rPr>
          <w:rFonts w:ascii="Arial" w:cs="Arial" w:eastAsia="Arial" w:hAnsi="Arial"/>
          <w:sz w:val="17"/>
          <w:szCs w:val="17"/>
          <w:color w:val="auto"/>
        </w:rPr>
        <w:t>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Chairman of the Board.</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President.</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Vice Presidents.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Treasurer and Assistant Treasurers.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Secretary and Assistant Secretaries.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Bond.</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4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11. Action with Respect to Securities of Other Corporations.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2" w:name="page393"/>
    <w:bookmarkEnd w:id="39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680"/>
        <w:spacing w:after="0"/>
        <w:rPr>
          <w:sz w:val="20"/>
          <w:szCs w:val="20"/>
          <w:color w:val="auto"/>
        </w:rPr>
      </w:pPr>
      <w:r>
        <w:rPr>
          <w:rFonts w:ascii="Arial" w:cs="Arial" w:eastAsia="Arial" w:hAnsi="Arial"/>
          <w:sz w:val="17"/>
          <w:szCs w:val="17"/>
          <w:i w:val="1"/>
          <w:iCs w:val="1"/>
          <w:color w:val="auto"/>
        </w:rPr>
        <w:t>ARTICLE V — STOCK</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Certificates of Stock.</w:t>
      </w:r>
    </w:p>
    <w:p>
      <w:pPr>
        <w:spacing w:after="0" w:line="105" w:lineRule="exact"/>
        <w:rPr>
          <w:sz w:val="20"/>
          <w:szCs w:val="20"/>
          <w:color w:val="auto"/>
        </w:rPr>
      </w:pPr>
    </w:p>
    <w:p>
      <w:pPr>
        <w:jc w:val="both"/>
        <w:ind w:left="40" w:right="1239" w:firstLine="251"/>
        <w:spacing w:after="0" w:line="307" w:lineRule="auto"/>
        <w:rPr>
          <w:sz w:val="20"/>
          <w:szCs w:val="20"/>
          <w:color w:val="auto"/>
        </w:rPr>
      </w:pPr>
      <w:r>
        <w:rPr>
          <w:rFonts w:ascii="Arial" w:cs="Arial" w:eastAsia="Arial" w:hAnsi="Arial"/>
          <w:sz w:val="15"/>
          <w:szCs w:val="15"/>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Transfers of Stock.</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Record Date.</w:t>
      </w:r>
    </w:p>
    <w:p>
      <w:pPr>
        <w:spacing w:after="0" w:line="105" w:lineRule="exact"/>
        <w:rPr>
          <w:sz w:val="20"/>
          <w:szCs w:val="20"/>
          <w:color w:val="auto"/>
        </w:rPr>
      </w:pPr>
    </w:p>
    <w:p>
      <w:pPr>
        <w:jc w:val="both"/>
        <w:ind w:left="40" w:right="1239" w:firstLine="251"/>
        <w:spacing w:after="0" w:line="264" w:lineRule="auto"/>
        <w:rPr>
          <w:sz w:val="20"/>
          <w:szCs w:val="20"/>
          <w:color w:val="auto"/>
        </w:rPr>
      </w:pPr>
      <w:r>
        <w:rPr>
          <w:rFonts w:ascii="Arial" w:cs="Arial" w:eastAsia="Arial" w:hAnsi="Arial"/>
          <w:sz w:val="16"/>
          <w:szCs w:val="16"/>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77" w:lineRule="exact"/>
        <w:rPr>
          <w:sz w:val="20"/>
          <w:szCs w:val="20"/>
          <w:color w:val="auto"/>
        </w:rPr>
      </w:pPr>
    </w:p>
    <w:p>
      <w:pPr>
        <w:jc w:val="both"/>
        <w:ind w:left="40" w:right="1239" w:firstLine="251"/>
        <w:spacing w:after="0" w:line="335"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Lost, Stolen or Destroyed Certificates.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Regulations.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issue, transfer, conversion and registration of certificates of stock shall be governed by such other regulations as the Board of Directors may establish.</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Interpretation.</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The Board of Directors shall have the power to interpret all of the terms and provisions of these Bylaws, which interpretation shall be conclusive.</w:t>
      </w:r>
    </w:p>
    <w:p>
      <w:pPr>
        <w:spacing w:after="0" w:line="200" w:lineRule="exact"/>
        <w:rPr>
          <w:sz w:val="20"/>
          <w:szCs w:val="20"/>
          <w:color w:val="auto"/>
        </w:rPr>
      </w:pPr>
    </w:p>
    <w:p>
      <w:pPr>
        <w:spacing w:after="0" w:line="28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3" w:name="page394"/>
    <w:bookmarkEnd w:id="39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ARTICLE VI — NOTICES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Notices.</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Waiver of Notice.</w:t>
      </w:r>
    </w:p>
    <w:p>
      <w:pPr>
        <w:spacing w:after="0" w:line="105"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68" w:lineRule="exact"/>
        <w:rPr>
          <w:sz w:val="20"/>
          <w:szCs w:val="20"/>
          <w:color w:val="auto"/>
        </w:rPr>
      </w:pPr>
    </w:p>
    <w:p>
      <w:pPr>
        <w:ind w:left="3160"/>
        <w:spacing w:after="0"/>
        <w:rPr>
          <w:sz w:val="20"/>
          <w:szCs w:val="20"/>
          <w:color w:val="auto"/>
        </w:rPr>
      </w:pPr>
      <w:r>
        <w:rPr>
          <w:rFonts w:ascii="Arial" w:cs="Arial" w:eastAsia="Arial" w:hAnsi="Arial"/>
          <w:sz w:val="17"/>
          <w:szCs w:val="17"/>
          <w:i w:val="1"/>
          <w:iCs w:val="1"/>
          <w:color w:val="auto"/>
        </w:rPr>
        <w:t>ARTICLE VII — INDEMNIFICATION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Actions other than by or in the Right of the Corporation.</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5"/>
          <w:szCs w:val="15"/>
          <w:i w:val="1"/>
          <w:iCs w:val="1"/>
          <w:color w:val="auto"/>
        </w:rPr>
        <w:t>nolo contendere</w:t>
      </w:r>
      <w:r>
        <w:rPr>
          <w:rFonts w:ascii="Arial" w:cs="Arial" w:eastAsia="Arial" w:hAnsi="Arial"/>
          <w:sz w:val="15"/>
          <w:szCs w:val="15"/>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Actions by or in the Right of the Corporation.</w:t>
      </w:r>
    </w:p>
    <w:p>
      <w:pPr>
        <w:spacing w:after="0" w:line="105" w:lineRule="exact"/>
        <w:rPr>
          <w:sz w:val="20"/>
          <w:szCs w:val="20"/>
          <w:color w:val="auto"/>
        </w:rPr>
      </w:pPr>
    </w:p>
    <w:p>
      <w:pPr>
        <w:jc w:val="both"/>
        <w:ind w:left="40" w:right="1239" w:firstLine="251"/>
        <w:spacing w:after="0" w:line="284" w:lineRule="auto"/>
        <w:rPr>
          <w:sz w:val="20"/>
          <w:szCs w:val="20"/>
          <w:color w:val="auto"/>
        </w:rPr>
      </w:pPr>
      <w:r>
        <w:rPr>
          <w:rFonts w:ascii="Arial" w:cs="Arial" w:eastAsia="Arial" w:hAnsi="Arial"/>
          <w:sz w:val="15"/>
          <w:szCs w:val="15"/>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4" w:name="page395"/>
    <w:bookmarkEnd w:id="39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Success on the Merits.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Specific Authorization.</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Advance Payment.</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6. Non-Exclusivity.</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7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7. Insurance.</w:t>
      </w:r>
    </w:p>
    <w:p>
      <w:pPr>
        <w:spacing w:after="0" w:line="105"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8. Continuation of Indemnification and Advancement of Expenses.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9. Severability.</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10. Intent of Article.</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5" w:name="page396"/>
    <w:bookmarkEnd w:id="39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4099" w:firstLine="2621"/>
        <w:spacing w:after="0" w:line="369" w:lineRule="auto"/>
        <w:rPr>
          <w:sz w:val="20"/>
          <w:szCs w:val="20"/>
          <w:color w:val="auto"/>
        </w:rPr>
      </w:pPr>
      <w:r>
        <w:rPr>
          <w:rFonts w:ascii="Arial" w:cs="Arial" w:eastAsia="Arial" w:hAnsi="Arial"/>
          <w:sz w:val="17"/>
          <w:szCs w:val="17"/>
          <w:i w:val="1"/>
          <w:iCs w:val="1"/>
          <w:color w:val="auto"/>
        </w:rPr>
        <w:t>ARTICLE VIII — CERTAIN TRANSACTIONS Section 1. Transactions with Interested Parties.</w:t>
      </w:r>
    </w:p>
    <w:p>
      <w:pPr>
        <w:jc w:val="both"/>
        <w:ind w:left="40" w:right="1239" w:firstLine="251"/>
        <w:spacing w:after="0" w:line="270" w:lineRule="auto"/>
        <w:rPr>
          <w:sz w:val="20"/>
          <w:szCs w:val="20"/>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68" w:lineRule="exact"/>
        <w:rPr>
          <w:sz w:val="20"/>
          <w:szCs w:val="20"/>
          <w:color w:val="auto"/>
        </w:rPr>
      </w:pPr>
    </w:p>
    <w:p>
      <w:pPr>
        <w:jc w:val="both"/>
        <w:ind w:left="300" w:right="1239" w:firstLine="248"/>
        <w:spacing w:after="0" w:line="253" w:lineRule="auto"/>
        <w:tabs>
          <w:tab w:leader="none" w:pos="819"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7" w:lineRule="exact"/>
        <w:rPr>
          <w:rFonts w:ascii="Arial" w:cs="Arial" w:eastAsia="Arial" w:hAnsi="Arial"/>
          <w:sz w:val="17"/>
          <w:szCs w:val="17"/>
          <w:color w:val="auto"/>
        </w:rPr>
      </w:pPr>
    </w:p>
    <w:p>
      <w:pPr>
        <w:jc w:val="both"/>
        <w:ind w:left="300" w:right="1239" w:firstLine="248"/>
        <w:spacing w:after="0" w:line="256" w:lineRule="auto"/>
        <w:tabs>
          <w:tab w:leader="none" w:pos="827"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76" w:lineRule="exact"/>
        <w:rPr>
          <w:rFonts w:ascii="Arial" w:cs="Arial" w:eastAsia="Arial" w:hAnsi="Arial"/>
          <w:sz w:val="17"/>
          <w:szCs w:val="17"/>
          <w:color w:val="auto"/>
        </w:rPr>
      </w:pPr>
    </w:p>
    <w:p>
      <w:pPr>
        <w:ind w:left="300" w:right="1239" w:firstLine="248"/>
        <w:spacing w:after="0" w:line="267" w:lineRule="auto"/>
        <w:tabs>
          <w:tab w:leader="none" w:pos="82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The contract or transaction is fair as to the Corporation as of the time it is authorized, approved or ratified, by the Board of Directors, a committee thereof, or the stockholders.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Quorum.</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Common or interested directors may be counted in determining the presence of a quorum at a meeting of the Board of Directors or of a committee which authorizes the contract or transaction.</w:t>
      </w:r>
    </w:p>
    <w:p>
      <w:pPr>
        <w:spacing w:after="0" w:line="66" w:lineRule="exact"/>
        <w:rPr>
          <w:sz w:val="20"/>
          <w:szCs w:val="20"/>
          <w:color w:val="auto"/>
        </w:rPr>
      </w:pPr>
    </w:p>
    <w:p>
      <w:pPr>
        <w:ind w:left="3260"/>
        <w:spacing w:after="0"/>
        <w:rPr>
          <w:sz w:val="20"/>
          <w:szCs w:val="20"/>
          <w:color w:val="auto"/>
        </w:rPr>
      </w:pPr>
      <w:r>
        <w:rPr>
          <w:rFonts w:ascii="Arial" w:cs="Arial" w:eastAsia="Arial" w:hAnsi="Arial"/>
          <w:sz w:val="17"/>
          <w:szCs w:val="17"/>
          <w:i w:val="1"/>
          <w:iCs w:val="1"/>
          <w:color w:val="auto"/>
        </w:rPr>
        <w:t>ARTICLE IX — MISCELLANEOUS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1. Facsimile Signatures.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2. Corporate Seal.</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3. Reliance upon Books, Reports and Records.</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4. Fiscal Year.</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Except as otherwise determined by the Board of Directors from time to time, the fiscal year of the Corporation shall end on the last day of December of each year.</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Section 5. Time Periods.</w:t>
      </w:r>
    </w:p>
    <w:p>
      <w:pPr>
        <w:spacing w:after="0" w:line="105"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27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6" w:name="page397"/>
    <w:bookmarkEnd w:id="39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i w:val="1"/>
          <w:iCs w:val="1"/>
          <w:color w:val="auto"/>
        </w:rPr>
        <w:t>ARTICLE X — AMENDMENTS</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00" w:lineRule="exact"/>
        <w:rPr>
          <w:sz w:val="20"/>
          <w:szCs w:val="20"/>
          <w:color w:val="auto"/>
        </w:rPr>
      </w:pPr>
    </w:p>
    <w:p>
      <w:pPr>
        <w:spacing w:after="0" w:line="27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7" w:name="page398"/>
    <w:bookmarkEnd w:id="39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Exhibit M</w:t>
      </w:r>
    </w:p>
    <w:p>
      <w:pPr>
        <w:spacing w:after="0" w:line="201"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FORM OF HUDSON BAY LETTER AGREEMENT</w:t>
      </w:r>
    </w:p>
    <w:p>
      <w:pPr>
        <w:spacing w:after="0" w:line="10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Hudson Bay Master Fund Ltd.</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777 Third Avenue, 30 Floor</w:t>
      </w:r>
    </w:p>
    <w:p>
      <w:pPr>
        <w:spacing w:after="0" w:line="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New York, NY 10017</w:t>
      </w:r>
    </w:p>
    <w:p>
      <w:pPr>
        <w:spacing w:after="0" w:line="193"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__________, 2012</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ind w:left="40"/>
        <w:spacing w:after="0" w:line="21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Suite 1414</w:t>
      </w:r>
    </w:p>
    <w:p>
      <w:pPr>
        <w:ind w:left="40"/>
        <w:spacing w:after="0"/>
        <w:rPr>
          <w:sz w:val="20"/>
          <w:szCs w:val="20"/>
          <w:color w:val="auto"/>
        </w:rPr>
      </w:pPr>
      <w:r>
        <w:rPr>
          <w:rFonts w:ascii="Arial" w:cs="Arial" w:eastAsia="Arial" w:hAnsi="Arial"/>
          <w:sz w:val="17"/>
          <w:szCs w:val="17"/>
          <w:color w:val="auto"/>
        </w:rPr>
        <w:t>New York, NY 10001</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Attention: Andrew Perlman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Gentlemen:</w:t>
      </w:r>
    </w:p>
    <w:p>
      <w:pPr>
        <w:spacing w:after="0" w:line="101"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This letter agreement (this “</w:t>
      </w:r>
      <w:r>
        <w:rPr>
          <w:rFonts w:ascii="Arial" w:cs="Arial" w:eastAsia="Arial" w:hAnsi="Arial"/>
          <w:sz w:val="15"/>
          <w:szCs w:val="15"/>
          <w:b w:val="1"/>
          <w:bCs w:val="1"/>
          <w:color w:val="auto"/>
        </w:rPr>
        <w:t>Letter Agreement</w:t>
      </w:r>
      <w:r>
        <w:rPr>
          <w:rFonts w:ascii="Arial" w:cs="Arial" w:eastAsia="Arial" w:hAnsi="Arial"/>
          <w:sz w:val="15"/>
          <w:szCs w:val="15"/>
          <w:color w:val="auto"/>
        </w:rPr>
        <w:t>”) is made with reference to that certain Agreement and Plan of Merger (the “</w:t>
      </w:r>
      <w:r>
        <w:rPr>
          <w:rFonts w:ascii="Arial" w:cs="Arial" w:eastAsia="Arial" w:hAnsi="Arial"/>
          <w:sz w:val="15"/>
          <w:szCs w:val="15"/>
          <w:b w:val="1"/>
          <w:bCs w:val="1"/>
          <w:color w:val="auto"/>
        </w:rPr>
        <w:t>Merger Agreement</w:t>
      </w:r>
      <w:r>
        <w:rPr>
          <w:rFonts w:ascii="Arial" w:cs="Arial" w:eastAsia="Arial" w:hAnsi="Arial"/>
          <w:sz w:val="15"/>
          <w:szCs w:val="15"/>
          <w:color w:val="auto"/>
        </w:rPr>
        <w:t>”), dated as of _____________,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w:t>
      </w:r>
    </w:p>
    <w:p>
      <w:pPr>
        <w:jc w:val="both"/>
        <w:ind w:left="40" w:right="1239"/>
        <w:spacing w:after="0" w:line="249" w:lineRule="auto"/>
        <w:rPr>
          <w:sz w:val="20"/>
          <w:szCs w:val="20"/>
          <w:color w:val="auto"/>
        </w:rPr>
      </w:pPr>
      <w:r>
        <w:rPr>
          <w:rFonts w:ascii="Arial" w:cs="Arial" w:eastAsia="Arial" w:hAnsi="Arial"/>
          <w:sz w:val="17"/>
          <w:szCs w:val="17"/>
          <w:color w:val="auto"/>
        </w:rPr>
        <w:t>Merger Sub, Inc., a Delaware corporation and wholly-owned subsidiary of Parent and Innovate/Protect, Inc, a Delaware corporation. Capitalized terms used and not otherwise defined herein shall have the meanings ascribed to them in the Merger Agreement.</w:t>
      </w:r>
    </w:p>
    <w:p>
      <w:pPr>
        <w:spacing w:after="0" w:line="81" w:lineRule="exact"/>
        <w:rPr>
          <w:sz w:val="20"/>
          <w:szCs w:val="20"/>
          <w:color w:val="auto"/>
        </w:rPr>
      </w:pPr>
    </w:p>
    <w:p>
      <w:pPr>
        <w:jc w:val="both"/>
        <w:ind w:left="260" w:right="1239" w:hanging="250"/>
        <w:spacing w:after="0" w:line="281" w:lineRule="auto"/>
        <w:tabs>
          <w:tab w:leader="none" w:pos="26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In consideration of the premises and the agreements herein and for other consideration, the sufficiency of which is hereby acknowledged, Hudson Bay Master Fund Ltd. (the “</w:t>
      </w:r>
      <w:r>
        <w:rPr>
          <w:rFonts w:ascii="Arial" w:cs="Arial" w:eastAsia="Arial" w:hAnsi="Arial"/>
          <w:sz w:val="15"/>
          <w:szCs w:val="15"/>
          <w:b w:val="1"/>
          <w:bCs w:val="1"/>
          <w:color w:val="auto"/>
        </w:rPr>
        <w:t>Undersigned</w:t>
      </w:r>
      <w:r>
        <w:rPr>
          <w:rFonts w:ascii="Arial" w:cs="Arial" w:eastAsia="Arial" w:hAnsi="Arial"/>
          <w:sz w:val="15"/>
          <w:szCs w:val="15"/>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5"/>
          <w:szCs w:val="15"/>
          <w:b w:val="1"/>
          <w:bCs w:val="1"/>
          <w:color w:val="auto"/>
        </w:rPr>
        <w:t>Excess Discounted Shares</w:t>
      </w:r>
      <w:r>
        <w:rPr>
          <w:rFonts w:ascii="Arial" w:cs="Arial" w:eastAsia="Arial" w:hAnsi="Arial"/>
          <w:sz w:val="15"/>
          <w:szCs w:val="15"/>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5"/>
          <w:szCs w:val="15"/>
          <w:b w:val="1"/>
          <w:bCs w:val="1"/>
          <w:color w:val="auto"/>
        </w:rPr>
        <w:t>Merger Shares</w:t>
      </w:r>
      <w:r>
        <w:rPr>
          <w:rFonts w:ascii="Arial" w:cs="Arial" w:eastAsia="Arial" w:hAnsi="Arial"/>
          <w:sz w:val="15"/>
          <w:szCs w:val="15"/>
          <w:color w:val="auto"/>
        </w:rPr>
        <w:t>” means shares of common stock, $0.01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5"/>
          <w:szCs w:val="15"/>
          <w:b w:val="1"/>
          <w:bCs w:val="1"/>
          <w:color w:val="auto"/>
        </w:rPr>
        <w:t>Preferred Shares</w:t>
      </w:r>
      <w:r>
        <w:rPr>
          <w:rFonts w:ascii="Arial" w:cs="Arial" w:eastAsia="Arial" w:hAnsi="Arial"/>
          <w:sz w:val="15"/>
          <w:szCs w:val="15"/>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5"/>
          <w:szCs w:val="15"/>
          <w:b w:val="1"/>
          <w:bCs w:val="1"/>
          <w:color w:val="auto"/>
        </w:rPr>
        <w:t>Termination Date</w:t>
      </w:r>
      <w:r>
        <w:rPr>
          <w:rFonts w:ascii="Arial" w:cs="Arial" w:eastAsia="Arial" w:hAnsi="Arial"/>
          <w:sz w:val="15"/>
          <w:szCs w:val="15"/>
          <w:color w:val="auto"/>
        </w:rPr>
        <w:t>”).</w:t>
      </w:r>
    </w:p>
    <w:p>
      <w:pPr>
        <w:spacing w:after="0" w:line="7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[Signature Pages to Letter Agreement]</w:t>
      </w: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8" w:name="page399"/>
    <w:bookmarkEnd w:id="39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78" w:lineRule="exact"/>
        <w:rPr>
          <w:sz w:val="20"/>
          <w:szCs w:val="20"/>
          <w:color w:val="auto"/>
        </w:rPr>
      </w:pPr>
    </w:p>
    <w:p>
      <w:pPr>
        <w:jc w:val="both"/>
        <w:ind w:left="40" w:right="1239" w:firstLine="258"/>
        <w:spacing w:after="0" w:line="281" w:lineRule="auto"/>
        <w:tabs>
          <w:tab w:leader="none" w:pos="616" w:val="left"/>
        </w:tabs>
        <w:numPr>
          <w:ilvl w:val="0"/>
          <w:numId w:val="327"/>
        </w:numPr>
        <w:rPr>
          <w:rFonts w:ascii="Arial" w:cs="Arial" w:eastAsia="Arial" w:hAnsi="Arial"/>
          <w:sz w:val="15"/>
          <w:szCs w:val="15"/>
          <w:color w:val="auto"/>
        </w:rPr>
      </w:pPr>
      <w:r>
        <w:rPr>
          <w:rFonts w:ascii="Arial" w:cs="Arial" w:eastAsia="Arial" w:hAnsi="Arial"/>
          <w:sz w:val="15"/>
          <w:szCs w:val="15"/>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5"/>
          <w:szCs w:val="15"/>
          <w:b w:val="1"/>
          <w:bCs w:val="1"/>
          <w:color w:val="auto"/>
        </w:rPr>
        <w:t>Pre-Notice</w:t>
      </w:r>
      <w:r>
        <w:rPr>
          <w:rFonts w:ascii="Arial" w:cs="Arial" w:eastAsia="Arial" w:hAnsi="Arial"/>
          <w:sz w:val="15"/>
          <w:szCs w:val="15"/>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5"/>
          <w:szCs w:val="15"/>
          <w:b w:val="1"/>
          <w:bCs w:val="1"/>
          <w:color w:val="auto"/>
        </w:rPr>
        <w:t>Offer Notice</w:t>
      </w:r>
      <w:r>
        <w:rPr>
          <w:rFonts w:ascii="Arial" w:cs="Arial" w:eastAsia="Arial" w:hAnsi="Arial"/>
          <w:sz w:val="15"/>
          <w:szCs w:val="15"/>
          <w:color w:val="auto"/>
        </w:rPr>
        <w:t>” and the time Parent so contacts the Undersigned, the “</w:t>
      </w:r>
      <w:r>
        <w:rPr>
          <w:rFonts w:ascii="Arial" w:cs="Arial" w:eastAsia="Arial" w:hAnsi="Arial"/>
          <w:sz w:val="15"/>
          <w:szCs w:val="15"/>
          <w:b w:val="1"/>
          <w:bCs w:val="1"/>
          <w:color w:val="auto"/>
        </w:rPr>
        <w:t>Notice Time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the case of an Overnight Offering (as defined below), Parent shall not be required to 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5"/>
          <w:szCs w:val="15"/>
          <w:b w:val="1"/>
          <w:bCs w:val="1"/>
          <w:color w:val="auto"/>
        </w:rPr>
        <w:t>Undersigned’s Contact Persons</w:t>
      </w:r>
      <w:r>
        <w:rPr>
          <w:rFonts w:ascii="Arial" w:cs="Arial" w:eastAsia="Arial" w:hAnsi="Arial"/>
          <w:sz w:val="15"/>
          <w:szCs w:val="15"/>
          <w:color w:val="auto"/>
        </w:rPr>
        <w:t xml:space="preserve">”) by e-mail (all of the following: __________________, __________________, __________________, and __________________), facsimile (__________________), telephone (__________________) and cell phone (__________________ and __________________) to communicate to both the details set forth in the Offer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5"/>
          <w:szCs w:val="15"/>
          <w:b w:val="1"/>
          <w:bCs w:val="1"/>
          <w:color w:val="auto"/>
        </w:rPr>
        <w:t>Offer</w:t>
      </w:r>
      <w:r>
        <w:rPr>
          <w:rFonts w:ascii="Arial" w:cs="Arial" w:eastAsia="Arial" w:hAnsi="Arial"/>
          <w:sz w:val="15"/>
          <w:szCs w:val="15"/>
          <w:color w:val="auto"/>
        </w:rPr>
        <w:t>”) of the securities being offered (the “</w:t>
      </w:r>
      <w:r>
        <w:rPr>
          <w:rFonts w:ascii="Arial" w:cs="Arial" w:eastAsia="Arial" w:hAnsi="Arial"/>
          <w:sz w:val="15"/>
          <w:szCs w:val="15"/>
          <w:b w:val="1"/>
          <w:bCs w:val="1"/>
          <w:color w:val="auto"/>
        </w:rPr>
        <w:t>Offered</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including, the price and other terms upon which they are to be issued, sold or exchanged, and the number or amount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5"/>
          <w:szCs w:val="15"/>
          <w:b w:val="1"/>
          <w:bCs w:val="1"/>
          <w:color w:val="auto"/>
        </w:rPr>
        <w:t>Basic Amount</w:t>
      </w:r>
      <w:r>
        <w:rPr>
          <w:rFonts w:ascii="Arial" w:cs="Arial" w:eastAsia="Arial" w:hAnsi="Arial"/>
          <w:sz w:val="15"/>
          <w:szCs w:val="15"/>
          <w:color w:val="auto"/>
        </w:rPr>
        <w:t>”).</w:t>
      </w:r>
    </w:p>
    <w:p>
      <w:pPr>
        <w:spacing w:after="0" w:line="66" w:lineRule="exact"/>
        <w:rPr>
          <w:rFonts w:ascii="Arial" w:cs="Arial" w:eastAsia="Arial" w:hAnsi="Arial"/>
          <w:sz w:val="15"/>
          <w:szCs w:val="15"/>
          <w:color w:val="auto"/>
        </w:rPr>
      </w:pPr>
    </w:p>
    <w:p>
      <w:pPr>
        <w:jc w:val="both"/>
        <w:ind w:left="40" w:right="1239" w:firstLine="258"/>
        <w:spacing w:after="0" w:line="250" w:lineRule="auto"/>
        <w:tabs>
          <w:tab w:leader="none" w:pos="57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To accept an Offer, in whole or in part, the Undersigned must deliver a written notice to Parent within five (5) hours of the Notice Time (the “</w:t>
      </w:r>
      <w:r>
        <w:rPr>
          <w:rFonts w:ascii="Arial" w:cs="Arial" w:eastAsia="Arial" w:hAnsi="Arial"/>
          <w:sz w:val="17"/>
          <w:szCs w:val="17"/>
          <w:b w:val="1"/>
          <w:bCs w:val="1"/>
          <w:color w:val="auto"/>
        </w:rPr>
        <w:t>Offer Period</w:t>
      </w:r>
      <w:r>
        <w:rPr>
          <w:rFonts w:ascii="Arial" w:cs="Arial" w:eastAsia="Arial" w:hAnsi="Arial"/>
          <w:sz w:val="17"/>
          <w:szCs w:val="17"/>
          <w:color w:val="auto"/>
        </w:rPr>
        <w:t>”), setting forth the portion of the Undersigned’s Basic Amount that the Undersigned elects to purchase (the “</w:t>
      </w:r>
      <w:r>
        <w:rPr>
          <w:rFonts w:ascii="Arial" w:cs="Arial" w:eastAsia="Arial" w:hAnsi="Arial"/>
          <w:sz w:val="17"/>
          <w:szCs w:val="17"/>
          <w:b w:val="1"/>
          <w:bCs w:val="1"/>
          <w:color w:val="auto"/>
        </w:rPr>
        <w:t>Notice of Acceptance</w:t>
      </w:r>
      <w:r>
        <w:rPr>
          <w:rFonts w:ascii="Arial" w:cs="Arial" w:eastAsia="Arial" w:hAnsi="Arial"/>
          <w:sz w:val="17"/>
          <w:szCs w:val="17"/>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81" w:lineRule="exact"/>
        <w:rPr>
          <w:rFonts w:ascii="Arial" w:cs="Arial" w:eastAsia="Arial" w:hAnsi="Arial"/>
          <w:sz w:val="17"/>
          <w:szCs w:val="17"/>
          <w:color w:val="auto"/>
        </w:rPr>
      </w:pPr>
    </w:p>
    <w:p>
      <w:pPr>
        <w:jc w:val="both"/>
        <w:ind w:left="40" w:right="1239" w:firstLine="258"/>
        <w:spacing w:after="0" w:line="285" w:lineRule="auto"/>
        <w:tabs>
          <w:tab w:leader="none" w:pos="577" w:val="left"/>
        </w:tabs>
        <w:numPr>
          <w:ilvl w:val="0"/>
          <w:numId w:val="327"/>
        </w:numPr>
        <w:rPr>
          <w:rFonts w:ascii="Arial" w:cs="Arial" w:eastAsia="Arial" w:hAnsi="Arial"/>
          <w:sz w:val="15"/>
          <w:szCs w:val="15"/>
          <w:color w:val="auto"/>
        </w:rPr>
      </w:pPr>
      <w:r>
        <w:rPr>
          <w:rFonts w:ascii="Arial" w:cs="Arial" w:eastAsia="Arial" w:hAnsi="Arial"/>
          <w:sz w:val="15"/>
          <w:szCs w:val="15"/>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5"/>
          <w:szCs w:val="15"/>
          <w:b w:val="1"/>
          <w:bCs w:val="1"/>
          <w:color w:val="auto"/>
        </w:rPr>
        <w:t>Refused Securities</w:t>
      </w:r>
      <w:r>
        <w:rPr>
          <w:rFonts w:ascii="Arial" w:cs="Arial" w:eastAsia="Arial" w:hAnsi="Arial"/>
          <w:sz w:val="15"/>
          <w:szCs w:val="15"/>
          <w:color w:val="auto"/>
        </w:rPr>
        <w:t>”) pursuant to a definitive agreement (the “</w:t>
      </w:r>
      <w:r>
        <w:rPr>
          <w:rFonts w:ascii="Arial" w:cs="Arial" w:eastAsia="Arial" w:hAnsi="Arial"/>
          <w:sz w:val="15"/>
          <w:szCs w:val="15"/>
          <w:b w:val="1"/>
          <w:bCs w:val="1"/>
          <w:color w:val="auto"/>
        </w:rPr>
        <w:t>Subsequent Placement Agreement</w:t>
      </w:r>
      <w:r>
        <w:rPr>
          <w:rFonts w:ascii="Arial" w:cs="Arial" w:eastAsia="Arial" w:hAnsi="Arial"/>
          <w:sz w:val="15"/>
          <w:szCs w:val="15"/>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5"/>
          <w:szCs w:val="15"/>
          <w:b w:val="1"/>
          <w:bCs w:val="1"/>
          <w:color w:val="auto"/>
        </w:rPr>
        <w:t>SEC</w:t>
      </w:r>
      <w:r>
        <w:rPr>
          <w:rFonts w:ascii="Arial" w:cs="Arial" w:eastAsia="Arial" w:hAnsi="Arial"/>
          <w:sz w:val="15"/>
          <w:szCs w:val="15"/>
          <w:color w:val="auto"/>
        </w:rPr>
        <w:t>”) on a Current Report on Form 8-K with such Subsequent Placement Agreement and any documents contemplated therein filed as exhibits thereto.</w:t>
      </w:r>
    </w:p>
    <w:p>
      <w:pPr>
        <w:spacing w:after="0" w:line="200" w:lineRule="exact"/>
        <w:rPr>
          <w:sz w:val="20"/>
          <w:szCs w:val="20"/>
          <w:color w:val="auto"/>
        </w:rPr>
      </w:pPr>
    </w:p>
    <w:p>
      <w:pPr>
        <w:spacing w:after="0" w:line="27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399" w:name="page400"/>
    <w:bookmarkEnd w:id="39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8"/>
        <w:spacing w:after="0" w:line="265" w:lineRule="auto"/>
        <w:tabs>
          <w:tab w:leader="none" w:pos="587" w:val="left"/>
        </w:tabs>
        <w:numPr>
          <w:ilvl w:val="0"/>
          <w:numId w:val="328"/>
        </w:numPr>
        <w:rPr>
          <w:rFonts w:ascii="Arial" w:cs="Arial" w:eastAsia="Arial" w:hAnsi="Arial"/>
          <w:sz w:val="16"/>
          <w:szCs w:val="16"/>
          <w:color w:val="auto"/>
        </w:rPr>
      </w:pPr>
      <w:r>
        <w:rPr>
          <w:rFonts w:ascii="Arial" w:cs="Arial" w:eastAsia="Arial" w:hAnsi="Arial"/>
          <w:sz w:val="16"/>
          <w:szCs w:val="16"/>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73" w:lineRule="exact"/>
        <w:rPr>
          <w:rFonts w:ascii="Arial" w:cs="Arial" w:eastAsia="Arial" w:hAnsi="Arial"/>
          <w:sz w:val="16"/>
          <w:szCs w:val="16"/>
          <w:color w:val="auto"/>
        </w:rPr>
      </w:pPr>
    </w:p>
    <w:p>
      <w:pPr>
        <w:jc w:val="both"/>
        <w:ind w:left="40" w:right="1239" w:firstLine="258"/>
        <w:spacing w:after="0" w:line="269" w:lineRule="auto"/>
        <w:tabs>
          <w:tab w:leader="none" w:pos="59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65" w:lineRule="exact"/>
        <w:rPr>
          <w:rFonts w:ascii="Arial" w:cs="Arial" w:eastAsia="Arial" w:hAnsi="Arial"/>
          <w:sz w:val="16"/>
          <w:szCs w:val="16"/>
          <w:color w:val="auto"/>
        </w:rPr>
      </w:pPr>
    </w:p>
    <w:p>
      <w:pPr>
        <w:ind w:left="40" w:right="1239" w:firstLine="258"/>
        <w:spacing w:after="0" w:line="335" w:lineRule="auto"/>
        <w:tabs>
          <w:tab w:leader="none" w:pos="570" w:val="left"/>
        </w:tabs>
        <w:numPr>
          <w:ilvl w:val="0"/>
          <w:numId w:val="328"/>
        </w:numPr>
        <w:rPr>
          <w:rFonts w:ascii="Arial" w:cs="Arial" w:eastAsia="Arial" w:hAnsi="Arial"/>
          <w:sz w:val="15"/>
          <w:szCs w:val="15"/>
          <w:color w:val="auto"/>
        </w:rPr>
      </w:pPr>
      <w:r>
        <w:rPr>
          <w:rFonts w:ascii="Arial" w:cs="Arial" w:eastAsia="Arial" w:hAnsi="Arial"/>
          <w:sz w:val="15"/>
          <w:szCs w:val="15"/>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19" w:lineRule="exact"/>
        <w:rPr>
          <w:rFonts w:ascii="Arial" w:cs="Arial" w:eastAsia="Arial" w:hAnsi="Arial"/>
          <w:sz w:val="15"/>
          <w:szCs w:val="15"/>
          <w:color w:val="auto"/>
        </w:rPr>
      </w:pPr>
    </w:p>
    <w:p>
      <w:pPr>
        <w:jc w:val="both"/>
        <w:ind w:left="40" w:right="1239" w:firstLine="258"/>
        <w:spacing w:after="0" w:line="292" w:lineRule="auto"/>
        <w:tabs>
          <w:tab w:leader="none" w:pos="615" w:val="left"/>
        </w:tabs>
        <w:numPr>
          <w:ilvl w:val="0"/>
          <w:numId w:val="328"/>
        </w:numPr>
        <w:rPr>
          <w:rFonts w:ascii="Arial" w:cs="Arial" w:eastAsia="Arial" w:hAnsi="Arial"/>
          <w:sz w:val="15"/>
          <w:szCs w:val="15"/>
          <w:color w:val="auto"/>
        </w:rPr>
      </w:pPr>
      <w:r>
        <w:rPr>
          <w:rFonts w:ascii="Arial" w:cs="Arial" w:eastAsia="Arial" w:hAnsi="Arial"/>
          <w:sz w:val="15"/>
          <w:szCs w:val="15"/>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5"/>
          <w:szCs w:val="15"/>
          <w:b w:val="1"/>
          <w:bCs w:val="1"/>
          <w:color w:val="auto"/>
        </w:rPr>
        <w:t>Subsequent</w:t>
      </w:r>
      <w:r>
        <w:rPr>
          <w:rFonts w:ascii="Arial" w:cs="Arial" w:eastAsia="Arial" w:hAnsi="Arial"/>
          <w:sz w:val="15"/>
          <w:szCs w:val="15"/>
          <w:color w:val="auto"/>
        </w:rPr>
        <w:t xml:space="preserve"> </w:t>
      </w:r>
      <w:r>
        <w:rPr>
          <w:rFonts w:ascii="Arial" w:cs="Arial" w:eastAsia="Arial" w:hAnsi="Arial"/>
          <w:sz w:val="15"/>
          <w:szCs w:val="15"/>
          <w:b w:val="1"/>
          <w:bCs w:val="1"/>
          <w:color w:val="auto"/>
        </w:rPr>
        <w:t>Placement Documents</w:t>
      </w:r>
      <w:r>
        <w:rPr>
          <w:rFonts w:ascii="Arial" w:cs="Arial" w:eastAsia="Arial" w:hAnsi="Arial"/>
          <w:sz w:val="15"/>
          <w:szCs w:val="15"/>
          <w:color w:val="auto"/>
        </w:rPr>
        <w:t>”) shall include any term or provisions whereby the Undersigned shall be required to agree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53" w:lineRule="exact"/>
        <w:rPr>
          <w:rFonts w:ascii="Arial" w:cs="Arial" w:eastAsia="Arial" w:hAnsi="Arial"/>
          <w:sz w:val="15"/>
          <w:szCs w:val="15"/>
          <w:color w:val="auto"/>
        </w:rPr>
      </w:pPr>
    </w:p>
    <w:p>
      <w:pPr>
        <w:jc w:val="both"/>
        <w:ind w:left="40" w:right="1239" w:firstLine="258"/>
        <w:spacing w:after="0" w:line="291" w:lineRule="auto"/>
        <w:tabs>
          <w:tab w:leader="none" w:pos="587" w:val="left"/>
        </w:tabs>
        <w:numPr>
          <w:ilvl w:val="0"/>
          <w:numId w:val="328"/>
        </w:numPr>
        <w:rPr>
          <w:rFonts w:ascii="Arial" w:cs="Arial" w:eastAsia="Arial" w:hAnsi="Arial"/>
          <w:sz w:val="15"/>
          <w:szCs w:val="15"/>
          <w:color w:val="auto"/>
        </w:rPr>
      </w:pPr>
      <w:r>
        <w:rPr>
          <w:rFonts w:ascii="Arial" w:cs="Arial" w:eastAsia="Arial" w:hAnsi="Arial"/>
          <w:sz w:val="15"/>
          <w:szCs w:val="15"/>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w:t>
      </w:r>
    </w:p>
    <w:p>
      <w:pPr>
        <w:spacing w:after="0" w:line="1" w:lineRule="exact"/>
        <w:rPr>
          <w:sz w:val="20"/>
          <w:szCs w:val="20"/>
          <w:color w:val="auto"/>
        </w:rPr>
      </w:pPr>
    </w:p>
    <w:p>
      <w:pPr>
        <w:jc w:val="both"/>
        <w:ind w:left="40" w:right="1239"/>
        <w:spacing w:after="0" w:line="234" w:lineRule="auto"/>
        <w:rPr>
          <w:sz w:val="20"/>
          <w:szCs w:val="20"/>
          <w:color w:val="auto"/>
        </w:rPr>
      </w:pPr>
      <w:r>
        <w:rPr>
          <w:rFonts w:ascii="Arial" w:cs="Arial" w:eastAsia="Arial" w:hAnsi="Arial"/>
          <w:sz w:val="15"/>
          <w:szCs w:val="15"/>
          <w:color w:val="auto"/>
        </w:rPr>
        <w:t>in possession of material non-public information, by (i) the fifteenth (15</w:t>
      </w:r>
      <w:r>
        <w:rPr>
          <w:rFonts w:ascii="Arial" w:cs="Arial" w:eastAsia="Arial" w:hAnsi="Arial"/>
          <w:sz w:val="24"/>
          <w:szCs w:val="24"/>
          <w:color w:val="auto"/>
          <w:vertAlign w:val="superscript"/>
        </w:rPr>
        <w:t>th</w:t>
      </w:r>
      <w:r>
        <w:rPr>
          <w:rFonts w:ascii="Arial" w:cs="Arial" w:eastAsia="Arial" w:hAnsi="Arial"/>
          <w:sz w:val="15"/>
          <w:szCs w:val="15"/>
          <w:color w:val="auto"/>
        </w:rPr>
        <w:t>) Business Day following delivery of the Offer Notice or (ii) in case of an Overnight Offering, by the fortieth (40</w:t>
      </w:r>
      <w:r>
        <w:rPr>
          <w:rFonts w:ascii="Arial" w:cs="Arial" w:eastAsia="Arial" w:hAnsi="Arial"/>
          <w:sz w:val="24"/>
          <w:szCs w:val="24"/>
          <w:color w:val="auto"/>
          <w:vertAlign w:val="superscript"/>
        </w:rPr>
        <w:t>th</w:t>
      </w:r>
      <w:r>
        <w:rPr>
          <w:rFonts w:ascii="Arial" w:cs="Arial" w:eastAsia="Arial" w:hAnsi="Arial"/>
          <w:sz w:val="15"/>
          <w:szCs w:val="15"/>
          <w:color w:val="auto"/>
        </w:rPr>
        <w:t>) hour following delivery of the Offer Notice. If by the fifteenth (15</w:t>
      </w:r>
      <w:r>
        <w:rPr>
          <w:rFonts w:ascii="Arial" w:cs="Arial" w:eastAsia="Arial" w:hAnsi="Arial"/>
          <w:sz w:val="24"/>
          <w:szCs w:val="24"/>
          <w:color w:val="auto"/>
          <w:vertAlign w:val="superscript"/>
        </w:rPr>
        <w:t>th</w:t>
      </w:r>
      <w:r>
        <w:rPr>
          <w:rFonts w:ascii="Arial" w:cs="Arial" w:eastAsia="Arial" w:hAnsi="Arial"/>
          <w:sz w:val="15"/>
          <w:szCs w:val="15"/>
          <w:color w:val="auto"/>
        </w:rPr>
        <w:t>)</w:t>
      </w:r>
    </w:p>
    <w:p>
      <w:pPr>
        <w:jc w:val="both"/>
        <w:ind w:left="40" w:right="1239"/>
        <w:spacing w:after="0" w:line="247" w:lineRule="auto"/>
        <w:rPr>
          <w:sz w:val="20"/>
          <w:szCs w:val="20"/>
          <w:color w:val="auto"/>
        </w:rPr>
      </w:pPr>
      <w:r>
        <w:rPr>
          <w:rFonts w:ascii="Arial" w:cs="Arial" w:eastAsia="Arial" w:hAnsi="Arial"/>
          <w:sz w:val="16"/>
          <w:szCs w:val="16"/>
          <w:color w:val="auto"/>
        </w:rPr>
        <w:t>Business Day or the fortieth (40</w:t>
      </w:r>
      <w:r>
        <w:rPr>
          <w:rFonts w:ascii="Arial" w:cs="Arial" w:eastAsia="Arial" w:hAnsi="Arial"/>
          <w:sz w:val="26"/>
          <w:szCs w:val="26"/>
          <w:color w:val="auto"/>
          <w:vertAlign w:val="superscript"/>
        </w:rPr>
        <w:t>th</w:t>
      </w:r>
      <w:r>
        <w:rPr>
          <w:rFonts w:ascii="Arial" w:cs="Arial" w:eastAsia="Arial" w:hAnsi="Arial"/>
          <w:sz w:val="16"/>
          <w:szCs w:val="16"/>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84" w:lineRule="exact"/>
        <w:rPr>
          <w:sz w:val="20"/>
          <w:szCs w:val="20"/>
          <w:color w:val="auto"/>
        </w:rPr>
      </w:pPr>
    </w:p>
    <w:p>
      <w:pPr>
        <w:ind w:left="580" w:hanging="282"/>
        <w:spacing w:after="0"/>
        <w:tabs>
          <w:tab w:leader="none" w:pos="58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foregoing restrictions shall not apply in connection with the issuance of any Excluded Securities.</w:t>
      </w:r>
    </w:p>
    <w:p>
      <w:pPr>
        <w:spacing w:after="0" w:line="101" w:lineRule="exact"/>
        <w:rPr>
          <w:rFonts w:ascii="Arial" w:cs="Arial" w:eastAsia="Arial" w:hAnsi="Arial"/>
          <w:sz w:val="17"/>
          <w:szCs w:val="17"/>
          <w:color w:val="auto"/>
        </w:rPr>
      </w:pPr>
    </w:p>
    <w:p>
      <w:pPr>
        <w:jc w:val="both"/>
        <w:ind w:left="40" w:right="1239" w:firstLine="258"/>
        <w:spacing w:after="0" w:line="270" w:lineRule="auto"/>
        <w:tabs>
          <w:tab w:leader="none" w:pos="652"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As used herein, (t)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 (u) “</w:t>
      </w:r>
      <w:r>
        <w:rPr>
          <w:rFonts w:ascii="Arial" w:cs="Arial" w:eastAsia="Arial" w:hAnsi="Arial"/>
          <w:sz w:val="16"/>
          <w:szCs w:val="16"/>
          <w:b w:val="1"/>
          <w:bCs w:val="1"/>
          <w:color w:val="auto"/>
        </w:rPr>
        <w:t>Overnight Offering</w:t>
      </w:r>
      <w:r>
        <w:rPr>
          <w:rFonts w:ascii="Arial" w:cs="Arial" w:eastAsia="Arial" w:hAnsi="Arial"/>
          <w:sz w:val="16"/>
          <w:szCs w:val="16"/>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6"/>
          <w:szCs w:val="16"/>
          <w:b w:val="1"/>
          <w:bCs w:val="1"/>
          <w:color w:val="auto"/>
        </w:rPr>
        <w:t>Subsequent Placement</w:t>
      </w:r>
      <w:r>
        <w:rPr>
          <w:rFonts w:ascii="Arial" w:cs="Arial" w:eastAsia="Arial" w:hAnsi="Arial"/>
          <w:sz w:val="16"/>
          <w:szCs w:val="16"/>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w:t>
      </w:r>
    </w:p>
    <w:p>
      <w:pPr>
        <w:spacing w:after="0" w:line="200" w:lineRule="exact"/>
        <w:rPr>
          <w:sz w:val="20"/>
          <w:szCs w:val="20"/>
          <w:color w:val="auto"/>
        </w:rPr>
      </w:pP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0" w:name="page401"/>
    <w:bookmarkEnd w:id="40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2" w:lineRule="auto"/>
        <w:rPr>
          <w:sz w:val="20"/>
          <w:szCs w:val="20"/>
          <w:color w:val="auto"/>
        </w:rPr>
      </w:pPr>
      <w:r>
        <w:rPr>
          <w:rFonts w:ascii="Arial" w:cs="Arial" w:eastAsia="Arial" w:hAnsi="Arial"/>
          <w:sz w:val="15"/>
          <w:szCs w:val="15"/>
          <w:color w:val="auto"/>
        </w:rPr>
        <w:t>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5"/>
          <w:szCs w:val="15"/>
          <w:b w:val="1"/>
          <w:b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color w:val="auto"/>
        </w:rPr>
        <w:t>Stock Equivalents</w:t>
      </w:r>
      <w:r>
        <w:rPr>
          <w:rFonts w:ascii="Arial" w:cs="Arial" w:eastAsia="Arial" w:hAnsi="Arial"/>
          <w:sz w:val="15"/>
          <w:szCs w:val="15"/>
          <w:color w:val="auto"/>
        </w:rPr>
        <w:t>” means, collectively, Options and Convertible Securities; (x) “</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to subscribe for or purchase Common Stock or Convertible Securities; (y) “</w:t>
      </w:r>
      <w:r>
        <w:rPr>
          <w:rFonts w:ascii="Arial" w:cs="Arial" w:eastAsia="Arial" w:hAnsi="Arial"/>
          <w:sz w:val="15"/>
          <w:szCs w:val="15"/>
          <w:b w:val="1"/>
          <w:bCs w:val="1"/>
          <w:color w:val="auto"/>
        </w:rPr>
        <w:t>Convertible Securities</w:t>
      </w:r>
      <w:r>
        <w:rPr>
          <w:rFonts w:ascii="Arial" w:cs="Arial" w:eastAsia="Arial" w:hAnsi="Arial"/>
          <w:sz w:val="15"/>
          <w:szCs w:val="15"/>
          <w:color w:val="auto"/>
        </w:rPr>
        <w:t>” means any stock or securities (other than Options) directly or indirectly convertible into or exchangeable or exercisable for Common Stock; and (z) “</w:t>
      </w:r>
      <w:r>
        <w:rPr>
          <w:rFonts w:ascii="Arial" w:cs="Arial" w:eastAsia="Arial" w:hAnsi="Arial"/>
          <w:sz w:val="15"/>
          <w:szCs w:val="15"/>
          <w:b w:val="1"/>
          <w:bCs w:val="1"/>
          <w:color w:val="auto"/>
        </w:rPr>
        <w:t>Excluded</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means any capital stock issued or issuable: (i) upon conversion of the Preferred Shares; provided that the terms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6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48056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80568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color w:val="auto"/>
        </w:rPr>
        <w:t>Very truly yours,</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HUDSON BAY MASTER FUND LTD.</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 HUDSON BAY CAPITAL MANAGEMENT, L.P., its</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Investment Manager</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3175</wp:posOffset>
            </wp:positionV>
            <wp:extent cx="229933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Title:</w:t>
      </w:r>
    </w:p>
    <w:p>
      <w:pPr>
        <w:spacing w:after="0" w:line="189" w:lineRule="auto"/>
        <w:rPr>
          <w:sz w:val="20"/>
          <w:szCs w:val="20"/>
          <w:color w:val="auto"/>
        </w:rPr>
      </w:pPr>
      <w:r>
        <w:rPr>
          <w:rFonts w:ascii="Arial" w:cs="Arial" w:eastAsia="Arial" w:hAnsi="Arial"/>
          <w:sz w:val="17"/>
          <w:szCs w:val="17"/>
          <w:color w:val="auto"/>
        </w:rPr>
        <w:t>Agreed and Accepted as of this __</w:t>
      </w:r>
      <w:r>
        <w:rPr>
          <w:rFonts w:ascii="Arial" w:cs="Arial" w:eastAsia="Arial" w:hAnsi="Arial"/>
          <w:sz w:val="27"/>
          <w:szCs w:val="27"/>
          <w:color w:val="auto"/>
          <w:vertAlign w:val="superscript"/>
        </w:rPr>
        <w:t>th</w:t>
      </w:r>
    </w:p>
    <w:p>
      <w:pPr>
        <w:spacing w:after="0"/>
        <w:rPr>
          <w:sz w:val="20"/>
          <w:szCs w:val="20"/>
          <w:color w:val="auto"/>
        </w:rPr>
      </w:pPr>
      <w:r>
        <w:rPr>
          <w:rFonts w:ascii="Arial" w:cs="Arial" w:eastAsia="Arial" w:hAnsi="Arial"/>
          <w:sz w:val="17"/>
          <w:szCs w:val="17"/>
          <w:color w:val="auto"/>
        </w:rPr>
        <w:t>day of ______, 2012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3175</wp:posOffset>
            </wp:positionV>
            <wp:extent cx="190944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93"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[Signature Pages to Letter Agreement]</w:t>
      </w: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1" w:name="page402"/>
    <w:bookmarkEnd w:id="40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B</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AMENDMENT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AMENDED AND RESTATED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CERTIFICATE OF INCORPORATION</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 does hereby certify that: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VRINGO, INC.</w:t>
      </w:r>
    </w:p>
    <w:p>
      <w:pPr>
        <w:spacing w:after="0" w:line="105"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on January 9, 2006 and the Amended and Restated Certificate of Incorporation of the Corporation was filed with the Secretary of State of the State of Delaware on June 22, 2010.</w:t>
      </w:r>
    </w:p>
    <w:p>
      <w:pPr>
        <w:spacing w:after="0" w:line="6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acting in accordance with the provisions of Sections 141</w:t>
      </w:r>
      <w:r>
        <w:rPr>
          <w:rFonts w:ascii="Arial" w:cs="Arial" w:eastAsia="Arial" w:hAnsi="Arial"/>
          <w:sz w:val="17"/>
          <w:szCs w:val="17"/>
          <w:b w:val="1"/>
          <w:bCs w:val="1"/>
          <w:color w:val="auto"/>
        </w:rPr>
        <w:t xml:space="preserve"> </w:t>
      </w:r>
      <w:r>
        <w:rPr>
          <w:rFonts w:ascii="Arial" w:cs="Arial" w:eastAsia="Arial" w:hAnsi="Arial"/>
          <w:sz w:val="17"/>
          <w:szCs w:val="17"/>
          <w:color w:val="auto"/>
        </w:rPr>
        <w:t>and 242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adopted resolutions amending the Corporation’s Amended and Restated Certificate of Incorporation as follows:</w:t>
      </w:r>
    </w:p>
    <w:p>
      <w:pPr>
        <w:spacing w:after="0" w:line="73" w:lineRule="exact"/>
        <w:rPr>
          <w:sz w:val="20"/>
          <w:szCs w:val="20"/>
          <w:color w:val="auto"/>
        </w:rPr>
      </w:pPr>
    </w:p>
    <w:p>
      <w:pPr>
        <w:ind w:left="40" w:right="1239" w:firstLine="258"/>
        <w:spacing w:after="0" w:line="267" w:lineRule="auto"/>
        <w:tabs>
          <w:tab w:leader="none" w:pos="525" w:val="left"/>
        </w:tabs>
        <w:numPr>
          <w:ilvl w:val="0"/>
          <w:numId w:val="330"/>
        </w:numPr>
        <w:rPr>
          <w:rFonts w:ascii="Arial" w:cs="Arial" w:eastAsia="Arial" w:hAnsi="Arial"/>
          <w:sz w:val="17"/>
          <w:szCs w:val="17"/>
          <w:b w:val="1"/>
          <w:bCs w:val="1"/>
          <w:color w:val="auto"/>
        </w:rPr>
      </w:pPr>
      <w:r>
        <w:rPr>
          <w:rFonts w:ascii="Arial" w:cs="Arial" w:eastAsia="Arial" w:hAnsi="Arial"/>
          <w:sz w:val="17"/>
          <w:szCs w:val="17"/>
          <w:color w:val="auto"/>
        </w:rPr>
        <w:t>Article Fourth of the Corporation’s Amended and Restated Certificate of Incorporation is hereby amended by adding the following Sections (3):</w:t>
      </w:r>
    </w:p>
    <w:p>
      <w:pPr>
        <w:spacing w:after="0" w:line="66" w:lineRule="exact"/>
        <w:rPr>
          <w:sz w:val="20"/>
          <w:szCs w:val="20"/>
          <w:color w:val="auto"/>
        </w:rPr>
      </w:pPr>
    </w:p>
    <w:p>
      <w:pPr>
        <w:jc w:val="both"/>
        <w:ind w:left="300" w:right="1239" w:firstLine="251"/>
        <w:spacing w:after="0" w:line="282" w:lineRule="auto"/>
        <w:rPr>
          <w:sz w:val="20"/>
          <w:szCs w:val="20"/>
          <w:color w:val="auto"/>
        </w:rPr>
      </w:pPr>
      <w:r>
        <w:rPr>
          <w:rFonts w:ascii="Arial" w:cs="Arial" w:eastAsia="Arial" w:hAnsi="Arial"/>
          <w:sz w:val="15"/>
          <w:szCs w:val="15"/>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5"/>
          <w:szCs w:val="15"/>
          <w:b w:val="1"/>
          <w:bCs w:val="1"/>
          <w:color w:val="auto"/>
        </w:rPr>
        <w:t>Effective Time</w:t>
      </w:r>
      <w:r>
        <w:rPr>
          <w:rFonts w:ascii="Arial" w:cs="Arial" w:eastAsia="Arial" w:hAnsi="Arial"/>
          <w:sz w:val="15"/>
          <w:szCs w:val="15"/>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w:t>
      </w:r>
    </w:p>
    <w:p>
      <w:pPr>
        <w:spacing w:after="0" w:line="1" w:lineRule="exact"/>
        <w:rPr>
          <w:sz w:val="20"/>
          <w:szCs w:val="20"/>
          <w:color w:val="auto"/>
        </w:rPr>
      </w:pPr>
    </w:p>
    <w:p>
      <w:pPr>
        <w:jc w:val="both"/>
        <w:ind w:left="300" w:right="1239"/>
        <w:spacing w:after="0" w:line="291" w:lineRule="auto"/>
        <w:rPr>
          <w:sz w:val="20"/>
          <w:szCs w:val="20"/>
          <w:color w:val="auto"/>
        </w:rPr>
      </w:pPr>
      <w:r>
        <w:rPr>
          <w:rFonts w:ascii="Arial" w:cs="Arial" w:eastAsia="Arial" w:hAnsi="Arial"/>
          <w:sz w:val="15"/>
          <w:szCs w:val="15"/>
          <w:color w:val="auto"/>
        </w:rPr>
        <w:t>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3" w:lineRule="exact"/>
        <w:rPr>
          <w:sz w:val="20"/>
          <w:szCs w:val="20"/>
          <w:color w:val="auto"/>
        </w:rPr>
      </w:pPr>
    </w:p>
    <w:p>
      <w:pPr>
        <w:jc w:val="both"/>
        <w:ind w:left="300" w:right="1239" w:firstLine="248"/>
        <w:spacing w:after="0" w:line="265" w:lineRule="auto"/>
        <w:tabs>
          <w:tab w:leader="none" w:pos="86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70"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Thereafter, pursuant to a resolution of the Board, this Certificate of Amendment was submitted to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for their approval, and was duly adopted in accordance with the provisions of Sections 222 and 242 of the DGCL.</w:t>
      </w:r>
    </w:p>
    <w:p>
      <w:pPr>
        <w:spacing w:after="0" w:line="200" w:lineRule="exact"/>
        <w:rPr>
          <w:sz w:val="20"/>
          <w:szCs w:val="20"/>
          <w:color w:val="auto"/>
        </w:rPr>
      </w:pPr>
    </w:p>
    <w:p>
      <w:pPr>
        <w:spacing w:after="0" w:line="28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2" w:name="page403"/>
    <w:bookmarkEnd w:id="40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9840" w:type="dxa"/>
            <w:vAlign w:val="bottom"/>
            <w:gridSpan w:val="4"/>
          </w:tcPr>
          <w:p>
            <w:pPr>
              <w:ind w:left="1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Corporation has caused this</w:t>
            </w:r>
            <w:r>
              <w:rPr>
                <w:rFonts w:ascii="Arial" w:cs="Arial" w:eastAsia="Arial" w:hAnsi="Arial"/>
                <w:sz w:val="17"/>
                <w:szCs w:val="17"/>
                <w:b w:val="1"/>
                <w:bCs w:val="1"/>
                <w:color w:val="auto"/>
              </w:rPr>
              <w:t xml:space="preserve"> CERTIFICATE OF AMENDMENT </w:t>
            </w:r>
            <w:r>
              <w:rPr>
                <w:rFonts w:ascii="Arial" w:cs="Arial" w:eastAsia="Arial" w:hAnsi="Arial"/>
                <w:sz w:val="17"/>
                <w:szCs w:val="17"/>
                <w:color w:val="auto"/>
              </w:rPr>
              <w:t>to be signed by its</w:t>
            </w:r>
          </w:p>
        </w:tc>
      </w:tr>
      <w:tr>
        <w:trPr>
          <w:trHeight w:val="196"/>
        </w:trPr>
        <w:tc>
          <w:tcPr>
            <w:tcW w:w="160" w:type="dxa"/>
            <w:vAlign w:val="bottom"/>
          </w:tcPr>
          <w:p>
            <w:pPr>
              <w:jc w:val="right"/>
              <w:ind w:right="16"/>
              <w:spacing w:after="0"/>
              <w:rPr>
                <w:sz w:val="20"/>
                <w:szCs w:val="20"/>
                <w:color w:val="auto"/>
              </w:rPr>
            </w:pPr>
            <w:r>
              <w:rPr>
                <w:rFonts w:ascii="Arial" w:cs="Arial" w:eastAsia="Arial" w:hAnsi="Arial"/>
                <w:sz w:val="17"/>
                <w:szCs w:val="17"/>
                <w:color w:val="auto"/>
                <w:w w:val="83"/>
              </w:rPr>
              <w:t>[</w:t>
            </w:r>
          </w:p>
        </w:tc>
        <w:tc>
          <w:tcPr>
            <w:tcW w:w="9840" w:type="dxa"/>
            <w:vAlign w:val="bottom"/>
            <w:gridSpan w:val="4"/>
          </w:tcPr>
          <w:p>
            <w:pPr>
              <w:ind w:left="580"/>
              <w:spacing w:after="0"/>
              <w:rPr>
                <w:sz w:val="20"/>
                <w:szCs w:val="20"/>
                <w:color w:val="auto"/>
              </w:rPr>
            </w:pPr>
            <w:r>
              <w:rPr>
                <w:rFonts w:ascii="Arial" w:cs="Arial" w:eastAsia="Arial" w:hAnsi="Arial"/>
                <w:sz w:val="17"/>
                <w:szCs w:val="17"/>
                <w:color w:val="auto"/>
                <w:w w:val="91"/>
              </w:rPr>
              <w:t>] as of the [  ] day of [], 2012.</w:t>
            </w:r>
          </w:p>
        </w:tc>
      </w:tr>
      <w:tr>
        <w:trPr>
          <w:trHeight w:val="204"/>
        </w:trPr>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900" w:type="dxa"/>
            <w:vAlign w:val="bottom"/>
            <w:gridSpan w:val="3"/>
          </w:tcPr>
          <w:p>
            <w:pPr>
              <w:ind w:left="2940"/>
              <w:spacing w:after="0"/>
              <w:rPr>
                <w:sz w:val="20"/>
                <w:szCs w:val="20"/>
                <w:color w:val="auto"/>
              </w:rPr>
            </w:pPr>
            <w:r>
              <w:rPr>
                <w:rFonts w:ascii="Arial" w:cs="Arial" w:eastAsia="Arial" w:hAnsi="Arial"/>
                <w:sz w:val="17"/>
                <w:szCs w:val="17"/>
                <w:b w:val="1"/>
                <w:bCs w:val="1"/>
                <w:color w:val="auto"/>
              </w:rPr>
              <w:t>VRINGO, INC.</w:t>
            </w:r>
          </w:p>
        </w:tc>
      </w:tr>
      <w:tr>
        <w:trPr>
          <w:trHeight w:val="213"/>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00" w:type="dxa"/>
            <w:vAlign w:val="bottom"/>
            <w:gridSpan w:val="3"/>
          </w:tcPr>
          <w:p>
            <w:pPr>
              <w:ind w:left="2940"/>
              <w:spacing w:after="0"/>
              <w:rPr>
                <w:sz w:val="20"/>
                <w:szCs w:val="20"/>
                <w:color w:val="auto"/>
              </w:rPr>
            </w:pPr>
            <w:r>
              <w:rPr>
                <w:rFonts w:ascii="Arial" w:cs="Arial" w:eastAsia="Arial" w:hAnsi="Arial"/>
                <w:sz w:val="17"/>
                <w:szCs w:val="17"/>
                <w:color w:val="auto"/>
              </w:rPr>
              <w:t>By:</w:t>
            </w:r>
          </w:p>
        </w:tc>
      </w:tr>
      <w:tr>
        <w:trPr>
          <w:trHeight w:val="181"/>
        </w:trPr>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2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Name:</w:t>
            </w:r>
          </w:p>
        </w:tc>
        <w:tc>
          <w:tcPr>
            <w:tcW w:w="2420" w:type="dxa"/>
            <w:vAlign w:val="bottom"/>
          </w:tcPr>
          <w:p>
            <w:pPr>
              <w:spacing w:after="0"/>
              <w:rPr>
                <w:sz w:val="15"/>
                <w:szCs w:val="15"/>
                <w:color w:val="auto"/>
              </w:rPr>
            </w:pPr>
          </w:p>
        </w:tc>
      </w:tr>
      <w:tr>
        <w:trPr>
          <w:trHeight w:val="213"/>
        </w:trPr>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900" w:type="dxa"/>
            <w:vAlign w:val="bottom"/>
            <w:gridSpan w:val="3"/>
          </w:tcPr>
          <w:p>
            <w:pPr>
              <w:ind w:left="3280"/>
              <w:spacing w:after="0"/>
              <w:rPr>
                <w:sz w:val="20"/>
                <w:szCs w:val="20"/>
                <w:color w:val="auto"/>
              </w:rPr>
            </w:pPr>
            <w:r>
              <w:rPr>
                <w:rFonts w:ascii="Arial" w:cs="Arial" w:eastAsia="Arial" w:hAnsi="Arial"/>
                <w:sz w:val="17"/>
                <w:szCs w:val="17"/>
                <w:color w:val="auto"/>
              </w:rPr>
              <w:t>Title:</w:t>
            </w:r>
          </w:p>
        </w:tc>
      </w:tr>
      <w:tr>
        <w:trPr>
          <w:trHeight w:val="714"/>
        </w:trPr>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900" w:type="dxa"/>
            <w:vAlign w:val="bottom"/>
            <w:gridSpan w:val="3"/>
          </w:tcPr>
          <w:p>
            <w:pPr>
              <w:ind w:left="3060"/>
              <w:spacing w:after="0"/>
              <w:rPr>
                <w:sz w:val="20"/>
                <w:szCs w:val="20"/>
                <w:color w:val="auto"/>
              </w:rPr>
            </w:pPr>
            <w:r>
              <w:rPr>
                <w:rFonts w:ascii="Arial" w:cs="Arial" w:eastAsia="Arial" w:hAnsi="Arial"/>
                <w:sz w:val="17"/>
                <w:szCs w:val="17"/>
                <w:color w:val="auto"/>
              </w:rPr>
              <w:t>B-2</w:t>
            </w:r>
          </w:p>
        </w:tc>
      </w:tr>
      <w:tr>
        <w:trPr>
          <w:trHeight w:val="150"/>
        </w:trPr>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80" w:type="dxa"/>
            <w:vAlign w:val="bottom"/>
            <w:tcBorders>
              <w:bottom w:val="single" w:sz="8" w:color="9A9A9A"/>
            </w:tcBorders>
          </w:tcPr>
          <w:p>
            <w:pPr>
              <w:spacing w:after="0"/>
              <w:rPr>
                <w:sz w:val="13"/>
                <w:szCs w:val="13"/>
                <w:color w:val="auto"/>
              </w:rPr>
            </w:pPr>
          </w:p>
        </w:tc>
        <w:tc>
          <w:tcPr>
            <w:tcW w:w="3200" w:type="dxa"/>
            <w:vAlign w:val="bottom"/>
            <w:tcBorders>
              <w:bottom w:val="single" w:sz="8" w:color="9A9A9A"/>
            </w:tcBorders>
          </w:tcPr>
          <w:p>
            <w:pPr>
              <w:spacing w:after="0"/>
              <w:rPr>
                <w:sz w:val="13"/>
                <w:szCs w:val="13"/>
                <w:color w:val="auto"/>
              </w:rPr>
            </w:pPr>
          </w:p>
        </w:tc>
        <w:tc>
          <w:tcPr>
            <w:tcW w:w="2420" w:type="dxa"/>
            <w:vAlign w:val="bottom"/>
            <w:tcBorders>
              <w:bottom w:val="single" w:sz="8" w:color="9A9A9A"/>
            </w:tcBorders>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tcBorders>
              <w:bottom w:val="single" w:sz="8" w:color="EEEEEE"/>
            </w:tcBorders>
          </w:tcPr>
          <w:p>
            <w:pPr>
              <w:spacing w:after="0" w:line="20" w:lineRule="exact"/>
              <w:rPr>
                <w:sz w:val="1"/>
                <w:szCs w:val="1"/>
                <w:color w:val="auto"/>
              </w:rPr>
            </w:pPr>
          </w:p>
        </w:tc>
        <w:tc>
          <w:tcPr>
            <w:tcW w:w="3200" w:type="dxa"/>
            <w:vAlign w:val="bottom"/>
            <w:tcBorders>
              <w:bottom w:val="single" w:sz="8" w:color="EEEEEE"/>
            </w:tcBorders>
          </w:tcPr>
          <w:p>
            <w:pPr>
              <w:spacing w:after="0" w:line="20" w:lineRule="exact"/>
              <w:rPr>
                <w:sz w:val="1"/>
                <w:szCs w:val="1"/>
                <w:color w:val="auto"/>
              </w:rPr>
            </w:pPr>
          </w:p>
        </w:tc>
        <w:tc>
          <w:tcPr>
            <w:tcW w:w="2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-43815</wp:posOffset>
            </wp:positionV>
            <wp:extent cx="33655" cy="571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-43815</wp:posOffset>
            </wp:positionV>
            <wp:extent cx="33655" cy="571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3655" cy="57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-1169035</wp:posOffset>
            </wp:positionV>
            <wp:extent cx="48215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3" w:name="page404"/>
    <w:bookmarkEnd w:id="40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FORM OF CERTIFICATE OF AMENDMENT</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 THE</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AMENDED AND RESTATED</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CERTIFICATE OF INCORPORATION</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OF</w:t>
      </w:r>
    </w:p>
    <w:p>
      <w:pPr>
        <w:spacing w:after="0" w:line="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w:t>
      </w:r>
      <w:r>
        <w:rPr>
          <w:rFonts w:ascii="Arial" w:cs="Arial" w:eastAsia="Arial" w:hAnsi="Arial"/>
          <w:sz w:val="17"/>
          <w:szCs w:val="17"/>
          <w:b w:val="1"/>
          <w:bCs w:val="1"/>
          <w:color w:val="auto"/>
        </w:rPr>
        <w:t xml:space="preserve"> “Corporation”</w:t>
      </w:r>
      <w:r>
        <w:rPr>
          <w:rFonts w:ascii="Arial" w:cs="Arial" w:eastAsia="Arial" w:hAnsi="Arial"/>
          <w:sz w:val="17"/>
          <w:szCs w:val="17"/>
          <w:color w:val="auto"/>
        </w:rPr>
        <w:t>), does hereby certify that: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FIRST: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VRINGO, INC.</w:t>
      </w:r>
    </w:p>
    <w:p>
      <w:pPr>
        <w:spacing w:after="0" w:line="105"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on January 9, 2006 and the Amended and Restated Certificate of Incorporation of the Corporation was filed with the Secretary of State of the State of Delaware on June 22, 2010.</w:t>
      </w:r>
    </w:p>
    <w:p>
      <w:pPr>
        <w:spacing w:after="0" w:line="69"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The Board of Directors of the Corporation (the</w:t>
      </w:r>
      <w:r>
        <w:rPr>
          <w:rFonts w:ascii="Arial" w:cs="Arial" w:eastAsia="Arial" w:hAnsi="Arial"/>
          <w:sz w:val="17"/>
          <w:szCs w:val="17"/>
          <w:b w:val="1"/>
          <w:bCs w:val="1"/>
          <w:color w:val="auto"/>
        </w:rPr>
        <w:t xml:space="preserve"> “Board”</w:t>
      </w:r>
      <w:r>
        <w:rPr>
          <w:rFonts w:ascii="Arial" w:cs="Arial" w:eastAsia="Arial" w:hAnsi="Arial"/>
          <w:sz w:val="17"/>
          <w:szCs w:val="17"/>
          <w:color w:val="auto"/>
        </w:rPr>
        <w:t>), acting in accordance with the provisions of Sections 141</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242 of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adopted resolutions amending the Corporation’s Amended and Restated Certificate of Incorporation as follows:</w:t>
      </w:r>
    </w:p>
    <w:p>
      <w:pPr>
        <w:spacing w:after="0" w:line="73" w:lineRule="exact"/>
        <w:rPr>
          <w:sz w:val="20"/>
          <w:szCs w:val="20"/>
          <w:color w:val="auto"/>
        </w:rPr>
      </w:pPr>
    </w:p>
    <w:p>
      <w:pPr>
        <w:ind w:left="300" w:right="1239" w:firstLine="248"/>
        <w:spacing w:after="0" w:line="267" w:lineRule="auto"/>
        <w:tabs>
          <w:tab w:leader="none" w:pos="762"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The second sentence of Article Fourth of the Corporation’s Amended and Restated Certificate of Incorporation is hereby amended and restated in its entirety to read as follows:</w:t>
      </w:r>
    </w:p>
    <w:p>
      <w:pPr>
        <w:spacing w:after="0" w:line="66" w:lineRule="exact"/>
        <w:rPr>
          <w:sz w:val="20"/>
          <w:szCs w:val="20"/>
          <w:color w:val="auto"/>
        </w:rPr>
      </w:pPr>
    </w:p>
    <w:p>
      <w:pPr>
        <w:jc w:val="both"/>
        <w:ind w:left="540" w:right="1239"/>
        <w:spacing w:after="0" w:line="256" w:lineRule="auto"/>
        <w:rPr>
          <w:sz w:val="20"/>
          <w:szCs w:val="20"/>
          <w:color w:val="auto"/>
        </w:rPr>
      </w:pPr>
      <w:r>
        <w:rPr>
          <w:rFonts w:ascii="Arial" w:cs="Arial" w:eastAsia="Arial" w:hAnsi="Arial"/>
          <w:sz w:val="17"/>
          <w:szCs w:val="17"/>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72" w:lineRule="exact"/>
        <w:rPr>
          <w:sz w:val="20"/>
          <w:szCs w:val="20"/>
          <w:color w:val="auto"/>
        </w:rPr>
      </w:pPr>
    </w:p>
    <w:p>
      <w:pPr>
        <w:jc w:val="both"/>
        <w:ind w:left="40" w:right="1239" w:firstLine="251"/>
        <w:spacing w:after="0" w:line="259"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Thereafter, pursuant to a resolution of the Board, this Certificate of Amendment was submitted to the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Corporation for their approval, and was duly adopted in accordance with the provisions of Sections 222 and 242 of the DGCL.</w:t>
      </w:r>
    </w:p>
    <w:p>
      <w:pPr>
        <w:sectPr>
          <w:pgSz w:w="11900" w:h="16838" w:orient="portrait"/>
          <w:cols w:equalWidth="0" w:num="1">
            <w:col w:w="10099"/>
          </w:cols>
          <w:pgMar w:left="360" w:top="746" w:right="1440" w:bottom="1440" w:gutter="0" w:footer="0" w:header="0"/>
        </w:sectPr>
      </w:pP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Corporation has caused this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to be signed by its</w:t>
      </w:r>
    </w:p>
    <w:p>
      <w:pPr>
        <w:spacing w:after="0" w:line="17" w:lineRule="exact"/>
        <w:rPr>
          <w:sz w:val="20"/>
          <w:szCs w:val="20"/>
          <w:color w:val="auto"/>
        </w:rPr>
      </w:pPr>
    </w:p>
    <w:p>
      <w:pPr>
        <w:sectPr>
          <w:pgSz w:w="11900" w:h="16838" w:orient="portrait"/>
          <w:cols w:equalWidth="0" w:num="4">
            <w:col w:w="2320" w:space="80"/>
            <w:col w:w="2260" w:space="80"/>
            <w:col w:w="2660" w:space="80"/>
            <w:col w:w="2619"/>
          </w:cols>
          <w:pgMar w:left="360" w:top="746" w:right="1440" w:bottom="1440" w:gutter="0" w:footer="0" w:header="0"/>
          <w:type w:val="continuous"/>
        </w:sectPr>
      </w:pPr>
    </w:p>
    <w:p>
      <w:pPr>
        <w:ind w:left="40"/>
        <w:spacing w:after="0"/>
        <w:tabs>
          <w:tab w:leader="none" w:pos="580" w:val="left"/>
          <w:tab w:leader="none" w:pos="1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as of the [</w:t>
      </w:r>
      <w:r>
        <w:rPr>
          <w:sz w:val="20"/>
          <w:szCs w:val="20"/>
          <w:color w:val="auto"/>
        </w:rPr>
        <w:tab/>
      </w:r>
      <w:r>
        <w:rPr>
          <w:rFonts w:ascii="Arial" w:cs="Arial" w:eastAsia="Arial" w:hAnsi="Arial"/>
          <w:sz w:val="16"/>
          <w:szCs w:val="16"/>
          <w:color w:val="auto"/>
        </w:rPr>
        <w:t>]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260985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609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-52705</wp:posOffset>
            </wp:positionV>
            <wp:extent cx="2100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240" w:space="240"/>
            <w:col w:w="7619"/>
          </w:cols>
          <w:pgMar w:left="360" w:top="746" w:right="1440" w:bottom="1440" w:gutter="0" w:footer="0" w:header="0"/>
          <w:type w:val="continuous"/>
        </w:sectPr>
      </w:pPr>
    </w:p>
    <w:p>
      <w:pPr>
        <w:ind w:left="428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type w:val="continuous"/>
        </w:sectPr>
      </w:pPr>
    </w:p>
    <w:bookmarkStart w:id="404" w:name="page405"/>
    <w:bookmarkEnd w:id="40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D</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2012 EMPLOYEE, DIRECTOR AND CONSULTANT EQUITY INCENTIVE PLAN</w:t>
      </w:r>
    </w:p>
    <w:p>
      <w:pPr>
        <w:spacing w:after="0" w:line="109" w:lineRule="exact"/>
        <w:rPr>
          <w:sz w:val="20"/>
          <w:szCs w:val="20"/>
          <w:color w:val="auto"/>
        </w:rPr>
      </w:pPr>
    </w:p>
    <w:p>
      <w:pPr>
        <w:ind w:left="500" w:hanging="202"/>
        <w:spacing w:after="0"/>
        <w:tabs>
          <w:tab w:leader="none" w:pos="500"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Unless otherwise specified or unless the context otherwise requires, the following terms, as used in this Vringo, Inc. 2012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Employee, Director and Consultant Equity Incentive Plan, have the following meanings:</w:t>
      </w:r>
    </w:p>
    <w:p>
      <w:pPr>
        <w:spacing w:after="0" w:line="93"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Administrator</w:t>
      </w:r>
      <w:r>
        <w:rPr>
          <w:rFonts w:ascii="Arial" w:cs="Arial" w:eastAsia="Arial" w:hAnsi="Arial"/>
          <w:sz w:val="17"/>
          <w:szCs w:val="17"/>
          <w:color w:val="auto"/>
        </w:rPr>
        <w:t xml:space="preserve"> means the Board of Directors, unless it has delegated power to act on its behalf to the Committee, in which case the Administrator means the Committee.</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a corporation which, for purposes of Section 424 of the Code, is a parent or subsidiary of the Company, direct or indirect.</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means an agreement between the Company and a Participant delivered pursuant to the Plan and pertaining to a Stock Right, in such form as the Administrator shall approve.</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Board of Directors</w:t>
      </w:r>
      <w:r>
        <w:rPr>
          <w:rFonts w:ascii="Arial" w:cs="Arial" w:eastAsia="Arial" w:hAnsi="Arial"/>
          <w:sz w:val="17"/>
          <w:szCs w:val="17"/>
          <w:color w:val="auto"/>
        </w:rPr>
        <w:t xml:space="preserve"> means the Board of Directors of the Company.</w:t>
      </w:r>
    </w:p>
    <w:p>
      <w:pPr>
        <w:spacing w:after="0" w:line="105" w:lineRule="exact"/>
        <w:rPr>
          <w:sz w:val="20"/>
          <w:szCs w:val="20"/>
          <w:color w:val="auto"/>
        </w:rPr>
      </w:pPr>
    </w:p>
    <w:p>
      <w:pPr>
        <w:jc w:val="both"/>
        <w:ind w:left="300" w:right="1239"/>
        <w:spacing w:after="0" w:line="266" w:lineRule="auto"/>
        <w:rPr>
          <w:sz w:val="20"/>
          <w:szCs w:val="20"/>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means the occurrence of any of the following events:</w:t>
      </w:r>
    </w:p>
    <w:p>
      <w:pPr>
        <w:spacing w:after="0" w:line="105" w:lineRule="exact"/>
        <w:rPr>
          <w:sz w:val="20"/>
          <w:szCs w:val="20"/>
          <w:color w:val="auto"/>
        </w:rPr>
      </w:pPr>
    </w:p>
    <w:p>
      <w:pPr>
        <w:jc w:val="both"/>
        <w:ind w:left="520" w:right="1239" w:hanging="260"/>
        <w:spacing w:after="0" w:line="292" w:lineRule="auto"/>
        <w:tabs>
          <w:tab w:leader="none" w:pos="520" w:val="left"/>
        </w:tabs>
        <w:numPr>
          <w:ilvl w:val="0"/>
          <w:numId w:val="334"/>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Any “Person” (as such term is used in Sections 13(d) and 14(d) of the Exchange Act) becomes the “Beneficial</w:t>
      </w:r>
      <w:r>
        <w:rPr>
          <w:rFonts w:ascii="Arial" w:cs="Arial" w:eastAsia="Arial" w:hAnsi="Arial"/>
          <w:sz w:val="15"/>
          <w:szCs w:val="15"/>
          <w:i w:val="1"/>
          <w:iCs w:val="1"/>
          <w:color w:val="auto"/>
        </w:rPr>
        <w:t xml:space="preserve"> </w:t>
      </w:r>
      <w:r>
        <w:rPr>
          <w:rFonts w:ascii="Arial" w:cs="Arial" w:eastAsia="Arial" w:hAnsi="Arial"/>
          <w:sz w:val="15"/>
          <w:szCs w:val="15"/>
          <w:color w:val="auto"/>
        </w:rPr>
        <w:t>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53" w:lineRule="exact"/>
        <w:rPr>
          <w:rFonts w:ascii="Arial" w:cs="Arial" w:eastAsia="Arial" w:hAnsi="Arial"/>
          <w:sz w:val="15"/>
          <w:szCs w:val="15"/>
          <w:b w:val="1"/>
          <w:bCs w:val="1"/>
          <w:color w:val="auto"/>
        </w:rPr>
      </w:pPr>
    </w:p>
    <w:p>
      <w:pPr>
        <w:jc w:val="both"/>
        <w:ind w:left="520" w:right="1239" w:hanging="260"/>
        <w:spacing w:after="0" w:line="267" w:lineRule="auto"/>
        <w:tabs>
          <w:tab w:leader="none" w:pos="520" w:val="left"/>
        </w:tabs>
        <w:numPr>
          <w:ilvl w:val="0"/>
          <w:numId w:val="33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Merger/Sale of Assets. </w:t>
      </w:r>
      <w:r>
        <w:rPr>
          <w:rFonts w:ascii="Arial" w:cs="Arial" w:eastAsia="Arial" w:hAnsi="Arial"/>
          <w:sz w:val="16"/>
          <w:szCs w:val="16"/>
          <w:color w:val="auto"/>
        </w:rPr>
        <w:t>(A) A merger or consolidation of the Company whether or not approved by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67" w:lineRule="exact"/>
        <w:rPr>
          <w:sz w:val="20"/>
          <w:szCs w:val="20"/>
          <w:color w:val="auto"/>
        </w:rPr>
      </w:pPr>
    </w:p>
    <w:p>
      <w:pPr>
        <w:jc w:val="both"/>
        <w:ind w:left="520" w:right="1239" w:hanging="250"/>
        <w:spacing w:after="0" w:line="286" w:lineRule="auto"/>
        <w:rPr>
          <w:sz w:val="20"/>
          <w:szCs w:val="20"/>
          <w:color w:val="auto"/>
        </w:rPr>
      </w:pPr>
      <w:r>
        <w:rPr>
          <w:rFonts w:ascii="Arial" w:cs="Arial" w:eastAsia="Arial" w:hAnsi="Arial"/>
          <w:sz w:val="15"/>
          <w:szCs w:val="15"/>
          <w:b w:val="1"/>
          <w:bCs w:val="1"/>
          <w:color w:val="auto"/>
        </w:rPr>
        <w:t>(iii)</w:t>
      </w:r>
      <w:r>
        <w:rPr>
          <w:rFonts w:ascii="Arial" w:cs="Arial" w:eastAsia="Arial" w:hAnsi="Arial"/>
          <w:sz w:val="15"/>
          <w:szCs w:val="15"/>
          <w:i w:val="1"/>
          <w:iCs w:val="1"/>
          <w:color w:val="auto"/>
        </w:rPr>
        <w:t>Change in Board Composition.</w:t>
      </w:r>
      <w:r>
        <w:rPr>
          <w:rFonts w:ascii="Arial" w:cs="Arial" w:eastAsia="Arial" w:hAnsi="Arial"/>
          <w:sz w:val="15"/>
          <w:szCs w:val="15"/>
          <w:b w:val="1"/>
          <w:bCs w:val="1"/>
          <w:color w:val="auto"/>
        </w:rPr>
        <w:t xml:space="preserve"> </w:t>
      </w:r>
      <w:r>
        <w:rPr>
          <w:rFonts w:ascii="Arial" w:cs="Arial" w:eastAsia="Arial" w:hAnsi="Arial"/>
          <w:sz w:val="15"/>
          <w:szCs w:val="15"/>
          <w:color w:val="auto"/>
        </w:rPr>
        <w:t>A change in the composition of the Board of Directors, as a result of which fewer than a</w:t>
      </w:r>
      <w:r>
        <w:rPr>
          <w:rFonts w:ascii="Arial" w:cs="Arial" w:eastAsia="Arial" w:hAnsi="Arial"/>
          <w:sz w:val="15"/>
          <w:szCs w:val="15"/>
          <w:b w:val="1"/>
          <w:bCs w:val="1"/>
          <w:color w:val="auto"/>
        </w:rPr>
        <w:t xml:space="preserve"> </w:t>
      </w:r>
      <w:r>
        <w:rPr>
          <w:rFonts w:ascii="Arial" w:cs="Arial" w:eastAsia="Arial" w:hAnsi="Arial"/>
          <w:sz w:val="15"/>
          <w:szCs w:val="15"/>
          <w:color w:val="auto"/>
        </w:rPr>
        <w:t>majority of the directors are Incumbent Directors. “Incumbent Directors” shall mean directors who either (A) are directors of the Company as of the effective date of the Plan, which is the date of its approval by the shareholders of the Company, or</w:t>
      </w:r>
    </w:p>
    <w:p>
      <w:pPr>
        <w:spacing w:after="0" w:line="1" w:lineRule="exact"/>
        <w:rPr>
          <w:sz w:val="20"/>
          <w:szCs w:val="20"/>
          <w:color w:val="auto"/>
        </w:rPr>
      </w:pPr>
    </w:p>
    <w:p>
      <w:pPr>
        <w:ind w:left="520" w:right="1239" w:hanging="9"/>
        <w:spacing w:after="0" w:line="252" w:lineRule="auto"/>
        <w:tabs>
          <w:tab w:leader="none" w:pos="79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are elected, or nominated for election, to the Board of Directors with the affirmative votes of at least a majority of the Incumbent Directors at the time of such election or nomination (but shall not include an</w:t>
      </w:r>
    </w:p>
    <w:p>
      <w:pPr>
        <w:spacing w:after="0" w:line="200" w:lineRule="exact"/>
        <w:rPr>
          <w:sz w:val="20"/>
          <w:szCs w:val="20"/>
          <w:color w:val="auto"/>
        </w:rPr>
      </w:pPr>
    </w:p>
    <w:p>
      <w:pPr>
        <w:spacing w:after="0" w:line="292"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5" w:name="page406"/>
    <w:bookmarkEnd w:id="40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20" w:right="1239"/>
        <w:spacing w:after="0" w:line="267" w:lineRule="auto"/>
        <w:rPr>
          <w:sz w:val="20"/>
          <w:szCs w:val="20"/>
          <w:color w:val="auto"/>
        </w:rPr>
      </w:pPr>
      <w:r>
        <w:rPr>
          <w:rFonts w:ascii="Arial" w:cs="Arial" w:eastAsia="Arial" w:hAnsi="Arial"/>
          <w:sz w:val="17"/>
          <w:szCs w:val="17"/>
          <w:color w:val="auto"/>
        </w:rPr>
        <w:t>individual whose election or nomination is in connection with an actual or threatened proxy contest relating to the election of directors to the Company).</w:t>
      </w:r>
    </w:p>
    <w:p>
      <w:pPr>
        <w:spacing w:after="0" w:line="66" w:lineRule="exact"/>
        <w:rPr>
          <w:sz w:val="20"/>
          <w:szCs w:val="20"/>
          <w:color w:val="auto"/>
        </w:rPr>
      </w:pPr>
    </w:p>
    <w:p>
      <w:pPr>
        <w:ind w:left="520" w:right="1239" w:hanging="260"/>
        <w:spacing w:after="0" w:line="267" w:lineRule="auto"/>
        <w:tabs>
          <w:tab w:leader="none" w:pos="520" w:val="left"/>
        </w:tabs>
        <w:numPr>
          <w:ilvl w:val="0"/>
          <w:numId w:val="336"/>
        </w:numPr>
        <w:rPr>
          <w:rFonts w:ascii="Arial" w:cs="Arial" w:eastAsia="Arial" w:hAnsi="Arial"/>
          <w:sz w:val="17"/>
          <w:szCs w:val="17"/>
          <w:b w:val="1"/>
          <w:bCs w:val="1"/>
          <w:color w:val="auto"/>
        </w:rPr>
      </w:pPr>
      <w:r>
        <w:rPr>
          <w:rFonts w:ascii="Arial" w:cs="Arial" w:eastAsia="Arial" w:hAnsi="Arial"/>
          <w:sz w:val="17"/>
          <w:szCs w:val="17"/>
          <w:color w:val="auto"/>
        </w:rPr>
        <w:t>“Change of Control” shall be interpreted, if applicable, in a manner, and limited to the extent necessary, so that it will not cause adverse tax consequences under Section 409A.</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xml:space="preserve"> means the United States Internal Revenue Code of 1986, as amended including any successor statute, regulation and guidance thereto.</w:t>
      </w:r>
    </w:p>
    <w:p>
      <w:pPr>
        <w:spacing w:after="0" w:line="66" w:lineRule="exact"/>
        <w:rPr>
          <w:sz w:val="20"/>
          <w:szCs w:val="20"/>
          <w:color w:val="auto"/>
        </w:rPr>
      </w:pPr>
    </w:p>
    <w:p>
      <w:pPr>
        <w:jc w:val="both"/>
        <w:ind w:left="300" w:right="1239"/>
        <w:spacing w:after="0" w:line="274" w:lineRule="auto"/>
        <w:rPr>
          <w:sz w:val="20"/>
          <w:szCs w:val="20"/>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xml:space="preserve"> means the committee of the Board of Directors to which the Board of Directors has delegated power to act under or pursuant to the provisions of the Plan.</w:t>
      </w:r>
      <w:r>
        <w:rPr>
          <w:rFonts w:ascii="Arial" w:cs="Arial" w:eastAsia="Arial" w:hAnsi="Arial"/>
          <w:sz w:val="27"/>
          <w:szCs w:val="27"/>
          <w:color w:val="auto"/>
          <w:vertAlign w:val="superscript"/>
        </w:rPr>
        <w:t>(1)</w:t>
      </w:r>
    </w:p>
    <w:p>
      <w:pPr>
        <w:ind w:left="300"/>
        <w:spacing w:after="0"/>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means shares of the Company’s common stock, $0.01 par value per share.</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means Vringo, Inc., a Delaware corporation.</w:t>
      </w:r>
    </w:p>
    <w:p>
      <w:pPr>
        <w:spacing w:after="0" w:line="105"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u w:val="single" w:color="auto"/>
          <w:color w:val="auto"/>
        </w:rPr>
        <w:t>Consultant</w:t>
      </w:r>
      <w:r>
        <w:rPr>
          <w:rFonts w:ascii="Arial" w:cs="Arial" w:eastAsia="Arial" w:hAnsi="Arial"/>
          <w:sz w:val="16"/>
          <w:szCs w:val="16"/>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Disabled</w:t>
      </w:r>
      <w:r>
        <w:rPr>
          <w:rFonts w:ascii="Arial" w:cs="Arial" w:eastAsia="Arial" w:hAnsi="Arial"/>
          <w:sz w:val="17"/>
          <w:szCs w:val="17"/>
          <w:color w:val="auto"/>
        </w:rPr>
        <w:t xml:space="preserve"> means permanent and total disability as defined in Section 22(e)(3) of the Code.</w:t>
      </w:r>
    </w:p>
    <w:p>
      <w:pPr>
        <w:spacing w:after="0" w:line="105" w:lineRule="exact"/>
        <w:rPr>
          <w:sz w:val="20"/>
          <w:szCs w:val="20"/>
          <w:color w:val="auto"/>
        </w:rPr>
      </w:pPr>
    </w:p>
    <w:p>
      <w:pPr>
        <w:jc w:val="both"/>
        <w:ind w:left="300" w:right="1239"/>
        <w:spacing w:after="0" w:line="256"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means the Securities Exchange Act of 1934, as amended.</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a Share of Common Stock means:</w:t>
      </w:r>
    </w:p>
    <w:p>
      <w:pPr>
        <w:spacing w:after="0" w:line="105" w:lineRule="exact"/>
        <w:rPr>
          <w:sz w:val="20"/>
          <w:szCs w:val="20"/>
          <w:color w:val="auto"/>
        </w:rPr>
      </w:pPr>
    </w:p>
    <w:p>
      <w:pPr>
        <w:jc w:val="both"/>
        <w:ind w:left="300" w:right="1239" w:firstLine="248"/>
        <w:spacing w:after="0" w:line="253" w:lineRule="auto"/>
        <w:tabs>
          <w:tab w:leader="none" w:pos="87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77" w:lineRule="exact"/>
        <w:rPr>
          <w:rFonts w:ascii="Arial" w:cs="Arial" w:eastAsia="Arial" w:hAnsi="Arial"/>
          <w:sz w:val="17"/>
          <w:szCs w:val="17"/>
          <w:color w:val="auto"/>
        </w:rPr>
      </w:pPr>
    </w:p>
    <w:p>
      <w:pPr>
        <w:jc w:val="both"/>
        <w:ind w:left="300" w:right="1239" w:firstLine="248"/>
        <w:spacing w:after="0" w:line="292" w:lineRule="auto"/>
        <w:tabs>
          <w:tab w:leader="none" w:pos="859" w:val="left"/>
        </w:tabs>
        <w:numPr>
          <w:ilvl w:val="0"/>
          <w:numId w:val="337"/>
        </w:numPr>
        <w:rPr>
          <w:rFonts w:ascii="Arial" w:cs="Arial" w:eastAsia="Arial" w:hAnsi="Arial"/>
          <w:sz w:val="15"/>
          <w:szCs w:val="15"/>
          <w:color w:val="auto"/>
        </w:rPr>
      </w:pPr>
      <w:r>
        <w:rPr>
          <w:rFonts w:ascii="Arial" w:cs="Arial" w:eastAsia="Arial" w:hAnsi="Arial"/>
          <w:sz w:val="15"/>
          <w:szCs w:val="15"/>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3" w:lineRule="exact"/>
        <w:rPr>
          <w:rFonts w:ascii="Arial" w:cs="Arial" w:eastAsia="Arial" w:hAnsi="Arial"/>
          <w:sz w:val="15"/>
          <w:szCs w:val="15"/>
          <w:color w:val="auto"/>
        </w:rPr>
      </w:pPr>
    </w:p>
    <w:p>
      <w:pPr>
        <w:jc w:val="both"/>
        <w:ind w:left="300" w:right="1239" w:firstLine="248"/>
        <w:spacing w:after="0" w:line="256" w:lineRule="auto"/>
        <w:tabs>
          <w:tab w:leader="none" w:pos="839"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ISO</w:t>
      </w:r>
      <w:r>
        <w:rPr>
          <w:rFonts w:ascii="Arial" w:cs="Arial" w:eastAsia="Arial" w:hAnsi="Arial"/>
          <w:sz w:val="17"/>
          <w:szCs w:val="17"/>
          <w:color w:val="auto"/>
        </w:rPr>
        <w:t xml:space="preserve"> means an option intended to qualify as an incentive stock option under Section 422 of the Code.</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Non-Qualified Option</w:t>
      </w:r>
      <w:r>
        <w:rPr>
          <w:rFonts w:ascii="Arial" w:cs="Arial" w:eastAsia="Arial" w:hAnsi="Arial"/>
          <w:sz w:val="17"/>
          <w:szCs w:val="17"/>
          <w:color w:val="auto"/>
        </w:rPr>
        <w:t xml:space="preserve"> means an option which is not intended to qualify as an ISO.</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Option</w:t>
      </w:r>
      <w:r>
        <w:rPr>
          <w:rFonts w:ascii="Arial" w:cs="Arial" w:eastAsia="Arial" w:hAnsi="Arial"/>
          <w:sz w:val="17"/>
          <w:szCs w:val="17"/>
          <w:color w:val="auto"/>
        </w:rPr>
        <w:t xml:space="preserve"> means an ISO or Non-Qualified Option granted under the Plan.</w:t>
      </w:r>
    </w:p>
    <w:p>
      <w:pPr>
        <w:spacing w:after="0" w:line="105" w:lineRule="exact"/>
        <w:rPr>
          <w:sz w:val="20"/>
          <w:szCs w:val="20"/>
          <w:color w:val="auto"/>
        </w:rPr>
      </w:pPr>
    </w:p>
    <w:p>
      <w:pPr>
        <w:ind w:left="300" w:right="1239"/>
        <w:spacing w:after="0" w:line="335" w:lineRule="auto"/>
        <w:rPr>
          <w:sz w:val="20"/>
          <w:szCs w:val="20"/>
          <w:color w:val="auto"/>
        </w:rPr>
      </w:pP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xml:space="preserve"> means this Vringo, Inc. 2012 Employee, Director and Consultant Equity Incentive Plan.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57277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0" w:right="1239" w:firstLine="7"/>
        <w:spacing w:after="0" w:line="267" w:lineRule="auto"/>
        <w:tabs>
          <w:tab w:leader="none" w:pos="283"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06" w:name="page407"/>
    <w:bookmarkEnd w:id="40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u w:val="single" w:color="auto"/>
          <w:color w:val="auto"/>
        </w:rPr>
        <w:t>Shares</w:t>
      </w:r>
      <w:r>
        <w:rPr>
          <w:rFonts w:ascii="Arial" w:cs="Arial" w:eastAsia="Arial" w:hAnsi="Arial"/>
          <w:sz w:val="17"/>
          <w:szCs w:val="17"/>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78"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Stock-Based Award</w:t>
      </w:r>
      <w:r>
        <w:rPr>
          <w:rFonts w:ascii="Arial" w:cs="Arial" w:eastAsia="Arial" w:hAnsi="Arial"/>
          <w:sz w:val="17"/>
          <w:szCs w:val="17"/>
          <w:color w:val="auto"/>
        </w:rPr>
        <w:t xml:space="preserve"> means a grant by the Company under the Plan of an equity award or an equity based award which is not an Option or a Stock Grant.</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u w:val="single" w:color="auto"/>
          <w:color w:val="auto"/>
        </w:rPr>
        <w:t>Stock Grant</w:t>
      </w:r>
      <w:r>
        <w:rPr>
          <w:rFonts w:ascii="Arial" w:cs="Arial" w:eastAsia="Arial" w:hAnsi="Arial"/>
          <w:sz w:val="17"/>
          <w:szCs w:val="17"/>
          <w:color w:val="auto"/>
        </w:rPr>
        <w:t xml:space="preserve"> means a grant by the Company of Shares under the Plan.</w:t>
      </w:r>
    </w:p>
    <w:p>
      <w:pPr>
        <w:spacing w:after="0" w:line="105"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Stock Right</w:t>
      </w:r>
      <w:r>
        <w:rPr>
          <w:rFonts w:ascii="Arial" w:cs="Arial" w:eastAsia="Arial" w:hAnsi="Arial"/>
          <w:sz w:val="17"/>
          <w:szCs w:val="17"/>
          <w:color w:val="auto"/>
        </w:rPr>
        <w:t xml:space="preserve"> means a right to Shares or the value of Shares of the Company granted pursuant to the Plan — an ISO, a Non-Qualified Option, a Stock Grant or a Stock-Based Award.</w:t>
      </w:r>
    </w:p>
    <w:p>
      <w:pPr>
        <w:spacing w:after="0" w:line="66" w:lineRule="exact"/>
        <w:rPr>
          <w:sz w:val="20"/>
          <w:szCs w:val="20"/>
          <w:color w:val="auto"/>
        </w:rPr>
      </w:pPr>
    </w:p>
    <w:p>
      <w:pPr>
        <w:jc w:val="both"/>
        <w:ind w:left="300" w:right="1239"/>
        <w:spacing w:after="0" w:line="267" w:lineRule="auto"/>
        <w:rPr>
          <w:sz w:val="20"/>
          <w:szCs w:val="20"/>
          <w:color w:val="auto"/>
        </w:rPr>
      </w:pPr>
      <w:r>
        <w:rPr>
          <w:rFonts w:ascii="Arial" w:cs="Arial" w:eastAsia="Arial" w:hAnsi="Arial"/>
          <w:sz w:val="17"/>
          <w:szCs w:val="17"/>
          <w:u w:val="single" w:color="auto"/>
          <w:color w:val="auto"/>
        </w:rPr>
        <w:t>Survivor</w:t>
      </w:r>
      <w:r>
        <w:rPr>
          <w:rFonts w:ascii="Arial" w:cs="Arial" w:eastAsia="Arial" w:hAnsi="Arial"/>
          <w:sz w:val="17"/>
          <w:szCs w:val="17"/>
          <w:color w:val="auto"/>
        </w:rPr>
        <w:t xml:space="preserve"> means a deceased Participant’s legal representatives and/or any person or persons who acquired the Participant’s rights to a Stock Right by will or by the laws of descent and distribution.</w:t>
      </w:r>
    </w:p>
    <w:p>
      <w:pPr>
        <w:spacing w:after="0" w:line="66" w:lineRule="exact"/>
        <w:rPr>
          <w:sz w:val="20"/>
          <w:szCs w:val="20"/>
          <w:color w:val="auto"/>
        </w:rPr>
      </w:pPr>
    </w:p>
    <w:p>
      <w:pPr>
        <w:ind w:left="500" w:hanging="202"/>
        <w:spacing w:after="0"/>
        <w:tabs>
          <w:tab w:leader="none" w:pos="50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p>
    <w:p>
      <w:pPr>
        <w:spacing w:after="0" w:line="105"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62" w:lineRule="exact"/>
        <w:rPr>
          <w:sz w:val="20"/>
          <w:szCs w:val="20"/>
          <w:color w:val="auto"/>
        </w:rPr>
      </w:pPr>
    </w:p>
    <w:p>
      <w:pPr>
        <w:ind w:left="500" w:hanging="202"/>
        <w:spacing w:after="0"/>
        <w:tabs>
          <w:tab w:leader="none" w:pos="50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SHARES SUBJECT TO THE PLAN.</w:t>
      </w:r>
    </w:p>
    <w:p>
      <w:pPr>
        <w:spacing w:after="0" w:line="105" w:lineRule="exact"/>
        <w:rPr>
          <w:rFonts w:ascii="Arial" w:cs="Arial" w:eastAsia="Arial" w:hAnsi="Arial"/>
          <w:sz w:val="17"/>
          <w:szCs w:val="17"/>
          <w:color w:val="auto"/>
        </w:rPr>
      </w:pPr>
    </w:p>
    <w:p>
      <w:pPr>
        <w:jc w:val="both"/>
        <w:ind w:left="300" w:right="1239" w:firstLine="248"/>
        <w:spacing w:after="0" w:line="288" w:lineRule="auto"/>
        <w:tabs>
          <w:tab w:leader="none" w:pos="825" w:val="left"/>
        </w:tabs>
        <w:numPr>
          <w:ilvl w:val="1"/>
          <w:numId w:val="340"/>
        </w:numPr>
        <w:rPr>
          <w:rFonts w:ascii="Arial" w:cs="Arial" w:eastAsia="Arial" w:hAnsi="Arial"/>
          <w:sz w:val="15"/>
          <w:szCs w:val="15"/>
          <w:color w:val="auto"/>
        </w:rPr>
      </w:pPr>
      <w:r>
        <w:rPr>
          <w:rFonts w:ascii="Arial" w:cs="Arial" w:eastAsia="Arial" w:hAnsi="Arial"/>
          <w:sz w:val="15"/>
          <w:szCs w:val="15"/>
          <w:color w:val="auto"/>
        </w:rPr>
        <w:t>The number of Shares which may be issued from time to time pursuant to this Plan shall be the sum of: (i) 15.6 million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3.2 million shares shall be added to the Plan pursuant to subsection (ii).</w:t>
      </w:r>
    </w:p>
    <w:p>
      <w:pPr>
        <w:spacing w:after="0" w:line="54" w:lineRule="exact"/>
        <w:rPr>
          <w:rFonts w:ascii="Arial" w:cs="Arial" w:eastAsia="Arial" w:hAnsi="Arial"/>
          <w:sz w:val="15"/>
          <w:szCs w:val="15"/>
          <w:color w:val="auto"/>
        </w:rPr>
      </w:pPr>
    </w:p>
    <w:p>
      <w:pPr>
        <w:jc w:val="both"/>
        <w:ind w:left="300" w:right="1239" w:firstLine="248"/>
        <w:spacing w:after="0" w:line="285" w:lineRule="auto"/>
        <w:tabs>
          <w:tab w:leader="none" w:pos="842" w:val="left"/>
        </w:tabs>
        <w:numPr>
          <w:ilvl w:val="1"/>
          <w:numId w:val="340"/>
        </w:numPr>
        <w:rPr>
          <w:rFonts w:ascii="Arial" w:cs="Arial" w:eastAsia="Arial" w:hAnsi="Arial"/>
          <w:sz w:val="15"/>
          <w:szCs w:val="15"/>
          <w:color w:val="auto"/>
        </w:rPr>
      </w:pPr>
      <w:r>
        <w:rPr>
          <w:rFonts w:ascii="Arial" w:cs="Arial" w:eastAsia="Arial" w:hAnsi="Arial"/>
          <w:sz w:val="15"/>
          <w:szCs w:val="15"/>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61" w:lineRule="exact"/>
        <w:rPr>
          <w:rFonts w:ascii="Arial" w:cs="Arial" w:eastAsia="Arial" w:hAnsi="Arial"/>
          <w:sz w:val="15"/>
          <w:szCs w:val="15"/>
          <w:color w:val="auto"/>
        </w:rPr>
      </w:pPr>
    </w:p>
    <w:p>
      <w:pPr>
        <w:ind w:left="500" w:hanging="202"/>
        <w:spacing w:after="0"/>
        <w:tabs>
          <w:tab w:leader="none" w:pos="50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6" w:lineRule="exact"/>
        <w:rPr>
          <w:sz w:val="20"/>
          <w:szCs w:val="20"/>
          <w:color w:val="auto"/>
        </w:rPr>
      </w:pPr>
    </w:p>
    <w:p>
      <w:pPr>
        <w:ind w:left="300" w:right="1239" w:firstLine="248"/>
        <w:spacing w:after="0" w:line="267" w:lineRule="auto"/>
        <w:tabs>
          <w:tab w:leader="none" w:pos="87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Interpret the provisions of the Plan and all Stock Rights and to make all rules and determinations which it deems necessary or advisable for the administration of the Plan;</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Determine which Employees, directors and Consultants shall be granted Stock Rights;</w:t>
      </w:r>
    </w:p>
    <w:p>
      <w:pPr>
        <w:spacing w:after="0" w:line="200" w:lineRule="exact"/>
        <w:rPr>
          <w:sz w:val="20"/>
          <w:szCs w:val="20"/>
          <w:color w:val="auto"/>
        </w:rPr>
      </w:pPr>
    </w:p>
    <w:p>
      <w:pPr>
        <w:spacing w:after="0" w:line="31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07" w:name="page408"/>
    <w:bookmarkEnd w:id="40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firstLine="248"/>
        <w:spacing w:after="0" w:line="335" w:lineRule="auto"/>
        <w:tabs>
          <w:tab w:leader="none" w:pos="821" w:val="left"/>
        </w:tabs>
        <w:numPr>
          <w:ilvl w:val="0"/>
          <w:numId w:val="342"/>
        </w:numPr>
        <w:rPr>
          <w:rFonts w:ascii="Arial" w:cs="Arial" w:eastAsia="Arial" w:hAnsi="Arial"/>
          <w:sz w:val="15"/>
          <w:szCs w:val="15"/>
          <w:color w:val="auto"/>
        </w:rPr>
      </w:pPr>
      <w:r>
        <w:rPr>
          <w:rFonts w:ascii="Arial" w:cs="Arial" w:eastAsia="Arial" w:hAnsi="Arial"/>
          <w:sz w:val="15"/>
          <w:szCs w:val="15"/>
          <w:color w:val="auto"/>
        </w:rPr>
        <w:t>Determine the number of Shares for which a Stock Right or Stock Rights shall be granted, provided, however, that in no event shall Stock Rights with respect to more than 4.0 million Shares be granted to any Participant in any fiscal year;</w:t>
      </w:r>
    </w:p>
    <w:p>
      <w:pPr>
        <w:spacing w:after="0" w:line="19" w:lineRule="exact"/>
        <w:rPr>
          <w:rFonts w:ascii="Arial" w:cs="Arial" w:eastAsia="Arial" w:hAnsi="Arial"/>
          <w:sz w:val="15"/>
          <w:szCs w:val="15"/>
          <w:color w:val="auto"/>
        </w:rPr>
      </w:pPr>
    </w:p>
    <w:p>
      <w:pPr>
        <w:ind w:left="820" w:hanging="272"/>
        <w:spacing w:after="0"/>
        <w:tabs>
          <w:tab w:leader="none" w:pos="82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Specify the terms and conditions upon which a Stock Right or Stock Rights may be granted;</w:t>
      </w:r>
    </w:p>
    <w:p>
      <w:pPr>
        <w:spacing w:after="0" w:line="105" w:lineRule="exact"/>
        <w:rPr>
          <w:rFonts w:ascii="Arial" w:cs="Arial" w:eastAsia="Arial" w:hAnsi="Arial"/>
          <w:sz w:val="17"/>
          <w:szCs w:val="17"/>
          <w:color w:val="auto"/>
        </w:rPr>
      </w:pPr>
    </w:p>
    <w:p>
      <w:pPr>
        <w:jc w:val="both"/>
        <w:ind w:left="300" w:right="1239" w:firstLine="248"/>
        <w:spacing w:after="0" w:line="288" w:lineRule="auto"/>
        <w:tabs>
          <w:tab w:leader="none" w:pos="840" w:val="left"/>
        </w:tabs>
        <w:numPr>
          <w:ilvl w:val="0"/>
          <w:numId w:val="342"/>
        </w:numPr>
        <w:rPr>
          <w:rFonts w:ascii="Arial" w:cs="Arial" w:eastAsia="Arial" w:hAnsi="Arial"/>
          <w:sz w:val="15"/>
          <w:szCs w:val="15"/>
          <w:color w:val="auto"/>
        </w:rPr>
      </w:pPr>
      <w:r>
        <w:rPr>
          <w:rFonts w:ascii="Arial" w:cs="Arial" w:eastAsia="Arial" w:hAnsi="Arial"/>
          <w:sz w:val="15"/>
          <w:szCs w:val="15"/>
          <w:color w:val="auto"/>
        </w:rPr>
        <w:t>Amend any term or condition of any outstanding Stock Right, including, without limitation, to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54" w:lineRule="exact"/>
        <w:rPr>
          <w:rFonts w:ascii="Arial" w:cs="Arial" w:eastAsia="Arial" w:hAnsi="Arial"/>
          <w:sz w:val="15"/>
          <w:szCs w:val="15"/>
          <w:color w:val="auto"/>
        </w:rPr>
      </w:pPr>
    </w:p>
    <w:p>
      <w:pPr>
        <w:jc w:val="both"/>
        <w:ind w:left="300" w:right="1239" w:firstLine="248"/>
        <w:spacing w:after="0" w:line="253" w:lineRule="auto"/>
        <w:tabs>
          <w:tab w:leader="none" w:pos="80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78" w:lineRule="exact"/>
        <w:rPr>
          <w:sz w:val="20"/>
          <w:szCs w:val="20"/>
          <w:color w:val="auto"/>
        </w:rPr>
      </w:pPr>
    </w:p>
    <w:p>
      <w:pPr>
        <w:jc w:val="both"/>
        <w:ind w:left="40" w:right="1239"/>
        <w:spacing w:after="0" w:line="290" w:lineRule="auto"/>
        <w:rPr>
          <w:sz w:val="20"/>
          <w:szCs w:val="20"/>
          <w:color w:val="auto"/>
        </w:rPr>
      </w:pPr>
      <w:r>
        <w:rPr>
          <w:rFonts w:ascii="Arial" w:cs="Arial" w:eastAsia="Arial" w:hAnsi="Arial"/>
          <w:sz w:val="15"/>
          <w:szCs w:val="15"/>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3"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53" w:lineRule="exact"/>
        <w:rPr>
          <w:sz w:val="20"/>
          <w:szCs w:val="20"/>
          <w:color w:val="auto"/>
        </w:rPr>
      </w:pPr>
    </w:p>
    <w:p>
      <w:pPr>
        <w:ind w:left="500" w:hanging="202"/>
        <w:spacing w:after="0"/>
        <w:tabs>
          <w:tab w:leader="none" w:pos="50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ELIGIBILITY FOR PARTICIPATION.</w:t>
      </w:r>
    </w:p>
    <w:p>
      <w:pPr>
        <w:spacing w:after="0" w:line="105" w:lineRule="exact"/>
        <w:rPr>
          <w:sz w:val="20"/>
          <w:szCs w:val="20"/>
          <w:color w:val="auto"/>
        </w:rPr>
      </w:pPr>
    </w:p>
    <w:p>
      <w:pPr>
        <w:jc w:val="both"/>
        <w:ind w:left="40" w:right="1239" w:firstLine="251"/>
        <w:spacing w:after="0" w:line="265"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74" w:lineRule="exact"/>
        <w:rPr>
          <w:sz w:val="20"/>
          <w:szCs w:val="20"/>
          <w:color w:val="auto"/>
        </w:rPr>
      </w:pPr>
    </w:p>
    <w:p>
      <w:pPr>
        <w:ind w:left="500" w:hanging="202"/>
        <w:spacing w:after="0"/>
        <w:tabs>
          <w:tab w:leader="none" w:pos="500"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TERMS AND CONDITIONS OF OPTIONS.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w:t>
      </w:r>
    </w:p>
    <w:p>
      <w:pPr>
        <w:spacing w:after="0" w:line="200" w:lineRule="exact"/>
        <w:rPr>
          <w:sz w:val="20"/>
          <w:szCs w:val="20"/>
          <w:color w:val="auto"/>
        </w:rPr>
      </w:pPr>
    </w:p>
    <w:p>
      <w:pPr>
        <w:spacing w:after="0" w:line="291"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08" w:name="page409"/>
    <w:bookmarkEnd w:id="40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subsequent approval by the shareholders of the Company of this Plan or any amendments thereto. The Option Agreements shall be subject to at least the following terms and conditions:</w:t>
      </w:r>
    </w:p>
    <w:p>
      <w:pPr>
        <w:spacing w:after="0" w:line="66" w:lineRule="exact"/>
        <w:rPr>
          <w:sz w:val="20"/>
          <w:szCs w:val="20"/>
          <w:color w:val="auto"/>
        </w:rPr>
      </w:pPr>
    </w:p>
    <w:p>
      <w:pPr>
        <w:jc w:val="both"/>
        <w:ind w:left="300" w:right="1239" w:firstLine="248"/>
        <w:spacing w:after="0" w:line="256" w:lineRule="auto"/>
        <w:tabs>
          <w:tab w:leader="none" w:pos="895"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Non-Qualified Options</w:t>
      </w:r>
      <w:r>
        <w:rPr>
          <w:rFonts w:ascii="Arial" w:cs="Arial" w:eastAsia="Arial" w:hAnsi="Arial"/>
          <w:sz w:val="17"/>
          <w:szCs w:val="17"/>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6" w:lineRule="exact"/>
        <w:rPr>
          <w:rFonts w:ascii="Arial" w:cs="Arial" w:eastAsia="Arial" w:hAnsi="Arial"/>
          <w:sz w:val="17"/>
          <w:szCs w:val="17"/>
          <w:color w:val="auto"/>
        </w:rPr>
      </w:pPr>
    </w:p>
    <w:p>
      <w:pPr>
        <w:jc w:val="both"/>
        <w:ind w:left="540" w:right="1239" w:firstLine="259"/>
        <w:spacing w:after="0" w:line="270" w:lineRule="auto"/>
        <w:tabs>
          <w:tab w:leader="none" w:pos="1069" w:val="left"/>
        </w:tabs>
        <w:numPr>
          <w:ilvl w:val="2"/>
          <w:numId w:val="34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a non-U.S. person as to whom Section 409A of the Code does not apply.</w:t>
      </w:r>
    </w:p>
    <w:p>
      <w:pPr>
        <w:spacing w:after="0" w:line="67" w:lineRule="exact"/>
        <w:rPr>
          <w:rFonts w:ascii="Arial" w:cs="Arial" w:eastAsia="Arial" w:hAnsi="Arial"/>
          <w:sz w:val="16"/>
          <w:szCs w:val="16"/>
          <w:color w:val="auto"/>
        </w:rPr>
      </w:pPr>
    </w:p>
    <w:p>
      <w:pPr>
        <w:ind w:left="1080" w:hanging="281"/>
        <w:spacing w:after="0"/>
        <w:tabs>
          <w:tab w:leader="none" w:pos="1080" w:val="left"/>
        </w:tabs>
        <w:numPr>
          <w:ilvl w:val="2"/>
          <w:numId w:val="345"/>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Each Option Agreement shall state the number of Shares to which it pertains.</w:t>
      </w:r>
    </w:p>
    <w:p>
      <w:pPr>
        <w:spacing w:after="0" w:line="105" w:lineRule="exact"/>
        <w:rPr>
          <w:rFonts w:ascii="Arial" w:cs="Arial" w:eastAsia="Arial" w:hAnsi="Arial"/>
          <w:sz w:val="17"/>
          <w:szCs w:val="17"/>
          <w:color w:val="auto"/>
        </w:rPr>
      </w:pPr>
    </w:p>
    <w:p>
      <w:pPr>
        <w:jc w:val="both"/>
        <w:ind w:left="540" w:right="1239" w:firstLine="259"/>
        <w:spacing w:after="0" w:line="253" w:lineRule="auto"/>
        <w:tabs>
          <w:tab w:leader="none" w:pos="1137" w:val="left"/>
        </w:tabs>
        <w:numPr>
          <w:ilvl w:val="2"/>
          <w:numId w:val="345"/>
        </w:numPr>
        <w:rPr>
          <w:rFonts w:ascii="Arial" w:cs="Arial" w:eastAsia="Arial" w:hAnsi="Arial"/>
          <w:sz w:val="17"/>
          <w:szCs w:val="17"/>
          <w:color w:val="auto"/>
        </w:rPr>
      </w:pPr>
      <w:r>
        <w:rPr>
          <w:rFonts w:ascii="Arial" w:cs="Arial" w:eastAsia="Arial" w:hAnsi="Arial"/>
          <w:sz w:val="17"/>
          <w:szCs w:val="17"/>
          <w:u w:val="single" w:color="auto"/>
          <w:color w:val="auto"/>
        </w:rPr>
        <w:t>Option Periods</w:t>
      </w:r>
      <w:r>
        <w:rPr>
          <w:rFonts w:ascii="Arial" w:cs="Arial" w:eastAsia="Arial" w:hAnsi="Arial"/>
          <w:sz w:val="17"/>
          <w:szCs w:val="17"/>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77" w:lineRule="exact"/>
        <w:rPr>
          <w:rFonts w:ascii="Arial" w:cs="Arial" w:eastAsia="Arial" w:hAnsi="Arial"/>
          <w:sz w:val="17"/>
          <w:szCs w:val="17"/>
          <w:color w:val="auto"/>
        </w:rPr>
      </w:pPr>
    </w:p>
    <w:p>
      <w:pPr>
        <w:jc w:val="both"/>
        <w:ind w:left="540" w:right="1239" w:firstLine="259"/>
        <w:spacing w:after="0" w:line="256" w:lineRule="auto"/>
        <w:tabs>
          <w:tab w:leader="none" w:pos="1178" w:val="left"/>
        </w:tabs>
        <w:numPr>
          <w:ilvl w:val="2"/>
          <w:numId w:val="345"/>
        </w:numPr>
        <w:rPr>
          <w:rFonts w:ascii="Arial" w:cs="Arial" w:eastAsia="Arial" w:hAnsi="Arial"/>
          <w:sz w:val="17"/>
          <w:szCs w:val="17"/>
          <w:color w:val="auto"/>
        </w:rPr>
      </w:pPr>
      <w:r>
        <w:rPr>
          <w:rFonts w:ascii="Arial" w:cs="Arial" w:eastAsia="Arial" w:hAnsi="Arial"/>
          <w:sz w:val="17"/>
          <w:szCs w:val="17"/>
          <w:u w:val="single" w:color="auto"/>
          <w:color w:val="auto"/>
        </w:rPr>
        <w:t>Option Conditions</w:t>
      </w:r>
      <w:r>
        <w:rPr>
          <w:rFonts w:ascii="Arial" w:cs="Arial" w:eastAsia="Arial" w:hAnsi="Arial"/>
          <w:sz w:val="17"/>
          <w:szCs w:val="17"/>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6" w:lineRule="exact"/>
        <w:rPr>
          <w:rFonts w:ascii="Arial" w:cs="Arial" w:eastAsia="Arial" w:hAnsi="Arial"/>
          <w:sz w:val="17"/>
          <w:szCs w:val="17"/>
          <w:color w:val="auto"/>
        </w:rPr>
      </w:pPr>
    </w:p>
    <w:p>
      <w:pPr>
        <w:ind w:left="1020" w:hanging="259"/>
        <w:spacing w:after="0"/>
        <w:tabs>
          <w:tab w:leader="none" w:pos="10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Participant’s or the Participant’s Survivors’ right to sell or transfer the Shares may be restricted; and</w:t>
      </w:r>
    </w:p>
    <w:p>
      <w:pPr>
        <w:spacing w:after="0" w:line="105" w:lineRule="exact"/>
        <w:rPr>
          <w:rFonts w:ascii="Arial" w:cs="Arial" w:eastAsia="Arial" w:hAnsi="Arial"/>
          <w:sz w:val="17"/>
          <w:szCs w:val="17"/>
          <w:color w:val="auto"/>
        </w:rPr>
      </w:pPr>
    </w:p>
    <w:p>
      <w:pPr>
        <w:ind w:left="1020" w:right="1239" w:hanging="259"/>
        <w:spacing w:after="0" w:line="267" w:lineRule="auto"/>
        <w:tabs>
          <w:tab w:leader="none" w:pos="10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Participant or the Participant’s Survivors may be required to execute letters of investment intent and must also acknowledge that the Shares will bear legends noting any applicable restrictions.</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081" w:val="left"/>
        </w:tabs>
        <w:numPr>
          <w:ilvl w:val="2"/>
          <w:numId w:val="346"/>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Each Option shall terminate not more than ten years from the date of the grant or at such earlier time as the Option Agreement may provide.</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41"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ISOs</w:t>
      </w:r>
      <w:r>
        <w:rPr>
          <w:rFonts w:ascii="Arial" w:cs="Arial" w:eastAsia="Arial" w:hAnsi="Arial"/>
          <w:sz w:val="17"/>
          <w:szCs w:val="17"/>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77" w:lineRule="exact"/>
        <w:rPr>
          <w:rFonts w:ascii="Arial" w:cs="Arial" w:eastAsia="Arial" w:hAnsi="Arial"/>
          <w:sz w:val="17"/>
          <w:szCs w:val="17"/>
          <w:color w:val="auto"/>
        </w:rPr>
      </w:pPr>
    </w:p>
    <w:p>
      <w:pPr>
        <w:ind w:left="540" w:right="1239" w:firstLine="259"/>
        <w:spacing w:after="0" w:line="267" w:lineRule="auto"/>
        <w:tabs>
          <w:tab w:leader="none" w:pos="1032" w:val="left"/>
        </w:tabs>
        <w:numPr>
          <w:ilvl w:val="2"/>
          <w:numId w:val="347"/>
        </w:numPr>
        <w:rPr>
          <w:rFonts w:ascii="Arial" w:cs="Arial" w:eastAsia="Arial" w:hAnsi="Arial"/>
          <w:sz w:val="17"/>
          <w:szCs w:val="17"/>
          <w:color w:val="auto"/>
        </w:rPr>
      </w:pPr>
      <w:r>
        <w:rPr>
          <w:rFonts w:ascii="Arial" w:cs="Arial" w:eastAsia="Arial" w:hAnsi="Arial"/>
          <w:sz w:val="17"/>
          <w:szCs w:val="17"/>
          <w:u w:val="single" w:color="auto"/>
          <w:color w:val="auto"/>
        </w:rPr>
        <w:t>Minimum standards</w:t>
      </w:r>
      <w:r>
        <w:rPr>
          <w:rFonts w:ascii="Arial" w:cs="Arial" w:eastAsia="Arial" w:hAnsi="Arial"/>
          <w:sz w:val="17"/>
          <w:szCs w:val="17"/>
          <w:color w:val="auto"/>
        </w:rPr>
        <w:t>: The ISO shall meet the minimum standards required of Non-Qualified Options, as described in Paragraph 6(a) above, except clause (i) and (v) thereunder.</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141" w:val="left"/>
        </w:tabs>
        <w:numPr>
          <w:ilvl w:val="2"/>
          <w:numId w:val="347"/>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Immediately before the ISO is granted, if the Participant owns, directly or by reason of the applicable attribution rules in Section 424(d) of the Code:</w:t>
      </w:r>
    </w:p>
    <w:p>
      <w:pPr>
        <w:spacing w:after="0" w:line="6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u w:val="single" w:color="auto"/>
          <w:color w:val="auto"/>
        </w:rPr>
        <w:t>or less</w:t>
      </w:r>
      <w:r>
        <w:rPr>
          <w:rFonts w:ascii="Arial" w:cs="Arial" w:eastAsia="Arial" w:hAnsi="Arial"/>
          <w:sz w:val="17"/>
          <w:szCs w:val="17"/>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09" w:name="page410"/>
    <w:bookmarkEnd w:id="40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1140" w:hanging="341"/>
        <w:spacing w:after="0"/>
        <w:tabs>
          <w:tab w:leader="none" w:pos="1140" w:val="left"/>
        </w:tabs>
        <w:numPr>
          <w:ilvl w:val="2"/>
          <w:numId w:val="348"/>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For Participants who own:</w:t>
      </w:r>
    </w:p>
    <w:p>
      <w:pPr>
        <w:spacing w:after="0" w:line="105"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 xml:space="preserve">10% </w:t>
      </w:r>
      <w:r>
        <w:rPr>
          <w:rFonts w:ascii="Arial" w:cs="Arial" w:eastAsia="Arial" w:hAnsi="Arial"/>
          <w:sz w:val="17"/>
          <w:szCs w:val="17"/>
          <w:u w:val="single" w:color="auto"/>
          <w:color w:val="auto"/>
        </w:rPr>
        <w:t>or less</w:t>
      </w:r>
      <w:r>
        <w:rPr>
          <w:rFonts w:ascii="Arial" w:cs="Arial" w:eastAsia="Arial" w:hAnsi="Arial"/>
          <w:sz w:val="17"/>
          <w:szCs w:val="17"/>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6" w:lineRule="exact"/>
        <w:rPr>
          <w:rFonts w:ascii="Arial" w:cs="Arial" w:eastAsia="Arial" w:hAnsi="Arial"/>
          <w:sz w:val="17"/>
          <w:szCs w:val="17"/>
          <w:color w:val="auto"/>
        </w:rPr>
      </w:pPr>
    </w:p>
    <w:p>
      <w:pPr>
        <w:jc w:val="both"/>
        <w:ind w:left="1020" w:right="1239" w:hanging="259"/>
        <w:spacing w:after="0" w:line="256" w:lineRule="auto"/>
        <w:tabs>
          <w:tab w:leader="none" w:pos="10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6" w:lineRule="exact"/>
        <w:rPr>
          <w:rFonts w:ascii="Arial" w:cs="Arial" w:eastAsia="Arial" w:hAnsi="Arial"/>
          <w:sz w:val="17"/>
          <w:szCs w:val="17"/>
          <w:color w:val="auto"/>
        </w:rPr>
      </w:pPr>
    </w:p>
    <w:p>
      <w:pPr>
        <w:jc w:val="both"/>
        <w:ind w:left="540" w:right="1239" w:firstLine="259"/>
        <w:spacing w:after="0" w:line="253" w:lineRule="auto"/>
        <w:tabs>
          <w:tab w:leader="none" w:pos="1153" w:val="left"/>
        </w:tabs>
        <w:numPr>
          <w:ilvl w:val="2"/>
          <w:numId w:val="349"/>
        </w:numPr>
        <w:rPr>
          <w:rFonts w:ascii="Arial" w:cs="Arial" w:eastAsia="Arial" w:hAnsi="Arial"/>
          <w:sz w:val="17"/>
          <w:szCs w:val="17"/>
          <w:color w:val="auto"/>
        </w:rPr>
      </w:pPr>
      <w:r>
        <w:rPr>
          <w:rFonts w:ascii="Arial" w:cs="Arial" w:eastAsia="Arial" w:hAnsi="Arial"/>
          <w:sz w:val="17"/>
          <w:szCs w:val="17"/>
          <w:u w:val="single" w:color="auto"/>
          <w:color w:val="auto"/>
        </w:rPr>
        <w:t>Limitation on Yearly Exercise</w:t>
      </w:r>
      <w:r>
        <w:rPr>
          <w:rFonts w:ascii="Arial" w:cs="Arial" w:eastAsia="Arial" w:hAnsi="Arial"/>
          <w:sz w:val="17"/>
          <w:szCs w:val="17"/>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77" w:lineRule="exact"/>
        <w:rPr>
          <w:rFonts w:ascii="Arial" w:cs="Arial" w:eastAsia="Arial" w:hAnsi="Arial"/>
          <w:sz w:val="17"/>
          <w:szCs w:val="17"/>
          <w:color w:val="auto"/>
        </w:rPr>
      </w:pPr>
    </w:p>
    <w:p>
      <w:pPr>
        <w:ind w:left="500" w:hanging="202"/>
        <w:spacing w:after="0"/>
        <w:tabs>
          <w:tab w:leader="none" w:pos="50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TERMS AND CONDITIONS OF STOCK GRANTS.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78" w:lineRule="exact"/>
        <w:rPr>
          <w:sz w:val="20"/>
          <w:szCs w:val="20"/>
          <w:color w:val="auto"/>
        </w:rPr>
      </w:pPr>
    </w:p>
    <w:p>
      <w:pPr>
        <w:jc w:val="both"/>
        <w:ind w:left="300" w:right="1239" w:firstLine="248"/>
        <w:spacing w:after="0" w:line="280" w:lineRule="auto"/>
        <w:tabs>
          <w:tab w:leader="none" w:pos="861" w:val="left"/>
        </w:tabs>
        <w:numPr>
          <w:ilvl w:val="1"/>
          <w:numId w:val="351"/>
        </w:numPr>
        <w:rPr>
          <w:rFonts w:ascii="Arial" w:cs="Arial" w:eastAsia="Arial" w:hAnsi="Arial"/>
          <w:sz w:val="16"/>
          <w:szCs w:val="16"/>
          <w:color w:val="auto"/>
        </w:rPr>
      </w:pPr>
      <w:r>
        <w:rPr>
          <w:rFonts w:ascii="Arial" w:cs="Arial" w:eastAsia="Arial" w:hAnsi="Arial"/>
          <w:sz w:val="16"/>
          <w:szCs w:val="16"/>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57" w:lineRule="exact"/>
        <w:rPr>
          <w:rFonts w:ascii="Arial" w:cs="Arial" w:eastAsia="Arial" w:hAnsi="Arial"/>
          <w:sz w:val="16"/>
          <w:szCs w:val="16"/>
          <w:color w:val="auto"/>
        </w:rPr>
      </w:pPr>
    </w:p>
    <w:p>
      <w:pPr>
        <w:ind w:left="820" w:hanging="272"/>
        <w:spacing w:after="0"/>
        <w:tabs>
          <w:tab w:leader="none" w:pos="820" w:val="left"/>
        </w:tabs>
        <w:numPr>
          <w:ilvl w:val="1"/>
          <w:numId w:val="351"/>
        </w:numPr>
        <w:rPr>
          <w:rFonts w:ascii="Arial" w:cs="Arial" w:eastAsia="Arial" w:hAnsi="Arial"/>
          <w:sz w:val="17"/>
          <w:szCs w:val="17"/>
          <w:color w:val="auto"/>
        </w:rPr>
      </w:pPr>
      <w:r>
        <w:rPr>
          <w:rFonts w:ascii="Arial" w:cs="Arial" w:eastAsia="Arial" w:hAnsi="Arial"/>
          <w:sz w:val="17"/>
          <w:szCs w:val="17"/>
          <w:color w:val="auto"/>
        </w:rPr>
        <w:t>Each Agreement shall state the number of Shares to which the Stock Grant pertains; and</w:t>
      </w:r>
    </w:p>
    <w:p>
      <w:pPr>
        <w:spacing w:after="0" w:line="105" w:lineRule="exact"/>
        <w:rPr>
          <w:rFonts w:ascii="Arial" w:cs="Arial" w:eastAsia="Arial" w:hAnsi="Arial"/>
          <w:sz w:val="17"/>
          <w:szCs w:val="17"/>
          <w:color w:val="auto"/>
        </w:rPr>
      </w:pPr>
    </w:p>
    <w:p>
      <w:pPr>
        <w:ind w:left="300" w:right="1239" w:firstLine="248"/>
        <w:spacing w:after="0" w:line="335" w:lineRule="auto"/>
        <w:tabs>
          <w:tab w:leader="none" w:pos="842" w:val="left"/>
        </w:tabs>
        <w:numPr>
          <w:ilvl w:val="1"/>
          <w:numId w:val="351"/>
        </w:numPr>
        <w:rPr>
          <w:rFonts w:ascii="Arial" w:cs="Arial" w:eastAsia="Arial" w:hAnsi="Arial"/>
          <w:sz w:val="15"/>
          <w:szCs w:val="15"/>
          <w:color w:val="auto"/>
        </w:rPr>
      </w:pPr>
      <w:r>
        <w:rPr>
          <w:rFonts w:ascii="Arial" w:cs="Arial" w:eastAsia="Arial" w:hAnsi="Arial"/>
          <w:sz w:val="15"/>
          <w:szCs w:val="15"/>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9" w:lineRule="exact"/>
        <w:rPr>
          <w:rFonts w:ascii="Arial" w:cs="Arial" w:eastAsia="Arial" w:hAnsi="Arial"/>
          <w:sz w:val="15"/>
          <w:szCs w:val="15"/>
          <w:color w:val="auto"/>
        </w:rPr>
      </w:pPr>
    </w:p>
    <w:p>
      <w:pPr>
        <w:ind w:left="500" w:hanging="202"/>
        <w:spacing w:after="0"/>
        <w:tabs>
          <w:tab w:leader="none" w:pos="500"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TERMS AND CONDITIONS OF OTHER STOCK-BASED AWARDS.</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3" w:lineRule="exact"/>
        <w:rPr>
          <w:sz w:val="20"/>
          <w:szCs w:val="20"/>
          <w:color w:val="auto"/>
        </w:rPr>
      </w:pPr>
    </w:p>
    <w:p>
      <w:pPr>
        <w:jc w:val="both"/>
        <w:ind w:left="40" w:right="1239" w:firstLine="251"/>
        <w:spacing w:after="0" w:line="270" w:lineRule="auto"/>
        <w:rPr>
          <w:sz w:val="20"/>
          <w:szCs w:val="20"/>
          <w:color w:val="auto"/>
        </w:rPr>
      </w:pPr>
      <w:r>
        <w:rPr>
          <w:rFonts w:ascii="Arial" w:cs="Arial" w:eastAsia="Arial" w:hAnsi="Arial"/>
          <w:sz w:val="16"/>
          <w:szCs w:val="16"/>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8" w:lineRule="exact"/>
        <w:rPr>
          <w:sz w:val="20"/>
          <w:szCs w:val="20"/>
          <w:color w:val="auto"/>
        </w:rPr>
      </w:pPr>
    </w:p>
    <w:p>
      <w:pPr>
        <w:ind w:left="500" w:hanging="202"/>
        <w:spacing w:after="0"/>
        <w:tabs>
          <w:tab w:leader="none" w:pos="50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EXERCISE OF OPTIONS AND ISSUE OF SHARES.</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w:t>
      </w:r>
    </w:p>
    <w:p>
      <w:pPr>
        <w:spacing w:after="0" w:line="200" w:lineRule="exact"/>
        <w:rPr>
          <w:sz w:val="20"/>
          <w:szCs w:val="20"/>
          <w:color w:val="auto"/>
        </w:rPr>
      </w:pPr>
    </w:p>
    <w:p>
      <w:pPr>
        <w:spacing w:after="0" w:line="29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0" w:name="page411"/>
    <w:bookmarkEnd w:id="41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4" w:lineRule="auto"/>
        <w:rPr>
          <w:sz w:val="20"/>
          <w:szCs w:val="20"/>
          <w:color w:val="auto"/>
        </w:rPr>
      </w:pPr>
      <w:r>
        <w:rPr>
          <w:rFonts w:ascii="Arial" w:cs="Arial" w:eastAsia="Arial" w:hAnsi="Arial"/>
          <w:sz w:val="16"/>
          <w:szCs w:val="16"/>
          <w:color w:val="auto"/>
        </w:rPr>
        <w:t>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7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53" w:lineRule="exact"/>
        <w:rPr>
          <w:sz w:val="20"/>
          <w:szCs w:val="20"/>
          <w:color w:val="auto"/>
        </w:rPr>
      </w:pPr>
    </w:p>
    <w:p>
      <w:pPr>
        <w:ind w:left="40" w:right="1239" w:firstLine="258"/>
        <w:spacing w:after="0" w:line="267" w:lineRule="auto"/>
        <w:tabs>
          <w:tab w:leader="none" w:pos="595"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PAYMENT IN CONNECTION WITH THE ISSUANCE OF STOCK GRANTS AND STOCK- BASED AWARDS AND ISSUE OF SHARES.</w:t>
      </w:r>
    </w:p>
    <w:p>
      <w:pPr>
        <w:spacing w:after="0" w:line="66" w:lineRule="exact"/>
        <w:rPr>
          <w:sz w:val="20"/>
          <w:szCs w:val="20"/>
          <w:color w:val="auto"/>
        </w:rPr>
      </w:pPr>
    </w:p>
    <w:p>
      <w:pPr>
        <w:jc w:val="both"/>
        <w:ind w:left="40" w:right="1239" w:firstLine="251"/>
        <w:spacing w:after="0" w:line="291" w:lineRule="auto"/>
        <w:rPr>
          <w:sz w:val="20"/>
          <w:szCs w:val="20"/>
          <w:color w:val="auto"/>
        </w:rPr>
      </w:pPr>
      <w:r>
        <w:rPr>
          <w:rFonts w:ascii="Arial" w:cs="Arial" w:eastAsia="Arial" w:hAnsi="Arial"/>
          <w:sz w:val="15"/>
          <w:szCs w:val="15"/>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spacing w:after="0" w:line="1" w:lineRule="exact"/>
        <w:rPr>
          <w:sz w:val="20"/>
          <w:szCs w:val="20"/>
          <w:color w:val="auto"/>
        </w:rPr>
      </w:pPr>
    </w:p>
    <w:p>
      <w:pPr>
        <w:jc w:val="both"/>
        <w:ind w:left="40" w:right="1239"/>
        <w:spacing w:after="0" w:line="233" w:lineRule="auto"/>
        <w:rPr>
          <w:sz w:val="20"/>
          <w:szCs w:val="20"/>
          <w:color w:val="auto"/>
        </w:rPr>
      </w:pPr>
      <w:r>
        <w:rPr>
          <w:rFonts w:ascii="Arial" w:cs="Arial" w:eastAsia="Arial" w:hAnsi="Arial"/>
          <w:sz w:val="16"/>
          <w:szCs w:val="16"/>
          <w:color w:val="auto"/>
        </w:rPr>
        <w:t>treatment) and</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90" w:lineRule="exact"/>
        <w:rPr>
          <w:sz w:val="20"/>
          <w:szCs w:val="20"/>
          <w:color w:val="auto"/>
        </w:rPr>
      </w:pPr>
    </w:p>
    <w:p>
      <w:pPr>
        <w:jc w:val="both"/>
        <w:ind w:left="40" w:right="1239" w:firstLine="251"/>
        <w:spacing w:after="0" w:line="250" w:lineRule="auto"/>
        <w:rPr>
          <w:sz w:val="20"/>
          <w:szCs w:val="20"/>
          <w:color w:val="auto"/>
        </w:rPr>
      </w:pPr>
      <w:r>
        <w:rPr>
          <w:rFonts w:ascii="Arial" w:cs="Arial" w:eastAsia="Arial" w:hAnsi="Arial"/>
          <w:sz w:val="17"/>
          <w:szCs w:val="17"/>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1" w:lineRule="exact"/>
        <w:rPr>
          <w:sz w:val="20"/>
          <w:szCs w:val="20"/>
          <w:color w:val="auto"/>
        </w:rPr>
      </w:pPr>
    </w:p>
    <w:p>
      <w:pPr>
        <w:ind w:left="580" w:hanging="282"/>
        <w:spacing w:after="0"/>
        <w:tabs>
          <w:tab w:leader="none" w:pos="580" w:val="left"/>
        </w:tabs>
        <w:numPr>
          <w:ilvl w:val="0"/>
          <w:numId w:val="355"/>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78" w:lineRule="exact"/>
        <w:rPr>
          <w:sz w:val="20"/>
          <w:szCs w:val="20"/>
          <w:color w:val="auto"/>
        </w:rPr>
      </w:pPr>
    </w:p>
    <w:p>
      <w:pPr>
        <w:ind w:left="600" w:hanging="302"/>
        <w:spacing w:after="0"/>
        <w:tabs>
          <w:tab w:leader="none" w:pos="600"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ASSIGNABILITY AND TRANSFERABILITY OF STOCK RIGHTS.</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57277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7277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60" w:right="1239" w:hanging="250"/>
        <w:spacing w:after="0" w:line="267" w:lineRule="auto"/>
        <w:tabs>
          <w:tab w:leader="none" w:pos="26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1" w:name="page412"/>
    <w:bookmarkEnd w:id="41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260" w:right="1239"/>
        <w:spacing w:after="0" w:line="288" w:lineRule="auto"/>
        <w:rPr>
          <w:sz w:val="20"/>
          <w:szCs w:val="20"/>
          <w:color w:val="auto"/>
        </w:rPr>
      </w:pPr>
      <w:r>
        <w:rPr>
          <w:rFonts w:ascii="Arial" w:cs="Arial" w:eastAsia="Arial" w:hAnsi="Arial"/>
          <w:sz w:val="15"/>
          <w:szCs w:val="15"/>
          <w:color w:val="auto"/>
        </w:rPr>
        <w:t>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55" w:lineRule="exact"/>
        <w:rPr>
          <w:sz w:val="20"/>
          <w:szCs w:val="20"/>
          <w:color w:val="auto"/>
        </w:rPr>
      </w:pPr>
    </w:p>
    <w:p>
      <w:pPr>
        <w:ind w:left="600" w:hanging="302"/>
        <w:spacing w:after="0"/>
        <w:tabs>
          <w:tab w:leader="none" w:pos="600"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EFFECT ON OPTIONS OF TERMINATION OF SERVICE OTHER THAN FOR CAUSE OR DEATH OR DISABILITY.</w:t>
      </w:r>
    </w:p>
    <w:p>
      <w:pPr>
        <w:spacing w:after="0" w:line="128"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6" w:lineRule="exact"/>
        <w:rPr>
          <w:sz w:val="20"/>
          <w:szCs w:val="20"/>
          <w:color w:val="auto"/>
        </w:rPr>
      </w:pPr>
    </w:p>
    <w:p>
      <w:pPr>
        <w:jc w:val="both"/>
        <w:ind w:left="300" w:right="1239" w:firstLine="248"/>
        <w:spacing w:after="0" w:line="267" w:lineRule="auto"/>
        <w:tabs>
          <w:tab w:leader="none" w:pos="829"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70" w:lineRule="exact"/>
        <w:rPr>
          <w:rFonts w:ascii="Arial" w:cs="Arial" w:eastAsia="Arial" w:hAnsi="Arial"/>
          <w:sz w:val="16"/>
          <w:szCs w:val="16"/>
          <w:color w:val="auto"/>
        </w:rPr>
      </w:pPr>
    </w:p>
    <w:p>
      <w:pPr>
        <w:ind w:left="300" w:right="1239" w:firstLine="248"/>
        <w:spacing w:after="0" w:line="267" w:lineRule="auto"/>
        <w:tabs>
          <w:tab w:leader="none" w:pos="83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Except as provided in Subparagraph (c) below, or Paragraph 15 or 16, in no event may an Option intended to be an ISO, be exercised later than three months after the Participant’s termination of employment.</w:t>
      </w:r>
    </w:p>
    <w:p>
      <w:pPr>
        <w:spacing w:after="0" w:line="66" w:lineRule="exact"/>
        <w:rPr>
          <w:rFonts w:ascii="Arial" w:cs="Arial" w:eastAsia="Arial" w:hAnsi="Arial"/>
          <w:sz w:val="17"/>
          <w:szCs w:val="17"/>
          <w:color w:val="auto"/>
        </w:rPr>
      </w:pPr>
    </w:p>
    <w:p>
      <w:pPr>
        <w:jc w:val="both"/>
        <w:ind w:left="300" w:right="1239" w:firstLine="248"/>
        <w:spacing w:after="0" w:line="250" w:lineRule="auto"/>
        <w:tabs>
          <w:tab w:leader="none" w:pos="87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or twelve months in the case of an ISO, but in no event after the date of expiration of the term of the Option.</w:t>
      </w:r>
    </w:p>
    <w:p>
      <w:pPr>
        <w:spacing w:after="0" w:line="81" w:lineRule="exact"/>
        <w:rPr>
          <w:rFonts w:ascii="Arial" w:cs="Arial" w:eastAsia="Arial" w:hAnsi="Arial"/>
          <w:sz w:val="17"/>
          <w:szCs w:val="17"/>
          <w:color w:val="auto"/>
        </w:rPr>
      </w:pPr>
    </w:p>
    <w:p>
      <w:pPr>
        <w:jc w:val="both"/>
        <w:ind w:left="300" w:right="1239" w:firstLine="248"/>
        <w:spacing w:after="0" w:line="274" w:lineRule="auto"/>
        <w:tabs>
          <w:tab w:leader="none" w:pos="934"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61" w:lineRule="exact"/>
        <w:rPr>
          <w:rFonts w:ascii="Arial" w:cs="Arial" w:eastAsia="Arial" w:hAnsi="Arial"/>
          <w:sz w:val="16"/>
          <w:szCs w:val="16"/>
          <w:color w:val="auto"/>
        </w:rPr>
      </w:pPr>
    </w:p>
    <w:p>
      <w:pPr>
        <w:jc w:val="both"/>
        <w:ind w:left="300" w:right="1239" w:firstLine="248"/>
        <w:spacing w:after="0" w:line="285" w:lineRule="auto"/>
        <w:tabs>
          <w:tab w:leader="none" w:pos="849" w:val="left"/>
        </w:tabs>
        <w:numPr>
          <w:ilvl w:val="0"/>
          <w:numId w:val="359"/>
        </w:numPr>
        <w:rPr>
          <w:rFonts w:ascii="Arial" w:cs="Arial" w:eastAsia="Arial" w:hAnsi="Arial"/>
          <w:sz w:val="15"/>
          <w:szCs w:val="15"/>
          <w:color w:val="auto"/>
        </w:rPr>
      </w:pPr>
      <w:r>
        <w:rPr>
          <w:rFonts w:ascii="Arial" w:cs="Arial" w:eastAsia="Arial" w:hAnsi="Arial"/>
          <w:sz w:val="15"/>
          <w:szCs w:val="15"/>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shall cause such ISO to become a Non-Qualified Option on the 181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following such leave of absence.</w:t>
      </w:r>
    </w:p>
    <w:p>
      <w:pPr>
        <w:spacing w:after="0" w:line="40" w:lineRule="exact"/>
        <w:rPr>
          <w:sz w:val="20"/>
          <w:szCs w:val="20"/>
          <w:color w:val="auto"/>
        </w:rPr>
      </w:pPr>
    </w:p>
    <w:p>
      <w:pPr>
        <w:jc w:val="both"/>
        <w:ind w:left="300" w:right="1239" w:firstLine="248"/>
        <w:spacing w:after="0" w:line="271" w:lineRule="auto"/>
        <w:tabs>
          <w:tab w:leader="none" w:pos="81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200" w:lineRule="exact"/>
        <w:rPr>
          <w:sz w:val="20"/>
          <w:szCs w:val="20"/>
          <w:color w:val="auto"/>
        </w:rPr>
      </w:pPr>
    </w:p>
    <w:p>
      <w:pPr>
        <w:spacing w:after="0" w:line="278"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2" w:name="page413"/>
    <w:bookmarkEnd w:id="41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FOR CAUSE.</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6" w:lineRule="exact"/>
        <w:rPr>
          <w:sz w:val="20"/>
          <w:szCs w:val="20"/>
          <w:color w:val="auto"/>
        </w:rPr>
      </w:pPr>
    </w:p>
    <w:p>
      <w:pPr>
        <w:ind w:left="300" w:right="1239" w:firstLine="248"/>
        <w:spacing w:after="0" w:line="267" w:lineRule="auto"/>
        <w:tabs>
          <w:tab w:leader="none" w:pos="841"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All outstanding and unexercised Options as of the time the Participant is notified his or her service is terminated for Cause will immediately be forfeited.</w:t>
      </w:r>
    </w:p>
    <w:p>
      <w:pPr>
        <w:spacing w:after="0" w:line="66" w:lineRule="exact"/>
        <w:rPr>
          <w:rFonts w:ascii="Arial" w:cs="Arial" w:eastAsia="Arial" w:hAnsi="Arial"/>
          <w:sz w:val="17"/>
          <w:szCs w:val="17"/>
          <w:color w:val="auto"/>
        </w:rPr>
      </w:pPr>
    </w:p>
    <w:p>
      <w:pPr>
        <w:jc w:val="both"/>
        <w:ind w:left="300" w:right="1239" w:firstLine="248"/>
        <w:spacing w:after="0" w:line="297" w:lineRule="auto"/>
        <w:tabs>
          <w:tab w:leader="none" w:pos="830" w:val="left"/>
        </w:tabs>
        <w:numPr>
          <w:ilvl w:val="1"/>
          <w:numId w:val="362"/>
        </w:numPr>
        <w:rPr>
          <w:rFonts w:ascii="Arial" w:cs="Arial" w:eastAsia="Arial" w:hAnsi="Arial"/>
          <w:sz w:val="15"/>
          <w:szCs w:val="15"/>
          <w:color w:val="auto"/>
        </w:rPr>
      </w:pPr>
      <w:r>
        <w:rPr>
          <w:rFonts w:ascii="Arial" w:cs="Arial" w:eastAsia="Arial" w:hAnsi="Arial"/>
          <w:sz w:val="15"/>
          <w:szCs w:val="15"/>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48" w:lineRule="exact"/>
        <w:rPr>
          <w:rFonts w:ascii="Arial" w:cs="Arial" w:eastAsia="Arial" w:hAnsi="Arial"/>
          <w:sz w:val="15"/>
          <w:szCs w:val="15"/>
          <w:color w:val="auto"/>
        </w:rPr>
      </w:pPr>
    </w:p>
    <w:p>
      <w:pPr>
        <w:ind w:left="600" w:hanging="302"/>
        <w:spacing w:after="0"/>
        <w:tabs>
          <w:tab w:leader="none" w:pos="600"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FOR DISABILITY.</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Except as otherwise provided in a Participant’s Option Agreement:</w:t>
      </w:r>
    </w:p>
    <w:p>
      <w:pPr>
        <w:spacing w:after="0" w:line="105" w:lineRule="exact"/>
        <w:rPr>
          <w:sz w:val="20"/>
          <w:szCs w:val="20"/>
          <w:color w:val="auto"/>
        </w:rPr>
      </w:pPr>
    </w:p>
    <w:p>
      <w:pPr>
        <w:ind w:left="300" w:right="1239" w:firstLine="248"/>
        <w:spacing w:after="0" w:line="267" w:lineRule="auto"/>
        <w:tabs>
          <w:tab w:leader="none" w:pos="844" w:val="left"/>
        </w:tabs>
        <w:numPr>
          <w:ilvl w:val="1"/>
          <w:numId w:val="364"/>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by reason of Disability may exercise any Option granted to such Participant:</w:t>
      </w:r>
    </w:p>
    <w:p>
      <w:pPr>
        <w:spacing w:after="0" w:line="66" w:lineRule="exact"/>
        <w:rPr>
          <w:rFonts w:ascii="Arial" w:cs="Arial" w:eastAsia="Arial" w:hAnsi="Arial"/>
          <w:sz w:val="17"/>
          <w:szCs w:val="17"/>
          <w:color w:val="auto"/>
        </w:rPr>
      </w:pPr>
    </w:p>
    <w:p>
      <w:pPr>
        <w:ind w:left="540" w:right="1239" w:firstLine="259"/>
        <w:spacing w:after="0" w:line="267" w:lineRule="auto"/>
        <w:tabs>
          <w:tab w:leader="none" w:pos="1068" w:val="left"/>
        </w:tabs>
        <w:numPr>
          <w:ilvl w:val="2"/>
          <w:numId w:val="364"/>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the Participant’s termination of service due to Disability; and</w:t>
      </w:r>
    </w:p>
    <w:p>
      <w:pPr>
        <w:spacing w:after="0" w:line="66" w:lineRule="exact"/>
        <w:rPr>
          <w:rFonts w:ascii="Arial" w:cs="Arial" w:eastAsia="Arial" w:hAnsi="Arial"/>
          <w:sz w:val="17"/>
          <w:szCs w:val="17"/>
          <w:color w:val="auto"/>
        </w:rPr>
      </w:pPr>
    </w:p>
    <w:p>
      <w:pPr>
        <w:jc w:val="both"/>
        <w:ind w:left="540" w:right="1239" w:firstLine="259"/>
        <w:spacing w:after="0" w:line="297" w:lineRule="auto"/>
        <w:tabs>
          <w:tab w:leader="none" w:pos="1091" w:val="left"/>
        </w:tabs>
        <w:numPr>
          <w:ilvl w:val="2"/>
          <w:numId w:val="364"/>
        </w:numPr>
        <w:rPr>
          <w:rFonts w:ascii="Arial" w:cs="Arial" w:eastAsia="Arial" w:hAnsi="Arial"/>
          <w:sz w:val="15"/>
          <w:szCs w:val="15"/>
          <w:color w:val="auto"/>
        </w:rPr>
      </w:pPr>
      <w:r>
        <w:rPr>
          <w:rFonts w:ascii="Arial" w:cs="Arial" w:eastAsia="Arial" w:hAnsi="Arial"/>
          <w:sz w:val="15"/>
          <w:szCs w:val="15"/>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48" w:lineRule="exact"/>
        <w:rPr>
          <w:rFonts w:ascii="Arial" w:cs="Arial" w:eastAsia="Arial" w:hAnsi="Arial"/>
          <w:sz w:val="15"/>
          <w:szCs w:val="15"/>
          <w:color w:val="auto"/>
        </w:rPr>
      </w:pPr>
    </w:p>
    <w:p>
      <w:pPr>
        <w:jc w:val="both"/>
        <w:ind w:left="300" w:right="1239" w:firstLine="248"/>
        <w:spacing w:after="0" w:line="297" w:lineRule="auto"/>
        <w:tabs>
          <w:tab w:leader="none" w:pos="821" w:val="left"/>
        </w:tabs>
        <w:numPr>
          <w:ilvl w:val="1"/>
          <w:numId w:val="364"/>
        </w:numPr>
        <w:rPr>
          <w:rFonts w:ascii="Arial" w:cs="Arial" w:eastAsia="Arial" w:hAnsi="Arial"/>
          <w:sz w:val="15"/>
          <w:szCs w:val="15"/>
          <w:color w:val="auto"/>
        </w:rPr>
      </w:pPr>
      <w:r>
        <w:rPr>
          <w:rFonts w:ascii="Arial" w:cs="Arial" w:eastAsia="Arial" w:hAnsi="Arial"/>
          <w:sz w:val="15"/>
          <w:szCs w:val="15"/>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48" w:lineRule="exact"/>
        <w:rPr>
          <w:rFonts w:ascii="Arial" w:cs="Arial" w:eastAsia="Arial" w:hAnsi="Arial"/>
          <w:sz w:val="15"/>
          <w:szCs w:val="15"/>
          <w:color w:val="auto"/>
        </w:rPr>
      </w:pPr>
    </w:p>
    <w:p>
      <w:pPr>
        <w:jc w:val="both"/>
        <w:ind w:left="300" w:right="1239" w:firstLine="248"/>
        <w:spacing w:after="0" w:line="297" w:lineRule="auto"/>
        <w:tabs>
          <w:tab w:leader="none" w:pos="831" w:val="left"/>
        </w:tabs>
        <w:numPr>
          <w:ilvl w:val="1"/>
          <w:numId w:val="364"/>
        </w:numPr>
        <w:rPr>
          <w:rFonts w:ascii="Arial" w:cs="Arial" w:eastAsia="Arial" w:hAnsi="Arial"/>
          <w:sz w:val="15"/>
          <w:szCs w:val="15"/>
          <w:color w:val="auto"/>
        </w:rPr>
      </w:pPr>
      <w:r>
        <w:rPr>
          <w:rFonts w:ascii="Arial" w:cs="Arial" w:eastAsia="Arial" w:hAnsi="Arial"/>
          <w:sz w:val="15"/>
          <w:szCs w:val="15"/>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48" w:lineRule="exact"/>
        <w:rPr>
          <w:rFonts w:ascii="Arial" w:cs="Arial" w:eastAsia="Arial" w:hAnsi="Arial"/>
          <w:sz w:val="15"/>
          <w:szCs w:val="15"/>
          <w:color w:val="auto"/>
        </w:rPr>
      </w:pPr>
    </w:p>
    <w:p>
      <w:pPr>
        <w:ind w:left="640" w:hanging="342"/>
        <w:spacing w:after="0"/>
        <w:tabs>
          <w:tab w:leader="none" w:pos="64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EFFECT ON OPTIONS OF DEATH WHILE AN EMPLOYEE, DIRECTOR OR CONSULTANT.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Except as otherwise provided in a Participant’s Option Agreement:</w:t>
      </w:r>
    </w:p>
    <w:p>
      <w:pPr>
        <w:spacing w:after="0" w:line="105" w:lineRule="exact"/>
        <w:rPr>
          <w:sz w:val="20"/>
          <w:szCs w:val="20"/>
          <w:color w:val="auto"/>
        </w:rPr>
      </w:pPr>
    </w:p>
    <w:p>
      <w:pPr>
        <w:ind w:left="300" w:right="1239" w:firstLine="248"/>
        <w:spacing w:after="0" w:line="267" w:lineRule="auto"/>
        <w:tabs>
          <w:tab w:leader="none" w:pos="822"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In the event of the death of a Participant while the Participant is an Employee, director or Consultant of the Company or of an Affiliate, such Option may be exercised by the Participant’s Survivors:</w:t>
      </w:r>
    </w:p>
    <w:p>
      <w:pPr>
        <w:spacing w:after="0" w:line="66" w:lineRule="exact"/>
        <w:rPr>
          <w:rFonts w:ascii="Arial" w:cs="Arial" w:eastAsia="Arial" w:hAnsi="Arial"/>
          <w:sz w:val="17"/>
          <w:szCs w:val="17"/>
          <w:color w:val="auto"/>
        </w:rPr>
      </w:pPr>
    </w:p>
    <w:p>
      <w:pPr>
        <w:ind w:left="1040" w:hanging="241"/>
        <w:spacing w:after="0"/>
        <w:tabs>
          <w:tab w:leader="none" w:pos="104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To the extent that the Option has become exercisable but has not been exercised on the date of death; and</w:t>
      </w:r>
    </w:p>
    <w:p>
      <w:pPr>
        <w:spacing w:after="0" w:line="116" w:lineRule="exact"/>
        <w:rPr>
          <w:rFonts w:ascii="Arial" w:cs="Arial" w:eastAsia="Arial" w:hAnsi="Arial"/>
          <w:sz w:val="16"/>
          <w:szCs w:val="16"/>
          <w:color w:val="auto"/>
        </w:rPr>
      </w:pPr>
    </w:p>
    <w:p>
      <w:pPr>
        <w:jc w:val="both"/>
        <w:ind w:left="540" w:right="1239" w:firstLine="259"/>
        <w:spacing w:after="0" w:line="253" w:lineRule="auto"/>
        <w:tabs>
          <w:tab w:leader="none" w:pos="1091" w:val="left"/>
        </w:tabs>
        <w:numPr>
          <w:ilvl w:val="1"/>
          <w:numId w:val="366"/>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77" w:lineRule="exact"/>
        <w:rPr>
          <w:rFonts w:ascii="Arial" w:cs="Arial" w:eastAsia="Arial" w:hAnsi="Arial"/>
          <w:sz w:val="17"/>
          <w:szCs w:val="17"/>
          <w:color w:val="auto"/>
        </w:rPr>
      </w:pPr>
    </w:p>
    <w:p>
      <w:pPr>
        <w:jc w:val="both"/>
        <w:ind w:left="300" w:right="1239" w:firstLine="248"/>
        <w:spacing w:after="0" w:line="256" w:lineRule="auto"/>
        <w:tabs>
          <w:tab w:leader="none" w:pos="869"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3" w:name="page414"/>
    <w:bookmarkEnd w:id="41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or she had not died and had continued to be an Employee, director or Consultant or, if earlier, within the originally prescribed term of the Option.</w:t>
      </w:r>
    </w:p>
    <w:p>
      <w:pPr>
        <w:spacing w:after="0" w:line="66" w:lineRule="exact"/>
        <w:rPr>
          <w:sz w:val="20"/>
          <w:szCs w:val="20"/>
          <w:color w:val="auto"/>
        </w:rPr>
      </w:pPr>
    </w:p>
    <w:p>
      <w:pPr>
        <w:ind w:left="600" w:hanging="302"/>
        <w:spacing w:after="0"/>
        <w:tabs>
          <w:tab w:leader="none" w:pos="60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EFFECT OF TERMINATION OF SERVICE ON STOCK GRANTS AND STOCK-BASED AWARDS.</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6" w:lineRule="exact"/>
        <w:rPr>
          <w:sz w:val="20"/>
          <w:szCs w:val="20"/>
          <w:color w:val="auto"/>
        </w:rPr>
      </w:pPr>
    </w:p>
    <w:p>
      <w:pPr>
        <w:jc w:val="both"/>
        <w:ind w:left="40" w:right="1239" w:firstLine="251"/>
        <w:spacing w:after="0" w:line="292" w:lineRule="auto"/>
        <w:rPr>
          <w:sz w:val="20"/>
          <w:szCs w:val="20"/>
          <w:color w:val="auto"/>
        </w:rPr>
      </w:pPr>
      <w:r>
        <w:rPr>
          <w:rFonts w:ascii="Arial" w:cs="Arial" w:eastAsia="Arial" w:hAnsi="Arial"/>
          <w:sz w:val="15"/>
          <w:szCs w:val="15"/>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53" w:lineRule="exact"/>
        <w:rPr>
          <w:sz w:val="20"/>
          <w:szCs w:val="20"/>
          <w:color w:val="auto"/>
        </w:rPr>
      </w:pPr>
    </w:p>
    <w:p>
      <w:pPr>
        <w:jc w:val="both"/>
        <w:ind w:left="40" w:right="1239" w:firstLine="251"/>
        <w:spacing w:after="0" w:line="280" w:lineRule="auto"/>
        <w:rPr>
          <w:sz w:val="20"/>
          <w:szCs w:val="20"/>
          <w:color w:val="auto"/>
        </w:rPr>
      </w:pPr>
      <w:r>
        <w:rPr>
          <w:rFonts w:ascii="Arial" w:cs="Arial" w:eastAsia="Arial" w:hAnsi="Arial"/>
          <w:sz w:val="16"/>
          <w:szCs w:val="16"/>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58" w:lineRule="exact"/>
        <w:rPr>
          <w:sz w:val="20"/>
          <w:szCs w:val="20"/>
          <w:color w:val="auto"/>
        </w:rPr>
      </w:pPr>
    </w:p>
    <w:p>
      <w:pPr>
        <w:ind w:left="40" w:right="1239" w:firstLine="258"/>
        <w:spacing w:after="0" w:line="267" w:lineRule="auto"/>
        <w:tabs>
          <w:tab w:leader="none" w:pos="633" w:val="left"/>
        </w:tabs>
        <w:numPr>
          <w:ilvl w:val="0"/>
          <w:numId w:val="368"/>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OTHER THAN FOR CAUSE OR DEATH OR DISABILITY.</w:t>
      </w:r>
    </w:p>
    <w:p>
      <w:pPr>
        <w:spacing w:after="0" w:line="66"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80" w:lineRule="exact"/>
        <w:rPr>
          <w:sz w:val="20"/>
          <w:szCs w:val="20"/>
          <w:color w:val="auto"/>
        </w:rPr>
      </w:pPr>
    </w:p>
    <w:p>
      <w:pPr>
        <w:ind w:left="600" w:hanging="302"/>
        <w:spacing w:after="0"/>
        <w:tabs>
          <w:tab w:leader="none" w:pos="600"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FOR CAUSE.</w:t>
      </w:r>
    </w:p>
    <w:p>
      <w:pPr>
        <w:spacing w:after="0" w:line="105"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43" w:lineRule="exact"/>
        <w:rPr>
          <w:sz w:val="20"/>
          <w:szCs w:val="20"/>
          <w:color w:val="auto"/>
        </w:rPr>
      </w:pPr>
    </w:p>
    <w:p>
      <w:pPr>
        <w:ind w:left="300" w:right="1239" w:firstLine="248"/>
        <w:spacing w:after="0" w:line="267" w:lineRule="auto"/>
        <w:tabs>
          <w:tab w:leader="none" w:pos="857" w:val="left"/>
        </w:tabs>
        <w:numPr>
          <w:ilvl w:val="1"/>
          <w:numId w:val="370"/>
        </w:numPr>
        <w:rPr>
          <w:rFonts w:ascii="Arial" w:cs="Arial" w:eastAsia="Arial" w:hAnsi="Arial"/>
          <w:sz w:val="17"/>
          <w:szCs w:val="17"/>
          <w:color w:val="auto"/>
        </w:rPr>
      </w:pPr>
      <w:r>
        <w:rPr>
          <w:rFonts w:ascii="Arial" w:cs="Arial" w:eastAsia="Arial" w:hAnsi="Arial"/>
          <w:sz w:val="17"/>
          <w:szCs w:val="17"/>
          <w:color w:val="auto"/>
        </w:rPr>
        <w:t>All Shares subject to any Stock Grant whether or not then subject to forfeiture or repurchase shall be immediately subject to repurchase by the Company at par value.</w:t>
      </w:r>
    </w:p>
    <w:p>
      <w:pPr>
        <w:spacing w:after="0" w:line="66" w:lineRule="exact"/>
        <w:rPr>
          <w:rFonts w:ascii="Arial" w:cs="Arial" w:eastAsia="Arial" w:hAnsi="Arial"/>
          <w:sz w:val="17"/>
          <w:szCs w:val="17"/>
          <w:color w:val="auto"/>
        </w:rPr>
      </w:pPr>
    </w:p>
    <w:p>
      <w:pPr>
        <w:jc w:val="both"/>
        <w:ind w:left="300" w:right="1239" w:firstLine="248"/>
        <w:spacing w:after="0" w:line="292" w:lineRule="auto"/>
        <w:tabs>
          <w:tab w:leader="none" w:pos="830" w:val="left"/>
        </w:tabs>
        <w:numPr>
          <w:ilvl w:val="1"/>
          <w:numId w:val="370"/>
        </w:numPr>
        <w:rPr>
          <w:rFonts w:ascii="Arial" w:cs="Arial" w:eastAsia="Arial" w:hAnsi="Arial"/>
          <w:sz w:val="15"/>
          <w:szCs w:val="15"/>
          <w:color w:val="auto"/>
        </w:rPr>
      </w:pPr>
      <w:r>
        <w:rPr>
          <w:rFonts w:ascii="Arial" w:cs="Arial" w:eastAsia="Arial" w:hAnsi="Arial"/>
          <w:sz w:val="15"/>
          <w:szCs w:val="15"/>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3" w:lineRule="exact"/>
        <w:rPr>
          <w:rFonts w:ascii="Arial" w:cs="Arial" w:eastAsia="Arial" w:hAnsi="Arial"/>
          <w:sz w:val="15"/>
          <w:szCs w:val="15"/>
          <w:color w:val="auto"/>
        </w:rPr>
      </w:pPr>
    </w:p>
    <w:p>
      <w:pPr>
        <w:ind w:left="600" w:hanging="302"/>
        <w:spacing w:after="0"/>
        <w:tabs>
          <w:tab w:leader="none" w:pos="600"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TERMINATION OF SERVICE FOR DISABILITY.</w:t>
      </w:r>
    </w:p>
    <w:p>
      <w:pPr>
        <w:spacing w:after="0" w:line="105"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200" w:lineRule="exact"/>
        <w:rPr>
          <w:sz w:val="20"/>
          <w:szCs w:val="20"/>
          <w:color w:val="auto"/>
        </w:rPr>
      </w:pP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4" w:name="page415"/>
    <w:bookmarkEnd w:id="41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74" w:lineRule="auto"/>
        <w:rPr>
          <w:sz w:val="20"/>
          <w:szCs w:val="20"/>
          <w:color w:val="auto"/>
        </w:rPr>
      </w:pPr>
      <w:r>
        <w:rPr>
          <w:rFonts w:ascii="Arial" w:cs="Arial" w:eastAsia="Arial" w:hAnsi="Arial"/>
          <w:sz w:val="16"/>
          <w:szCs w:val="16"/>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2" w:lineRule="exact"/>
        <w:rPr>
          <w:sz w:val="20"/>
          <w:szCs w:val="20"/>
          <w:color w:val="auto"/>
        </w:rPr>
      </w:pPr>
    </w:p>
    <w:p>
      <w:pPr>
        <w:ind w:left="600" w:hanging="302"/>
        <w:spacing w:after="0"/>
        <w:tabs>
          <w:tab w:leader="none" w:pos="600"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EFFECT ON STOCK GRANTS OF DEATH WHILE AN EMPLOYEE, DIRECTOR OR CONSULTANT.</w:t>
      </w:r>
    </w:p>
    <w:p>
      <w:pPr>
        <w:spacing w:after="0" w:line="105" w:lineRule="exact"/>
        <w:rPr>
          <w:sz w:val="20"/>
          <w:szCs w:val="20"/>
          <w:color w:val="auto"/>
        </w:rPr>
      </w:pPr>
    </w:p>
    <w:p>
      <w:pPr>
        <w:jc w:val="both"/>
        <w:ind w:left="40" w:right="1239" w:firstLine="251"/>
        <w:spacing w:after="0" w:line="249" w:lineRule="auto"/>
        <w:rPr>
          <w:sz w:val="20"/>
          <w:szCs w:val="20"/>
          <w:color w:val="auto"/>
        </w:rPr>
      </w:pPr>
      <w:r>
        <w:rPr>
          <w:rFonts w:ascii="Arial" w:cs="Arial" w:eastAsia="Arial" w:hAnsi="Arial"/>
          <w:sz w:val="17"/>
          <w:szCs w:val="17"/>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4" w:lineRule="exact"/>
        <w:rPr>
          <w:sz w:val="20"/>
          <w:szCs w:val="20"/>
          <w:color w:val="auto"/>
        </w:rPr>
      </w:pPr>
    </w:p>
    <w:p>
      <w:pPr>
        <w:ind w:left="600" w:hanging="302"/>
        <w:spacing w:after="0"/>
        <w:tabs>
          <w:tab w:leader="none" w:pos="600"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PURCHASE FOR INVESTMENT.</w:t>
      </w:r>
    </w:p>
    <w:p>
      <w:pPr>
        <w:spacing w:after="0" w:line="105" w:lineRule="exact"/>
        <w:rPr>
          <w:sz w:val="20"/>
          <w:szCs w:val="20"/>
          <w:color w:val="auto"/>
        </w:rPr>
      </w:pPr>
    </w:p>
    <w:p>
      <w:pPr>
        <w:ind w:left="40" w:right="1239" w:firstLine="251"/>
        <w:spacing w:after="0" w:line="299" w:lineRule="auto"/>
        <w:rPr>
          <w:sz w:val="20"/>
          <w:szCs w:val="20"/>
          <w:color w:val="auto"/>
        </w:rPr>
      </w:pPr>
      <w:r>
        <w:rPr>
          <w:rFonts w:ascii="Arial" w:cs="Arial" w:eastAsia="Arial" w:hAnsi="Arial"/>
          <w:sz w:val="16"/>
          <w:szCs w:val="16"/>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43" w:lineRule="exact"/>
        <w:rPr>
          <w:sz w:val="20"/>
          <w:szCs w:val="20"/>
          <w:color w:val="auto"/>
        </w:rPr>
      </w:pPr>
    </w:p>
    <w:p>
      <w:pPr>
        <w:jc w:val="both"/>
        <w:ind w:left="300" w:right="1239" w:firstLine="248"/>
        <w:spacing w:after="0" w:line="251" w:lineRule="auto"/>
        <w:tabs>
          <w:tab w:leader="none" w:pos="82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80" w:lineRule="exact"/>
        <w:rPr>
          <w:sz w:val="20"/>
          <w:szCs w:val="20"/>
          <w:color w:val="auto"/>
        </w:rPr>
      </w:pPr>
    </w:p>
    <w:p>
      <w:pPr>
        <w:jc w:val="both"/>
        <w:ind w:left="540" w:right="1239" w:firstLine="251"/>
        <w:spacing w:after="0" w:line="251" w:lineRule="auto"/>
        <w:rPr>
          <w:sz w:val="20"/>
          <w:szCs w:val="20"/>
          <w:color w:val="auto"/>
        </w:rPr>
      </w:pPr>
      <w:r>
        <w:rPr>
          <w:rFonts w:ascii="Arial" w:cs="Arial" w:eastAsia="Arial" w:hAnsi="Arial"/>
          <w:sz w:val="17"/>
          <w:szCs w:val="17"/>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0" w:lineRule="exact"/>
        <w:rPr>
          <w:sz w:val="20"/>
          <w:szCs w:val="20"/>
          <w:color w:val="auto"/>
        </w:rPr>
      </w:pPr>
    </w:p>
    <w:p>
      <w:pPr>
        <w:ind w:left="300" w:right="1239" w:firstLine="248"/>
        <w:spacing w:after="0" w:line="267" w:lineRule="auto"/>
        <w:tabs>
          <w:tab w:leader="none" w:pos="820" w:val="left"/>
        </w:tabs>
        <w:numPr>
          <w:ilvl w:val="1"/>
          <w:numId w:val="375"/>
        </w:numPr>
        <w:rPr>
          <w:rFonts w:ascii="Arial" w:cs="Arial" w:eastAsia="Arial" w:hAnsi="Arial"/>
          <w:sz w:val="17"/>
          <w:szCs w:val="17"/>
          <w:color w:val="auto"/>
        </w:rPr>
      </w:pPr>
      <w:r>
        <w:rPr>
          <w:rFonts w:ascii="Arial" w:cs="Arial" w:eastAsia="Arial" w:hAnsi="Arial"/>
          <w:sz w:val="17"/>
          <w:szCs w:val="17"/>
          <w:color w:val="auto"/>
        </w:rPr>
        <w:t>At the discretion of the Administrator, the Company shall have received an opinion of its counsel that the Shares may be issued in compliance with the Securities Act without registration thereunder.</w:t>
      </w:r>
    </w:p>
    <w:p>
      <w:pPr>
        <w:spacing w:after="0" w:line="66" w:lineRule="exact"/>
        <w:rPr>
          <w:rFonts w:ascii="Arial" w:cs="Arial" w:eastAsia="Arial" w:hAnsi="Arial"/>
          <w:sz w:val="17"/>
          <w:szCs w:val="17"/>
          <w:color w:val="auto"/>
        </w:rPr>
      </w:pPr>
    </w:p>
    <w:p>
      <w:pPr>
        <w:ind w:left="600" w:hanging="302"/>
        <w:spacing w:after="0"/>
        <w:tabs>
          <w:tab w:leader="none" w:pos="600" w:val="left"/>
        </w:tabs>
        <w:numPr>
          <w:ilvl w:val="0"/>
          <w:numId w:val="376"/>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 OF THE COMPANY.</w:t>
      </w:r>
    </w:p>
    <w:p>
      <w:pPr>
        <w:spacing w:after="0" w:line="105"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28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5" w:name="page416"/>
    <w:bookmarkEnd w:id="41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77"/>
        </w:numPr>
        <w:rPr>
          <w:rFonts w:ascii="Arial" w:cs="Arial" w:eastAsia="Arial" w:hAnsi="Arial"/>
          <w:sz w:val="17"/>
          <w:szCs w:val="17"/>
          <w:color w:val="auto"/>
        </w:rPr>
      </w:pPr>
      <w:r>
        <w:rPr>
          <w:rFonts w:ascii="Arial" w:cs="Arial" w:eastAsia="Arial" w:hAnsi="Arial"/>
          <w:sz w:val="17"/>
          <w:szCs w:val="17"/>
          <w:u w:val="single" w:color="auto"/>
          <w:color w:val="auto"/>
        </w:rPr>
        <w:t>ADJUSTMENTS.</w:t>
      </w:r>
    </w:p>
    <w:p>
      <w:pPr>
        <w:spacing w:after="0" w:line="105" w:lineRule="exact"/>
        <w:rPr>
          <w:sz w:val="20"/>
          <w:szCs w:val="20"/>
          <w:color w:val="auto"/>
        </w:rPr>
      </w:pPr>
    </w:p>
    <w:p>
      <w:pPr>
        <w:ind w:left="40" w:right="1239" w:firstLine="251"/>
        <w:spacing w:after="0" w:line="335" w:lineRule="auto"/>
        <w:rPr>
          <w:sz w:val="20"/>
          <w:szCs w:val="20"/>
          <w:color w:val="auto"/>
        </w:rPr>
      </w:pPr>
      <w:r>
        <w:rPr>
          <w:rFonts w:ascii="Arial" w:cs="Arial" w:eastAsia="Arial" w:hAnsi="Arial"/>
          <w:sz w:val="15"/>
          <w:szCs w:val="15"/>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20" w:lineRule="exact"/>
        <w:rPr>
          <w:sz w:val="20"/>
          <w:szCs w:val="20"/>
          <w:color w:val="auto"/>
        </w:rPr>
      </w:pPr>
    </w:p>
    <w:p>
      <w:pPr>
        <w:jc w:val="both"/>
        <w:ind w:left="300" w:right="1239" w:firstLine="248"/>
        <w:spacing w:after="0" w:line="288" w:lineRule="auto"/>
        <w:tabs>
          <w:tab w:leader="none" w:pos="819"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Stock Dividends and Stock Splits</w:t>
      </w:r>
      <w:r>
        <w:rPr>
          <w:rFonts w:ascii="Arial" w:cs="Arial" w:eastAsia="Arial" w:hAnsi="Arial"/>
          <w:sz w:val="15"/>
          <w:szCs w:val="15"/>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4" w:lineRule="exact"/>
        <w:rPr>
          <w:rFonts w:ascii="Arial" w:cs="Arial" w:eastAsia="Arial" w:hAnsi="Arial"/>
          <w:sz w:val="15"/>
          <w:szCs w:val="15"/>
          <w:color w:val="auto"/>
        </w:rPr>
      </w:pPr>
    </w:p>
    <w:p>
      <w:pPr>
        <w:jc w:val="both"/>
        <w:ind w:left="300" w:right="1239" w:firstLine="248"/>
        <w:spacing w:after="0" w:line="282" w:lineRule="auto"/>
        <w:tabs>
          <w:tab w:leader="none" w:pos="904" w:val="left"/>
        </w:tabs>
        <w:numPr>
          <w:ilvl w:val="0"/>
          <w:numId w:val="378"/>
        </w:numPr>
        <w:rPr>
          <w:rFonts w:ascii="Arial" w:cs="Arial" w:eastAsia="Arial" w:hAnsi="Arial"/>
          <w:sz w:val="15"/>
          <w:szCs w:val="15"/>
          <w:color w:val="auto"/>
        </w:rPr>
      </w:pPr>
      <w:r>
        <w:rPr>
          <w:rFonts w:ascii="Arial" w:cs="Arial" w:eastAsia="Arial" w:hAnsi="Arial"/>
          <w:sz w:val="15"/>
          <w:szCs w:val="15"/>
          <w:u w:val="single" w:color="auto"/>
          <w:color w:val="auto"/>
        </w:rPr>
        <w:t>Corporate Transactions</w:t>
      </w:r>
      <w:r>
        <w:rPr>
          <w:rFonts w:ascii="Arial" w:cs="Arial" w:eastAsia="Arial" w:hAnsi="Arial"/>
          <w:sz w:val="15"/>
          <w:szCs w:val="15"/>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5"/>
          <w:szCs w:val="15"/>
          <w:u w:val="single" w:color="auto"/>
          <w:color w:val="auto"/>
        </w:rPr>
        <w:t>less the aggregate</w:t>
      </w:r>
      <w:r>
        <w:rPr>
          <w:rFonts w:ascii="Arial" w:cs="Arial" w:eastAsia="Arial" w:hAnsi="Arial"/>
          <w:sz w:val="15"/>
          <w:szCs w:val="15"/>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63" w:lineRule="exact"/>
        <w:rPr>
          <w:sz w:val="20"/>
          <w:szCs w:val="20"/>
          <w:color w:val="auto"/>
        </w:rPr>
      </w:pPr>
    </w:p>
    <w:p>
      <w:pPr>
        <w:jc w:val="both"/>
        <w:ind w:left="300" w:right="1239" w:firstLine="251"/>
        <w:spacing w:after="0" w:line="256" w:lineRule="auto"/>
        <w:rPr>
          <w:sz w:val="20"/>
          <w:szCs w:val="20"/>
          <w:color w:val="auto"/>
        </w:rPr>
      </w:pPr>
      <w:r>
        <w:rPr>
          <w:rFonts w:ascii="Arial" w:cs="Arial" w:eastAsia="Arial" w:hAnsi="Arial"/>
          <w:sz w:val="17"/>
          <w:szCs w:val="17"/>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6" w:lineRule="exact"/>
        <w:rPr>
          <w:sz w:val="20"/>
          <w:szCs w:val="20"/>
          <w:color w:val="auto"/>
        </w:rPr>
      </w:pPr>
    </w:p>
    <w:p>
      <w:pPr>
        <w:jc w:val="both"/>
        <w:ind w:left="300" w:right="1239" w:firstLine="251"/>
        <w:spacing w:after="0" w:line="285" w:lineRule="auto"/>
        <w:rPr>
          <w:sz w:val="20"/>
          <w:szCs w:val="20"/>
          <w:color w:val="auto"/>
        </w:rPr>
      </w:pPr>
      <w:r>
        <w:rPr>
          <w:rFonts w:ascii="Arial" w:cs="Arial" w:eastAsia="Arial" w:hAnsi="Arial"/>
          <w:sz w:val="15"/>
          <w:szCs w:val="15"/>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61" w:lineRule="exact"/>
        <w:rPr>
          <w:sz w:val="20"/>
          <w:szCs w:val="20"/>
          <w:color w:val="auto"/>
        </w:rPr>
      </w:pPr>
    </w:p>
    <w:p>
      <w:pPr>
        <w:jc w:val="both"/>
        <w:ind w:left="300" w:right="1239" w:firstLine="251"/>
        <w:spacing w:after="0" w:line="299" w:lineRule="auto"/>
        <w:rPr>
          <w:sz w:val="20"/>
          <w:szCs w:val="20"/>
          <w:color w:val="auto"/>
        </w:rPr>
      </w:pPr>
      <w:r>
        <w:rPr>
          <w:rFonts w:ascii="Arial" w:cs="Arial" w:eastAsia="Arial" w:hAnsi="Arial"/>
          <w:sz w:val="16"/>
          <w:szCs w:val="16"/>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200" w:lineRule="exact"/>
        <w:rPr>
          <w:sz w:val="20"/>
          <w:szCs w:val="20"/>
          <w:color w:val="auto"/>
        </w:rPr>
      </w:pPr>
    </w:p>
    <w:p>
      <w:pPr>
        <w:spacing w:after="0" w:line="256"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16" w:name="page417"/>
    <w:bookmarkEnd w:id="41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0" w:lineRule="auto"/>
        <w:tabs>
          <w:tab w:leader="none" w:pos="845" w:val="left"/>
        </w:tabs>
        <w:numPr>
          <w:ilvl w:val="1"/>
          <w:numId w:val="379"/>
        </w:numPr>
        <w:rPr>
          <w:rFonts w:ascii="Arial" w:cs="Arial" w:eastAsia="Arial" w:hAnsi="Arial"/>
          <w:sz w:val="17"/>
          <w:szCs w:val="17"/>
          <w:color w:val="auto"/>
        </w:rPr>
      </w:pPr>
      <w:r>
        <w:rPr>
          <w:rFonts w:ascii="Arial" w:cs="Arial" w:eastAsia="Arial" w:hAnsi="Arial"/>
          <w:sz w:val="17"/>
          <w:szCs w:val="17"/>
          <w:u w:val="single" w:color="auto"/>
          <w:color w:val="auto"/>
        </w:rPr>
        <w:t>Recapitalization or Reorganization</w:t>
      </w:r>
      <w:r>
        <w:rPr>
          <w:rFonts w:ascii="Arial" w:cs="Arial" w:eastAsia="Arial" w:hAnsi="Arial"/>
          <w:sz w:val="17"/>
          <w:szCs w:val="17"/>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1" w:lineRule="exact"/>
        <w:rPr>
          <w:rFonts w:ascii="Arial" w:cs="Arial" w:eastAsia="Arial" w:hAnsi="Arial"/>
          <w:sz w:val="17"/>
          <w:szCs w:val="17"/>
          <w:color w:val="auto"/>
        </w:rPr>
      </w:pPr>
    </w:p>
    <w:p>
      <w:pPr>
        <w:ind w:left="840" w:hanging="292"/>
        <w:spacing w:after="0"/>
        <w:tabs>
          <w:tab w:leader="none" w:pos="840" w:val="left"/>
        </w:tabs>
        <w:numPr>
          <w:ilvl w:val="1"/>
          <w:numId w:val="379"/>
        </w:numPr>
        <w:rPr>
          <w:rFonts w:ascii="Arial" w:cs="Arial" w:eastAsia="Arial" w:hAnsi="Arial"/>
          <w:sz w:val="15"/>
          <w:szCs w:val="15"/>
          <w:color w:val="auto"/>
        </w:rPr>
      </w:pPr>
      <w:r>
        <w:rPr>
          <w:rFonts w:ascii="Arial" w:cs="Arial" w:eastAsia="Arial" w:hAnsi="Arial"/>
          <w:sz w:val="15"/>
          <w:szCs w:val="15"/>
          <w:u w:val="single" w:color="auto"/>
          <w:color w:val="auto"/>
        </w:rPr>
        <w:t>Adjustments to Stock-Based Awards</w:t>
      </w:r>
      <w:r>
        <w:rPr>
          <w:rFonts w:ascii="Arial" w:cs="Arial" w:eastAsia="Arial" w:hAnsi="Arial"/>
          <w:sz w:val="15"/>
          <w:szCs w:val="15"/>
          <w:color w:val="auto"/>
        </w:rPr>
        <w:t>. Upon the happening of any of the events described in Subparagraphs (a), (b) or</w:t>
      </w:r>
    </w:p>
    <w:p>
      <w:pPr>
        <w:spacing w:after="0" w:line="40" w:lineRule="exact"/>
        <w:rPr>
          <w:rFonts w:ascii="Arial" w:cs="Arial" w:eastAsia="Arial" w:hAnsi="Arial"/>
          <w:sz w:val="15"/>
          <w:szCs w:val="15"/>
          <w:color w:val="auto"/>
        </w:rPr>
      </w:pPr>
    </w:p>
    <w:p>
      <w:pPr>
        <w:jc w:val="both"/>
        <w:ind w:left="300" w:right="1239" w:hanging="2"/>
        <w:spacing w:after="0" w:line="248" w:lineRule="auto"/>
        <w:tabs>
          <w:tab w:leader="none" w:pos="576"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81" w:lineRule="exact"/>
        <w:rPr>
          <w:rFonts w:ascii="Arial" w:cs="Arial" w:eastAsia="Arial" w:hAnsi="Arial"/>
          <w:sz w:val="17"/>
          <w:szCs w:val="17"/>
          <w:color w:val="auto"/>
        </w:rPr>
      </w:pPr>
    </w:p>
    <w:p>
      <w:pPr>
        <w:jc w:val="both"/>
        <w:ind w:left="300" w:right="1239" w:firstLine="248"/>
        <w:spacing w:after="0" w:line="265" w:lineRule="auto"/>
        <w:tabs>
          <w:tab w:leader="none" w:pos="819" w:val="left"/>
        </w:tabs>
        <w:numPr>
          <w:ilvl w:val="1"/>
          <w:numId w:val="380"/>
        </w:numPr>
        <w:rPr>
          <w:rFonts w:ascii="Arial" w:cs="Arial" w:eastAsia="Arial" w:hAnsi="Arial"/>
          <w:sz w:val="16"/>
          <w:szCs w:val="16"/>
          <w:color w:val="auto"/>
        </w:rPr>
      </w:pPr>
      <w:r>
        <w:rPr>
          <w:rFonts w:ascii="Arial" w:cs="Arial" w:eastAsia="Arial" w:hAnsi="Arial"/>
          <w:sz w:val="16"/>
          <w:szCs w:val="16"/>
          <w:u w:val="single" w:color="auto"/>
          <w:color w:val="auto"/>
        </w:rPr>
        <w:t>Modification of Options</w:t>
      </w:r>
      <w:r>
        <w:rPr>
          <w:rFonts w:ascii="Arial" w:cs="Arial" w:eastAsia="Arial" w:hAnsi="Arial"/>
          <w:sz w:val="16"/>
          <w:szCs w:val="16"/>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74" w:lineRule="exact"/>
        <w:rPr>
          <w:sz w:val="20"/>
          <w:szCs w:val="20"/>
          <w:color w:val="auto"/>
        </w:rPr>
      </w:pPr>
    </w:p>
    <w:p>
      <w:pPr>
        <w:ind w:left="600" w:hanging="302"/>
        <w:spacing w:after="0"/>
        <w:tabs>
          <w:tab w:leader="none" w:pos="60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ISSUANCES OF SECURITIES.</w:t>
      </w:r>
    </w:p>
    <w:p>
      <w:pPr>
        <w:spacing w:after="0" w:line="105" w:lineRule="exact"/>
        <w:rPr>
          <w:sz w:val="20"/>
          <w:szCs w:val="20"/>
          <w:color w:val="auto"/>
        </w:rPr>
      </w:pPr>
    </w:p>
    <w:p>
      <w:pPr>
        <w:jc w:val="both"/>
        <w:ind w:left="40" w:right="1239" w:firstLine="251"/>
        <w:spacing w:after="0" w:line="297" w:lineRule="auto"/>
        <w:rPr>
          <w:sz w:val="20"/>
          <w:szCs w:val="20"/>
          <w:color w:val="auto"/>
        </w:rPr>
      </w:pPr>
      <w:r>
        <w:rPr>
          <w:rFonts w:ascii="Arial" w:cs="Arial" w:eastAsia="Arial" w:hAnsi="Arial"/>
          <w:sz w:val="15"/>
          <w:szCs w:val="15"/>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48" w:lineRule="exact"/>
        <w:rPr>
          <w:sz w:val="20"/>
          <w:szCs w:val="20"/>
          <w:color w:val="auto"/>
        </w:rPr>
      </w:pPr>
    </w:p>
    <w:p>
      <w:pPr>
        <w:ind w:left="600" w:hanging="302"/>
        <w:spacing w:after="0"/>
        <w:tabs>
          <w:tab w:leader="none" w:pos="600"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FRACTIONAL SHARES.</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No fractional shares shall be issued under the Plan and the person exercising a Stock Right shall receive from the Company cash in lieu of such fractional shares equal to the Fair Market Value thereof.</w:t>
      </w:r>
    </w:p>
    <w:p>
      <w:pPr>
        <w:spacing w:after="0" w:line="66" w:lineRule="exact"/>
        <w:rPr>
          <w:sz w:val="20"/>
          <w:szCs w:val="20"/>
          <w:color w:val="auto"/>
        </w:rPr>
      </w:pPr>
    </w:p>
    <w:p>
      <w:pPr>
        <w:ind w:left="600" w:hanging="302"/>
        <w:spacing w:after="0"/>
        <w:tabs>
          <w:tab w:leader="none" w:pos="60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CONVERSION OF ISOs INTO NON-QUALIFIED OPTIONS; TERMINATION OF ISOs.</w:t>
      </w:r>
    </w:p>
    <w:p>
      <w:pPr>
        <w:spacing w:after="0" w:line="105" w:lineRule="exact"/>
        <w:rPr>
          <w:sz w:val="20"/>
          <w:szCs w:val="20"/>
          <w:color w:val="auto"/>
        </w:rPr>
      </w:pPr>
    </w:p>
    <w:p>
      <w:pPr>
        <w:jc w:val="both"/>
        <w:ind w:left="40" w:right="1239" w:firstLine="251"/>
        <w:spacing w:after="0" w:line="285" w:lineRule="auto"/>
        <w:rPr>
          <w:sz w:val="20"/>
          <w:szCs w:val="20"/>
          <w:color w:val="auto"/>
        </w:rPr>
      </w:pPr>
      <w:r>
        <w:rPr>
          <w:rFonts w:ascii="Arial" w:cs="Arial" w:eastAsia="Arial" w:hAnsi="Arial"/>
          <w:sz w:val="15"/>
          <w:szCs w:val="15"/>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61" w:lineRule="exact"/>
        <w:rPr>
          <w:sz w:val="20"/>
          <w:szCs w:val="20"/>
          <w:color w:val="auto"/>
        </w:rPr>
      </w:pPr>
    </w:p>
    <w:p>
      <w:pPr>
        <w:ind w:left="600" w:hanging="302"/>
        <w:spacing w:after="0"/>
        <w:tabs>
          <w:tab w:leader="none" w:pos="60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WITHHOLDING.</w:t>
      </w:r>
    </w:p>
    <w:p>
      <w:pPr>
        <w:spacing w:after="0" w:line="105"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7" w:name="page418"/>
    <w:bookmarkEnd w:id="41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65" w:lineRule="auto"/>
        <w:rPr>
          <w:sz w:val="20"/>
          <w:szCs w:val="20"/>
          <w:color w:val="auto"/>
        </w:rPr>
      </w:pPr>
      <w:r>
        <w:rPr>
          <w:rFonts w:ascii="Arial" w:cs="Arial" w:eastAsia="Arial" w:hAnsi="Arial"/>
          <w:sz w:val="16"/>
          <w:szCs w:val="16"/>
          <w:color w:val="auto"/>
        </w:rPr>
        <w:t>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74" w:lineRule="exact"/>
        <w:rPr>
          <w:sz w:val="20"/>
          <w:szCs w:val="20"/>
          <w:color w:val="auto"/>
        </w:rPr>
      </w:pPr>
    </w:p>
    <w:p>
      <w:pPr>
        <w:ind w:left="600" w:hanging="302"/>
        <w:spacing w:after="0"/>
        <w:tabs>
          <w:tab w:leader="none" w:pos="600"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NOTICE TO COMPANY OF DISQUALIFYING DISPOSITION.</w:t>
      </w:r>
    </w:p>
    <w:p>
      <w:pPr>
        <w:spacing w:after="0" w:line="105" w:lineRule="exact"/>
        <w:rPr>
          <w:sz w:val="20"/>
          <w:szCs w:val="20"/>
          <w:color w:val="auto"/>
        </w:rPr>
      </w:pPr>
    </w:p>
    <w:p>
      <w:pPr>
        <w:jc w:val="both"/>
        <w:ind w:left="40" w:right="1239" w:firstLine="251"/>
        <w:spacing w:after="0" w:line="269" w:lineRule="auto"/>
        <w:rPr>
          <w:sz w:val="20"/>
          <w:szCs w:val="20"/>
          <w:color w:val="auto"/>
        </w:rPr>
      </w:pPr>
      <w:r>
        <w:rPr>
          <w:rFonts w:ascii="Arial" w:cs="Arial" w:eastAsia="Arial" w:hAnsi="Arial"/>
          <w:sz w:val="16"/>
          <w:szCs w:val="16"/>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66" w:lineRule="exact"/>
        <w:rPr>
          <w:sz w:val="20"/>
          <w:szCs w:val="20"/>
          <w:color w:val="auto"/>
        </w:rPr>
      </w:pPr>
    </w:p>
    <w:p>
      <w:pPr>
        <w:ind w:left="600" w:hanging="302"/>
        <w:spacing w:after="0"/>
        <w:tabs>
          <w:tab w:leader="none" w:pos="600"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TERMINATION OF THE PLAN.</w:t>
      </w:r>
    </w:p>
    <w:p>
      <w:pPr>
        <w:spacing w:after="0" w:line="105" w:lineRule="exact"/>
        <w:rPr>
          <w:sz w:val="20"/>
          <w:szCs w:val="20"/>
          <w:color w:val="auto"/>
        </w:rPr>
      </w:pPr>
    </w:p>
    <w:p>
      <w:pPr>
        <w:jc w:val="both"/>
        <w:ind w:left="40" w:right="1239" w:firstLine="251"/>
        <w:spacing w:after="0" w:line="251" w:lineRule="auto"/>
        <w:rPr>
          <w:sz w:val="20"/>
          <w:szCs w:val="20"/>
          <w:color w:val="auto"/>
        </w:rPr>
      </w:pPr>
      <w:r>
        <w:rPr>
          <w:rFonts w:ascii="Arial" w:cs="Arial" w:eastAsia="Arial" w:hAnsi="Arial"/>
          <w:sz w:val="17"/>
          <w:szCs w:val="17"/>
          <w:color w:val="auto"/>
        </w:rPr>
        <w:t xml:space="preserve">The Plan will terminate on the date which is ten years from the </w:t>
      </w:r>
      <w:r>
        <w:rPr>
          <w:rFonts w:ascii="Arial" w:cs="Arial" w:eastAsia="Arial" w:hAnsi="Arial"/>
          <w:sz w:val="17"/>
          <w:szCs w:val="17"/>
          <w:u w:val="single" w:color="auto"/>
          <w:color w:val="auto"/>
        </w:rPr>
        <w:t>earlier</w:t>
      </w:r>
      <w:r>
        <w:rPr>
          <w:rFonts w:ascii="Arial" w:cs="Arial" w:eastAsia="Arial" w:hAnsi="Arial"/>
          <w:sz w:val="17"/>
          <w:szCs w:val="17"/>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80" w:lineRule="exact"/>
        <w:rPr>
          <w:sz w:val="20"/>
          <w:szCs w:val="20"/>
          <w:color w:val="auto"/>
        </w:rPr>
      </w:pPr>
    </w:p>
    <w:p>
      <w:pPr>
        <w:ind w:left="600" w:hanging="302"/>
        <w:spacing w:after="0"/>
        <w:tabs>
          <w:tab w:leader="none" w:pos="600" w:val="left"/>
        </w:tabs>
        <w:numPr>
          <w:ilvl w:val="0"/>
          <w:numId w:val="387"/>
        </w:numPr>
        <w:rPr>
          <w:rFonts w:ascii="Arial" w:cs="Arial" w:eastAsia="Arial" w:hAnsi="Arial"/>
          <w:sz w:val="17"/>
          <w:szCs w:val="17"/>
          <w:color w:val="auto"/>
        </w:rPr>
      </w:pPr>
      <w:r>
        <w:rPr>
          <w:rFonts w:ascii="Arial" w:cs="Arial" w:eastAsia="Arial" w:hAnsi="Arial"/>
          <w:sz w:val="17"/>
          <w:szCs w:val="17"/>
          <w:u w:val="single" w:color="auto"/>
          <w:color w:val="auto"/>
        </w:rPr>
        <w:t>AMENDMENT OF THE PLAN AND AGREEMENTS.</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200" w:lineRule="exact"/>
        <w:rPr>
          <w:sz w:val="20"/>
          <w:szCs w:val="20"/>
          <w:color w:val="auto"/>
        </w:rPr>
      </w:pPr>
    </w:p>
    <w:p>
      <w:pPr>
        <w:spacing w:after="0" w:line="27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8" w:name="page419"/>
    <w:bookmarkEnd w:id="41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00" w:hanging="302"/>
        <w:spacing w:after="0"/>
        <w:tabs>
          <w:tab w:leader="none" w:pos="60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EMPLOYMENT OR OTHER RELATIONSHIP.</w:t>
      </w:r>
    </w:p>
    <w:p>
      <w:pPr>
        <w:spacing w:after="0" w:line="105" w:lineRule="exact"/>
        <w:rPr>
          <w:sz w:val="20"/>
          <w:szCs w:val="20"/>
          <w:color w:val="auto"/>
        </w:rPr>
      </w:pPr>
    </w:p>
    <w:p>
      <w:pPr>
        <w:jc w:val="both"/>
        <w:ind w:left="40" w:right="1239" w:firstLine="251"/>
        <w:spacing w:after="0" w:line="253"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78" w:lineRule="exact"/>
        <w:rPr>
          <w:sz w:val="20"/>
          <w:szCs w:val="20"/>
          <w:color w:val="auto"/>
        </w:rPr>
      </w:pPr>
    </w:p>
    <w:p>
      <w:pPr>
        <w:ind w:left="600" w:hanging="302"/>
        <w:spacing w:after="0"/>
        <w:tabs>
          <w:tab w:leader="none" w:pos="600"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GOVERNING LAW.</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Plan shall be construed and enforced in accordance with the law of the State of Delaware.</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19" w:name="page420"/>
    <w:bookmarkEnd w:id="41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2012 EMPLOYEE, DIRECTOR AND CONSULTANT EQUITY INCENTIVE PLAN</w:t>
      </w:r>
    </w:p>
    <w:p>
      <w:pPr>
        <w:spacing w:after="0" w:line="21"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APPENDIX A — ISRAEL</w:t>
      </w:r>
    </w:p>
    <w:p>
      <w:pPr>
        <w:spacing w:after="0" w:line="93" w:lineRule="exact"/>
        <w:rPr>
          <w:sz w:val="20"/>
          <w:szCs w:val="20"/>
          <w:color w:val="auto"/>
        </w:rPr>
      </w:pPr>
    </w:p>
    <w:p>
      <w:pPr>
        <w:ind w:left="260" w:hanging="250"/>
        <w:spacing w:after="0"/>
        <w:tabs>
          <w:tab w:leader="none" w:pos="2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NAME AND EFFECTIVE DATE</w:t>
      </w:r>
    </w:p>
    <w:p>
      <w:pPr>
        <w:spacing w:after="0" w:line="101" w:lineRule="exact"/>
        <w:rPr>
          <w:rFonts w:ascii="Arial" w:cs="Arial" w:eastAsia="Arial" w:hAnsi="Arial"/>
          <w:sz w:val="17"/>
          <w:szCs w:val="17"/>
          <w:color w:val="auto"/>
        </w:rPr>
      </w:pPr>
    </w:p>
    <w:p>
      <w:pPr>
        <w:ind w:left="580" w:right="1239" w:hanging="313"/>
        <w:spacing w:after="0" w:line="259" w:lineRule="auto"/>
        <w:rPr>
          <w:rFonts w:ascii="Arial" w:cs="Arial" w:eastAsia="Arial" w:hAnsi="Arial"/>
          <w:sz w:val="17"/>
          <w:szCs w:val="17"/>
          <w:color w:val="auto"/>
        </w:rPr>
      </w:pPr>
      <w:r>
        <w:rPr>
          <w:rFonts w:ascii="Arial" w:cs="Arial" w:eastAsia="Arial" w:hAnsi="Arial"/>
          <w:sz w:val="17"/>
          <w:szCs w:val="17"/>
          <w:color w:val="auto"/>
        </w:rPr>
        <w:t>1.1 This Appendix A (the “</w:t>
      </w:r>
      <w:r>
        <w:rPr>
          <w:rFonts w:ascii="Arial" w:cs="Arial" w:eastAsia="Arial" w:hAnsi="Arial"/>
          <w:sz w:val="17"/>
          <w:szCs w:val="17"/>
          <w:b w:val="1"/>
          <w:bCs w:val="1"/>
          <w:color w:val="auto"/>
        </w:rPr>
        <w:t>Appendix</w:t>
      </w:r>
      <w:r>
        <w:rPr>
          <w:rFonts w:ascii="Arial" w:cs="Arial" w:eastAsia="Arial" w:hAnsi="Arial"/>
          <w:sz w:val="17"/>
          <w:szCs w:val="17"/>
          <w:color w:val="auto"/>
        </w:rPr>
        <w:t>”) to the Vringo, Inc. 2012 Employee, Director and Consultant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shall apply only to individuals who are granted Options who are residents of the State of Israel for tax purposes, or are otherwise subject to taxation in Israel with respect to Options.</w:t>
      </w:r>
    </w:p>
    <w:p>
      <w:pPr>
        <w:spacing w:after="0" w:line="72"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1.2 This Appendix shall be effective as of _____________ 2012.</w:t>
      </w:r>
    </w:p>
    <w:p>
      <w:pPr>
        <w:spacing w:after="0" w:line="105" w:lineRule="exact"/>
        <w:rPr>
          <w:rFonts w:ascii="Arial" w:cs="Arial" w:eastAsia="Arial" w:hAnsi="Arial"/>
          <w:sz w:val="17"/>
          <w:szCs w:val="17"/>
          <w:color w:val="auto"/>
        </w:rPr>
      </w:pPr>
    </w:p>
    <w:p>
      <w:pPr>
        <w:ind w:left="260" w:hanging="250"/>
        <w:spacing w:after="0"/>
        <w:tabs>
          <w:tab w:leader="none" w:pos="2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PURPOSE</w:t>
      </w:r>
    </w:p>
    <w:p>
      <w:pPr>
        <w:spacing w:after="0" w:line="105"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2.1 This Appendix applies to Options granted to Israeli Participants under the Plan and such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7"/>
          <w:szCs w:val="17"/>
          <w:b w:val="1"/>
          <w:bCs w:val="1"/>
          <w:color w:val="auto"/>
        </w:rPr>
        <w:t>102 Options</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2.2 The purpose of this Appendix is to establish certain rules and limitations applicable to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105" w:lineRule="exact"/>
        <w:rPr>
          <w:sz w:val="20"/>
          <w:szCs w:val="20"/>
          <w:color w:val="auto"/>
        </w:rPr>
      </w:pPr>
    </w:p>
    <w:p>
      <w:pPr>
        <w:ind w:left="580" w:right="1239" w:hanging="312"/>
        <w:spacing w:after="0" w:line="267" w:lineRule="auto"/>
        <w:rPr>
          <w:sz w:val="20"/>
          <w:szCs w:val="20"/>
          <w:color w:val="auto"/>
        </w:rPr>
      </w:pPr>
      <w:r>
        <w:rPr>
          <w:rFonts w:ascii="Arial" w:cs="Arial" w:eastAsia="Arial" w:hAnsi="Arial"/>
          <w:sz w:val="17"/>
          <w:szCs w:val="17"/>
          <w:color w:val="auto"/>
        </w:rPr>
        <w:t>3.1 Capitalized Terms not otherwise defined herein shall have the meanings assigned in the Plan. The following additional terms will apply to grants made pursuant to this Appendix:</w:t>
      </w:r>
    </w:p>
    <w:p>
      <w:pPr>
        <w:spacing w:after="0" w:line="62" w:lineRule="exact"/>
        <w:rPr>
          <w:sz w:val="20"/>
          <w:szCs w:val="20"/>
          <w:color w:val="auto"/>
        </w:rPr>
      </w:pPr>
    </w:p>
    <w:p>
      <w:pPr>
        <w:ind w:left="58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3(i) Option</w:t>
      </w:r>
      <w:r>
        <w:rPr>
          <w:rFonts w:ascii="Arial" w:cs="Arial" w:eastAsia="Arial" w:hAnsi="Arial"/>
          <w:sz w:val="17"/>
          <w:szCs w:val="17"/>
          <w:color w:val="auto"/>
        </w:rPr>
        <w:t>” means an Option granted under the terms of Section 3(i) of the Ordinance to persons which do not qualify as “employees” under the provisions of Section 102.</w:t>
      </w:r>
    </w:p>
    <w:p>
      <w:pPr>
        <w:spacing w:after="0" w:line="58" w:lineRule="exact"/>
        <w:rPr>
          <w:sz w:val="20"/>
          <w:szCs w:val="20"/>
          <w:color w:val="auto"/>
        </w:rPr>
      </w:pPr>
    </w:p>
    <w:p>
      <w:pPr>
        <w:jc w:val="both"/>
        <w:ind w:left="58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102(b) Track Election</w:t>
      </w:r>
      <w:r>
        <w:rPr>
          <w:rFonts w:ascii="Arial" w:cs="Arial" w:eastAsia="Arial" w:hAnsi="Arial"/>
          <w:sz w:val="17"/>
          <w:szCs w:val="17"/>
          <w:color w:val="auto"/>
        </w:rPr>
        <w:t>” means the right of the Company to prefer either the “Capital Track” (as set under Section 102(b) (2)), or the “Ordinary Income Track” (as set under Section 102(b)(1)), but subject to the provisions of Section 102(g) of the Ordinance.</w:t>
      </w:r>
    </w:p>
    <w:p>
      <w:pPr>
        <w:spacing w:after="0" w:line="69" w:lineRule="exact"/>
        <w:rPr>
          <w:sz w:val="20"/>
          <w:szCs w:val="20"/>
          <w:color w:val="auto"/>
        </w:rPr>
      </w:pPr>
    </w:p>
    <w:p>
      <w:pPr>
        <w:ind w:left="58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102(b) Option</w:t>
      </w:r>
      <w:r>
        <w:rPr>
          <w:rFonts w:ascii="Arial" w:cs="Arial" w:eastAsia="Arial" w:hAnsi="Arial"/>
          <w:sz w:val="17"/>
          <w:szCs w:val="17"/>
          <w:color w:val="auto"/>
        </w:rPr>
        <w:t>” means an Option intended to qualify, under the provisions of Section 102(b) of the Ordinance (including the Section 102(b) Choice of Track), as either:</w:t>
      </w:r>
    </w:p>
    <w:p>
      <w:pPr>
        <w:spacing w:after="0" w:line="58" w:lineRule="exact"/>
        <w:rPr>
          <w:sz w:val="20"/>
          <w:szCs w:val="20"/>
          <w:color w:val="auto"/>
        </w:rPr>
      </w:pPr>
    </w:p>
    <w:p>
      <w:pPr>
        <w:ind w:left="1020" w:hanging="259"/>
        <w:spacing w:after="0"/>
        <w:tabs>
          <w:tab w:leader="none" w:pos="10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102(b)(2) Option</w:t>
      </w:r>
      <w:r>
        <w:rPr>
          <w:rFonts w:ascii="Arial" w:cs="Arial" w:eastAsia="Arial" w:hAnsi="Arial"/>
          <w:sz w:val="17"/>
          <w:szCs w:val="17"/>
          <w:color w:val="auto"/>
        </w:rPr>
        <w:t>” for the special tax treatments under the “Capital Track”, or</w:t>
      </w:r>
    </w:p>
    <w:p>
      <w:pPr>
        <w:spacing w:after="0" w:line="105" w:lineRule="exact"/>
        <w:rPr>
          <w:rFonts w:ascii="Arial" w:cs="Arial" w:eastAsia="Arial" w:hAnsi="Arial"/>
          <w:sz w:val="17"/>
          <w:szCs w:val="17"/>
          <w:color w:val="auto"/>
        </w:rPr>
      </w:pPr>
    </w:p>
    <w:p>
      <w:pPr>
        <w:ind w:left="1020" w:hanging="259"/>
        <w:spacing w:after="0"/>
        <w:tabs>
          <w:tab w:leader="none" w:pos="102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102(b)(1) Option</w:t>
      </w:r>
      <w:r>
        <w:rPr>
          <w:rFonts w:ascii="Arial" w:cs="Arial" w:eastAsia="Arial" w:hAnsi="Arial"/>
          <w:sz w:val="17"/>
          <w:szCs w:val="17"/>
          <w:color w:val="auto"/>
        </w:rPr>
        <w:t>” for the special tax treatments under the “Ordinary Income Track”.</w:t>
      </w:r>
    </w:p>
    <w:p>
      <w:pPr>
        <w:spacing w:after="0" w:line="105" w:lineRule="exact"/>
        <w:rPr>
          <w:sz w:val="20"/>
          <w:szCs w:val="20"/>
          <w:color w:val="auto"/>
        </w:rPr>
      </w:pPr>
    </w:p>
    <w:p>
      <w:pPr>
        <w:jc w:val="both"/>
        <w:ind w:left="540" w:right="123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75"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Controlling Person</w:t>
      </w:r>
      <w:r>
        <w:rPr>
          <w:rFonts w:ascii="Arial" w:cs="Arial" w:eastAsia="Arial" w:hAnsi="Arial"/>
          <w:sz w:val="17"/>
          <w:szCs w:val="17"/>
          <w:color w:val="auto"/>
        </w:rPr>
        <w:t>” shall have the meaning ascribed to such definition under Section 102 of the Ordinance, as may be amended from time to time.</w:t>
      </w:r>
    </w:p>
    <w:p>
      <w:pPr>
        <w:spacing w:after="0" w:line="58" w:lineRule="exact"/>
        <w:rPr>
          <w:sz w:val="20"/>
          <w:szCs w:val="20"/>
          <w:color w:val="auto"/>
        </w:rPr>
      </w:pPr>
    </w:p>
    <w:p>
      <w:pPr>
        <w:jc w:val="both"/>
        <w:ind w:left="54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or “</w:t>
      </w:r>
      <w:r>
        <w:rPr>
          <w:rFonts w:ascii="Arial" w:cs="Arial" w:eastAsia="Arial" w:hAnsi="Arial"/>
          <w:sz w:val="17"/>
          <w:szCs w:val="17"/>
          <w:b w:val="1"/>
          <w:bCs w:val="1"/>
          <w:color w:val="auto"/>
        </w:rPr>
        <w:t>employee</w:t>
      </w:r>
      <w:r>
        <w:rPr>
          <w:rFonts w:ascii="Arial" w:cs="Arial" w:eastAsia="Arial" w:hAnsi="Arial"/>
          <w:sz w:val="17"/>
          <w:szCs w:val="17"/>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69" w:lineRule="exact"/>
        <w:rPr>
          <w:sz w:val="20"/>
          <w:szCs w:val="20"/>
          <w:color w:val="auto"/>
        </w:rPr>
      </w:pPr>
    </w:p>
    <w:p>
      <w:pPr>
        <w:jc w:val="both"/>
        <w:ind w:left="540" w:right="123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w:t>
      </w:r>
    </w:p>
    <w:p>
      <w:pPr>
        <w:spacing w:after="0" w:line="200" w:lineRule="exact"/>
        <w:rPr>
          <w:sz w:val="20"/>
          <w:szCs w:val="20"/>
          <w:color w:val="auto"/>
        </w:rPr>
      </w:pPr>
    </w:p>
    <w:p>
      <w:pPr>
        <w:spacing w:after="0" w:line="29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0" w:name="page421"/>
    <w:bookmarkEnd w:id="42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307" w:lineRule="auto"/>
        <w:rPr>
          <w:sz w:val="20"/>
          <w:szCs w:val="20"/>
          <w:color w:val="auto"/>
        </w:rPr>
      </w:pPr>
      <w:r>
        <w:rPr>
          <w:rFonts w:ascii="Arial" w:cs="Arial" w:eastAsia="Arial" w:hAnsi="Arial"/>
          <w:sz w:val="15"/>
          <w:szCs w:val="15"/>
          <w:color w:val="auto"/>
        </w:rPr>
        <w:t>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36" w:lineRule="exact"/>
        <w:rPr>
          <w:sz w:val="20"/>
          <w:szCs w:val="20"/>
          <w:color w:val="auto"/>
        </w:rPr>
      </w:pPr>
    </w:p>
    <w:p>
      <w:pPr>
        <w:jc w:val="both"/>
        <w:ind w:left="540" w:right="123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Ordinance”</w:t>
      </w:r>
      <w:r>
        <w:rPr>
          <w:rFonts w:ascii="Arial" w:cs="Arial" w:eastAsia="Arial" w:hAnsi="Arial"/>
          <w:sz w:val="17"/>
          <w:szCs w:val="17"/>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69"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Rights</w:t>
      </w:r>
      <w:r>
        <w:rPr>
          <w:rFonts w:ascii="Arial" w:cs="Arial" w:eastAsia="Arial" w:hAnsi="Arial"/>
          <w:sz w:val="17"/>
          <w:szCs w:val="17"/>
          <w:color w:val="auto"/>
        </w:rPr>
        <w:t>” means rights issued or distributed in respect of Shares issued pursuant to exercise of Options under the Appendix, including bonus shares but excluding cash dividends.</w:t>
      </w:r>
    </w:p>
    <w:p>
      <w:pPr>
        <w:spacing w:after="0" w:line="5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Rules”</w:t>
      </w:r>
      <w:r>
        <w:rPr>
          <w:rFonts w:ascii="Arial" w:cs="Arial" w:eastAsia="Arial" w:hAnsi="Arial"/>
          <w:sz w:val="17"/>
          <w:szCs w:val="17"/>
          <w:color w:val="auto"/>
        </w:rPr>
        <w:t xml:space="preserve"> means the Income Tax Rules (Tax Benefits in Share Issuances to Employees) 5763-2003.</w:t>
      </w:r>
    </w:p>
    <w:p>
      <w:pPr>
        <w:spacing w:after="0" w:line="105" w:lineRule="exact"/>
        <w:rPr>
          <w:sz w:val="20"/>
          <w:szCs w:val="20"/>
          <w:color w:val="auto"/>
        </w:rPr>
      </w:pPr>
    </w:p>
    <w:p>
      <w:pPr>
        <w:jc w:val="both"/>
        <w:ind w:left="540" w:right="123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Unapproved 102 Options</w:t>
      </w:r>
      <w:r>
        <w:rPr>
          <w:rFonts w:ascii="Arial" w:cs="Arial" w:eastAsia="Arial" w:hAnsi="Arial"/>
          <w:sz w:val="17"/>
          <w:szCs w:val="17"/>
          <w:color w:val="auto"/>
        </w:rPr>
        <w:t>” means 102 Options granted pursuant to Section 102(c) of the Ordinance and not held in trust by a Trustee.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4.  DESIGNATION OF PARTICIPANTS</w:t>
      </w:r>
    </w:p>
    <w:p>
      <w:pPr>
        <w:spacing w:after="0" w:line="105" w:lineRule="exact"/>
        <w:rPr>
          <w:sz w:val="20"/>
          <w:szCs w:val="20"/>
          <w:color w:val="auto"/>
        </w:rPr>
      </w:pPr>
    </w:p>
    <w:p>
      <w:pPr>
        <w:jc w:val="both"/>
        <w:ind w:left="300" w:right="1239"/>
        <w:spacing w:after="0" w:line="249" w:lineRule="auto"/>
        <w:rPr>
          <w:sz w:val="20"/>
          <w:szCs w:val="20"/>
          <w:color w:val="auto"/>
        </w:rPr>
      </w:pPr>
      <w:r>
        <w:rPr>
          <w:rFonts w:ascii="Arial" w:cs="Arial" w:eastAsia="Arial" w:hAnsi="Arial"/>
          <w:sz w:val="17"/>
          <w:szCs w:val="17"/>
          <w:color w:val="auto"/>
        </w:rPr>
        <w:t>The persons eligible for participation under the Appendix as recipients of Options shall include any Employees (including officers), directors and consultants of the Company or of any Affiliate of the Company who are residents of the State of Israel or those who are deemed to be residents of the State of Israel for the payment of tax. The grant of an Option hereunder shall neither entitle the recipient thereof to participate nor disqualify him from participating in, any other grant of Options pursuant to the Appendix, the Plan or any other equity plan of the Company or any of its Affiliates. Notwithstanding the foregoing, no 102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82" w:lineRule="exact"/>
        <w:rPr>
          <w:sz w:val="20"/>
          <w:szCs w:val="20"/>
          <w:color w:val="auto"/>
        </w:rPr>
      </w:pPr>
    </w:p>
    <w:p>
      <w:pPr>
        <w:ind w:left="260" w:hanging="250"/>
        <w:spacing w:after="0"/>
        <w:tabs>
          <w:tab w:leader="none" w:pos="2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DESIGNATION OF OPTIONS PURSUANT TO SECTION 102</w:t>
      </w:r>
    </w:p>
    <w:p>
      <w:pPr>
        <w:spacing w:after="0" w:line="105"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5.1 The Company may designate Options granted to Employees pursuant to Section 102 of the Ordinance as Unapproved 102 Options or 102(b) Options.</w:t>
      </w:r>
    </w:p>
    <w:p>
      <w:pPr>
        <w:spacing w:after="0" w:line="66"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5.2 The grant of 102(b) Options shall be made under this Appendix and shall be conditioned upon the approval of this Appendix by the Israeli Tax Authorities (the “</w:t>
      </w:r>
      <w:r>
        <w:rPr>
          <w:rFonts w:ascii="Arial" w:cs="Arial" w:eastAsia="Arial" w:hAnsi="Arial"/>
          <w:sz w:val="17"/>
          <w:szCs w:val="17"/>
          <w:b w:val="1"/>
          <w:bCs w:val="1"/>
          <w:color w:val="auto"/>
        </w:rPr>
        <w:t>ITA</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5.3 102(b) Options may either be classified as 102(b)(2) Options under the capital gain tax Track or 102(b)(1) Options under the Ordinary Income Track.</w:t>
      </w:r>
    </w:p>
    <w:p>
      <w:pPr>
        <w:spacing w:after="0" w:line="66" w:lineRule="exact"/>
        <w:rPr>
          <w:rFonts w:ascii="Arial" w:cs="Arial" w:eastAsia="Arial" w:hAnsi="Arial"/>
          <w:sz w:val="17"/>
          <w:szCs w:val="17"/>
          <w:color w:val="auto"/>
        </w:rPr>
      </w:pPr>
    </w:p>
    <w:p>
      <w:pPr>
        <w:ind w:left="580" w:right="1239" w:hanging="313"/>
        <w:spacing w:after="0" w:line="266" w:lineRule="auto"/>
        <w:rPr>
          <w:rFonts w:ascii="Arial" w:cs="Arial" w:eastAsia="Arial" w:hAnsi="Arial"/>
          <w:sz w:val="17"/>
          <w:szCs w:val="17"/>
          <w:color w:val="auto"/>
        </w:rPr>
      </w:pPr>
      <w:r>
        <w:rPr>
          <w:rFonts w:ascii="Arial" w:cs="Arial" w:eastAsia="Arial" w:hAnsi="Arial"/>
          <w:sz w:val="16"/>
          <w:szCs w:val="16"/>
          <w:color w:val="auto"/>
        </w:rPr>
        <w:t>5.4 The Company’s election of the type of 102(b) Options as 102(b)(2) Options or 102(b)(1) Options granted to Employees (the “</w:t>
      </w:r>
      <w:r>
        <w:rPr>
          <w:rFonts w:ascii="Arial" w:cs="Arial" w:eastAsia="Arial" w:hAnsi="Arial"/>
          <w:sz w:val="16"/>
          <w:szCs w:val="16"/>
          <w:b w:val="1"/>
          <w:bCs w:val="1"/>
          <w:color w:val="auto"/>
        </w:rPr>
        <w:t>Election</w:t>
      </w:r>
      <w:r>
        <w:rPr>
          <w:rFonts w:ascii="Arial" w:cs="Arial" w:eastAsia="Arial" w:hAnsi="Arial"/>
          <w:sz w:val="16"/>
          <w:szCs w:val="16"/>
          <w:color w:val="auto"/>
        </w:rPr>
        <w:t>”), shall be appropriately filed with the ITA before the date of grant of 102(b) Options. Such Election shall become effective beginning the first date of grant of 102(b) Option under this Appendix and shall remain in effect at least until the end of the year following the year during which the Company first granted 102(b) Options or such other period as shall be determined from time to time under Section 102 of the Ordinance and the Rules, regulation and orders promulgated thereunder. The Election shall obligate the Company to grant only the type of 102(b)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Options simultaneously.</w:t>
      </w:r>
    </w:p>
    <w:p>
      <w:pPr>
        <w:spacing w:after="0" w:line="69"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5.5 All 102(b) Options must be held in trust by a Trustee, as described in Section 6 below.</w:t>
      </w:r>
    </w:p>
    <w:p>
      <w:pPr>
        <w:spacing w:after="0" w:line="105" w:lineRule="exact"/>
        <w:rPr>
          <w:rFonts w:ascii="Arial" w:cs="Arial" w:eastAsia="Arial" w:hAnsi="Arial"/>
          <w:sz w:val="17"/>
          <w:szCs w:val="17"/>
          <w:color w:val="auto"/>
        </w:rPr>
      </w:pPr>
    </w:p>
    <w:p>
      <w:pPr>
        <w:ind w:left="580" w:right="1239" w:hanging="313"/>
        <w:spacing w:after="0" w:line="335" w:lineRule="auto"/>
        <w:rPr>
          <w:rFonts w:ascii="Arial" w:cs="Arial" w:eastAsia="Arial" w:hAnsi="Arial"/>
          <w:sz w:val="17"/>
          <w:szCs w:val="17"/>
          <w:color w:val="auto"/>
        </w:rPr>
      </w:pPr>
      <w:r>
        <w:rPr>
          <w:rFonts w:ascii="Arial" w:cs="Arial" w:eastAsia="Arial" w:hAnsi="Arial"/>
          <w:sz w:val="15"/>
          <w:szCs w:val="15"/>
          <w:color w:val="auto"/>
        </w:rPr>
        <w:t>5.6 For the avoidance of doubt, the designation of Unapproved 102 Options and 102(b) Options shall be subject to the terms and conditions set forth in Section 102 of the Ordinance and Rules, regulations and orders promulgated thereunder.</w:t>
      </w:r>
    </w:p>
    <w:p>
      <w:pPr>
        <w:spacing w:after="0" w:line="19" w:lineRule="exact"/>
        <w:rPr>
          <w:rFonts w:ascii="Arial" w:cs="Arial" w:eastAsia="Arial" w:hAnsi="Arial"/>
          <w:sz w:val="17"/>
          <w:szCs w:val="17"/>
          <w:color w:val="auto"/>
        </w:rPr>
      </w:pPr>
    </w:p>
    <w:p>
      <w:pPr>
        <w:ind w:left="580" w:right="1239" w:hanging="313"/>
        <w:spacing w:after="0" w:line="256" w:lineRule="auto"/>
        <w:rPr>
          <w:rFonts w:ascii="Arial" w:cs="Arial" w:eastAsia="Arial" w:hAnsi="Arial"/>
          <w:sz w:val="17"/>
          <w:szCs w:val="17"/>
          <w:color w:val="auto"/>
        </w:rPr>
      </w:pPr>
      <w:r>
        <w:rPr>
          <w:rFonts w:ascii="Arial" w:cs="Arial" w:eastAsia="Arial" w:hAnsi="Arial"/>
          <w:sz w:val="17"/>
          <w:szCs w:val="17"/>
          <w:color w:val="auto"/>
        </w:rPr>
        <w:t>5.7 With regards to 102(b) Options, the provisions of the Appendix and/or the Option Agreement shall be subject to the provisions of Section 102 of the Ordinance and the Tax Assessing Officer’s permit, and the said provisions and permit shall be deemed an integral part of the Plan, the</w:t>
      </w: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1" w:name="page422"/>
    <w:bookmarkEnd w:id="42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80" w:right="1239"/>
        <w:spacing w:after="0" w:line="253" w:lineRule="auto"/>
        <w:rPr>
          <w:sz w:val="20"/>
          <w:szCs w:val="20"/>
          <w:color w:val="auto"/>
        </w:rPr>
      </w:pPr>
      <w:r>
        <w:rPr>
          <w:rFonts w:ascii="Arial" w:cs="Arial" w:eastAsia="Arial" w:hAnsi="Arial"/>
          <w:sz w:val="17"/>
          <w:szCs w:val="17"/>
          <w:color w:val="auto"/>
        </w:rPr>
        <w:t>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78" w:lineRule="exact"/>
        <w:rPr>
          <w:sz w:val="20"/>
          <w:szCs w:val="20"/>
          <w:color w:val="auto"/>
        </w:rPr>
      </w:pPr>
    </w:p>
    <w:p>
      <w:pPr>
        <w:ind w:left="260" w:hanging="213"/>
        <w:spacing w:after="0"/>
        <w:tabs>
          <w:tab w:leader="none" w:pos="2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TRUSTEE</w:t>
      </w:r>
    </w:p>
    <w:p>
      <w:pPr>
        <w:spacing w:after="0" w:line="105" w:lineRule="exact"/>
        <w:rPr>
          <w:rFonts w:ascii="Arial" w:cs="Arial" w:eastAsia="Arial" w:hAnsi="Arial"/>
          <w:sz w:val="17"/>
          <w:szCs w:val="17"/>
          <w:color w:val="auto"/>
        </w:rPr>
      </w:pPr>
    </w:p>
    <w:p>
      <w:pPr>
        <w:ind w:left="580" w:right="1239" w:hanging="313"/>
        <w:spacing w:after="0" w:line="282" w:lineRule="auto"/>
        <w:rPr>
          <w:rFonts w:ascii="Arial" w:cs="Arial" w:eastAsia="Arial" w:hAnsi="Arial"/>
          <w:sz w:val="17"/>
          <w:szCs w:val="17"/>
          <w:color w:val="auto"/>
        </w:rPr>
      </w:pPr>
      <w:r>
        <w:rPr>
          <w:rFonts w:ascii="Arial" w:cs="Arial" w:eastAsia="Arial" w:hAnsi="Arial"/>
          <w:sz w:val="15"/>
          <w:szCs w:val="15"/>
          <w:color w:val="auto"/>
        </w:rPr>
        <w:t>6.1 The 102(b) Options which shall be granted to Participants and/or any Shares issued upon exercise of such 102(b) Options and/or any other shares received subsequently following any realization of rights resulting from a 102(b)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5"/>
          <w:szCs w:val="15"/>
          <w:b w:val="1"/>
          <w:bCs w:val="1"/>
          <w:color w:val="auto"/>
        </w:rPr>
        <w:t>Trustee</w:t>
      </w:r>
      <w:r>
        <w:rPr>
          <w:rFonts w:ascii="Arial" w:cs="Arial" w:eastAsia="Arial" w:hAnsi="Arial"/>
          <w:sz w:val="15"/>
          <w:szCs w:val="15"/>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Options and Shares held by such Trustee at such time to its successor. The Trustee will hold such 102(b)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Options may be regarded as Unapproved 102 Options, all in accordance with the provisions of Section 102.</w:t>
      </w:r>
    </w:p>
    <w:p>
      <w:pPr>
        <w:spacing w:after="0" w:line="63"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6.2 Anything to the contrary notwithstanding, the Trustee shall not release any 102(b) Options which were not already exercised into Shares by the Participant or release any Shares issued upon exercise of such 102(b) Options prior to the full payment of the Participant’s tax liabilities arising from such 102(b) Options which were granted to him and/or any Shares issued upon exercise of such 102(b) Options.</w:t>
      </w:r>
    </w:p>
    <w:p>
      <w:pPr>
        <w:spacing w:after="0" w:line="77"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6.3 Upon receipt of a 102(b) Option, the Participant will sign the Option Agreement or an applicable option award which shall be deemed as the Participant’s undertaking to exempt the Trustee from any liability in respect of any action or decision duly taken and bona fide executed in relation with the Plan and the Appendix, or any 102(b) Option or Share granted to him thereunder.</w:t>
      </w:r>
    </w:p>
    <w:p>
      <w:pPr>
        <w:spacing w:after="0" w:line="77" w:lineRule="exact"/>
        <w:rPr>
          <w:rFonts w:ascii="Arial" w:cs="Arial" w:eastAsia="Arial" w:hAnsi="Arial"/>
          <w:sz w:val="17"/>
          <w:szCs w:val="17"/>
          <w:color w:val="auto"/>
        </w:rPr>
      </w:pPr>
    </w:p>
    <w:p>
      <w:pPr>
        <w:ind w:left="580" w:right="1239" w:hanging="313"/>
        <w:spacing w:after="0" w:line="251" w:lineRule="auto"/>
        <w:rPr>
          <w:rFonts w:ascii="Arial" w:cs="Arial" w:eastAsia="Arial" w:hAnsi="Arial"/>
          <w:sz w:val="17"/>
          <w:szCs w:val="17"/>
          <w:color w:val="auto"/>
        </w:rPr>
      </w:pPr>
      <w:r>
        <w:rPr>
          <w:rFonts w:ascii="Arial" w:cs="Arial" w:eastAsia="Arial" w:hAnsi="Arial"/>
          <w:sz w:val="17"/>
          <w:szCs w:val="17"/>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Option, which are expressly provided for in this Appendix or the respective Option Agreement with such Participant, or is (ii) necessary or desirable in the light of any change or replacement of Section 102 of the Ordinance.</w:t>
      </w:r>
    </w:p>
    <w:p>
      <w:pPr>
        <w:spacing w:after="0" w:line="80"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6"/>
          <w:szCs w:val="16"/>
          <w:color w:val="auto"/>
        </w:rPr>
        <w:t>6.5 Any and all Rights with respect to a 102(b)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Option hereunder. Notwithstanding the aforesaid, Shares issued pursuant to the exercise of 102(b) Options hereunder or Rights may be sold or transferred, and the Trustee may release such Shares issued pursuant to the exercise of 102(b) Options hereunder (or the applicable option award) or Rights from trust, prior to the lapse of the transferred until the lapse of the minimum period permitted by applicable law.</w:t>
      </w: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22" w:name="page423"/>
    <w:bookmarkEnd w:id="42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80" w:right="1239" w:hanging="312"/>
        <w:spacing w:after="0" w:line="253" w:lineRule="auto"/>
        <w:rPr>
          <w:sz w:val="20"/>
          <w:szCs w:val="20"/>
          <w:color w:val="auto"/>
        </w:rPr>
      </w:pPr>
      <w:r>
        <w:rPr>
          <w:rFonts w:ascii="Arial" w:cs="Arial" w:eastAsia="Arial" w:hAnsi="Arial"/>
          <w:sz w:val="17"/>
          <w:szCs w:val="17"/>
          <w:color w:val="auto"/>
        </w:rPr>
        <w:t>6.6 During the period in which Shares, issued to the Trustee on behalf of a Participant upon exercise of a 102(b)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78" w:lineRule="exact"/>
        <w:rPr>
          <w:sz w:val="20"/>
          <w:szCs w:val="20"/>
          <w:color w:val="auto"/>
        </w:rPr>
      </w:pPr>
    </w:p>
    <w:p>
      <w:pPr>
        <w:jc w:val="both"/>
        <w:ind w:left="580" w:right="1239" w:hanging="312"/>
        <w:spacing w:after="0" w:line="335" w:lineRule="auto"/>
        <w:rPr>
          <w:sz w:val="20"/>
          <w:szCs w:val="20"/>
          <w:color w:val="auto"/>
        </w:rPr>
      </w:pPr>
      <w:r>
        <w:rPr>
          <w:rFonts w:ascii="Arial" w:cs="Arial" w:eastAsia="Arial" w:hAnsi="Arial"/>
          <w:sz w:val="15"/>
          <w:szCs w:val="15"/>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20" w:lineRule="exact"/>
        <w:rPr>
          <w:sz w:val="20"/>
          <w:szCs w:val="20"/>
          <w:color w:val="auto"/>
        </w:rPr>
      </w:pPr>
    </w:p>
    <w:p>
      <w:pPr>
        <w:ind w:left="260" w:hanging="250"/>
        <w:spacing w:after="0"/>
        <w:tabs>
          <w:tab w:leader="none" w:pos="2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SHARES RESERVED FOR THE PLAN; RESTRICTION THEREON</w:t>
      </w:r>
    </w:p>
    <w:p>
      <w:pPr>
        <w:spacing w:after="0" w:line="105"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6"/>
          <w:szCs w:val="16"/>
          <w:color w:val="auto"/>
        </w:rPr>
        <w:t>7.1 Each Option granted pursuant to this Appendix, shall be evidenced by an Option Agreement between the Company and the Participant, in such form as the Board of Directors or the Administrator, as applicable, shall from time to time approve. Each Option Agreement shall state a number of the Shares to which the Option relates and the type of Option granted thereunder (whether a 102(b)(1) Option, 102(b)(2) Option, or a 3(i) Option), the purchase price per Share and the vesting schedule to which such Option shall become exercisable. Options may be granted at any time after this Appendix has been approved by the Company, subject to any further approval or consent required under Section 102 of the Ordinance or the Rules, in case of 102(b) Options, and other applicable law.</w:t>
      </w:r>
    </w:p>
    <w:p>
      <w:pPr>
        <w:spacing w:after="0" w:line="70" w:lineRule="exact"/>
        <w:rPr>
          <w:rFonts w:ascii="Arial" w:cs="Arial" w:eastAsia="Arial" w:hAnsi="Arial"/>
          <w:sz w:val="17"/>
          <w:szCs w:val="17"/>
          <w:color w:val="auto"/>
        </w:rPr>
      </w:pPr>
    </w:p>
    <w:p>
      <w:pPr>
        <w:ind w:left="580" w:right="1239" w:hanging="313"/>
        <w:spacing w:after="0" w:line="290" w:lineRule="auto"/>
        <w:rPr>
          <w:rFonts w:ascii="Arial" w:cs="Arial" w:eastAsia="Arial" w:hAnsi="Arial"/>
          <w:sz w:val="17"/>
          <w:szCs w:val="17"/>
          <w:color w:val="auto"/>
        </w:rPr>
      </w:pPr>
      <w:r>
        <w:rPr>
          <w:rFonts w:ascii="Arial" w:cs="Arial" w:eastAsia="Arial" w:hAnsi="Arial"/>
          <w:sz w:val="15"/>
          <w:szCs w:val="15"/>
          <w:color w:val="auto"/>
        </w:rPr>
        <w:t>7.3 Each Option Agreement evidencing 102(b)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Options and/or the Shares issued pursuant to the exercise of Options prior to the lapse of the period in which the Options and/or such Shares are held in trust, unless the Participant pays all taxes, which may arise in connection with such sale and/or transfer (as provided in Section 6.5 above).</w:t>
      </w:r>
    </w:p>
    <w:p>
      <w:pPr>
        <w:spacing w:after="0" w:line="52" w:lineRule="exact"/>
        <w:rPr>
          <w:rFonts w:ascii="Arial" w:cs="Arial" w:eastAsia="Arial" w:hAnsi="Arial"/>
          <w:sz w:val="17"/>
          <w:szCs w:val="17"/>
          <w:color w:val="auto"/>
        </w:rPr>
      </w:pPr>
    </w:p>
    <w:p>
      <w:pPr>
        <w:ind w:left="260" w:hanging="250"/>
        <w:spacing w:after="0"/>
        <w:tabs>
          <w:tab w:leader="none" w:pos="2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AMENDMENTS OR TERMINATION</w:t>
      </w:r>
    </w:p>
    <w:p>
      <w:pPr>
        <w:spacing w:after="0" w:line="105" w:lineRule="exact"/>
        <w:rPr>
          <w:rFonts w:ascii="Arial" w:cs="Arial" w:eastAsia="Arial" w:hAnsi="Arial"/>
          <w:sz w:val="17"/>
          <w:szCs w:val="17"/>
          <w:color w:val="auto"/>
        </w:rPr>
      </w:pPr>
    </w:p>
    <w:p>
      <w:pPr>
        <w:ind w:left="580" w:right="1239" w:hanging="313"/>
        <w:spacing w:after="0" w:line="253" w:lineRule="auto"/>
        <w:rPr>
          <w:rFonts w:ascii="Arial" w:cs="Arial" w:eastAsia="Arial" w:hAnsi="Arial"/>
          <w:sz w:val="17"/>
          <w:szCs w:val="17"/>
          <w:color w:val="auto"/>
        </w:rPr>
      </w:pPr>
      <w:r>
        <w:rPr>
          <w:rFonts w:ascii="Arial" w:cs="Arial" w:eastAsia="Arial" w:hAnsi="Arial"/>
          <w:sz w:val="17"/>
          <w:szCs w:val="17"/>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Option granted, if and to the extent such rights are specifically set forth under the applicable Option Agreement, without such Participant’s written consent.</w:t>
      </w:r>
    </w:p>
    <w:p>
      <w:pPr>
        <w:spacing w:after="0" w:line="77" w:lineRule="exact"/>
        <w:rPr>
          <w:rFonts w:ascii="Arial" w:cs="Arial" w:eastAsia="Arial" w:hAnsi="Arial"/>
          <w:sz w:val="17"/>
          <w:szCs w:val="17"/>
          <w:color w:val="auto"/>
        </w:rPr>
      </w:pPr>
    </w:p>
    <w:p>
      <w:pPr>
        <w:ind w:left="260" w:hanging="250"/>
        <w:spacing w:after="0"/>
        <w:tabs>
          <w:tab w:leader="none" w:pos="2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GOVERNMENT REGULATION</w:t>
      </w:r>
    </w:p>
    <w:p>
      <w:pPr>
        <w:spacing w:after="0" w:line="105" w:lineRule="exact"/>
        <w:rPr>
          <w:sz w:val="20"/>
          <w:szCs w:val="20"/>
          <w:color w:val="auto"/>
        </w:rPr>
      </w:pPr>
    </w:p>
    <w:p>
      <w:pPr>
        <w:jc w:val="both"/>
        <w:ind w:left="300" w:right="1239"/>
        <w:spacing w:after="0" w:line="280" w:lineRule="auto"/>
        <w:rPr>
          <w:sz w:val="20"/>
          <w:szCs w:val="20"/>
          <w:color w:val="auto"/>
        </w:rPr>
      </w:pPr>
      <w:r>
        <w:rPr>
          <w:rFonts w:ascii="Arial" w:cs="Arial" w:eastAsia="Arial" w:hAnsi="Arial"/>
          <w:sz w:val="16"/>
          <w:szCs w:val="16"/>
          <w:color w:val="auto"/>
        </w:rPr>
        <w:t>This Appendix and the granting and exercise of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10. CONTINUANCE OF EMPLOYMENT OR HIRED SERVICES</w:t>
      </w:r>
    </w:p>
    <w:p>
      <w:pPr>
        <w:spacing w:after="0" w:line="105" w:lineRule="exact"/>
        <w:rPr>
          <w:sz w:val="20"/>
          <w:szCs w:val="20"/>
          <w:color w:val="auto"/>
        </w:rPr>
      </w:pPr>
    </w:p>
    <w:p>
      <w:pPr>
        <w:jc w:val="both"/>
        <w:ind w:left="300" w:right="1239"/>
        <w:spacing w:after="0" w:line="251" w:lineRule="auto"/>
        <w:rPr>
          <w:sz w:val="20"/>
          <w:szCs w:val="20"/>
          <w:color w:val="auto"/>
        </w:rPr>
      </w:pPr>
      <w:r>
        <w:rPr>
          <w:rFonts w:ascii="Arial" w:cs="Arial" w:eastAsia="Arial" w:hAnsi="Arial"/>
          <w:sz w:val="17"/>
          <w:szCs w:val="17"/>
          <w:color w:val="auto"/>
        </w:rPr>
        <w:t>Neither the Plan nor the Option Agreement with the Participant shall impose any obligation on the Company or an Affiliate thereof, to continue any Participant in its employ, or the hiring by the Company of the Participant’s services and nothing in the Plan or in any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294"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23" w:name="page424"/>
    <w:bookmarkEnd w:id="42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260" w:hanging="250"/>
        <w:spacing w:after="0"/>
        <w:tabs>
          <w:tab w:leader="none" w:pos="26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TAX CONSEQUENCES</w:t>
      </w:r>
    </w:p>
    <w:p>
      <w:pPr>
        <w:spacing w:after="0" w:line="105" w:lineRule="exact"/>
        <w:rPr>
          <w:rFonts w:ascii="Arial" w:cs="Arial" w:eastAsia="Arial" w:hAnsi="Arial"/>
          <w:sz w:val="17"/>
          <w:szCs w:val="17"/>
          <w:color w:val="auto"/>
        </w:rPr>
      </w:pPr>
    </w:p>
    <w:p>
      <w:pPr>
        <w:ind w:left="580" w:right="1239" w:hanging="313"/>
        <w:spacing w:after="0" w:line="266" w:lineRule="auto"/>
        <w:rPr>
          <w:rFonts w:ascii="Arial" w:cs="Arial" w:eastAsia="Arial" w:hAnsi="Arial"/>
          <w:sz w:val="17"/>
          <w:szCs w:val="17"/>
          <w:color w:val="auto"/>
        </w:rPr>
      </w:pPr>
      <w:r>
        <w:rPr>
          <w:rFonts w:ascii="Arial" w:cs="Arial" w:eastAsia="Arial" w:hAnsi="Arial"/>
          <w:sz w:val="16"/>
          <w:szCs w:val="16"/>
          <w:color w:val="auto"/>
        </w:rPr>
        <w:t>11.1 To the extent permitted by applicable law, any tax consequences arising from the grant or exercise of any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72" w:lineRule="exact"/>
        <w:rPr>
          <w:rFonts w:ascii="Arial" w:cs="Arial" w:eastAsia="Arial" w:hAnsi="Arial"/>
          <w:sz w:val="17"/>
          <w:szCs w:val="17"/>
          <w:color w:val="auto"/>
        </w:rPr>
      </w:pPr>
    </w:p>
    <w:p>
      <w:pPr>
        <w:ind w:left="580" w:right="1239" w:hanging="313"/>
        <w:spacing w:after="0" w:line="299" w:lineRule="auto"/>
        <w:rPr>
          <w:rFonts w:ascii="Arial" w:cs="Arial" w:eastAsia="Arial" w:hAnsi="Arial"/>
          <w:sz w:val="17"/>
          <w:szCs w:val="17"/>
          <w:color w:val="auto"/>
        </w:rPr>
      </w:pPr>
      <w:r>
        <w:rPr>
          <w:rFonts w:ascii="Arial" w:cs="Arial" w:eastAsia="Arial" w:hAnsi="Arial"/>
          <w:sz w:val="16"/>
          <w:szCs w:val="16"/>
          <w:color w:val="auto"/>
        </w:rPr>
        <w:t>11.2 The Board of Directors, the Administrator and/or the Trustee shall not be required to release any Share certificate, issued upon exercise of an Option, to a Participant, until all required payments have been fully made.</w:t>
      </w:r>
    </w:p>
    <w:p>
      <w:pPr>
        <w:spacing w:after="0" w:line="42" w:lineRule="exact"/>
        <w:rPr>
          <w:rFonts w:ascii="Arial" w:cs="Arial" w:eastAsia="Arial" w:hAnsi="Arial"/>
          <w:sz w:val="17"/>
          <w:szCs w:val="17"/>
          <w:color w:val="auto"/>
        </w:rPr>
      </w:pPr>
    </w:p>
    <w:p>
      <w:pPr>
        <w:ind w:left="580" w:right="1239" w:hanging="313"/>
        <w:spacing w:after="0" w:line="267" w:lineRule="auto"/>
        <w:rPr>
          <w:rFonts w:ascii="Arial" w:cs="Arial" w:eastAsia="Arial" w:hAnsi="Arial"/>
          <w:sz w:val="17"/>
          <w:szCs w:val="17"/>
          <w:color w:val="auto"/>
        </w:rPr>
      </w:pPr>
      <w:r>
        <w:rPr>
          <w:rFonts w:ascii="Arial" w:cs="Arial" w:eastAsia="Arial" w:hAnsi="Arial"/>
          <w:sz w:val="17"/>
          <w:szCs w:val="17"/>
          <w:color w:val="auto"/>
        </w:rPr>
        <w:t>11.3 Notwithstanding anything herein to the contrary, this Appendix shall be governed by the provisions of the Ordinance, the rules promulgated thereunder, and any other applicable Israeli laws.</w:t>
      </w:r>
    </w:p>
    <w:p>
      <w:pPr>
        <w:spacing w:after="0" w:line="66" w:lineRule="exact"/>
        <w:rPr>
          <w:rFonts w:ascii="Arial" w:cs="Arial" w:eastAsia="Arial" w:hAnsi="Arial"/>
          <w:sz w:val="17"/>
          <w:szCs w:val="17"/>
          <w:color w:val="auto"/>
        </w:rPr>
      </w:pPr>
    </w:p>
    <w:p>
      <w:pPr>
        <w:ind w:left="580" w:right="1239" w:hanging="313"/>
        <w:spacing w:after="0" w:line="251" w:lineRule="auto"/>
        <w:rPr>
          <w:rFonts w:ascii="Arial" w:cs="Arial" w:eastAsia="Arial" w:hAnsi="Arial"/>
          <w:sz w:val="17"/>
          <w:szCs w:val="17"/>
          <w:color w:val="auto"/>
        </w:rPr>
      </w:pPr>
      <w:r>
        <w:rPr>
          <w:rFonts w:ascii="Arial" w:cs="Arial" w:eastAsia="Arial" w:hAnsi="Arial"/>
          <w:sz w:val="17"/>
          <w:szCs w:val="17"/>
          <w:color w:val="auto"/>
        </w:rPr>
        <w:t>11.4 Following the grant of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0" w:lineRule="exact"/>
        <w:rPr>
          <w:rFonts w:ascii="Arial" w:cs="Arial" w:eastAsia="Arial" w:hAnsi="Arial"/>
          <w:sz w:val="17"/>
          <w:szCs w:val="17"/>
          <w:color w:val="auto"/>
        </w:rPr>
      </w:pPr>
    </w:p>
    <w:p>
      <w:pPr>
        <w:ind w:left="4160"/>
        <w:spacing w:after="0"/>
        <w:rPr>
          <w:rFonts w:ascii="Arial" w:cs="Arial" w:eastAsia="Arial" w:hAnsi="Arial"/>
          <w:sz w:val="17"/>
          <w:szCs w:val="17"/>
          <w:color w:val="auto"/>
        </w:rPr>
      </w:pPr>
      <w:r>
        <w:rPr>
          <w:rFonts w:ascii="Arial" w:cs="Arial" w:eastAsia="Arial" w:hAnsi="Arial"/>
          <w:sz w:val="17"/>
          <w:szCs w:val="17"/>
          <w:color w:val="auto"/>
        </w:rPr>
        <w:t>*  *  *</w:t>
      </w: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4" w:name="page425"/>
    <w:bookmarkEnd w:id="42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E</w:t>
      </w:r>
    </w:p>
    <w:p>
      <w:pPr>
        <w:spacing w:after="0" w:line="205" w:lineRule="exact"/>
        <w:rPr>
          <w:sz w:val="20"/>
          <w:szCs w:val="20"/>
          <w:color w:val="auto"/>
        </w:rPr>
      </w:pPr>
    </w:p>
    <w:p>
      <w:pPr>
        <w:jc w:val="center"/>
        <w:ind w:left="380" w:right="1880"/>
        <w:spacing w:after="0" w:line="259" w:lineRule="auto"/>
        <w:rPr>
          <w:sz w:val="20"/>
          <w:szCs w:val="20"/>
          <w:color w:val="auto"/>
        </w:rPr>
      </w:pPr>
      <w:r>
        <w:rPr>
          <w:rFonts w:ascii="Arial" w:cs="Arial" w:eastAsia="Arial" w:hAnsi="Arial"/>
          <w:sz w:val="17"/>
          <w:szCs w:val="17"/>
          <w:b w:val="1"/>
          <w:bCs w:val="1"/>
          <w:color w:val="auto"/>
        </w:rPr>
        <w:t>FORM OF CERTIFICATE OF DESIGNATIONS, PREFERENCES AND RIGHTS OF SERIES A CONVERTIBLE PREFERRED STOCK OF VRINGO, INC.</w:t>
      </w:r>
    </w:p>
    <w:p>
      <w:pPr>
        <w:spacing w:after="0" w:line="69" w:lineRule="exact"/>
        <w:rPr>
          <w:sz w:val="20"/>
          <w:szCs w:val="20"/>
          <w:color w:val="auto"/>
        </w:rPr>
      </w:pPr>
    </w:p>
    <w:p>
      <w:pPr>
        <w:jc w:val="both"/>
        <w:ind w:left="40" w:right="1239" w:firstLine="251"/>
        <w:spacing w:after="0" w:line="268" w:lineRule="auto"/>
        <w:rPr>
          <w:sz w:val="20"/>
          <w:szCs w:val="20"/>
          <w:color w:val="auto"/>
        </w:rPr>
      </w:pPr>
      <w:r>
        <w:rPr>
          <w:rFonts w:ascii="Arial" w:cs="Arial" w:eastAsia="Arial" w:hAnsi="Arial"/>
          <w:sz w:val="16"/>
          <w:szCs w:val="16"/>
          <w:color w:val="auto"/>
        </w:rPr>
        <w:t>Vringo, Inc. (the “</w:t>
      </w:r>
      <w:r>
        <w:rPr>
          <w:rFonts w:ascii="Arial" w:cs="Arial" w:eastAsia="Arial" w:hAnsi="Arial"/>
          <w:sz w:val="16"/>
          <w:szCs w:val="16"/>
          <w:b w:val="1"/>
          <w:bCs w:val="1"/>
          <w:color w:val="auto"/>
        </w:rPr>
        <w:t>Corporation</w:t>
      </w:r>
      <w:r>
        <w:rPr>
          <w:rFonts w:ascii="Arial" w:cs="Arial" w:eastAsia="Arial" w:hAnsi="Arial"/>
          <w:sz w:val="16"/>
          <w:szCs w:val="16"/>
          <w:color w:val="auto"/>
        </w:rPr>
        <w:t>”), a corporation organized and existing under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does hereby certify that, pursuant to authority conferred upon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69"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RESOLVED, that the Corporation is authorized to issue six thousand nine hundred and sixty eight (6,968) shares of Series A Convertible Preferred Stock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par value $0.01 per share, which shall have the following powers, designations, preferences and other special rights:</w:t>
      </w:r>
    </w:p>
    <w:p>
      <w:pPr>
        <w:spacing w:after="0" w:line="76" w:lineRule="exact"/>
        <w:rPr>
          <w:sz w:val="20"/>
          <w:szCs w:val="20"/>
          <w:color w:val="auto"/>
        </w:rPr>
      </w:pPr>
    </w:p>
    <w:p>
      <w:pPr>
        <w:jc w:val="both"/>
        <w:ind w:left="40" w:right="1239" w:firstLine="258"/>
        <w:spacing w:after="0" w:line="274" w:lineRule="auto"/>
        <w:tabs>
          <w:tab w:leader="none" w:pos="499"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61" w:lineRule="exact"/>
        <w:rPr>
          <w:rFonts w:ascii="Arial" w:cs="Arial" w:eastAsia="Arial" w:hAnsi="Arial"/>
          <w:sz w:val="16"/>
          <w:szCs w:val="16"/>
          <w:color w:val="auto"/>
        </w:rPr>
      </w:pPr>
    </w:p>
    <w:p>
      <w:pPr>
        <w:jc w:val="both"/>
        <w:ind w:left="40" w:right="1239" w:firstLine="258"/>
        <w:spacing w:after="0" w:line="292" w:lineRule="auto"/>
        <w:tabs>
          <w:tab w:leader="none" w:pos="499" w:val="left"/>
        </w:tabs>
        <w:numPr>
          <w:ilvl w:val="0"/>
          <w:numId w:val="396"/>
        </w:numPr>
        <w:rPr>
          <w:rFonts w:ascii="Arial" w:cs="Arial" w:eastAsia="Arial" w:hAnsi="Arial"/>
          <w:sz w:val="15"/>
          <w:szCs w:val="15"/>
          <w:color w:val="auto"/>
        </w:rPr>
      </w:pPr>
      <w:r>
        <w:rPr>
          <w:rFonts w:ascii="Arial" w:cs="Arial" w:eastAsia="Arial" w:hAnsi="Arial"/>
          <w:sz w:val="15"/>
          <w:szCs w:val="15"/>
          <w:u w:val="single" w:color="auto"/>
          <w:color w:val="auto"/>
        </w:rPr>
        <w:t>Ranking</w:t>
      </w:r>
      <w:r>
        <w:rPr>
          <w:rFonts w:ascii="Arial" w:cs="Arial" w:eastAsia="Arial" w:hAnsi="Arial"/>
          <w:sz w:val="15"/>
          <w:szCs w:val="15"/>
          <w:color w:val="auto"/>
        </w:rPr>
        <w:t>. The Series A Preferred Stock shall rank prior and superior to all of the common stock, par value $0.01 per share, of the Corporation (“</w:t>
      </w:r>
      <w:r>
        <w:rPr>
          <w:rFonts w:ascii="Arial" w:cs="Arial" w:eastAsia="Arial" w:hAnsi="Arial"/>
          <w:sz w:val="15"/>
          <w:szCs w:val="15"/>
          <w:b w:val="1"/>
          <w:bCs w:val="1"/>
          <w:color w:val="auto"/>
        </w:rPr>
        <w:t>Common Stock</w:t>
      </w:r>
      <w:r>
        <w:rPr>
          <w:rFonts w:ascii="Arial" w:cs="Arial" w:eastAsia="Arial" w:hAnsi="Arial"/>
          <w:sz w:val="15"/>
          <w:szCs w:val="15"/>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49" w:lineRule="exact"/>
        <w:rPr>
          <w:rFonts w:ascii="Arial" w:cs="Arial" w:eastAsia="Arial" w:hAnsi="Arial"/>
          <w:sz w:val="15"/>
          <w:szCs w:val="15"/>
          <w:color w:val="auto"/>
        </w:rPr>
      </w:pPr>
    </w:p>
    <w:p>
      <w:pPr>
        <w:jc w:val="both"/>
        <w:ind w:left="40" w:right="1239" w:firstLine="258"/>
        <w:spacing w:after="0" w:line="282" w:lineRule="auto"/>
        <w:tabs>
          <w:tab w:leader="none" w:pos="499" w:val="left"/>
        </w:tabs>
        <w:numPr>
          <w:ilvl w:val="0"/>
          <w:numId w:val="396"/>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From and after the first date of issuance of any shares of Series A Preferred Stock (the “</w:t>
      </w:r>
      <w:r>
        <w:rPr>
          <w:rFonts w:ascii="Arial" w:cs="Arial" w:eastAsia="Arial" w:hAnsi="Arial"/>
          <w:sz w:val="15"/>
          <w:szCs w:val="15"/>
          <w:b w:val="1"/>
          <w:bCs w:val="1"/>
          <w:color w:val="auto"/>
        </w:rPr>
        <w:t>Initial Issuance Date</w:t>
      </w:r>
      <w:r>
        <w:rPr>
          <w:rFonts w:ascii="Arial" w:cs="Arial" w:eastAsia="Arial" w:hAnsi="Arial"/>
          <w:sz w:val="15"/>
          <w:szCs w:val="15"/>
          <w:color w:val="auto"/>
        </w:rPr>
        <w:t>”), the holders of Series A Preferred Stock (each, a “</w:t>
      </w:r>
      <w:r>
        <w:rPr>
          <w:rFonts w:ascii="Arial" w:cs="Arial" w:eastAsia="Arial" w:hAnsi="Arial"/>
          <w:sz w:val="15"/>
          <w:szCs w:val="15"/>
          <w:b w:val="1"/>
          <w:b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color w:val="auto"/>
        </w:rPr>
        <w:t>Holders</w:t>
      </w:r>
      <w:r>
        <w:rPr>
          <w:rFonts w:ascii="Arial" w:cs="Arial" w:eastAsia="Arial" w:hAnsi="Arial"/>
          <w:sz w:val="15"/>
          <w:szCs w:val="15"/>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5"/>
          <w:szCs w:val="15"/>
          <w:b w:val="1"/>
          <w:bCs w:val="1"/>
          <w:color w:val="auto"/>
        </w:rPr>
        <w:t>Junior Stock</w:t>
      </w:r>
      <w:r>
        <w:rPr>
          <w:rFonts w:ascii="Arial" w:cs="Arial" w:eastAsia="Arial" w:hAnsi="Arial"/>
          <w:sz w:val="15"/>
          <w:szCs w:val="15"/>
          <w:color w:val="auto"/>
        </w:rPr>
        <w:t xml:space="preserve">”) (if any) (but after and subject to the rights of holders of Senior Preferred Stock (as defined below), if any, and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to the rights of holders of capital stock of the Corporation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5"/>
          <w:szCs w:val="15"/>
          <w:b w:val="1"/>
          <w:bCs w:val="1"/>
          <w:color w:val="auto"/>
        </w:rPr>
        <w:t>Pari Passu Stock</w:t>
      </w:r>
      <w:r>
        <w:rPr>
          <w:rFonts w:ascii="Arial" w:cs="Arial" w:eastAsia="Arial" w:hAnsi="Arial"/>
          <w:sz w:val="15"/>
          <w:szCs w:val="15"/>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w:t>
      </w:r>
    </w:p>
    <w:p>
      <w:pPr>
        <w:spacing w:after="0" w:line="200" w:lineRule="exact"/>
        <w:rPr>
          <w:sz w:val="20"/>
          <w:szCs w:val="20"/>
          <w:color w:val="auto"/>
        </w:rPr>
      </w:pPr>
    </w:p>
    <w:p>
      <w:pPr>
        <w:spacing w:after="0" w:line="27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5" w:name="page426"/>
    <w:bookmarkEnd w:id="42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0" w:lineRule="auto"/>
        <w:rPr>
          <w:sz w:val="20"/>
          <w:szCs w:val="20"/>
          <w:color w:val="auto"/>
        </w:rPr>
      </w:pPr>
      <w:r>
        <w:rPr>
          <w:rFonts w:ascii="Arial" w:cs="Arial" w:eastAsia="Arial" w:hAnsi="Arial"/>
          <w:sz w:val="16"/>
          <w:szCs w:val="16"/>
          <w:color w:val="auto"/>
        </w:rPr>
        <w:t>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58" w:lineRule="exact"/>
        <w:rPr>
          <w:sz w:val="20"/>
          <w:szCs w:val="20"/>
          <w:color w:val="auto"/>
        </w:rPr>
      </w:pPr>
    </w:p>
    <w:p>
      <w:pPr>
        <w:jc w:val="both"/>
        <w:ind w:left="40" w:right="1239" w:firstLine="258"/>
        <w:spacing w:after="0" w:line="282" w:lineRule="auto"/>
        <w:tabs>
          <w:tab w:leader="none" w:pos="549" w:val="left"/>
        </w:tabs>
        <w:numPr>
          <w:ilvl w:val="0"/>
          <w:numId w:val="397"/>
        </w:numPr>
        <w:rPr>
          <w:rFonts w:ascii="Arial" w:cs="Arial" w:eastAsia="Arial" w:hAnsi="Arial"/>
          <w:sz w:val="15"/>
          <w:szCs w:val="15"/>
          <w:color w:val="auto"/>
        </w:rPr>
      </w:pPr>
      <w:r>
        <w:rPr>
          <w:rFonts w:ascii="Arial" w:cs="Arial" w:eastAsia="Arial" w:hAnsi="Arial"/>
          <w:sz w:val="15"/>
          <w:szCs w:val="15"/>
          <w:u w:val="single" w:color="auto"/>
          <w:color w:val="auto"/>
        </w:rPr>
        <w:t>Liquidation Preference</w:t>
      </w:r>
      <w:r>
        <w:rPr>
          <w:rFonts w:ascii="Arial" w:cs="Arial" w:eastAsia="Arial" w:hAnsi="Arial"/>
          <w:sz w:val="15"/>
          <w:szCs w:val="15"/>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5"/>
          <w:szCs w:val="15"/>
          <w:b w:val="1"/>
          <w:bCs w:val="1"/>
          <w:color w:val="auto"/>
        </w:rPr>
        <w:t>Senior Preferred Stock</w:t>
      </w:r>
      <w:r>
        <w:rPr>
          <w:rFonts w:ascii="Arial" w:cs="Arial" w:eastAsia="Arial" w:hAnsi="Arial"/>
          <w:sz w:val="15"/>
          <w:szCs w:val="15"/>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5"/>
          <w:szCs w:val="15"/>
          <w:b w:val="1"/>
          <w:bCs w:val="1"/>
          <w:color w:val="auto"/>
        </w:rPr>
        <w:t>Stated Value</w:t>
      </w:r>
      <w:r>
        <w:rPr>
          <w:rFonts w:ascii="Arial" w:cs="Arial" w:eastAsia="Arial" w:hAnsi="Arial"/>
          <w:sz w:val="15"/>
          <w:szCs w:val="15"/>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5"/>
          <w:szCs w:val="15"/>
          <w:b w:val="1"/>
          <w:bCs w:val="1"/>
          <w:color w:val="auto"/>
        </w:rPr>
        <w:t>Liquidation Event</w:t>
      </w:r>
      <w:r>
        <w:rPr>
          <w:rFonts w:ascii="Arial" w:cs="Arial" w:eastAsia="Arial" w:hAnsi="Arial"/>
          <w:sz w:val="15"/>
          <w:szCs w:val="15"/>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63" w:lineRule="exact"/>
        <w:rPr>
          <w:rFonts w:ascii="Arial" w:cs="Arial" w:eastAsia="Arial" w:hAnsi="Arial"/>
          <w:sz w:val="15"/>
          <w:szCs w:val="15"/>
          <w:color w:val="auto"/>
        </w:rPr>
      </w:pPr>
    </w:p>
    <w:p>
      <w:pPr>
        <w:ind w:left="500" w:hanging="202"/>
        <w:spacing w:after="0"/>
        <w:tabs>
          <w:tab w:leader="none" w:pos="500" w:val="left"/>
        </w:tabs>
        <w:numPr>
          <w:ilvl w:val="0"/>
          <w:numId w:val="397"/>
        </w:numPr>
        <w:rPr>
          <w:rFonts w:ascii="Arial" w:cs="Arial" w:eastAsia="Arial" w:hAnsi="Arial"/>
          <w:sz w:val="17"/>
          <w:szCs w:val="17"/>
          <w:color w:val="auto"/>
        </w:rPr>
      </w:pPr>
      <w:r>
        <w:rPr>
          <w:rFonts w:ascii="Arial" w:cs="Arial" w:eastAsia="Arial" w:hAnsi="Arial"/>
          <w:sz w:val="17"/>
          <w:szCs w:val="17"/>
          <w:u w:val="single" w:color="auto"/>
          <w:color w:val="auto"/>
        </w:rPr>
        <w:t>Fundamental Transactions; Put Triggering Event</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397"/>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ind w:left="540" w:right="1239" w:firstLine="259"/>
        <w:spacing w:after="0" w:line="272" w:lineRule="auto"/>
        <w:tabs>
          <w:tab w:leader="none" w:pos="1032" w:val="left"/>
        </w:tabs>
        <w:numPr>
          <w:ilvl w:val="2"/>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w:t>
      </w:r>
    </w:p>
    <w:p>
      <w:pPr>
        <w:spacing w:after="0" w:line="58" w:lineRule="exact"/>
        <w:rPr>
          <w:rFonts w:ascii="Arial" w:cs="Arial" w:eastAsia="Arial" w:hAnsi="Arial"/>
          <w:sz w:val="17"/>
          <w:szCs w:val="17"/>
          <w:color w:val="auto"/>
        </w:rPr>
      </w:pPr>
    </w:p>
    <w:p>
      <w:pPr>
        <w:jc w:val="both"/>
        <w:ind w:left="540" w:right="1239" w:firstLine="259"/>
        <w:spacing w:after="0" w:line="282" w:lineRule="auto"/>
        <w:tabs>
          <w:tab w:leader="none" w:pos="1103" w:val="left"/>
        </w:tabs>
        <w:numPr>
          <w:ilvl w:val="2"/>
          <w:numId w:val="3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Conversion Amount</w:t>
      </w:r>
      <w:r>
        <w:rPr>
          <w:rFonts w:ascii="Arial" w:cs="Arial" w:eastAsia="Arial" w:hAnsi="Arial"/>
          <w:sz w:val="16"/>
          <w:szCs w:val="16"/>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53" w:lineRule="exact"/>
        <w:rPr>
          <w:rFonts w:ascii="Arial" w:cs="Arial" w:eastAsia="Arial" w:hAnsi="Arial"/>
          <w:sz w:val="16"/>
          <w:szCs w:val="16"/>
          <w:color w:val="auto"/>
        </w:rPr>
      </w:pPr>
    </w:p>
    <w:p>
      <w:pPr>
        <w:ind w:left="1140" w:hanging="341"/>
        <w:spacing w:after="0"/>
        <w:tabs>
          <w:tab w:leader="none" w:pos="1140" w:val="left"/>
        </w:tabs>
        <w:numPr>
          <w:ilvl w:val="2"/>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w:t>
      </w:r>
    </w:p>
    <w:p>
      <w:pPr>
        <w:spacing w:after="0" w:line="105" w:lineRule="exact"/>
        <w:rPr>
          <w:rFonts w:ascii="Arial" w:cs="Arial" w:eastAsia="Arial" w:hAnsi="Arial"/>
          <w:sz w:val="17"/>
          <w:szCs w:val="17"/>
          <w:color w:val="auto"/>
        </w:rPr>
      </w:pPr>
    </w:p>
    <w:p>
      <w:pPr>
        <w:ind w:left="540" w:right="1239" w:firstLine="259"/>
        <w:spacing w:after="0" w:line="272" w:lineRule="auto"/>
        <w:tabs>
          <w:tab w:leader="none" w:pos="1128" w:val="left"/>
        </w:tabs>
        <w:numPr>
          <w:ilvl w:val="2"/>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Market</w:t>
      </w:r>
      <w:r>
        <w:rPr>
          <w:rFonts w:ascii="Arial" w:cs="Arial" w:eastAsia="Arial" w:hAnsi="Arial"/>
          <w:sz w:val="17"/>
          <w:szCs w:val="17"/>
          <w:color w:val="auto"/>
        </w:rPr>
        <w:t>” means The New York Stock Exchange, Inc., the NYSE Amex Equities, The NASDAQ Global Select Market, The NASDAQ Global Market or The NASDAQ Capital Market.</w:t>
      </w:r>
    </w:p>
    <w:p>
      <w:pPr>
        <w:spacing w:after="0" w:line="58" w:lineRule="exact"/>
        <w:rPr>
          <w:rFonts w:ascii="Arial" w:cs="Arial" w:eastAsia="Arial" w:hAnsi="Arial"/>
          <w:sz w:val="17"/>
          <w:szCs w:val="17"/>
          <w:color w:val="auto"/>
        </w:rPr>
      </w:pPr>
    </w:p>
    <w:p>
      <w:pPr>
        <w:jc w:val="both"/>
        <w:ind w:left="540" w:right="1239" w:firstLine="259"/>
        <w:spacing w:after="0" w:line="250" w:lineRule="auto"/>
        <w:tabs>
          <w:tab w:leader="none" w:pos="1094" w:val="left"/>
        </w:tabs>
        <w:numPr>
          <w:ilvl w:val="2"/>
          <w:numId w:val="3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200" w:lineRule="exact"/>
        <w:rPr>
          <w:sz w:val="20"/>
          <w:szCs w:val="20"/>
          <w:color w:val="auto"/>
        </w:rPr>
      </w:pPr>
    </w:p>
    <w:p>
      <w:pPr>
        <w:spacing w:after="0" w:line="29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6" w:name="page427"/>
    <w:bookmarkEnd w:id="42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540" w:right="1239" w:firstLine="259"/>
        <w:spacing w:after="0" w:line="252" w:lineRule="auto"/>
        <w:tabs>
          <w:tab w:leader="none" w:pos="117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Successor Common Stock</w:t>
      </w:r>
      <w:r>
        <w:rPr>
          <w:rFonts w:ascii="Arial" w:cs="Arial" w:eastAsia="Arial" w:hAnsi="Arial"/>
          <w:sz w:val="17"/>
          <w:szCs w:val="17"/>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76" w:lineRule="exact"/>
        <w:rPr>
          <w:rFonts w:ascii="Arial" w:cs="Arial" w:eastAsia="Arial" w:hAnsi="Arial"/>
          <w:sz w:val="17"/>
          <w:szCs w:val="17"/>
          <w:color w:val="auto"/>
        </w:rPr>
      </w:pPr>
    </w:p>
    <w:p>
      <w:pPr>
        <w:jc w:val="both"/>
        <w:ind w:left="540" w:right="1239" w:firstLine="259"/>
        <w:spacing w:after="0" w:line="283" w:lineRule="auto"/>
        <w:tabs>
          <w:tab w:leader="none" w:pos="1212"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56" w:lineRule="exact"/>
        <w:rPr>
          <w:rFonts w:ascii="Arial" w:cs="Arial" w:eastAsia="Arial" w:hAnsi="Arial"/>
          <w:sz w:val="15"/>
          <w:szCs w:val="15"/>
          <w:color w:val="auto"/>
        </w:rPr>
      </w:pPr>
    </w:p>
    <w:p>
      <w:pPr>
        <w:jc w:val="both"/>
        <w:ind w:left="540" w:right="1239" w:firstLine="259"/>
        <w:spacing w:after="0" w:line="254" w:lineRule="auto"/>
        <w:tabs>
          <w:tab w:leader="none" w:pos="120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74" w:lineRule="exact"/>
        <w:rPr>
          <w:rFonts w:ascii="Arial" w:cs="Arial" w:eastAsia="Arial" w:hAnsi="Arial"/>
          <w:sz w:val="17"/>
          <w:szCs w:val="17"/>
          <w:color w:val="auto"/>
        </w:rPr>
      </w:pPr>
    </w:p>
    <w:p>
      <w:pPr>
        <w:jc w:val="both"/>
        <w:ind w:left="540" w:right="1239" w:firstLine="259"/>
        <w:spacing w:after="0" w:line="252" w:lineRule="auto"/>
        <w:tabs>
          <w:tab w:leader="none" w:pos="111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Put Triggering Event</w:t>
      </w:r>
      <w:r>
        <w:rPr>
          <w:rFonts w:ascii="Arial" w:cs="Arial" w:eastAsia="Arial" w:hAnsi="Arial"/>
          <w:sz w:val="17"/>
          <w:szCs w:val="17"/>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76" w:lineRule="exact"/>
        <w:rPr>
          <w:rFonts w:ascii="Arial" w:cs="Arial" w:eastAsia="Arial" w:hAnsi="Arial"/>
          <w:sz w:val="17"/>
          <w:szCs w:val="17"/>
          <w:color w:val="auto"/>
        </w:rPr>
      </w:pPr>
    </w:p>
    <w:p>
      <w:pPr>
        <w:ind w:left="1120" w:hanging="321"/>
        <w:spacing w:after="0"/>
        <w:tabs>
          <w:tab w:leader="none" w:pos="112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Holders</w:t>
      </w:r>
      <w:r>
        <w:rPr>
          <w:rFonts w:ascii="Arial" w:cs="Arial" w:eastAsia="Arial" w:hAnsi="Arial"/>
          <w:sz w:val="15"/>
          <w:szCs w:val="15"/>
          <w:color w:val="auto"/>
        </w:rPr>
        <w:t>” means the holders of record of a majority of the outstanding shares of Series A Preferred</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88" w:lineRule="exact"/>
        <w:rPr>
          <w:rFonts w:ascii="Arial" w:cs="Arial" w:eastAsia="Arial" w:hAnsi="Arial"/>
          <w:sz w:val="15"/>
          <w:szCs w:val="15"/>
          <w:color w:val="auto"/>
        </w:rPr>
      </w:pPr>
    </w:p>
    <w:p>
      <w:pPr>
        <w:jc w:val="both"/>
        <w:ind w:left="540" w:right="1239" w:firstLine="259"/>
        <w:spacing w:after="0" w:line="254" w:lineRule="auto"/>
        <w:tabs>
          <w:tab w:leader="none" w:pos="117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74" w:lineRule="exact"/>
        <w:rPr>
          <w:rFonts w:ascii="Arial" w:cs="Arial" w:eastAsia="Arial" w:hAnsi="Arial"/>
          <w:sz w:val="17"/>
          <w:szCs w:val="17"/>
          <w:color w:val="auto"/>
        </w:rPr>
      </w:pPr>
    </w:p>
    <w:p>
      <w:pPr>
        <w:jc w:val="both"/>
        <w:ind w:left="540" w:right="1239" w:firstLine="259"/>
        <w:spacing w:after="0" w:line="275" w:lineRule="auto"/>
        <w:tabs>
          <w:tab w:leader="none" w:pos="1162" w:val="left"/>
        </w:tabs>
        <w:numPr>
          <w:ilvl w:val="0"/>
          <w:numId w:val="3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58" w:lineRule="exact"/>
        <w:rPr>
          <w:rFonts w:ascii="Arial" w:cs="Arial" w:eastAsia="Arial" w:hAnsi="Arial"/>
          <w:sz w:val="16"/>
          <w:szCs w:val="16"/>
          <w:color w:val="auto"/>
        </w:rPr>
      </w:pPr>
    </w:p>
    <w:p>
      <w:pPr>
        <w:jc w:val="both"/>
        <w:ind w:left="540" w:right="1239" w:firstLine="259"/>
        <w:spacing w:after="0" w:line="254" w:lineRule="auto"/>
        <w:tabs>
          <w:tab w:leader="none" w:pos="120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7" w:name="page428"/>
    <w:bookmarkEnd w:id="42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540" w:right="1239" w:firstLine="259"/>
        <w:spacing w:after="0" w:line="268" w:lineRule="auto"/>
        <w:tabs>
          <w:tab w:leader="none" w:pos="1199" w:val="left"/>
        </w:tabs>
        <w:numPr>
          <w:ilvl w:val="1"/>
          <w:numId w:val="3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65" w:lineRule="exact"/>
        <w:rPr>
          <w:rFonts w:ascii="Arial" w:cs="Arial" w:eastAsia="Arial" w:hAnsi="Arial"/>
          <w:sz w:val="16"/>
          <w:szCs w:val="16"/>
          <w:color w:val="auto"/>
        </w:rPr>
      </w:pPr>
    </w:p>
    <w:p>
      <w:pPr>
        <w:jc w:val="both"/>
        <w:ind w:left="540" w:right="1239" w:firstLine="259"/>
        <w:spacing w:after="0" w:line="254" w:lineRule="auto"/>
        <w:tabs>
          <w:tab w:leader="none" w:pos="1165" w:val="left"/>
        </w:tabs>
        <w:numPr>
          <w:ilvl w:val="1"/>
          <w:numId w:val="3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Stock</w:t>
      </w:r>
      <w:r>
        <w:rPr>
          <w:rFonts w:ascii="Arial" w:cs="Arial" w:eastAsia="Arial" w:hAnsi="Arial"/>
          <w:sz w:val="17"/>
          <w:szCs w:val="17"/>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78" w:lineRule="exact"/>
        <w:rPr>
          <w:rFonts w:ascii="Arial" w:cs="Arial" w:eastAsia="Arial" w:hAnsi="Arial"/>
          <w:sz w:val="17"/>
          <w:szCs w:val="17"/>
          <w:color w:val="auto"/>
        </w:rPr>
      </w:pPr>
    </w:p>
    <w:p>
      <w:pPr>
        <w:jc w:val="both"/>
        <w:ind w:left="300" w:right="1239" w:firstLine="248"/>
        <w:spacing w:after="0" w:line="280" w:lineRule="auto"/>
        <w:tabs>
          <w:tab w:leader="none" w:pos="854" w:val="left"/>
        </w:tabs>
        <w:numPr>
          <w:ilvl w:val="0"/>
          <w:numId w:val="400"/>
        </w:numPr>
        <w:rPr>
          <w:rFonts w:ascii="Arial" w:cs="Arial" w:eastAsia="Arial" w:hAnsi="Arial"/>
          <w:sz w:val="15"/>
          <w:szCs w:val="15"/>
          <w:color w:val="auto"/>
        </w:rPr>
      </w:pPr>
      <w:r>
        <w:rPr>
          <w:rFonts w:ascii="Arial" w:cs="Arial" w:eastAsia="Arial" w:hAnsi="Arial"/>
          <w:sz w:val="15"/>
          <w:szCs w:val="15"/>
          <w:u w:val="single" w:color="auto"/>
          <w:color w:val="auto"/>
        </w:rPr>
        <w:t>Assumption</w:t>
      </w:r>
      <w:r>
        <w:rPr>
          <w:rFonts w:ascii="Arial" w:cs="Arial" w:eastAsia="Arial" w:hAnsi="Arial"/>
          <w:sz w:val="15"/>
          <w:szCs w:val="15"/>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8" w:name="page429"/>
    <w:bookmarkEnd w:id="42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0" w:lineRule="auto"/>
        <w:tabs>
          <w:tab w:leader="none" w:pos="845"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Put Triggering Event</w:t>
      </w:r>
      <w:r>
        <w:rPr>
          <w:rFonts w:ascii="Arial" w:cs="Arial" w:eastAsia="Arial" w:hAnsi="Arial"/>
          <w:sz w:val="15"/>
          <w:szCs w:val="15"/>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5"/>
          <w:szCs w:val="15"/>
          <w:b w:val="1"/>
          <w:bCs w:val="1"/>
          <w:color w:val="auto"/>
        </w:rPr>
        <w:t>Change of Control Notice</w:t>
      </w:r>
      <w:r>
        <w:rPr>
          <w:rFonts w:ascii="Arial" w:cs="Arial" w:eastAsia="Arial" w:hAnsi="Arial"/>
          <w:sz w:val="15"/>
          <w:szCs w:val="15"/>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5"/>
          <w:szCs w:val="15"/>
          <w:b w:val="1"/>
          <w:bCs w:val="1"/>
          <w:color w:val="auto"/>
        </w:rPr>
        <w:t>Put Triggering Event</w:t>
      </w:r>
      <w:r>
        <w:rPr>
          <w:rFonts w:ascii="Arial" w:cs="Arial" w:eastAsia="Arial" w:hAnsi="Arial"/>
          <w:sz w:val="15"/>
          <w:szCs w:val="15"/>
          <w:color w:val="auto"/>
        </w:rPr>
        <w:t xml:space="preserve"> </w:t>
      </w:r>
      <w:r>
        <w:rPr>
          <w:rFonts w:ascii="Arial" w:cs="Arial" w:eastAsia="Arial" w:hAnsi="Arial"/>
          <w:sz w:val="15"/>
          <w:szCs w:val="15"/>
          <w:b w:val="1"/>
          <w:bCs w:val="1"/>
          <w:color w:val="auto"/>
        </w:rPr>
        <w:t>Redemption Notice Date</w:t>
      </w:r>
      <w:r>
        <w:rPr>
          <w:rFonts w:ascii="Arial" w:cs="Arial" w:eastAsia="Arial" w:hAnsi="Arial"/>
          <w:sz w:val="15"/>
          <w:szCs w:val="15"/>
          <w:color w:val="auto"/>
        </w:rPr>
        <w:t>”) written notice thereof (“</w:t>
      </w:r>
      <w:r>
        <w:rPr>
          <w:rFonts w:ascii="Arial" w:cs="Arial" w:eastAsia="Arial" w:hAnsi="Arial"/>
          <w:sz w:val="15"/>
          <w:szCs w:val="15"/>
          <w:b w:val="1"/>
          <w:bCs w:val="1"/>
          <w:color w:val="auto"/>
        </w:rPr>
        <w:t>Put Triggering Event Redemption Notice</w:t>
      </w:r>
      <w:r>
        <w:rPr>
          <w:rFonts w:ascii="Arial" w:cs="Arial" w:eastAsia="Arial" w:hAnsi="Arial"/>
          <w:sz w:val="15"/>
          <w:szCs w:val="15"/>
          <w:color w:val="auto"/>
        </w:rPr>
        <w:t>”) to the Corporation, which</w:t>
      </w:r>
      <w:r>
        <w:rPr>
          <w:rFonts w:ascii="Arial" w:cs="Arial" w:eastAsia="Arial" w:hAnsi="Arial"/>
          <w:sz w:val="15"/>
          <w:szCs w:val="15"/>
          <w:b w:val="1"/>
          <w:bCs w:val="1"/>
          <w:color w:val="auto"/>
        </w:rPr>
        <w:t xml:space="preserve"> </w:t>
      </w:r>
      <w:r>
        <w:rPr>
          <w:rFonts w:ascii="Arial" w:cs="Arial" w:eastAsia="Arial" w:hAnsi="Arial"/>
          <w:sz w:val="15"/>
          <w:szCs w:val="15"/>
          <w:color w:val="auto"/>
        </w:rPr>
        <w:t>Put Triggering Event 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5"/>
          <w:szCs w:val="15"/>
          <w:b w:val="1"/>
          <w:bCs w:val="1"/>
          <w:color w:val="auto"/>
        </w:rPr>
        <w:t>Put Triggering Event Redemption Price</w:t>
      </w:r>
      <w:r>
        <w:rPr>
          <w:rFonts w:ascii="Arial" w:cs="Arial" w:eastAsia="Arial" w:hAnsi="Arial"/>
          <w:sz w:val="15"/>
          <w:szCs w:val="15"/>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5"/>
          <w:szCs w:val="15"/>
          <w:b w:val="1"/>
          <w:bCs w:val="1"/>
          <w:color w:val="auto"/>
        </w:rPr>
        <w:t>Put</w:t>
      </w:r>
      <w:r>
        <w:rPr>
          <w:rFonts w:ascii="Arial" w:cs="Arial" w:eastAsia="Arial" w:hAnsi="Arial"/>
          <w:sz w:val="15"/>
          <w:szCs w:val="15"/>
          <w:color w:val="auto"/>
        </w:rPr>
        <w:t xml:space="preserve"> </w:t>
      </w:r>
      <w:r>
        <w:rPr>
          <w:rFonts w:ascii="Arial" w:cs="Arial" w:eastAsia="Arial" w:hAnsi="Arial"/>
          <w:sz w:val="15"/>
          <w:szCs w:val="15"/>
          <w:b w:val="1"/>
          <w:bCs w:val="1"/>
          <w:color w:val="auto"/>
        </w:rPr>
        <w:t>Triggering Event Redemption Date</w:t>
      </w:r>
      <w:r>
        <w:rPr>
          <w:rFonts w:ascii="Arial" w:cs="Arial" w:eastAsia="Arial" w:hAnsi="Arial"/>
          <w:sz w:val="15"/>
          <w:szCs w:val="15"/>
          <w:color w:val="auto"/>
        </w:rPr>
        <w:t>”). To the extent redemptions required by this Section 5(c) are deemed or determined by a</w:t>
      </w:r>
      <w:r>
        <w:rPr>
          <w:rFonts w:ascii="Arial" w:cs="Arial" w:eastAsia="Arial" w:hAnsi="Arial"/>
          <w:sz w:val="15"/>
          <w:szCs w:val="15"/>
          <w:b w:val="1"/>
          <w:bCs w:val="1"/>
          <w:color w:val="auto"/>
        </w:rPr>
        <w:t xml:space="preserve"> </w:t>
      </w:r>
      <w:r>
        <w:rPr>
          <w:rFonts w:ascii="Arial" w:cs="Arial" w:eastAsia="Arial" w:hAnsi="Arial"/>
          <w:sz w:val="15"/>
          <w:szCs w:val="15"/>
          <w:color w:val="auto"/>
        </w:rPr>
        <w:t>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29" w:name="page430"/>
    <w:bookmarkEnd w:id="42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80" w:lineRule="auto"/>
        <w:tabs>
          <w:tab w:leader="none" w:pos="841" w:val="left"/>
        </w:tabs>
        <w:numPr>
          <w:ilvl w:val="1"/>
          <w:numId w:val="402"/>
        </w:numPr>
        <w:rPr>
          <w:rFonts w:ascii="Arial" w:cs="Arial" w:eastAsia="Arial" w:hAnsi="Arial"/>
          <w:sz w:val="15"/>
          <w:szCs w:val="15"/>
          <w:color w:val="auto"/>
        </w:rPr>
      </w:pPr>
      <w:r>
        <w:rPr>
          <w:rFonts w:ascii="Arial" w:cs="Arial" w:eastAsia="Arial" w:hAnsi="Arial"/>
          <w:sz w:val="15"/>
          <w:szCs w:val="15"/>
          <w:u w:val="single" w:color="auto"/>
          <w:color w:val="auto"/>
        </w:rPr>
        <w:t>Void Redemption</w:t>
      </w:r>
      <w:r>
        <w:rPr>
          <w:rFonts w:ascii="Arial" w:cs="Arial" w:eastAsia="Arial" w:hAnsi="Arial"/>
          <w:sz w:val="15"/>
          <w:szCs w:val="15"/>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5"/>
          <w:szCs w:val="15"/>
          <w:b w:val="1"/>
          <w:bCs w:val="1"/>
          <w:color w:val="auto"/>
        </w:rPr>
        <w:t>Void Redemption Notice</w:t>
      </w:r>
      <w:r>
        <w:rPr>
          <w:rFonts w:ascii="Arial" w:cs="Arial" w:eastAsia="Arial" w:hAnsi="Arial"/>
          <w:sz w:val="15"/>
          <w:szCs w:val="15"/>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w:t>
      </w:r>
    </w:p>
    <w:p>
      <w:pPr>
        <w:spacing w:after="0" w:line="4" w:lineRule="exact"/>
        <w:rPr>
          <w:rFonts w:ascii="Arial" w:cs="Arial" w:eastAsia="Arial" w:hAnsi="Arial"/>
          <w:sz w:val="15"/>
          <w:szCs w:val="15"/>
          <w:color w:val="auto"/>
        </w:rPr>
      </w:pPr>
    </w:p>
    <w:p>
      <w:pPr>
        <w:jc w:val="both"/>
        <w:ind w:left="300" w:right="1239" w:hanging="2"/>
        <w:spacing w:after="0" w:line="298" w:lineRule="auto"/>
        <w:tabs>
          <w:tab w:leader="none" w:pos="571"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46" w:lineRule="exact"/>
        <w:rPr>
          <w:rFonts w:ascii="Arial" w:cs="Arial" w:eastAsia="Arial" w:hAnsi="Arial"/>
          <w:sz w:val="15"/>
          <w:szCs w:val="15"/>
          <w:color w:val="auto"/>
        </w:rPr>
      </w:pPr>
    </w:p>
    <w:p>
      <w:pPr>
        <w:jc w:val="both"/>
        <w:ind w:left="300" w:right="1239" w:firstLine="248"/>
        <w:spacing w:after="0" w:line="251" w:lineRule="auto"/>
        <w:tabs>
          <w:tab w:leader="none" w:pos="845" w:val="left"/>
        </w:tabs>
        <w:numPr>
          <w:ilvl w:val="1"/>
          <w:numId w:val="403"/>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80" w:lineRule="exact"/>
        <w:rPr>
          <w:sz w:val="20"/>
          <w:szCs w:val="20"/>
          <w:color w:val="auto"/>
        </w:rPr>
      </w:pPr>
    </w:p>
    <w:p>
      <w:pPr>
        <w:ind w:left="500" w:hanging="202"/>
        <w:spacing w:after="0"/>
        <w:tabs>
          <w:tab w:leader="none" w:pos="50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404"/>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jc w:val="both"/>
        <w:ind w:left="540" w:right="1239" w:firstLine="259"/>
        <w:spacing w:after="0" w:line="294" w:lineRule="auto"/>
        <w:tabs>
          <w:tab w:leader="none" w:pos="1057" w:val="left"/>
        </w:tabs>
        <w:numPr>
          <w:ilvl w:val="2"/>
          <w:numId w:val="4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46" w:lineRule="exact"/>
        <w:rPr>
          <w:rFonts w:ascii="Arial" w:cs="Arial" w:eastAsia="Arial" w:hAnsi="Arial"/>
          <w:sz w:val="15"/>
          <w:szCs w:val="15"/>
          <w:color w:val="auto"/>
        </w:rPr>
      </w:pPr>
    </w:p>
    <w:p>
      <w:pPr>
        <w:ind w:left="1080" w:hanging="281"/>
        <w:spacing w:after="0"/>
        <w:tabs>
          <w:tab w:leader="none" w:pos="1080" w:val="left"/>
        </w:tabs>
        <w:numPr>
          <w:ilvl w:val="2"/>
          <w:numId w:val="4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United States generally accepted accounting principles, consistently applied.</w:t>
      </w:r>
    </w:p>
    <w:p>
      <w:pPr>
        <w:spacing w:after="0" w:line="105" w:lineRule="exact"/>
        <w:rPr>
          <w:rFonts w:ascii="Arial" w:cs="Arial" w:eastAsia="Arial" w:hAnsi="Arial"/>
          <w:sz w:val="17"/>
          <w:szCs w:val="17"/>
          <w:color w:val="auto"/>
        </w:rPr>
      </w:pPr>
    </w:p>
    <w:p>
      <w:pPr>
        <w:jc w:val="both"/>
        <w:ind w:left="540" w:right="1239" w:firstLine="259"/>
        <w:spacing w:after="0" w:line="283" w:lineRule="auto"/>
        <w:tabs>
          <w:tab w:leader="none" w:pos="1200" w:val="left"/>
        </w:tabs>
        <w:numPr>
          <w:ilvl w:val="2"/>
          <w:numId w:val="4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w:t>
      </w:r>
    </w:p>
    <w:p>
      <w:pPr>
        <w:spacing w:after="0" w:line="200" w:lineRule="exact"/>
        <w:rPr>
          <w:sz w:val="20"/>
          <w:szCs w:val="20"/>
          <w:color w:val="auto"/>
        </w:rPr>
      </w:pPr>
    </w:p>
    <w:p>
      <w:pPr>
        <w:spacing w:after="0" w:line="27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0" w:name="page431"/>
    <w:bookmarkEnd w:id="43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40" w:right="1239"/>
        <w:spacing w:after="0" w:line="335" w:lineRule="auto"/>
        <w:rPr>
          <w:sz w:val="20"/>
          <w:szCs w:val="20"/>
          <w:color w:val="auto"/>
        </w:rPr>
      </w:pPr>
      <w:r>
        <w:rPr>
          <w:rFonts w:ascii="Arial" w:cs="Arial" w:eastAsia="Arial" w:hAnsi="Arial"/>
          <w:sz w:val="15"/>
          <w:szCs w:val="15"/>
          <w:color w:val="auto"/>
        </w:rPr>
        <w:t>or property has not assumed or become liable for the payment of such indebtedness, and (viii) all Contingent Obligations in respect of indebtedness or obligations of others of the kinds referred to in clauses (i) through (vii) above.</w:t>
      </w:r>
    </w:p>
    <w:p>
      <w:pPr>
        <w:spacing w:after="0" w:line="16" w:lineRule="exact"/>
        <w:rPr>
          <w:sz w:val="20"/>
          <w:szCs w:val="20"/>
          <w:color w:val="auto"/>
        </w:rPr>
      </w:pPr>
    </w:p>
    <w:p>
      <w:pPr>
        <w:ind w:left="540" w:right="1239" w:firstLine="259"/>
        <w:spacing w:after="0" w:line="304" w:lineRule="auto"/>
        <w:tabs>
          <w:tab w:leader="none" w:pos="1128" w:val="left"/>
        </w:tabs>
        <w:numPr>
          <w:ilvl w:val="1"/>
          <w:numId w:val="4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39" w:lineRule="exact"/>
        <w:rPr>
          <w:rFonts w:ascii="Arial" w:cs="Arial" w:eastAsia="Arial" w:hAnsi="Arial"/>
          <w:sz w:val="16"/>
          <w:szCs w:val="16"/>
          <w:color w:val="auto"/>
        </w:rPr>
      </w:pPr>
    </w:p>
    <w:p>
      <w:pPr>
        <w:jc w:val="both"/>
        <w:ind w:left="300" w:right="1239" w:firstLine="248"/>
        <w:spacing w:after="0" w:line="285" w:lineRule="auto"/>
        <w:tabs>
          <w:tab w:leader="none" w:pos="829"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5"/>
          <w:szCs w:val="15"/>
          <w:b w:val="1"/>
          <w:bCs w:val="1"/>
          <w:color w:val="auto"/>
        </w:rPr>
        <w:t>Twenty Percent Issuance</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jc w:val="both"/>
        <w:ind w:left="300" w:right="1239" w:firstLine="248"/>
        <w:spacing w:after="0" w:line="280" w:lineRule="auto"/>
        <w:tabs>
          <w:tab w:leader="none" w:pos="832"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Series A Preferred Stock Protective Provisions</w:t>
      </w:r>
      <w:r>
        <w:rPr>
          <w:rFonts w:ascii="Arial" w:cs="Arial" w:eastAsia="Arial" w:hAnsi="Arial"/>
          <w:sz w:val="16"/>
          <w:szCs w:val="16"/>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57" w:lineRule="exact"/>
        <w:rPr>
          <w:rFonts w:ascii="Arial" w:cs="Arial" w:eastAsia="Arial" w:hAnsi="Arial"/>
          <w:sz w:val="16"/>
          <w:szCs w:val="16"/>
          <w:color w:val="auto"/>
        </w:rPr>
      </w:pPr>
    </w:p>
    <w:p>
      <w:pPr>
        <w:ind w:left="1040" w:hanging="241"/>
        <w:spacing w:after="0"/>
        <w:tabs>
          <w:tab w:leader="none" w:pos="104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increase the authorized number of shares of Series A Preferred Stock;</w:t>
      </w:r>
    </w:p>
    <w:p>
      <w:pPr>
        <w:spacing w:after="0" w:line="105" w:lineRule="exact"/>
        <w:rPr>
          <w:rFonts w:ascii="Arial" w:cs="Arial" w:eastAsia="Arial" w:hAnsi="Arial"/>
          <w:sz w:val="17"/>
          <w:szCs w:val="17"/>
          <w:color w:val="auto"/>
        </w:rPr>
      </w:pPr>
    </w:p>
    <w:p>
      <w:pPr>
        <w:ind w:left="540" w:right="1239" w:firstLine="259"/>
        <w:spacing w:after="0" w:line="267" w:lineRule="auto"/>
        <w:tabs>
          <w:tab w:leader="none" w:pos="1088" w:val="left"/>
        </w:tabs>
        <w:numPr>
          <w:ilvl w:val="1"/>
          <w:numId w:val="406"/>
        </w:numPr>
        <w:rPr>
          <w:rFonts w:ascii="Arial" w:cs="Arial" w:eastAsia="Arial" w:hAnsi="Arial"/>
          <w:sz w:val="17"/>
          <w:szCs w:val="17"/>
          <w:color w:val="auto"/>
        </w:rPr>
      </w:pPr>
      <w:r>
        <w:rPr>
          <w:rFonts w:ascii="Arial" w:cs="Arial" w:eastAsia="Arial" w:hAnsi="Arial"/>
          <w:sz w:val="17"/>
          <w:szCs w:val="17"/>
          <w:color w:val="auto"/>
        </w:rPr>
        <w:t>amend, alter or repeal the preferences, special rights or other powers of the Series A Preferred Stock so as to affect adversely the Series A Preferred Stock;</w:t>
      </w:r>
    </w:p>
    <w:p>
      <w:pPr>
        <w:spacing w:after="0" w:line="93" w:lineRule="exact"/>
        <w:rPr>
          <w:rFonts w:ascii="Arial" w:cs="Arial" w:eastAsia="Arial" w:hAnsi="Arial"/>
          <w:sz w:val="17"/>
          <w:szCs w:val="17"/>
          <w:color w:val="auto"/>
        </w:rPr>
      </w:pPr>
    </w:p>
    <w:p>
      <w:pPr>
        <w:jc w:val="both"/>
        <w:ind w:left="540" w:right="1239" w:firstLine="259"/>
        <w:spacing w:after="0" w:line="255" w:lineRule="auto"/>
        <w:tabs>
          <w:tab w:leader="none" w:pos="1135" w:val="left"/>
        </w:tabs>
        <w:numPr>
          <w:ilvl w:val="1"/>
          <w:numId w:val="406"/>
        </w:numPr>
        <w:rPr>
          <w:rFonts w:ascii="Arial" w:cs="Arial" w:eastAsia="Arial" w:hAnsi="Arial"/>
          <w:sz w:val="16"/>
          <w:szCs w:val="16"/>
          <w:color w:val="auto"/>
        </w:rPr>
      </w:pPr>
      <w:r>
        <w:rPr>
          <w:rFonts w:ascii="Arial" w:cs="Arial" w:eastAsia="Arial" w:hAnsi="Arial"/>
          <w:sz w:val="16"/>
          <w:szCs w:val="16"/>
          <w:color w:val="auto"/>
        </w:rPr>
        <w:t>on or prior to the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Vringo Notes (as defined in the Agreement and Plan of Merger, dated as of March 12, 2012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xml:space="preserve">”), VIP Merger Sub, Inc., a Delaware corporation and wholly owned Subsidiary of Parent, and the Corporation; provided, that the Corporation and its Subsidiaries shall be permitted to incur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84" w:lineRule="exact"/>
        <w:rPr>
          <w:sz w:val="20"/>
          <w:szCs w:val="20"/>
          <w:color w:val="auto"/>
        </w:rPr>
      </w:pPr>
    </w:p>
    <w:p>
      <w:pPr>
        <w:jc w:val="both"/>
        <w:ind w:left="540" w:right="1239" w:firstLine="259"/>
        <w:spacing w:after="0" w:line="269" w:lineRule="auto"/>
        <w:tabs>
          <w:tab w:leader="none" w:pos="1077"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w:t>
      </w:r>
    </w:p>
    <w:p>
      <w:pPr>
        <w:spacing w:after="0" w:line="200" w:lineRule="exact"/>
        <w:rPr>
          <w:sz w:val="20"/>
          <w:szCs w:val="20"/>
          <w:color w:val="auto"/>
        </w:rPr>
      </w:pPr>
    </w:p>
    <w:p>
      <w:pPr>
        <w:spacing w:after="0" w:line="27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1" w:name="page432"/>
    <w:bookmarkEnd w:id="43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92" w:lineRule="auto"/>
        <w:rPr>
          <w:sz w:val="20"/>
          <w:szCs w:val="20"/>
          <w:color w:val="auto"/>
        </w:rPr>
      </w:pPr>
      <w:r>
        <w:rPr>
          <w:rFonts w:ascii="Arial" w:cs="Arial" w:eastAsia="Arial" w:hAnsi="Arial"/>
          <w:sz w:val="15"/>
          <w:szCs w:val="15"/>
          <w:color w:val="auto"/>
        </w:rPr>
        <w:t>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53" w:lineRule="exact"/>
        <w:rPr>
          <w:sz w:val="20"/>
          <w:szCs w:val="20"/>
          <w:color w:val="auto"/>
        </w:rPr>
      </w:pPr>
    </w:p>
    <w:p>
      <w:pPr>
        <w:jc w:val="both"/>
        <w:ind w:left="40" w:right="1239" w:firstLine="258"/>
        <w:spacing w:after="0" w:line="297" w:lineRule="auto"/>
        <w:tabs>
          <w:tab w:leader="none" w:pos="499" w:val="left"/>
        </w:tabs>
        <w:numPr>
          <w:ilvl w:val="0"/>
          <w:numId w:val="408"/>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48" w:lineRule="exact"/>
        <w:rPr>
          <w:rFonts w:ascii="Arial" w:cs="Arial" w:eastAsia="Arial" w:hAnsi="Arial"/>
          <w:sz w:val="15"/>
          <w:szCs w:val="15"/>
          <w:color w:val="auto"/>
        </w:rPr>
      </w:pPr>
    </w:p>
    <w:p>
      <w:pPr>
        <w:ind w:left="820" w:hanging="272"/>
        <w:spacing w:after="0"/>
        <w:tabs>
          <w:tab w:leader="none" w:pos="820"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ind w:left="1040" w:hanging="241"/>
        <w:spacing w:after="0"/>
        <w:tabs>
          <w:tab w:leader="none" w:pos="1040" w:val="left"/>
        </w:tabs>
        <w:numPr>
          <w:ilvl w:val="2"/>
          <w:numId w:val="4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Bloomberg</w:t>
      </w:r>
      <w:r>
        <w:rPr>
          <w:rFonts w:ascii="Arial" w:cs="Arial" w:eastAsia="Arial" w:hAnsi="Arial"/>
          <w:sz w:val="17"/>
          <w:szCs w:val="17"/>
          <w:color w:val="auto"/>
        </w:rPr>
        <w:t>” means Bloomberg Financial Markets.</w:t>
      </w:r>
    </w:p>
    <w:p>
      <w:pPr>
        <w:spacing w:after="0" w:line="105" w:lineRule="exact"/>
        <w:rPr>
          <w:rFonts w:ascii="Arial" w:cs="Arial" w:eastAsia="Arial" w:hAnsi="Arial"/>
          <w:sz w:val="17"/>
          <w:szCs w:val="17"/>
          <w:color w:val="auto"/>
        </w:rPr>
      </w:pPr>
    </w:p>
    <w:p>
      <w:pPr>
        <w:ind w:left="1080" w:hanging="281"/>
        <w:spacing w:after="0"/>
        <w:tabs>
          <w:tab w:leader="none" w:pos="1080" w:val="left"/>
        </w:tabs>
        <w:numPr>
          <w:ilvl w:val="2"/>
          <w:numId w:val="4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Amount</w:t>
      </w:r>
      <w:r>
        <w:rPr>
          <w:rFonts w:ascii="Arial" w:cs="Arial" w:eastAsia="Arial" w:hAnsi="Arial"/>
          <w:sz w:val="17"/>
          <w:szCs w:val="17"/>
          <w:color w:val="auto"/>
        </w:rPr>
        <w:t>” means the Stated Value.</w:t>
      </w:r>
    </w:p>
    <w:p>
      <w:pPr>
        <w:spacing w:after="0" w:line="105" w:lineRule="exact"/>
        <w:rPr>
          <w:rFonts w:ascii="Arial" w:cs="Arial" w:eastAsia="Arial" w:hAnsi="Arial"/>
          <w:sz w:val="17"/>
          <w:szCs w:val="17"/>
          <w:color w:val="auto"/>
        </w:rPr>
      </w:pPr>
    </w:p>
    <w:p>
      <w:pPr>
        <w:ind w:left="1140" w:hanging="341"/>
        <w:spacing w:after="0"/>
        <w:tabs>
          <w:tab w:leader="none" w:pos="1140" w:val="left"/>
        </w:tabs>
        <w:numPr>
          <w:ilvl w:val="2"/>
          <w:numId w:val="4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Price</w:t>
      </w:r>
      <w:r>
        <w:rPr>
          <w:rFonts w:ascii="Arial" w:cs="Arial" w:eastAsia="Arial" w:hAnsi="Arial"/>
          <w:sz w:val="17"/>
          <w:szCs w:val="17"/>
          <w:color w:val="auto"/>
        </w:rPr>
        <w:t>” means $.33138918, subject to adjustment as provided herein.</w:t>
      </w:r>
    </w:p>
    <w:p>
      <w:pPr>
        <w:spacing w:after="0" w:line="105" w:lineRule="exact"/>
        <w:rPr>
          <w:rFonts w:ascii="Arial" w:cs="Arial" w:eastAsia="Arial" w:hAnsi="Arial"/>
          <w:sz w:val="17"/>
          <w:szCs w:val="17"/>
          <w:color w:val="auto"/>
        </w:rPr>
      </w:pPr>
    </w:p>
    <w:p>
      <w:pPr>
        <w:ind w:left="540" w:right="1239" w:firstLine="259"/>
        <w:spacing w:after="0" w:line="272" w:lineRule="auto"/>
        <w:tabs>
          <w:tab w:leader="none" w:pos="1140" w:val="left"/>
        </w:tabs>
        <w:numPr>
          <w:ilvl w:val="2"/>
          <w:numId w:val="4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the Corporation, any entity in which the Corporation, directly or indirectly, owns any of the capital stock or holds an equity or similar interest.</w:t>
      </w:r>
    </w:p>
    <w:p>
      <w:pPr>
        <w:spacing w:after="0" w:line="58" w:lineRule="exact"/>
        <w:rPr>
          <w:rFonts w:ascii="Arial" w:cs="Arial" w:eastAsia="Arial" w:hAnsi="Arial"/>
          <w:sz w:val="17"/>
          <w:szCs w:val="17"/>
          <w:color w:val="auto"/>
        </w:rPr>
      </w:pPr>
    </w:p>
    <w:p>
      <w:pPr>
        <w:jc w:val="both"/>
        <w:ind w:left="540" w:right="1239" w:firstLine="259"/>
        <w:spacing w:after="0" w:line="283" w:lineRule="auto"/>
        <w:tabs>
          <w:tab w:leader="none" w:pos="1094" w:val="left"/>
        </w:tabs>
        <w:numPr>
          <w:ilvl w:val="2"/>
          <w:numId w:val="4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Weighted Average Price</w:t>
      </w:r>
      <w:r>
        <w:rPr>
          <w:rFonts w:ascii="Arial" w:cs="Arial" w:eastAsia="Arial" w:hAnsi="Arial"/>
          <w:sz w:val="15"/>
          <w:szCs w:val="15"/>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63" w:lineRule="exact"/>
        <w:rPr>
          <w:rFonts w:ascii="Arial" w:cs="Arial" w:eastAsia="Arial" w:hAnsi="Arial"/>
          <w:sz w:val="15"/>
          <w:szCs w:val="15"/>
          <w:color w:val="auto"/>
        </w:rPr>
      </w:pPr>
    </w:p>
    <w:p>
      <w:pPr>
        <w:ind w:left="300" w:right="1239" w:firstLine="248"/>
        <w:spacing w:after="0" w:line="335" w:lineRule="auto"/>
        <w:tabs>
          <w:tab w:leader="none" w:pos="854" w:val="left"/>
        </w:tabs>
        <w:numPr>
          <w:ilvl w:val="1"/>
          <w:numId w:val="408"/>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5"/>
          <w:szCs w:val="15"/>
          <w:b w:val="1"/>
          <w:bCs w:val="1"/>
          <w:color w:val="auto"/>
        </w:rPr>
        <w:t>Conversion Rate</w:t>
      </w:r>
      <w:r>
        <w:rPr>
          <w:rFonts w:ascii="Arial" w:cs="Arial" w:eastAsia="Arial" w:hAnsi="Arial"/>
          <w:sz w:val="15"/>
          <w:szCs w:val="15"/>
          <w:color w:val="auto"/>
        </w:rPr>
        <w:t>”):</w:t>
      </w:r>
    </w:p>
    <w:p>
      <w:pPr>
        <w:spacing w:after="0" w:line="20" w:lineRule="exact"/>
        <w:rPr>
          <w:sz w:val="20"/>
          <w:szCs w:val="20"/>
          <w:color w:val="auto"/>
        </w:rPr>
      </w:pPr>
    </w:p>
    <w:p>
      <w:pPr>
        <w:jc w:val="center"/>
        <w:ind w:right="1199"/>
        <w:spacing w:after="0"/>
        <w:rPr>
          <w:sz w:val="20"/>
          <w:szCs w:val="20"/>
          <w:color w:val="auto"/>
        </w:rPr>
      </w:pPr>
      <w:r>
        <w:rPr>
          <w:rFonts w:ascii="Arial" w:cs="Arial" w:eastAsia="Arial" w:hAnsi="Arial"/>
          <w:sz w:val="17"/>
          <w:szCs w:val="17"/>
          <w:u w:val="single" w:color="auto"/>
          <w:color w:val="auto"/>
        </w:rPr>
        <w:t>Conversion Amount</w:t>
      </w:r>
    </w:p>
    <w:p>
      <w:pPr>
        <w:spacing w:after="0" w:line="17"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Conversion Price</w:t>
      </w:r>
    </w:p>
    <w:p>
      <w:pPr>
        <w:spacing w:after="0" w:line="93" w:lineRule="exact"/>
        <w:rPr>
          <w:sz w:val="20"/>
          <w:szCs w:val="20"/>
          <w:color w:val="auto"/>
        </w:rPr>
      </w:pPr>
    </w:p>
    <w:p>
      <w:pPr>
        <w:ind w:left="540" w:right="1239"/>
        <w:spacing w:after="0" w:line="299" w:lineRule="auto"/>
        <w:rPr>
          <w:sz w:val="20"/>
          <w:szCs w:val="20"/>
          <w:color w:val="auto"/>
        </w:rPr>
      </w:pPr>
      <w:r>
        <w:rPr>
          <w:rFonts w:ascii="Arial" w:cs="Arial" w:eastAsia="Arial" w:hAnsi="Arial"/>
          <w:sz w:val="16"/>
          <w:szCs w:val="16"/>
          <w:color w:val="auto"/>
        </w:rPr>
        <w:t>No fractional shares of Common Stock are to be issued upon the conversion of any Series A Preferred Stock, but rather the number of shares of Common Stock to be issued shall be rounded up to the nearest whole number.</w:t>
      </w:r>
    </w:p>
    <w:p>
      <w:pPr>
        <w:spacing w:after="0" w:line="43" w:lineRule="exact"/>
        <w:rPr>
          <w:sz w:val="20"/>
          <w:szCs w:val="20"/>
          <w:color w:val="auto"/>
        </w:rPr>
      </w:pPr>
    </w:p>
    <w:p>
      <w:pPr>
        <w:ind w:left="540" w:right="1239"/>
        <w:spacing w:after="0" w:line="267" w:lineRule="auto"/>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00" w:lineRule="exact"/>
        <w:rPr>
          <w:sz w:val="20"/>
          <w:szCs w:val="20"/>
          <w:color w:val="auto"/>
        </w:rPr>
      </w:pPr>
    </w:p>
    <w:p>
      <w:pPr>
        <w:spacing w:after="0" w:line="28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2" w:name="page433"/>
    <w:bookmarkEnd w:id="43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 The conversion of Series A Preferred Stock shall be conducted in the following manner:</w:t>
      </w:r>
    </w:p>
    <w:p>
      <w:pPr>
        <w:spacing w:after="0" w:line="128" w:lineRule="exact"/>
        <w:rPr>
          <w:rFonts w:ascii="Arial" w:cs="Arial" w:eastAsia="Arial" w:hAnsi="Arial"/>
          <w:sz w:val="15"/>
          <w:szCs w:val="15"/>
          <w:color w:val="auto"/>
        </w:rPr>
      </w:pPr>
    </w:p>
    <w:p>
      <w:pPr>
        <w:jc w:val="both"/>
        <w:ind w:left="540" w:right="1239" w:firstLine="259"/>
        <w:spacing w:after="0" w:line="265" w:lineRule="auto"/>
        <w:tabs>
          <w:tab w:leader="none" w:pos="1032"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To convert Series A Preferred Stock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6"/>
          <w:szCs w:val="16"/>
          <w:b w:val="1"/>
          <w:bCs w:val="1"/>
          <w:color w:val="auto"/>
        </w:rPr>
        <w:t>Preferred Stock Certificates</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100" w:hanging="301"/>
        <w:spacing w:after="0"/>
        <w:tabs>
          <w:tab w:leader="none" w:pos="1100" w:val="left"/>
        </w:tabs>
        <w:numPr>
          <w:ilvl w:val="1"/>
          <w:numId w:val="409"/>
        </w:numPr>
        <w:rPr>
          <w:rFonts w:ascii="Arial" w:cs="Arial" w:eastAsia="Arial" w:hAnsi="Arial"/>
          <w:sz w:val="15"/>
          <w:szCs w:val="15"/>
          <w:color w:val="auto"/>
        </w:rPr>
      </w:pPr>
      <w:r>
        <w:rPr>
          <w:rFonts w:ascii="Arial" w:cs="Arial" w:eastAsia="Arial" w:hAnsi="Arial"/>
          <w:sz w:val="15"/>
          <w:szCs w:val="15"/>
          <w:u w:val="single" w:color="auto"/>
          <w:color w:val="auto"/>
        </w:rPr>
        <w:t>Corporation’s Response</w:t>
      </w:r>
      <w:r>
        <w:rPr>
          <w:rFonts w:ascii="Arial" w:cs="Arial" w:eastAsia="Arial" w:hAnsi="Arial"/>
          <w:sz w:val="15"/>
          <w:szCs w:val="15"/>
          <w:color w:val="auto"/>
        </w:rPr>
        <w:t>. Upon receipt by the Corporation of a copy of a Conversion Notice, the Corporation shall</w:t>
      </w:r>
    </w:p>
    <w:p>
      <w:pPr>
        <w:spacing w:after="0" w:line="40" w:lineRule="exact"/>
        <w:rPr>
          <w:rFonts w:ascii="Arial" w:cs="Arial" w:eastAsia="Arial" w:hAnsi="Arial"/>
          <w:sz w:val="15"/>
          <w:szCs w:val="15"/>
          <w:color w:val="auto"/>
        </w:rPr>
      </w:pPr>
    </w:p>
    <w:p>
      <w:pPr>
        <w:jc w:val="both"/>
        <w:ind w:left="540" w:right="1239"/>
        <w:spacing w:after="0" w:line="285" w:lineRule="auto"/>
        <w:rPr>
          <w:rFonts w:ascii="Arial" w:cs="Arial" w:eastAsia="Arial" w:hAnsi="Arial"/>
          <w:sz w:val="15"/>
          <w:szCs w:val="15"/>
          <w:color w:val="auto"/>
        </w:rPr>
      </w:pPr>
      <w:r>
        <w:rPr>
          <w:rFonts w:ascii="Arial" w:cs="Arial" w:eastAsia="Arial" w:hAnsi="Arial"/>
          <w:sz w:val="15"/>
          <w:szCs w:val="15"/>
          <w:color w:val="auto"/>
        </w:rPr>
        <w:t>(A)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 Notice in accordance with the terms herein and (B) on or</w:t>
      </w:r>
    </w:p>
    <w:p>
      <w:pPr>
        <w:spacing w:after="0" w:line="1" w:lineRule="exact"/>
        <w:rPr>
          <w:sz w:val="20"/>
          <w:szCs w:val="20"/>
          <w:color w:val="auto"/>
        </w:rPr>
      </w:pPr>
    </w:p>
    <w:p>
      <w:pPr>
        <w:jc w:val="both"/>
        <w:ind w:left="540" w:right="1239"/>
        <w:spacing w:after="0" w:line="273" w:lineRule="auto"/>
        <w:rPr>
          <w:sz w:val="20"/>
          <w:szCs w:val="20"/>
          <w:color w:val="auto"/>
        </w:rPr>
      </w:pPr>
      <w:r>
        <w:rPr>
          <w:rFonts w:ascii="Arial" w:cs="Arial" w:eastAsia="Arial" w:hAnsi="Arial"/>
          <w:sz w:val="15"/>
          <w:szCs w:val="15"/>
          <w:color w:val="auto"/>
        </w:rPr>
        <w:t>before the third (3</w:t>
      </w:r>
      <w:r>
        <w:rPr>
          <w:rFonts w:ascii="Arial" w:cs="Arial" w:eastAsia="Arial" w:hAnsi="Arial"/>
          <w:sz w:val="24"/>
          <w:szCs w:val="24"/>
          <w:color w:val="auto"/>
          <w:vertAlign w:val="superscript"/>
        </w:rPr>
        <w:t>rd</w:t>
      </w:r>
      <w:r>
        <w:rPr>
          <w:rFonts w:ascii="Arial" w:cs="Arial" w:eastAsia="Arial" w:hAnsi="Arial"/>
          <w:sz w:val="15"/>
          <w:szCs w:val="15"/>
          <w:color w:val="auto"/>
        </w:rPr>
        <w:t>) Trading Day following the date of receipt by the Corporation of such Conversion Notice (the “</w:t>
      </w:r>
      <w:r>
        <w:rPr>
          <w:rFonts w:ascii="Arial" w:cs="Arial" w:eastAsia="Arial" w:hAnsi="Arial"/>
          <w:sz w:val="15"/>
          <w:szCs w:val="15"/>
          <w:b w:val="1"/>
          <w:bCs w:val="1"/>
          <w:color w:val="auto"/>
        </w:rPr>
        <w:t>Share</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Date</w:t>
      </w:r>
      <w:r>
        <w:rPr>
          <w:rFonts w:ascii="Arial" w:cs="Arial" w:eastAsia="Arial" w:hAnsi="Arial"/>
          <w:sz w:val="15"/>
          <w:szCs w:val="15"/>
          <w:color w:val="auto"/>
        </w:rPr>
        <w:t>”), (1) provided the Transfer Agent is participating in the DTC Fast Automated Securities Transfer Program,</w:t>
      </w:r>
      <w:r>
        <w:rPr>
          <w:rFonts w:ascii="Arial" w:cs="Arial" w:eastAsia="Arial" w:hAnsi="Arial"/>
          <w:sz w:val="15"/>
          <w:szCs w:val="15"/>
          <w:b w:val="1"/>
          <w:bCs w:val="1"/>
          <w:color w:val="auto"/>
        </w:rPr>
        <w:t xml:space="preserve"> </w:t>
      </w:r>
      <w:r>
        <w:rPr>
          <w:rFonts w:ascii="Arial" w:cs="Arial" w:eastAsia="Arial" w:hAnsi="Arial"/>
          <w:sz w:val="15"/>
          <w:szCs w:val="15"/>
          <w:color w:val="auto"/>
        </w:rPr>
        <w:t>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5"/>
          <w:szCs w:val="15"/>
          <w:b w:val="1"/>
          <w:bCs w:val="1"/>
          <w:color w:val="auto"/>
        </w:rPr>
        <w:t>Preferred Stock Delivery</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and at its own expense, issue and deliver to the Holder a new Preferred Stock Certificate representing the number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Series A Preferred Stock not converted.</w:t>
      </w:r>
    </w:p>
    <w:p>
      <w:pPr>
        <w:spacing w:after="0" w:line="70" w:lineRule="exact"/>
        <w:rPr>
          <w:sz w:val="20"/>
          <w:szCs w:val="20"/>
          <w:color w:val="auto"/>
        </w:rPr>
      </w:pPr>
    </w:p>
    <w:p>
      <w:pPr>
        <w:ind w:left="1140" w:hanging="341"/>
        <w:spacing w:after="0"/>
        <w:tabs>
          <w:tab w:leader="none" w:pos="114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Corporation’s Failure to Timely Convert</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1040" w:right="1239" w:firstLine="260"/>
        <w:spacing w:after="0" w:line="280" w:lineRule="auto"/>
        <w:tabs>
          <w:tab w:leader="none" w:pos="1618" w:val="left"/>
        </w:tabs>
        <w:numPr>
          <w:ilvl w:val="2"/>
          <w:numId w:val="410"/>
        </w:numPr>
        <w:rPr>
          <w:rFonts w:ascii="Arial" w:cs="Arial" w:eastAsia="Arial" w:hAnsi="Arial"/>
          <w:sz w:val="15"/>
          <w:szCs w:val="15"/>
          <w:color w:val="auto"/>
        </w:rPr>
      </w:pPr>
      <w:r>
        <w:rPr>
          <w:rFonts w:ascii="Arial" w:cs="Arial" w:eastAsia="Arial" w:hAnsi="Arial"/>
          <w:sz w:val="15"/>
          <w:szCs w:val="15"/>
          <w:u w:val="single" w:color="auto"/>
          <w:color w:val="auto"/>
        </w:rPr>
        <w:t>Cash Damages</w:t>
      </w:r>
      <w:r>
        <w:rPr>
          <w:rFonts w:ascii="Arial" w:cs="Arial" w:eastAsia="Arial" w:hAnsi="Arial"/>
          <w:sz w:val="15"/>
          <w:szCs w:val="15"/>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5"/>
          <w:szCs w:val="15"/>
          <w:b w:val="1"/>
          <w:bCs w:val="1"/>
          <w:color w:val="auto"/>
        </w:rPr>
        <w:t>Conversion Failure</w:t>
      </w:r>
      <w:r>
        <w:rPr>
          <w:rFonts w:ascii="Arial" w:cs="Arial" w:eastAsia="Arial" w:hAnsi="Arial"/>
          <w:sz w:val="15"/>
          <w:szCs w:val="15"/>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5"/>
          <w:szCs w:val="15"/>
          <w:b w:val="1"/>
          <w:bCs w:val="1"/>
          <w:color w:val="auto"/>
        </w:rPr>
        <w:t>Buy-In</w:t>
      </w:r>
      <w:r>
        <w:rPr>
          <w:rFonts w:ascii="Arial" w:cs="Arial" w:eastAsia="Arial" w:hAnsi="Arial"/>
          <w:sz w:val="15"/>
          <w:szCs w:val="15"/>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2" w:lineRule="exact"/>
        <w:rPr>
          <w:rFonts w:ascii="Arial" w:cs="Arial" w:eastAsia="Arial" w:hAnsi="Arial"/>
          <w:sz w:val="15"/>
          <w:szCs w:val="15"/>
          <w:color w:val="auto"/>
        </w:rPr>
      </w:pPr>
    </w:p>
    <w:p>
      <w:pPr>
        <w:ind w:left="1320" w:hanging="270"/>
        <w:spacing w:after="0"/>
        <w:tabs>
          <w:tab w:leader="none" w:pos="1320" w:val="left"/>
        </w:tabs>
        <w:numPr>
          <w:ilvl w:val="1"/>
          <w:numId w:val="410"/>
        </w:numPr>
        <w:rPr>
          <w:rFonts w:ascii="Arial" w:cs="Arial" w:eastAsia="Arial" w:hAnsi="Arial"/>
          <w:sz w:val="17"/>
          <w:szCs w:val="17"/>
          <w:color w:val="auto"/>
        </w:rPr>
      </w:pPr>
      <w:r>
        <w:rPr>
          <w:rFonts w:ascii="Arial" w:cs="Arial" w:eastAsia="Arial" w:hAnsi="Arial"/>
          <w:sz w:val="17"/>
          <w:szCs w:val="17"/>
          <w:color w:val="auto"/>
        </w:rPr>
        <w:t>the Closing Sale Price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3" w:name="page434"/>
    <w:bookmarkEnd w:id="43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1040" w:right="1239"/>
        <w:spacing w:after="0" w:line="274" w:lineRule="auto"/>
        <w:rPr>
          <w:sz w:val="20"/>
          <w:szCs w:val="20"/>
          <w:color w:val="auto"/>
        </w:rPr>
      </w:pPr>
      <w:r>
        <w:rPr>
          <w:rFonts w:ascii="Arial" w:cs="Arial" w:eastAsia="Arial" w:hAnsi="Arial"/>
          <w:sz w:val="16"/>
          <w:szCs w:val="16"/>
          <w:color w:val="auto"/>
        </w:rPr>
        <w:t>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62" w:lineRule="exact"/>
        <w:rPr>
          <w:sz w:val="20"/>
          <w:szCs w:val="20"/>
          <w:color w:val="auto"/>
        </w:rPr>
      </w:pPr>
    </w:p>
    <w:p>
      <w:pPr>
        <w:ind w:left="1600" w:hanging="300"/>
        <w:spacing w:after="0"/>
        <w:tabs>
          <w:tab w:leader="none" w:pos="1600" w:val="left"/>
        </w:tabs>
        <w:numPr>
          <w:ilvl w:val="0"/>
          <w:numId w:val="411"/>
        </w:numPr>
        <w:rPr>
          <w:rFonts w:ascii="Arial" w:cs="Arial" w:eastAsia="Arial" w:hAnsi="Arial"/>
          <w:sz w:val="15"/>
          <w:szCs w:val="15"/>
          <w:color w:val="auto"/>
        </w:rPr>
      </w:pPr>
      <w:r>
        <w:rPr>
          <w:rFonts w:ascii="Arial" w:cs="Arial" w:eastAsia="Arial" w:hAnsi="Arial"/>
          <w:sz w:val="15"/>
          <w:szCs w:val="15"/>
          <w:u w:val="single" w:color="auto"/>
          <w:color w:val="auto"/>
        </w:rPr>
        <w:t>Void Conversion Notice; Adjustment of Conversion Price</w:t>
      </w:r>
      <w:r>
        <w:rPr>
          <w:rFonts w:ascii="Arial" w:cs="Arial" w:eastAsia="Arial" w:hAnsi="Arial"/>
          <w:sz w:val="15"/>
          <w:szCs w:val="15"/>
          <w:color w:val="auto"/>
        </w:rPr>
        <w:t>. If for any reason a Holder has not received all of</w:t>
      </w:r>
    </w:p>
    <w:p>
      <w:pPr>
        <w:spacing w:after="0" w:line="55" w:lineRule="exact"/>
        <w:rPr>
          <w:sz w:val="20"/>
          <w:szCs w:val="20"/>
          <w:color w:val="auto"/>
        </w:rPr>
      </w:pPr>
    </w:p>
    <w:p>
      <w:pPr>
        <w:jc w:val="both"/>
        <w:ind w:left="1040" w:right="1239"/>
        <w:spacing w:after="0" w:line="234" w:lineRule="auto"/>
        <w:rPr>
          <w:sz w:val="20"/>
          <w:szCs w:val="20"/>
          <w:color w:val="auto"/>
        </w:rPr>
      </w:pPr>
      <w:r>
        <w:rPr>
          <w:rFonts w:ascii="Arial" w:cs="Arial" w:eastAsia="Arial" w:hAnsi="Arial"/>
          <w:sz w:val="17"/>
          <w:szCs w:val="17"/>
          <w:color w:val="auto"/>
        </w:rPr>
        <w:t>the shares of Common Stock to which such Holder is entitled prior to the tenth (10</w:t>
      </w:r>
      <w:r>
        <w:rPr>
          <w:rFonts w:ascii="Arial" w:cs="Arial" w:eastAsia="Arial" w:hAnsi="Arial"/>
          <w:sz w:val="27"/>
          <w:szCs w:val="27"/>
          <w:color w:val="auto"/>
          <w:vertAlign w:val="superscript"/>
        </w:rPr>
        <w:t>th</w:t>
      </w:r>
      <w:r>
        <w:rPr>
          <w:rFonts w:ascii="Arial" w:cs="Arial" w:eastAsia="Arial" w:hAnsi="Arial"/>
          <w:sz w:val="17"/>
          <w:szCs w:val="17"/>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93" w:lineRule="exact"/>
        <w:rPr>
          <w:sz w:val="20"/>
          <w:szCs w:val="20"/>
          <w:color w:val="auto"/>
        </w:rPr>
      </w:pPr>
    </w:p>
    <w:p>
      <w:pPr>
        <w:jc w:val="both"/>
        <w:ind w:left="540" w:right="1239" w:firstLine="259"/>
        <w:spacing w:after="0" w:line="281" w:lineRule="auto"/>
        <w:tabs>
          <w:tab w:leader="none" w:pos="1153" w:val="left"/>
        </w:tabs>
        <w:numPr>
          <w:ilvl w:val="0"/>
          <w:numId w:val="412"/>
        </w:numPr>
        <w:rPr>
          <w:rFonts w:ascii="Arial" w:cs="Arial" w:eastAsia="Arial" w:hAnsi="Arial"/>
          <w:sz w:val="15"/>
          <w:szCs w:val="15"/>
          <w:color w:val="auto"/>
        </w:rPr>
      </w:pPr>
      <w:r>
        <w:rPr>
          <w:rFonts w:ascii="Arial" w:cs="Arial" w:eastAsia="Arial" w:hAnsi="Arial"/>
          <w:sz w:val="15"/>
          <w:szCs w:val="15"/>
          <w:u w:val="single" w:color="auto"/>
          <w:color w:val="auto"/>
        </w:rPr>
        <w:t>Book-Entry</w:t>
      </w:r>
      <w:r>
        <w:rPr>
          <w:rFonts w:ascii="Arial" w:cs="Arial" w:eastAsia="Arial" w:hAnsi="Arial"/>
          <w:sz w:val="15"/>
          <w:szCs w:val="15"/>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69" w:lineRule="exact"/>
        <w:rPr>
          <w:sz w:val="20"/>
          <w:szCs w:val="20"/>
          <w:color w:val="auto"/>
        </w:rPr>
      </w:pPr>
    </w:p>
    <w:p>
      <w:pPr>
        <w:jc w:val="both"/>
        <w:ind w:left="800" w:right="1239"/>
        <w:spacing w:after="0" w:line="249" w:lineRule="auto"/>
        <w:rPr>
          <w:sz w:val="20"/>
          <w:szCs w:val="20"/>
          <w:color w:val="auto"/>
        </w:rPr>
      </w:pPr>
      <w:r>
        <w:rPr>
          <w:rFonts w:ascii="Arial" w:cs="Arial" w:eastAsia="Arial" w:hAnsi="Arial"/>
          <w:sz w:val="17"/>
          <w:szCs w:val="17"/>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4" w:name="page435"/>
    <w:bookmarkEnd w:id="43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820" w:hanging="272"/>
        <w:spacing w:after="0"/>
        <w:tabs>
          <w:tab w:leader="none" w:pos="82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Reservation of Shares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81" w:lineRule="auto"/>
        <w:tabs>
          <w:tab w:leader="none" w:pos="1072" w:val="left"/>
        </w:tabs>
        <w:numPr>
          <w:ilvl w:val="1"/>
          <w:numId w:val="413"/>
        </w:numPr>
        <w:rPr>
          <w:rFonts w:ascii="Arial" w:cs="Arial" w:eastAsia="Arial" w:hAnsi="Arial"/>
          <w:sz w:val="15"/>
          <w:szCs w:val="15"/>
          <w:color w:val="auto"/>
        </w:rPr>
      </w:pPr>
      <w:r>
        <w:rPr>
          <w:rFonts w:ascii="Arial" w:cs="Arial" w:eastAsia="Arial" w:hAnsi="Arial"/>
          <w:sz w:val="15"/>
          <w:szCs w:val="15"/>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5"/>
          <w:szCs w:val="15"/>
          <w:b w:val="1"/>
          <w:bCs w:val="1"/>
          <w:color w:val="auto"/>
        </w:rPr>
        <w:t>Required Reserve Amount</w:t>
      </w:r>
      <w:r>
        <w:rPr>
          <w:rFonts w:ascii="Arial" w:cs="Arial" w:eastAsia="Arial" w:hAnsi="Arial"/>
          <w:sz w:val="15"/>
          <w:szCs w:val="15"/>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5"/>
          <w:szCs w:val="15"/>
          <w:b w:val="1"/>
          <w:bCs w:val="1"/>
          <w:color w:val="auto"/>
        </w:rPr>
        <w:t>Authorized Share Allocation</w:t>
      </w:r>
      <w:r>
        <w:rPr>
          <w:rFonts w:ascii="Arial" w:cs="Arial" w:eastAsia="Arial" w:hAnsi="Arial"/>
          <w:sz w:val="15"/>
          <w:szCs w:val="15"/>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70" w:lineRule="exact"/>
        <w:rPr>
          <w:rFonts w:ascii="Arial" w:cs="Arial" w:eastAsia="Arial" w:hAnsi="Arial"/>
          <w:sz w:val="15"/>
          <w:szCs w:val="15"/>
          <w:color w:val="auto"/>
        </w:rPr>
      </w:pPr>
    </w:p>
    <w:p>
      <w:pPr>
        <w:jc w:val="both"/>
        <w:ind w:left="540" w:right="1239" w:firstLine="259"/>
        <w:spacing w:after="0" w:line="284" w:lineRule="auto"/>
        <w:tabs>
          <w:tab w:leader="none" w:pos="1132" w:val="left"/>
        </w:tabs>
        <w:numPr>
          <w:ilvl w:val="1"/>
          <w:numId w:val="413"/>
        </w:numPr>
        <w:rPr>
          <w:rFonts w:ascii="Arial" w:cs="Arial" w:eastAsia="Arial" w:hAnsi="Arial"/>
          <w:sz w:val="15"/>
          <w:szCs w:val="15"/>
          <w:color w:val="auto"/>
        </w:rPr>
      </w:pPr>
      <w:r>
        <w:rPr>
          <w:rFonts w:ascii="Arial" w:cs="Arial" w:eastAsia="Arial" w:hAnsi="Arial"/>
          <w:sz w:val="15"/>
          <w:szCs w:val="15"/>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5"/>
          <w:szCs w:val="15"/>
          <w:b w:val="1"/>
          <w:bCs w:val="1"/>
          <w:color w:val="auto"/>
        </w:rPr>
        <w:t>Authorized Share Failure</w:t>
      </w:r>
      <w:r>
        <w:rPr>
          <w:rFonts w:ascii="Arial" w:cs="Arial" w:eastAsia="Arial" w:hAnsi="Arial"/>
          <w:sz w:val="15"/>
          <w:szCs w:val="15"/>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56" w:lineRule="exact"/>
        <w:rPr>
          <w:rFonts w:ascii="Arial" w:cs="Arial" w:eastAsia="Arial" w:hAnsi="Arial"/>
          <w:sz w:val="15"/>
          <w:szCs w:val="15"/>
          <w:color w:val="auto"/>
        </w:rPr>
      </w:pPr>
    </w:p>
    <w:p>
      <w:pPr>
        <w:jc w:val="both"/>
        <w:ind w:left="300" w:right="1239" w:firstLine="248"/>
        <w:spacing w:after="0" w:line="264" w:lineRule="auto"/>
        <w:tabs>
          <w:tab w:leader="none" w:pos="845"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5" w:name="page436"/>
    <w:bookmarkEnd w:id="43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firstLine="248"/>
        <w:spacing w:after="0" w:line="256" w:lineRule="auto"/>
        <w:tabs>
          <w:tab w:leader="none" w:pos="813"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Record Holder</w:t>
      </w:r>
      <w:r>
        <w:rPr>
          <w:rFonts w:ascii="Arial" w:cs="Arial" w:eastAsia="Arial" w:hAnsi="Arial"/>
          <w:sz w:val="17"/>
          <w:szCs w:val="17"/>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76" w:lineRule="exact"/>
        <w:rPr>
          <w:rFonts w:ascii="Arial" w:cs="Arial" w:eastAsia="Arial" w:hAnsi="Arial"/>
          <w:sz w:val="17"/>
          <w:szCs w:val="17"/>
          <w:color w:val="auto"/>
        </w:rPr>
      </w:pPr>
    </w:p>
    <w:p>
      <w:pPr>
        <w:jc w:val="both"/>
        <w:ind w:left="300" w:right="1239" w:firstLine="248"/>
        <w:spacing w:after="0" w:line="267" w:lineRule="auto"/>
        <w:tabs>
          <w:tab w:leader="none" w:pos="866"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70" w:lineRule="exact"/>
        <w:rPr>
          <w:rFonts w:ascii="Arial" w:cs="Arial" w:eastAsia="Arial" w:hAnsi="Arial"/>
          <w:sz w:val="16"/>
          <w:szCs w:val="16"/>
          <w:color w:val="auto"/>
        </w:rPr>
      </w:pPr>
    </w:p>
    <w:p>
      <w:pPr>
        <w:jc w:val="both"/>
        <w:ind w:left="300" w:right="1239" w:firstLine="248"/>
        <w:spacing w:after="0" w:line="288" w:lineRule="auto"/>
        <w:tabs>
          <w:tab w:leader="none" w:pos="841" w:val="left"/>
        </w:tabs>
        <w:numPr>
          <w:ilvl w:val="1"/>
          <w:numId w:val="414"/>
        </w:numPr>
        <w:rPr>
          <w:rFonts w:ascii="Arial" w:cs="Arial" w:eastAsia="Arial" w:hAnsi="Arial"/>
          <w:sz w:val="15"/>
          <w:szCs w:val="15"/>
          <w:color w:val="auto"/>
        </w:rPr>
      </w:pPr>
      <w:r>
        <w:rPr>
          <w:rFonts w:ascii="Arial" w:cs="Arial" w:eastAsia="Arial" w:hAnsi="Arial"/>
          <w:sz w:val="15"/>
          <w:szCs w:val="15"/>
          <w:u w:val="single" w:color="auto"/>
          <w:color w:val="auto"/>
        </w:rPr>
        <w:t>Transfer Taxes</w:t>
      </w:r>
      <w:r>
        <w:rPr>
          <w:rFonts w:ascii="Arial" w:cs="Arial" w:eastAsia="Arial" w:hAnsi="Arial"/>
          <w:sz w:val="15"/>
          <w:szCs w:val="15"/>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54" w:lineRule="exact"/>
        <w:rPr>
          <w:rFonts w:ascii="Arial" w:cs="Arial" w:eastAsia="Arial" w:hAnsi="Arial"/>
          <w:sz w:val="15"/>
          <w:szCs w:val="15"/>
          <w:color w:val="auto"/>
        </w:rPr>
      </w:pPr>
    </w:p>
    <w:p>
      <w:pPr>
        <w:jc w:val="both"/>
        <w:ind w:left="300" w:right="1239" w:firstLine="248"/>
        <w:spacing w:after="0" w:line="279" w:lineRule="auto"/>
        <w:tabs>
          <w:tab w:leader="none" w:pos="817" w:val="left"/>
        </w:tabs>
        <w:numPr>
          <w:ilvl w:val="1"/>
          <w:numId w:val="414"/>
        </w:numPr>
        <w:rPr>
          <w:rFonts w:ascii="Arial" w:cs="Arial" w:eastAsia="Arial" w:hAnsi="Arial"/>
          <w:sz w:val="15"/>
          <w:szCs w:val="15"/>
          <w:color w:val="auto"/>
        </w:rPr>
      </w:pPr>
      <w:r>
        <w:rPr>
          <w:rFonts w:ascii="Arial" w:cs="Arial" w:eastAsia="Arial" w:hAnsi="Arial"/>
          <w:sz w:val="15"/>
          <w:szCs w:val="15"/>
          <w:u w:val="single" w:color="auto"/>
          <w:color w:val="auto"/>
        </w:rPr>
        <w:t>Maximum Percentage</w:t>
      </w:r>
      <w:r>
        <w:rPr>
          <w:rFonts w:ascii="Arial" w:cs="Arial" w:eastAsia="Arial" w:hAnsi="Arial"/>
          <w:sz w:val="15"/>
          <w:szCs w:val="15"/>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5"/>
          <w:szCs w:val="15"/>
          <w:b w:val="1"/>
          <w:bCs w:val="1"/>
          <w:color w:val="auto"/>
        </w:rPr>
        <w:t>Maximum Percentage</w:t>
      </w:r>
      <w:r>
        <w:rPr>
          <w:rFonts w:ascii="Arial" w:cs="Arial" w:eastAsia="Arial" w:hAnsi="Arial"/>
          <w:sz w:val="15"/>
          <w:szCs w:val="15"/>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w:t>
      </w:r>
    </w:p>
    <w:p>
      <w:pPr>
        <w:spacing w:after="0" w:line="11" w:lineRule="exact"/>
        <w:rPr>
          <w:rFonts w:ascii="Arial" w:cs="Arial" w:eastAsia="Arial" w:hAnsi="Arial"/>
          <w:sz w:val="15"/>
          <w:szCs w:val="15"/>
          <w:color w:val="auto"/>
        </w:rPr>
      </w:pPr>
    </w:p>
    <w:p>
      <w:pPr>
        <w:jc w:val="both"/>
        <w:ind w:left="300" w:right="1239" w:hanging="2"/>
        <w:spacing w:after="0" w:line="247" w:lineRule="auto"/>
        <w:tabs>
          <w:tab w:leader="none" w:pos="574"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w:t>
      </w: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6" w:name="page437"/>
    <w:bookmarkEnd w:id="43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91" w:lineRule="auto"/>
        <w:rPr>
          <w:sz w:val="20"/>
          <w:szCs w:val="20"/>
          <w:color w:val="auto"/>
        </w:rPr>
      </w:pPr>
      <w:r>
        <w:rPr>
          <w:rFonts w:ascii="Arial" w:cs="Arial" w:eastAsia="Arial" w:hAnsi="Arial"/>
          <w:sz w:val="15"/>
          <w:szCs w:val="15"/>
          <w:color w:val="auto"/>
        </w:rPr>
        <w:t>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w:t>
      </w:r>
    </w:p>
    <w:p>
      <w:pPr>
        <w:spacing w:after="0" w:line="1" w:lineRule="exact"/>
        <w:rPr>
          <w:sz w:val="20"/>
          <w:szCs w:val="20"/>
          <w:color w:val="auto"/>
        </w:rPr>
      </w:pPr>
    </w:p>
    <w:p>
      <w:pPr>
        <w:jc w:val="both"/>
        <w:ind w:left="300" w:right="1239"/>
        <w:spacing w:after="0" w:line="273" w:lineRule="auto"/>
        <w:rPr>
          <w:sz w:val="20"/>
          <w:szCs w:val="20"/>
          <w:color w:val="auto"/>
        </w:rPr>
      </w:pPr>
      <w:r>
        <w:rPr>
          <w:rFonts w:ascii="Arial" w:cs="Arial" w:eastAsia="Arial" w:hAnsi="Arial"/>
          <w:sz w:val="15"/>
          <w:szCs w:val="15"/>
          <w:color w:val="auto"/>
        </w:rPr>
        <w:t>sixty-first (61</w:t>
      </w:r>
      <w:r>
        <w:rPr>
          <w:rFonts w:ascii="Arial" w:cs="Arial" w:eastAsia="Arial" w:hAnsi="Arial"/>
          <w:sz w:val="24"/>
          <w:szCs w:val="24"/>
          <w:color w:val="auto"/>
          <w:vertAlign w:val="superscript"/>
        </w:rPr>
        <w:t>st</w:t>
      </w:r>
      <w:r>
        <w:rPr>
          <w:rFonts w:ascii="Arial" w:cs="Arial" w:eastAsia="Arial" w:hAnsi="Arial"/>
          <w:sz w:val="15"/>
          <w:szCs w:val="15"/>
          <w:color w:val="auto"/>
        </w:rPr>
        <w: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5"/>
          <w:szCs w:val="15"/>
          <w:b w:val="1"/>
          <w:bCs w:val="1"/>
          <w:color w:val="auto"/>
        </w:rPr>
        <w:t>Limited Shares</w:t>
      </w:r>
      <w:r>
        <w:rPr>
          <w:rFonts w:ascii="Arial" w:cs="Arial" w:eastAsia="Arial" w:hAnsi="Arial"/>
          <w:sz w:val="15"/>
          <w:szCs w:val="15"/>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65" w:lineRule="exact"/>
        <w:rPr>
          <w:sz w:val="20"/>
          <w:szCs w:val="20"/>
          <w:color w:val="auto"/>
        </w:rPr>
      </w:pPr>
    </w:p>
    <w:p>
      <w:pPr>
        <w:ind w:left="40" w:right="1239" w:firstLine="258"/>
        <w:spacing w:after="0" w:line="267" w:lineRule="auto"/>
        <w:tabs>
          <w:tab w:leader="none" w:pos="524" w:val="left"/>
        </w:tabs>
        <w:numPr>
          <w:ilvl w:val="0"/>
          <w:numId w:val="416"/>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8.</w:t>
      </w:r>
    </w:p>
    <w:p>
      <w:pPr>
        <w:spacing w:after="0" w:line="66" w:lineRule="exact"/>
        <w:rPr>
          <w:rFonts w:ascii="Arial" w:cs="Arial" w:eastAsia="Arial" w:hAnsi="Arial"/>
          <w:sz w:val="17"/>
          <w:szCs w:val="17"/>
          <w:color w:val="auto"/>
        </w:rPr>
      </w:pPr>
    </w:p>
    <w:p>
      <w:pPr>
        <w:ind w:left="820" w:hanging="272"/>
        <w:spacing w:after="0"/>
        <w:tabs>
          <w:tab w:leader="none" w:pos="820"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Certificate of Designations, the following definitions shall apply:</w:t>
      </w:r>
    </w:p>
    <w:p>
      <w:pPr>
        <w:spacing w:after="0" w:line="101" w:lineRule="exact"/>
        <w:rPr>
          <w:rFonts w:ascii="Arial" w:cs="Arial" w:eastAsia="Arial" w:hAnsi="Arial"/>
          <w:sz w:val="17"/>
          <w:szCs w:val="17"/>
          <w:color w:val="auto"/>
        </w:rPr>
      </w:pPr>
    </w:p>
    <w:p>
      <w:pPr>
        <w:jc w:val="both"/>
        <w:ind w:left="540" w:right="1239" w:firstLine="259"/>
        <w:spacing w:after="0" w:line="283" w:lineRule="auto"/>
        <w:tabs>
          <w:tab w:leader="none" w:pos="1057" w:val="left"/>
        </w:tabs>
        <w:numPr>
          <w:ilvl w:val="2"/>
          <w:numId w:val="41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Closing Sale Price</w:t>
      </w:r>
      <w:r>
        <w:rPr>
          <w:rFonts w:ascii="Arial" w:cs="Arial" w:eastAsia="Arial" w:hAnsi="Arial"/>
          <w:sz w:val="15"/>
          <w:szCs w:val="15"/>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59" w:lineRule="exact"/>
        <w:rPr>
          <w:rFonts w:ascii="Arial" w:cs="Arial" w:eastAsia="Arial" w:hAnsi="Arial"/>
          <w:sz w:val="15"/>
          <w:szCs w:val="15"/>
          <w:color w:val="auto"/>
        </w:rPr>
      </w:pPr>
    </w:p>
    <w:p>
      <w:pPr>
        <w:ind w:left="540" w:right="1239" w:firstLine="259"/>
        <w:spacing w:after="0" w:line="272" w:lineRule="auto"/>
        <w:tabs>
          <w:tab w:leader="none" w:pos="1091" w:val="left"/>
        </w:tabs>
        <w:numPr>
          <w:ilvl w:val="2"/>
          <w:numId w:val="4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Securities</w:t>
      </w:r>
      <w:r>
        <w:rPr>
          <w:rFonts w:ascii="Arial" w:cs="Arial" w:eastAsia="Arial" w:hAnsi="Arial"/>
          <w:sz w:val="17"/>
          <w:szCs w:val="17"/>
          <w:color w:val="auto"/>
        </w:rPr>
        <w:t>” means any stock or securities (other than Options) directly or indirectly convertible into or exchangeable or exercisable for Common Stock.</w:t>
      </w:r>
    </w:p>
    <w:p>
      <w:pPr>
        <w:spacing w:after="0" w:line="58" w:lineRule="exact"/>
        <w:rPr>
          <w:rFonts w:ascii="Arial" w:cs="Arial" w:eastAsia="Arial" w:hAnsi="Arial"/>
          <w:sz w:val="17"/>
          <w:szCs w:val="17"/>
          <w:color w:val="auto"/>
        </w:rPr>
      </w:pPr>
    </w:p>
    <w:p>
      <w:pPr>
        <w:jc w:val="both"/>
        <w:ind w:left="540" w:right="1239" w:firstLine="259"/>
        <w:spacing w:after="0" w:line="267" w:lineRule="auto"/>
        <w:tabs>
          <w:tab w:leader="none" w:pos="1150" w:val="left"/>
        </w:tabs>
        <w:numPr>
          <w:ilvl w:val="2"/>
          <w:numId w:val="4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7" w:name="page438"/>
    <w:bookmarkEnd w:id="43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1" w:lineRule="auto"/>
        <w:rPr>
          <w:sz w:val="20"/>
          <w:szCs w:val="20"/>
          <w:color w:val="auto"/>
        </w:rPr>
      </w:pPr>
      <w:r>
        <w:rPr>
          <w:rFonts w:ascii="Arial" w:cs="Arial" w:eastAsia="Arial" w:hAnsi="Arial"/>
          <w:sz w:val="17"/>
          <w:szCs w:val="17"/>
          <w:color w:val="auto"/>
        </w:rPr>
        <w:t>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76" w:lineRule="exact"/>
        <w:rPr>
          <w:sz w:val="20"/>
          <w:szCs w:val="20"/>
          <w:color w:val="auto"/>
        </w:rPr>
      </w:pPr>
    </w:p>
    <w:p>
      <w:pPr>
        <w:ind w:left="540" w:right="1239" w:firstLine="259"/>
        <w:spacing w:after="0" w:line="272" w:lineRule="auto"/>
        <w:tabs>
          <w:tab w:leader="none" w:pos="1165" w:val="left"/>
        </w:tabs>
        <w:numPr>
          <w:ilvl w:val="1"/>
          <w:numId w:val="4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Common Stock or Convertible Securities.</w:t>
      </w:r>
    </w:p>
    <w:p>
      <w:pPr>
        <w:spacing w:after="0" w:line="58" w:lineRule="exact"/>
        <w:rPr>
          <w:rFonts w:ascii="Arial" w:cs="Arial" w:eastAsia="Arial" w:hAnsi="Arial"/>
          <w:sz w:val="17"/>
          <w:szCs w:val="17"/>
          <w:color w:val="auto"/>
        </w:rPr>
      </w:pPr>
    </w:p>
    <w:p>
      <w:pPr>
        <w:jc w:val="both"/>
        <w:ind w:left="540" w:right="1239" w:firstLine="259"/>
        <w:spacing w:after="0" w:line="285" w:lineRule="auto"/>
        <w:tabs>
          <w:tab w:leader="none" w:pos="1069" w:val="left"/>
        </w:tabs>
        <w:numPr>
          <w:ilvl w:val="1"/>
          <w:numId w:val="4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 Value</w:t>
      </w:r>
      <w:r>
        <w:rPr>
          <w:rFonts w:ascii="Arial" w:cs="Arial" w:eastAsia="Arial" w:hAnsi="Arial"/>
          <w:sz w:val="15"/>
          <w:szCs w:val="15"/>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56" w:lineRule="exact"/>
        <w:rPr>
          <w:rFonts w:ascii="Arial" w:cs="Arial" w:eastAsia="Arial" w:hAnsi="Arial"/>
          <w:sz w:val="15"/>
          <w:szCs w:val="15"/>
          <w:color w:val="auto"/>
        </w:rPr>
      </w:pPr>
    </w:p>
    <w:p>
      <w:pPr>
        <w:ind w:left="1140" w:hanging="341"/>
        <w:spacing w:after="0"/>
        <w:tabs>
          <w:tab w:leader="none" w:pos="1140" w:val="left"/>
        </w:tabs>
        <w:numPr>
          <w:ilvl w:val="1"/>
          <w:numId w:val="41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Market</w:t>
      </w:r>
      <w:r>
        <w:rPr>
          <w:rFonts w:ascii="Arial" w:cs="Arial" w:eastAsia="Arial" w:hAnsi="Arial"/>
          <w:sz w:val="15"/>
          <w:szCs w:val="15"/>
          <w:color w:val="auto"/>
        </w:rPr>
        <w:t>” means the Eligible Market that is the principal securities exchange market for the Common</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Stock.</w:t>
      </w:r>
    </w:p>
    <w:p>
      <w:pPr>
        <w:spacing w:after="0" w:line="92" w:lineRule="exact"/>
        <w:rPr>
          <w:rFonts w:ascii="Arial" w:cs="Arial" w:eastAsia="Arial" w:hAnsi="Arial"/>
          <w:sz w:val="15"/>
          <w:szCs w:val="15"/>
          <w:color w:val="auto"/>
        </w:rPr>
      </w:pPr>
    </w:p>
    <w:p>
      <w:pPr>
        <w:jc w:val="both"/>
        <w:ind w:left="300" w:right="1239" w:firstLine="248"/>
        <w:spacing w:after="0" w:line="284" w:lineRule="auto"/>
        <w:tabs>
          <w:tab w:leader="none" w:pos="854"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Adjustment of Series A Conversion Price Upon Issuance of Additional Shares of Common Stock</w:t>
      </w:r>
      <w:r>
        <w:rPr>
          <w:rFonts w:ascii="Arial" w:cs="Arial" w:eastAsia="Arial" w:hAnsi="Arial"/>
          <w:sz w:val="15"/>
          <w:szCs w:val="15"/>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5"/>
          <w:szCs w:val="15"/>
          <w:b w:val="1"/>
          <w:bCs w:val="1"/>
          <w:color w:val="auto"/>
        </w:rPr>
        <w:t>New Issuance Price</w:t>
      </w:r>
      <w:r>
        <w:rPr>
          <w:rFonts w:ascii="Arial" w:cs="Arial" w:eastAsia="Arial" w:hAnsi="Arial"/>
          <w:sz w:val="15"/>
          <w:szCs w:val="15"/>
          <w:color w:val="auto"/>
        </w:rPr>
        <w:t>”) less than a price (the “</w:t>
      </w:r>
      <w:r>
        <w:rPr>
          <w:rFonts w:ascii="Arial" w:cs="Arial" w:eastAsia="Arial" w:hAnsi="Arial"/>
          <w:sz w:val="15"/>
          <w:szCs w:val="15"/>
          <w:b w:val="1"/>
          <w:bCs w:val="1"/>
          <w:color w:val="auto"/>
        </w:rPr>
        <w:t>Applicable Price</w:t>
      </w:r>
      <w:r>
        <w:rPr>
          <w:rFonts w:ascii="Arial" w:cs="Arial" w:eastAsia="Arial" w:hAnsi="Arial"/>
          <w:sz w:val="15"/>
          <w:szCs w:val="15"/>
          <w:color w:val="auto"/>
        </w:rPr>
        <w:t>”) equal to the Conversion Price in effect immediately prior to such issue or sale or deemed issuance or sale (the foregoing, a “</w:t>
      </w:r>
      <w:r>
        <w:rPr>
          <w:rFonts w:ascii="Arial" w:cs="Arial" w:eastAsia="Arial" w:hAnsi="Arial"/>
          <w:sz w:val="15"/>
          <w:szCs w:val="15"/>
          <w:b w:val="1"/>
          <w:bCs w:val="1"/>
          <w:color w:val="auto"/>
        </w:rPr>
        <w:t>Dilutive Issuance</w:t>
      </w:r>
      <w:r>
        <w:rPr>
          <w:rFonts w:ascii="Arial" w:cs="Arial" w:eastAsia="Arial" w:hAnsi="Arial"/>
          <w:sz w:val="15"/>
          <w:szCs w:val="15"/>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60" w:lineRule="exact"/>
        <w:rPr>
          <w:rFonts w:ascii="Arial" w:cs="Arial" w:eastAsia="Arial" w:hAnsi="Arial"/>
          <w:sz w:val="15"/>
          <w:szCs w:val="15"/>
          <w:color w:val="auto"/>
        </w:rPr>
      </w:pPr>
    </w:p>
    <w:p>
      <w:pPr>
        <w:jc w:val="both"/>
        <w:ind w:left="540" w:right="1239" w:firstLine="259"/>
        <w:spacing w:after="0" w:line="264" w:lineRule="auto"/>
        <w:tabs>
          <w:tab w:leader="none" w:pos="1032" w:val="left"/>
        </w:tabs>
        <w:numPr>
          <w:ilvl w:val="1"/>
          <w:numId w:val="418"/>
        </w:numPr>
        <w:rPr>
          <w:rFonts w:ascii="Arial" w:cs="Arial" w:eastAsia="Arial" w:hAnsi="Arial"/>
          <w:sz w:val="16"/>
          <w:szCs w:val="16"/>
          <w:color w:val="auto"/>
        </w:rPr>
      </w:pP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38" w:name="page439"/>
    <w:bookmarkEnd w:id="43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53" w:lineRule="auto"/>
        <w:rPr>
          <w:sz w:val="20"/>
          <w:szCs w:val="20"/>
          <w:color w:val="auto"/>
        </w:rPr>
      </w:pPr>
      <w:r>
        <w:rPr>
          <w:rFonts w:ascii="Arial" w:cs="Arial" w:eastAsia="Arial" w:hAnsi="Arial"/>
          <w:sz w:val="17"/>
          <w:szCs w:val="17"/>
          <w:color w:val="auto"/>
        </w:rPr>
        <w:t>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78" w:lineRule="exact"/>
        <w:rPr>
          <w:sz w:val="20"/>
          <w:szCs w:val="20"/>
          <w:color w:val="auto"/>
        </w:rPr>
      </w:pPr>
    </w:p>
    <w:p>
      <w:pPr>
        <w:jc w:val="both"/>
        <w:ind w:left="540" w:right="1239" w:firstLine="259"/>
        <w:spacing w:after="0" w:line="282" w:lineRule="auto"/>
        <w:tabs>
          <w:tab w:leader="none" w:pos="1078" w:val="left"/>
        </w:tabs>
        <w:numPr>
          <w:ilvl w:val="0"/>
          <w:numId w:val="419"/>
        </w:numPr>
        <w:rPr>
          <w:rFonts w:ascii="Arial" w:cs="Arial" w:eastAsia="Arial" w:hAnsi="Arial"/>
          <w:sz w:val="15"/>
          <w:szCs w:val="15"/>
          <w:color w:val="auto"/>
        </w:rPr>
      </w:pPr>
      <w:r>
        <w:rPr>
          <w:rFonts w:ascii="Arial" w:cs="Arial" w:eastAsia="Arial" w:hAnsi="Arial"/>
          <w:sz w:val="15"/>
          <w:szCs w:val="15"/>
          <w:u w:val="single" w:color="auto"/>
          <w:color w:val="auto"/>
        </w:rPr>
        <w:t>Issuance of Convertible Securities</w:t>
      </w:r>
      <w:r>
        <w:rPr>
          <w:rFonts w:ascii="Arial" w:cs="Arial" w:eastAsia="Arial" w:hAnsi="Arial"/>
          <w:sz w:val="15"/>
          <w:szCs w:val="15"/>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67" w:lineRule="exact"/>
        <w:rPr>
          <w:rFonts w:ascii="Arial" w:cs="Arial" w:eastAsia="Arial" w:hAnsi="Arial"/>
          <w:sz w:val="15"/>
          <w:szCs w:val="15"/>
          <w:color w:val="auto"/>
        </w:rPr>
      </w:pPr>
    </w:p>
    <w:p>
      <w:pPr>
        <w:jc w:val="both"/>
        <w:ind w:left="540" w:right="1239" w:firstLine="259"/>
        <w:spacing w:after="0" w:line="265" w:lineRule="auto"/>
        <w:tabs>
          <w:tab w:leader="none" w:pos="1137"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70" w:lineRule="exact"/>
        <w:rPr>
          <w:rFonts w:ascii="Arial" w:cs="Arial" w:eastAsia="Arial" w:hAnsi="Arial"/>
          <w:sz w:val="16"/>
          <w:szCs w:val="16"/>
          <w:color w:val="auto"/>
        </w:rPr>
      </w:pPr>
    </w:p>
    <w:p>
      <w:pPr>
        <w:jc w:val="both"/>
        <w:ind w:left="540" w:right="1239" w:firstLine="259"/>
        <w:spacing w:after="0" w:line="283" w:lineRule="auto"/>
        <w:tabs>
          <w:tab w:leader="none" w:pos="1128" w:val="left"/>
        </w:tabs>
        <w:numPr>
          <w:ilvl w:val="0"/>
          <w:numId w:val="419"/>
        </w:numPr>
        <w:rPr>
          <w:rFonts w:ascii="Arial" w:cs="Arial" w:eastAsia="Arial" w:hAnsi="Arial"/>
          <w:sz w:val="15"/>
          <w:szCs w:val="15"/>
          <w:color w:val="auto"/>
        </w:rPr>
      </w:pPr>
      <w:r>
        <w:rPr>
          <w:rFonts w:ascii="Arial" w:cs="Arial" w:eastAsia="Arial" w:hAnsi="Arial"/>
          <w:sz w:val="15"/>
          <w:szCs w:val="15"/>
          <w:u w:val="single" w:color="auto"/>
          <w:color w:val="auto"/>
        </w:rPr>
        <w:t>Calculation of Consideration Received</w:t>
      </w:r>
      <w:r>
        <w:rPr>
          <w:rFonts w:ascii="Arial" w:cs="Arial" w:eastAsia="Arial" w:hAnsi="Arial"/>
          <w:sz w:val="15"/>
          <w:szCs w:val="15"/>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w:t>
      </w: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39" w:name="page440"/>
    <w:bookmarkEnd w:id="43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spacing w:after="0" w:line="291" w:lineRule="auto"/>
        <w:rPr>
          <w:sz w:val="20"/>
          <w:szCs w:val="20"/>
          <w:color w:val="auto"/>
        </w:rPr>
      </w:pPr>
      <w:r>
        <w:rPr>
          <w:rFonts w:ascii="Arial" w:cs="Arial" w:eastAsia="Arial" w:hAnsi="Arial"/>
          <w:sz w:val="15"/>
          <w:szCs w:val="15"/>
          <w:color w:val="auto"/>
        </w:rPr>
        <w:t>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5"/>
          <w:szCs w:val="15"/>
          <w:b w:val="1"/>
          <w:bCs w:val="1"/>
          <w:color w:val="auto"/>
        </w:rPr>
        <w:t>Valuation Event</w:t>
      </w:r>
      <w:r>
        <w:rPr>
          <w:rFonts w:ascii="Arial" w:cs="Arial" w:eastAsia="Arial" w:hAnsi="Arial"/>
          <w:sz w:val="15"/>
          <w:szCs w:val="15"/>
          <w:color w:val="auto"/>
        </w:rPr>
        <w:t>”), the fair value of such consideration will be determined within five (5)</w:t>
      </w:r>
    </w:p>
    <w:p>
      <w:pPr>
        <w:spacing w:after="0" w:line="1" w:lineRule="exact"/>
        <w:rPr>
          <w:sz w:val="20"/>
          <w:szCs w:val="20"/>
          <w:color w:val="auto"/>
        </w:rPr>
      </w:pPr>
    </w:p>
    <w:p>
      <w:pPr>
        <w:jc w:val="both"/>
        <w:ind w:left="540" w:right="1239"/>
        <w:spacing w:after="0" w:line="255" w:lineRule="auto"/>
        <w:rPr>
          <w:sz w:val="20"/>
          <w:szCs w:val="20"/>
          <w:color w:val="auto"/>
        </w:rPr>
      </w:pPr>
      <w:r>
        <w:rPr>
          <w:rFonts w:ascii="Arial" w:cs="Arial" w:eastAsia="Arial" w:hAnsi="Arial"/>
          <w:sz w:val="15"/>
          <w:szCs w:val="15"/>
          <w:color w:val="auto"/>
        </w:rPr>
        <w:t>Business Days after the tenth (10</w:t>
      </w:r>
      <w:r>
        <w:rPr>
          <w:rFonts w:ascii="Arial" w:cs="Arial" w:eastAsia="Arial" w:hAnsi="Arial"/>
          <w:sz w:val="24"/>
          <w:szCs w:val="24"/>
          <w:color w:val="auto"/>
          <w:vertAlign w:val="superscript"/>
        </w:rPr>
        <w:t>th</w:t>
      </w:r>
      <w:r>
        <w:rPr>
          <w:rFonts w:ascii="Arial" w:cs="Arial" w:eastAsia="Arial" w:hAnsi="Arial"/>
          <w:sz w:val="15"/>
          <w:szCs w:val="15"/>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78" w:lineRule="exact"/>
        <w:rPr>
          <w:sz w:val="20"/>
          <w:szCs w:val="20"/>
          <w:color w:val="auto"/>
        </w:rPr>
      </w:pPr>
    </w:p>
    <w:p>
      <w:pPr>
        <w:jc w:val="both"/>
        <w:ind w:left="300" w:right="1239" w:firstLine="248"/>
        <w:spacing w:after="0" w:line="269" w:lineRule="auto"/>
        <w:tabs>
          <w:tab w:leader="none" w:pos="832" w:val="left"/>
        </w:tabs>
        <w:numPr>
          <w:ilvl w:val="0"/>
          <w:numId w:val="420"/>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Subdivision or Combination of Common Stock</w:t>
      </w:r>
      <w:r>
        <w:rPr>
          <w:rFonts w:ascii="Arial" w:cs="Arial" w:eastAsia="Arial" w:hAnsi="Arial"/>
          <w:sz w:val="16"/>
          <w:szCs w:val="16"/>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65" w:lineRule="exact"/>
        <w:rPr>
          <w:rFonts w:ascii="Arial" w:cs="Arial" w:eastAsia="Arial" w:hAnsi="Arial"/>
          <w:sz w:val="16"/>
          <w:szCs w:val="16"/>
          <w:color w:val="auto"/>
        </w:rPr>
      </w:pPr>
    </w:p>
    <w:p>
      <w:pPr>
        <w:jc w:val="both"/>
        <w:ind w:left="300" w:right="1239" w:firstLine="248"/>
        <w:spacing w:after="0" w:line="292" w:lineRule="auto"/>
        <w:tabs>
          <w:tab w:leader="none" w:pos="879"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Other Events</w:t>
      </w:r>
      <w:r>
        <w:rPr>
          <w:rFonts w:ascii="Arial" w:cs="Arial" w:eastAsia="Arial" w:hAnsi="Arial"/>
          <w:sz w:val="15"/>
          <w:szCs w:val="15"/>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53" w:lineRule="exact"/>
        <w:rPr>
          <w:rFonts w:ascii="Arial" w:cs="Arial" w:eastAsia="Arial" w:hAnsi="Arial"/>
          <w:sz w:val="15"/>
          <w:szCs w:val="15"/>
          <w:color w:val="auto"/>
        </w:rPr>
      </w:pPr>
    </w:p>
    <w:p>
      <w:pPr>
        <w:jc w:val="both"/>
        <w:ind w:left="300" w:right="1239" w:firstLine="248"/>
        <w:spacing w:after="0" w:line="256" w:lineRule="auto"/>
        <w:tabs>
          <w:tab w:leader="none" w:pos="832"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Voluntary Adjustment By Corporation</w:t>
      </w:r>
      <w:r>
        <w:rPr>
          <w:rFonts w:ascii="Arial" w:cs="Arial" w:eastAsia="Arial" w:hAnsi="Arial"/>
          <w:sz w:val="17"/>
          <w:szCs w:val="17"/>
          <w:color w:val="auto"/>
        </w:rPr>
        <w:t>. The Corporation may at any time reduce the then current Conversion Price to any amount and for any period of time deemed appropriate and approved by the Board of Directors in accordance with Delaware law.</w:t>
      </w:r>
    </w:p>
    <w:p>
      <w:pPr>
        <w:spacing w:after="0" w:line="76" w:lineRule="exact"/>
        <w:rPr>
          <w:rFonts w:ascii="Arial" w:cs="Arial" w:eastAsia="Arial" w:hAnsi="Arial"/>
          <w:sz w:val="17"/>
          <w:szCs w:val="17"/>
          <w:color w:val="auto"/>
        </w:rPr>
      </w:pPr>
    </w:p>
    <w:p>
      <w:pPr>
        <w:jc w:val="both"/>
        <w:ind w:left="300" w:right="1239" w:firstLine="248"/>
        <w:spacing w:after="0" w:line="283" w:lineRule="auto"/>
        <w:tabs>
          <w:tab w:leader="none" w:pos="813"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5"/>
          <w:szCs w:val="15"/>
          <w:b w:val="1"/>
          <w:bCs w:val="1"/>
          <w:color w:val="auto"/>
        </w:rPr>
        <w:t>Purchase Rights</w:t>
      </w:r>
      <w:r>
        <w:rPr>
          <w:rFonts w:ascii="Arial" w:cs="Arial" w:eastAsia="Arial" w:hAnsi="Arial"/>
          <w:sz w:val="15"/>
          <w:szCs w:val="15"/>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62" w:lineRule="exact"/>
        <w:rPr>
          <w:rFonts w:ascii="Arial" w:cs="Arial" w:eastAsia="Arial" w:hAnsi="Arial"/>
          <w:sz w:val="15"/>
          <w:szCs w:val="15"/>
          <w:color w:val="auto"/>
        </w:rPr>
      </w:pPr>
    </w:p>
    <w:p>
      <w:pPr>
        <w:ind w:left="820" w:hanging="272"/>
        <w:spacing w:after="0"/>
        <w:tabs>
          <w:tab w:leader="none" w:pos="820"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540" w:right="1239" w:firstLine="259"/>
        <w:spacing w:after="0" w:line="251" w:lineRule="auto"/>
        <w:tabs>
          <w:tab w:leader="none" w:pos="1061" w:val="left"/>
        </w:tabs>
        <w:numPr>
          <w:ilvl w:val="1"/>
          <w:numId w:val="420"/>
        </w:numPr>
        <w:rPr>
          <w:rFonts w:ascii="Arial" w:cs="Arial" w:eastAsia="Arial" w:hAnsi="Arial"/>
          <w:sz w:val="17"/>
          <w:szCs w:val="17"/>
          <w:color w:val="auto"/>
        </w:rPr>
      </w:pPr>
      <w:r>
        <w:rPr>
          <w:rFonts w:ascii="Arial" w:cs="Arial" w:eastAsia="Arial" w:hAnsi="Arial"/>
          <w:sz w:val="17"/>
          <w:szCs w:val="17"/>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0" w:name="page441"/>
    <w:bookmarkEnd w:id="44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540" w:right="1239" w:firstLine="259"/>
        <w:spacing w:after="0" w:line="284" w:lineRule="auto"/>
        <w:tabs>
          <w:tab w:leader="none" w:pos="1131" w:val="left"/>
        </w:tabs>
        <w:numPr>
          <w:ilvl w:val="3"/>
          <w:numId w:val="421"/>
        </w:numPr>
        <w:rPr>
          <w:rFonts w:ascii="Arial" w:cs="Arial" w:eastAsia="Arial" w:hAnsi="Arial"/>
          <w:sz w:val="15"/>
          <w:szCs w:val="15"/>
          <w:color w:val="auto"/>
        </w:rPr>
      </w:pPr>
      <w:r>
        <w:rPr>
          <w:rFonts w:ascii="Arial" w:cs="Arial" w:eastAsia="Arial" w:hAnsi="Arial"/>
          <w:sz w:val="15"/>
          <w:szCs w:val="15"/>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w:t>
      </w:r>
    </w:p>
    <w:p>
      <w:pPr>
        <w:spacing w:after="0" w:line="1" w:lineRule="exact"/>
        <w:rPr>
          <w:rFonts w:ascii="Arial" w:cs="Arial" w:eastAsia="Arial" w:hAnsi="Arial"/>
          <w:sz w:val="15"/>
          <w:szCs w:val="15"/>
          <w:color w:val="auto"/>
        </w:rPr>
      </w:pPr>
    </w:p>
    <w:p>
      <w:pPr>
        <w:ind w:left="540" w:right="1239" w:firstLine="8"/>
        <w:spacing w:after="0" w:line="252" w:lineRule="auto"/>
        <w:tabs>
          <w:tab w:leader="none" w:pos="870" w:val="left"/>
        </w:tabs>
        <w:numPr>
          <w:ilvl w:val="2"/>
          <w:numId w:val="422"/>
        </w:numPr>
        <w:rPr>
          <w:rFonts w:ascii="Arial" w:cs="Arial" w:eastAsia="Arial" w:hAnsi="Arial"/>
          <w:sz w:val="17"/>
          <w:szCs w:val="17"/>
          <w:color w:val="auto"/>
        </w:rPr>
      </w:pPr>
      <w:r>
        <w:rPr>
          <w:rFonts w:ascii="Arial" w:cs="Arial" w:eastAsia="Arial" w:hAnsi="Arial"/>
          <w:sz w:val="17"/>
          <w:szCs w:val="17"/>
          <w:color w:val="auto"/>
        </w:rPr>
        <w:t>for determining rights to vote with respect to any Change of Control, any Twenty Percent Issuance, any Fundamental Transaction or any Liquidation Event.</w:t>
      </w:r>
    </w:p>
    <w:p>
      <w:pPr>
        <w:spacing w:after="0" w:line="78" w:lineRule="exact"/>
        <w:rPr>
          <w:rFonts w:ascii="Arial" w:cs="Arial" w:eastAsia="Arial" w:hAnsi="Arial"/>
          <w:sz w:val="17"/>
          <w:szCs w:val="17"/>
          <w:color w:val="auto"/>
        </w:rPr>
      </w:pPr>
    </w:p>
    <w:p>
      <w:pPr>
        <w:jc w:val="both"/>
        <w:ind w:left="540" w:right="1239" w:firstLine="259"/>
        <w:spacing w:after="0" w:line="256" w:lineRule="auto"/>
        <w:tabs>
          <w:tab w:leader="none" w:pos="1148" w:val="left"/>
        </w:tabs>
        <w:numPr>
          <w:ilvl w:val="3"/>
          <w:numId w:val="422"/>
        </w:numPr>
        <w:rPr>
          <w:rFonts w:ascii="Arial" w:cs="Arial" w:eastAsia="Arial" w:hAnsi="Arial"/>
          <w:sz w:val="17"/>
          <w:szCs w:val="17"/>
          <w:color w:val="auto"/>
        </w:rPr>
      </w:pPr>
      <w:r>
        <w:rPr>
          <w:rFonts w:ascii="Arial" w:cs="Arial" w:eastAsia="Arial" w:hAnsi="Arial"/>
          <w:sz w:val="17"/>
          <w:szCs w:val="17"/>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76" w:lineRule="exact"/>
        <w:rPr>
          <w:rFonts w:ascii="Arial" w:cs="Arial" w:eastAsia="Arial" w:hAnsi="Arial"/>
          <w:sz w:val="17"/>
          <w:szCs w:val="17"/>
          <w:color w:val="auto"/>
        </w:rPr>
      </w:pPr>
    </w:p>
    <w:p>
      <w:pPr>
        <w:jc w:val="both"/>
        <w:ind w:left="40" w:right="1239" w:firstLine="258"/>
        <w:spacing w:after="0" w:line="279" w:lineRule="auto"/>
        <w:tabs>
          <w:tab w:leader="none" w:pos="524" w:val="left"/>
        </w:tabs>
        <w:numPr>
          <w:ilvl w:val="1"/>
          <w:numId w:val="423"/>
        </w:numPr>
        <w:rPr>
          <w:rFonts w:ascii="Arial" w:cs="Arial" w:eastAsia="Arial" w:hAnsi="Arial"/>
          <w:sz w:val="15"/>
          <w:szCs w:val="15"/>
          <w:color w:val="auto"/>
        </w:rPr>
      </w:pPr>
      <w:r>
        <w:rPr>
          <w:rFonts w:ascii="Arial" w:cs="Arial" w:eastAsia="Arial" w:hAnsi="Arial"/>
          <w:sz w:val="15"/>
          <w:szCs w:val="15"/>
          <w:u w:val="single" w:color="auto"/>
          <w:color w:val="auto"/>
        </w:rPr>
        <w:t>Suspension from Trading</w:t>
      </w:r>
      <w:r>
        <w:rPr>
          <w:rFonts w:ascii="Arial" w:cs="Arial" w:eastAsia="Arial" w:hAnsi="Arial"/>
          <w:sz w:val="15"/>
          <w:szCs w:val="15"/>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5"/>
          <w:szCs w:val="15"/>
          <w:b w:val="1"/>
          <w:bCs w:val="1"/>
          <w:color w:val="auto"/>
        </w:rPr>
        <w:t>Maintenance Failure</w:t>
      </w:r>
      <w:r>
        <w:rPr>
          <w:rFonts w:ascii="Arial" w:cs="Arial" w:eastAsia="Arial" w:hAnsi="Arial"/>
          <w:sz w:val="15"/>
          <w:szCs w:val="15"/>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5"/>
          <w:szCs w:val="15"/>
          <w:b w:val="1"/>
          <w:bCs w:val="1"/>
          <w:color w:val="auto"/>
        </w:rPr>
        <w:t>Delisting Maintenance Failure</w:t>
      </w:r>
      <w:r>
        <w:rPr>
          <w:rFonts w:ascii="Arial" w:cs="Arial" w:eastAsia="Arial" w:hAnsi="Arial"/>
          <w:sz w:val="15"/>
          <w:szCs w:val="15"/>
          <w:color w:val="auto"/>
        </w:rPr>
        <w:t xml:space="preserve"> ”),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5"/>
          <w:szCs w:val="15"/>
          <w:b w:val="1"/>
          <w:bCs w:val="1"/>
          <w:color w:val="auto"/>
        </w:rPr>
        <w:t>Suspension Payments</w:t>
      </w:r>
      <w:r>
        <w:rPr>
          <w:rFonts w:ascii="Arial" w:cs="Arial" w:eastAsia="Arial" w:hAnsi="Arial"/>
          <w:sz w:val="15"/>
          <w:szCs w:val="15"/>
          <w:color w:val="auto"/>
        </w:rPr>
        <w:t>”. Suspension Payments shall be paid on the third Business Day after each full fifteen</w:t>
      </w:r>
    </w:p>
    <w:p>
      <w:pPr>
        <w:spacing w:after="0" w:line="11" w:lineRule="exact"/>
        <w:rPr>
          <w:rFonts w:ascii="Arial" w:cs="Arial" w:eastAsia="Arial" w:hAnsi="Arial"/>
          <w:sz w:val="15"/>
          <w:szCs w:val="15"/>
          <w:color w:val="auto"/>
        </w:rPr>
      </w:pPr>
    </w:p>
    <w:p>
      <w:pPr>
        <w:ind w:left="360" w:hanging="313"/>
        <w:spacing w:after="0"/>
        <w:tabs>
          <w:tab w:leader="none" w:pos="3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day period during which there is a Maintenance Failure or a Delisting Maintenance Failure, as applicable.</w:t>
      </w:r>
    </w:p>
    <w:p>
      <w:pPr>
        <w:spacing w:after="0" w:line="92" w:lineRule="exact"/>
        <w:rPr>
          <w:rFonts w:ascii="Arial" w:cs="Arial" w:eastAsia="Arial" w:hAnsi="Arial"/>
          <w:sz w:val="17"/>
          <w:szCs w:val="17"/>
          <w:color w:val="auto"/>
        </w:rPr>
      </w:pPr>
    </w:p>
    <w:p>
      <w:pPr>
        <w:ind w:left="40" w:right="1239" w:firstLine="258"/>
        <w:spacing w:after="0" w:line="267" w:lineRule="auto"/>
        <w:tabs>
          <w:tab w:leader="none" w:pos="595" w:val="left"/>
        </w:tabs>
        <w:numPr>
          <w:ilvl w:val="1"/>
          <w:numId w:val="424"/>
        </w:numPr>
        <w:rPr>
          <w:rFonts w:ascii="Arial" w:cs="Arial" w:eastAsia="Arial" w:hAnsi="Arial"/>
          <w:sz w:val="17"/>
          <w:szCs w:val="17"/>
          <w:color w:val="auto"/>
        </w:rPr>
      </w:pPr>
      <w:r>
        <w:rPr>
          <w:rFonts w:ascii="Arial" w:cs="Arial" w:eastAsia="Arial" w:hAnsi="Arial"/>
          <w:sz w:val="17"/>
          <w:szCs w:val="17"/>
          <w:u w:val="single" w:color="auto"/>
          <w:color w:val="auto"/>
        </w:rPr>
        <w:t>Status of Converted Stock</w:t>
      </w:r>
      <w:r>
        <w:rPr>
          <w:rFonts w:ascii="Arial" w:cs="Arial" w:eastAsia="Arial" w:hAnsi="Arial"/>
          <w:sz w:val="17"/>
          <w:szCs w:val="17"/>
          <w:color w:val="auto"/>
        </w:rPr>
        <w:t>. In the event any shares of Series A Preferred Stock shall be converted pursuant to Section 7 hereof, the shares so converted shall be canceled and shall not be issuable by the Corporation.</w:t>
      </w:r>
    </w:p>
    <w:p>
      <w:pPr>
        <w:spacing w:after="0" w:line="66" w:lineRule="exact"/>
        <w:rPr>
          <w:rFonts w:ascii="Arial" w:cs="Arial" w:eastAsia="Arial" w:hAnsi="Arial"/>
          <w:sz w:val="17"/>
          <w:szCs w:val="17"/>
          <w:color w:val="auto"/>
        </w:rPr>
      </w:pPr>
    </w:p>
    <w:p>
      <w:pPr>
        <w:jc w:val="both"/>
        <w:ind w:left="40" w:right="1239" w:firstLine="258"/>
        <w:spacing w:after="0" w:line="267" w:lineRule="auto"/>
        <w:tabs>
          <w:tab w:leader="none" w:pos="589"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Lost or Stolen Certificates</w:t>
      </w:r>
      <w:r>
        <w:rPr>
          <w:rFonts w:ascii="Arial" w:cs="Arial" w:eastAsia="Arial" w:hAnsi="Arial"/>
          <w:sz w:val="16"/>
          <w:szCs w:val="16"/>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Corporation shall not be obligated to re-issue preferred stock certificates if the holder contemporaneously requests the Corporation to convert such Series A Preferred Stock into Common Stock.</w:t>
      </w:r>
    </w:p>
    <w:p>
      <w:pPr>
        <w:spacing w:after="0" w:line="70" w:lineRule="exact"/>
        <w:rPr>
          <w:rFonts w:ascii="Arial" w:cs="Arial" w:eastAsia="Arial" w:hAnsi="Arial"/>
          <w:sz w:val="16"/>
          <w:szCs w:val="16"/>
          <w:color w:val="auto"/>
        </w:rPr>
      </w:pPr>
    </w:p>
    <w:p>
      <w:pPr>
        <w:jc w:val="both"/>
        <w:ind w:left="40" w:right="1239" w:firstLine="258"/>
        <w:spacing w:after="0" w:line="267" w:lineRule="auto"/>
        <w:tabs>
          <w:tab w:leader="none" w:pos="583"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w:t>
      </w: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1" w:name="page442"/>
    <w:bookmarkEnd w:id="44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55" w:lineRule="exact"/>
        <w:rPr>
          <w:sz w:val="20"/>
          <w:szCs w:val="20"/>
          <w:color w:val="auto"/>
        </w:rPr>
      </w:pPr>
    </w:p>
    <w:p>
      <w:pPr>
        <w:jc w:val="both"/>
        <w:ind w:left="40" w:right="1239" w:firstLine="258"/>
        <w:spacing w:after="0" w:line="307" w:lineRule="auto"/>
        <w:tabs>
          <w:tab w:leader="none" w:pos="608" w:val="left"/>
        </w:tabs>
        <w:numPr>
          <w:ilvl w:val="0"/>
          <w:numId w:val="425"/>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39" w:lineRule="exact"/>
        <w:rPr>
          <w:rFonts w:ascii="Arial" w:cs="Arial" w:eastAsia="Arial" w:hAnsi="Arial"/>
          <w:sz w:val="15"/>
          <w:szCs w:val="15"/>
          <w:color w:val="auto"/>
        </w:rPr>
      </w:pPr>
    </w:p>
    <w:p>
      <w:pPr>
        <w:jc w:val="both"/>
        <w:ind w:left="40" w:right="1239" w:firstLine="258"/>
        <w:spacing w:after="0" w:line="280" w:lineRule="auto"/>
        <w:tabs>
          <w:tab w:leader="none" w:pos="583"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Failure or Indulgence Not Waiver</w:t>
      </w:r>
      <w:r>
        <w:rPr>
          <w:rFonts w:ascii="Arial" w:cs="Arial" w:eastAsia="Arial" w:hAnsi="Arial"/>
          <w:sz w:val="16"/>
          <w:szCs w:val="16"/>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57" w:lineRule="exact"/>
        <w:rPr>
          <w:rFonts w:ascii="Arial" w:cs="Arial" w:eastAsia="Arial" w:hAnsi="Arial"/>
          <w:sz w:val="16"/>
          <w:szCs w:val="16"/>
          <w:color w:val="auto"/>
        </w:rPr>
      </w:pPr>
    </w:p>
    <w:p>
      <w:pPr>
        <w:jc w:val="both"/>
        <w:ind w:left="40" w:right="1239" w:firstLine="258"/>
        <w:spacing w:after="0" w:line="256" w:lineRule="auto"/>
        <w:tabs>
          <w:tab w:leader="none" w:pos="658"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Transfer of Series A Preferred Stock</w:t>
      </w:r>
      <w:r>
        <w:rPr>
          <w:rFonts w:ascii="Arial" w:cs="Arial" w:eastAsia="Arial" w:hAnsi="Arial"/>
          <w:sz w:val="17"/>
          <w:szCs w:val="17"/>
          <w:color w:val="auto"/>
        </w:rPr>
        <w:t>. A Holder may assign some or all of the Series A Preferred Stock and the accompanying rights hereunder held by such Holder without the consent of the Corporation; provided that such assignment is in compliance with applicable securities laws.</w:t>
      </w:r>
    </w:p>
    <w:p>
      <w:pPr>
        <w:spacing w:after="0" w:line="76" w:lineRule="exact"/>
        <w:rPr>
          <w:rFonts w:ascii="Arial" w:cs="Arial" w:eastAsia="Arial" w:hAnsi="Arial"/>
          <w:sz w:val="17"/>
          <w:szCs w:val="17"/>
          <w:color w:val="auto"/>
        </w:rPr>
      </w:pPr>
    </w:p>
    <w:p>
      <w:pPr>
        <w:jc w:val="both"/>
        <w:ind w:left="40" w:right="1239" w:firstLine="258"/>
        <w:spacing w:after="0" w:line="269" w:lineRule="auto"/>
        <w:tabs>
          <w:tab w:leader="none" w:pos="583"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Series A Preferred Stock Register</w:t>
      </w:r>
      <w:r>
        <w:rPr>
          <w:rFonts w:ascii="Arial" w:cs="Arial" w:eastAsia="Arial" w:hAnsi="Arial"/>
          <w:sz w:val="16"/>
          <w:szCs w:val="16"/>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65" w:lineRule="exact"/>
        <w:rPr>
          <w:rFonts w:ascii="Arial" w:cs="Arial" w:eastAsia="Arial" w:hAnsi="Arial"/>
          <w:sz w:val="16"/>
          <w:szCs w:val="16"/>
          <w:color w:val="auto"/>
        </w:rPr>
      </w:pPr>
    </w:p>
    <w:p>
      <w:pPr>
        <w:jc w:val="both"/>
        <w:ind w:left="40" w:right="1239" w:firstLine="258"/>
        <w:spacing w:after="0" w:line="250" w:lineRule="auto"/>
        <w:tabs>
          <w:tab w:leader="none" w:pos="583"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Stockholder Matters</w:t>
      </w:r>
      <w:r>
        <w:rPr>
          <w:rFonts w:ascii="Arial" w:cs="Arial" w:eastAsia="Arial" w:hAnsi="Arial"/>
          <w:sz w:val="17"/>
          <w:szCs w:val="17"/>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81" w:lineRule="exact"/>
        <w:rPr>
          <w:rFonts w:ascii="Arial" w:cs="Arial" w:eastAsia="Arial" w:hAnsi="Arial"/>
          <w:sz w:val="17"/>
          <w:szCs w:val="17"/>
          <w:color w:val="auto"/>
        </w:rPr>
      </w:pPr>
    </w:p>
    <w:p>
      <w:pPr>
        <w:jc w:val="both"/>
        <w:ind w:left="40" w:right="1239" w:firstLine="258"/>
        <w:spacing w:after="0" w:line="256" w:lineRule="auto"/>
        <w:tabs>
          <w:tab w:leader="none" w:pos="595" w:val="left"/>
        </w:tabs>
        <w:numPr>
          <w:ilvl w:val="0"/>
          <w:numId w:val="425"/>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76" w:lineRule="exact"/>
        <w:rPr>
          <w:rFonts w:ascii="Arial" w:cs="Arial" w:eastAsia="Arial" w:hAnsi="Arial"/>
          <w:sz w:val="17"/>
          <w:szCs w:val="17"/>
          <w:color w:val="auto"/>
        </w:rPr>
      </w:pPr>
    </w:p>
    <w:p>
      <w:pPr>
        <w:jc w:val="both"/>
        <w:ind w:left="40" w:right="1239" w:firstLine="258"/>
        <w:spacing w:after="0" w:line="286" w:lineRule="auto"/>
        <w:tabs>
          <w:tab w:leader="none" w:pos="595" w:val="left"/>
        </w:tabs>
        <w:numPr>
          <w:ilvl w:val="0"/>
          <w:numId w:val="425"/>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27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2" w:name="page443"/>
    <w:bookmarkEnd w:id="44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WITNESS WHEREOF, the undersigned has signed this Certificate of Designation on the [__] day of [____] 2012, and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affirms the statements contained therein as true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1393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3175</wp:posOffset>
            </wp:positionV>
            <wp:extent cx="229171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Its:</w:t>
      </w:r>
    </w:p>
    <w:p>
      <w:pPr>
        <w:spacing w:after="0" w:line="200" w:lineRule="exact"/>
        <w:rPr>
          <w:sz w:val="20"/>
          <w:szCs w:val="20"/>
          <w:color w:val="auto"/>
        </w:rPr>
      </w:pPr>
    </w:p>
    <w:p>
      <w:pPr>
        <w:spacing w:after="0" w:line="30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3" w:name="page444"/>
    <w:bookmarkEnd w:id="44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EXHIBIT I</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109" w:lineRule="exact"/>
        <w:rPr>
          <w:sz w:val="20"/>
          <w:szCs w:val="20"/>
          <w:color w:val="auto"/>
        </w:rPr>
      </w:pPr>
    </w:p>
    <w:p>
      <w:pPr>
        <w:jc w:val="both"/>
        <w:ind w:left="40" w:right="1239" w:firstLine="251"/>
        <w:spacing w:after="0" w:line="290" w:lineRule="auto"/>
        <w:rPr>
          <w:sz w:val="20"/>
          <w:szCs w:val="20"/>
          <w:color w:val="auto"/>
        </w:rPr>
      </w:pPr>
      <w:r>
        <w:rPr>
          <w:rFonts w:ascii="Arial" w:cs="Arial" w:eastAsia="Arial" w:hAnsi="Arial"/>
          <w:sz w:val="15"/>
          <w:szCs w:val="15"/>
          <w:color w:val="auto"/>
        </w:rPr>
        <w:t>Reference is made to the Certificate of Designations, Preferences and Rights of Series A Convertible Preferred Stock of Vringo, Inc. (the “</w:t>
      </w:r>
      <w:r>
        <w:rPr>
          <w:rFonts w:ascii="Arial" w:cs="Arial" w:eastAsia="Arial" w:hAnsi="Arial"/>
          <w:sz w:val="15"/>
          <w:szCs w:val="15"/>
          <w:b w:val="1"/>
          <w:bCs w:val="1"/>
          <w:color w:val="auto"/>
        </w:rPr>
        <w:t>Certificate of Designations</w:t>
      </w:r>
      <w:r>
        <w:rPr>
          <w:rFonts w:ascii="Arial" w:cs="Arial" w:eastAsia="Arial" w:hAnsi="Arial"/>
          <w:sz w:val="15"/>
          <w:szCs w:val="15"/>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5"/>
          <w:szCs w:val="15"/>
          <w:b w:val="1"/>
          <w:bCs w:val="1"/>
          <w:color w:val="auto"/>
        </w:rPr>
        <w:t>Series A</w:t>
      </w:r>
      <w:r>
        <w:rPr>
          <w:rFonts w:ascii="Arial" w:cs="Arial" w:eastAsia="Arial" w:hAnsi="Arial"/>
          <w:sz w:val="15"/>
          <w:szCs w:val="15"/>
          <w:color w:val="auto"/>
        </w:rPr>
        <w:t xml:space="preserve"> </w:t>
      </w:r>
      <w:r>
        <w:rPr>
          <w:rFonts w:ascii="Arial" w:cs="Arial" w:eastAsia="Arial" w:hAnsi="Arial"/>
          <w:sz w:val="15"/>
          <w:szCs w:val="15"/>
          <w:b w:val="1"/>
          <w:bCs w:val="1"/>
          <w:color w:val="auto"/>
        </w:rPr>
        <w:t>Preferred Stock</w:t>
      </w:r>
      <w:r>
        <w:rPr>
          <w:rFonts w:ascii="Arial" w:cs="Arial" w:eastAsia="Arial" w:hAnsi="Arial"/>
          <w:sz w:val="15"/>
          <w:szCs w:val="15"/>
          <w:color w:val="auto"/>
        </w:rPr>
        <w:t>”), of Vringo, Inc., a Delaware corporation (the “</w:t>
      </w:r>
      <w:r>
        <w:rPr>
          <w:rFonts w:ascii="Arial" w:cs="Arial" w:eastAsia="Arial" w:hAnsi="Arial"/>
          <w:sz w:val="15"/>
          <w:szCs w:val="15"/>
          <w:b w:val="1"/>
          <w:bCs w:val="1"/>
          <w:color w:val="auto"/>
        </w:rPr>
        <w:t>Corporation</w:t>
      </w:r>
      <w:r>
        <w:rPr>
          <w:rFonts w:ascii="Arial" w:cs="Arial" w:eastAsia="Arial" w:hAnsi="Arial"/>
          <w:sz w:val="15"/>
          <w:szCs w:val="15"/>
          <w:color w:val="auto"/>
        </w:rPr>
        <w:t>”), indicated below into shares of Common Stock,</w:t>
      </w:r>
      <w:r>
        <w:rPr>
          <w:rFonts w:ascii="Arial" w:cs="Arial" w:eastAsia="Arial" w:hAnsi="Arial"/>
          <w:sz w:val="15"/>
          <w:szCs w:val="15"/>
          <w:b w:val="1"/>
          <w:bCs w:val="1"/>
          <w:color w:val="auto"/>
        </w:rPr>
        <w:t xml:space="preserve"> </w:t>
      </w:r>
      <w:r>
        <w:rPr>
          <w:rFonts w:ascii="Arial" w:cs="Arial" w:eastAsia="Arial" w:hAnsi="Arial"/>
          <w:sz w:val="15"/>
          <w:szCs w:val="15"/>
          <w:color w:val="auto"/>
        </w:rPr>
        <w:t>par value $0.01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of the Corporation, as of the date specified below. The undersigned represents and warrants that such conversion is not prohibited by Section 7(i) of the Certificate of Designations.</w:t>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-36195</wp:posOffset>
            </wp:positionV>
            <wp:extent cx="2768600" cy="1587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76860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-36195</wp:posOffset>
            </wp:positionV>
            <wp:extent cx="1368425" cy="1587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6842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-36195</wp:posOffset>
            </wp:positionV>
            <wp:extent cx="1217295" cy="1587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1729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-35560</wp:posOffset>
            </wp:positionV>
            <wp:extent cx="2402840" cy="1587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40284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Please confirm the following information: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-36195</wp:posOffset>
            </wp:positionV>
            <wp:extent cx="2848610" cy="1587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84861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-36195</wp:posOffset>
            </wp:positionV>
            <wp:extent cx="1782445" cy="1587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782445" cy="15875"/>
                    </a:xfrm>
                    <a:prstGeom prst="rect">
                      <a:avLst/>
                    </a:prstGeom>
                    <a:noFill/>
                  </pic:spPr>
                </pic:pic>
              </a:graphicData>
            </a:graphic>
          </wp:anchor>
        </w:drawing>
      </w:r>
    </w:p>
    <w:p>
      <w:pPr>
        <w:spacing w:after="0" w:line="8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7"/>
          <w:szCs w:val="17"/>
          <w:color w:val="auto"/>
        </w:rPr>
        <w:t>Please issue the Common Stock into which the Series A Preferred Stock are being converted in the following name and to the following address:</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-36195</wp:posOffset>
            </wp:positionV>
            <wp:extent cx="3150870" cy="1587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15087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-36195</wp:posOffset>
            </wp:positionV>
            <wp:extent cx="3134995" cy="1587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13499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-36195</wp:posOffset>
            </wp:positionV>
            <wp:extent cx="2785110" cy="1587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78511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-36195</wp:posOffset>
            </wp:positionV>
            <wp:extent cx="2800985" cy="1587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80098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-35560</wp:posOffset>
            </wp:positionV>
            <wp:extent cx="2959735" cy="1587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95973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-36195</wp:posOffset>
            </wp:positionV>
            <wp:extent cx="3310255" cy="1587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31025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-36195</wp:posOffset>
            </wp:positionV>
            <wp:extent cx="3254375" cy="1587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3254375"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-36195</wp:posOffset>
            </wp:positionV>
            <wp:extent cx="3214370" cy="1587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21437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-36195</wp:posOffset>
            </wp:positionV>
            <wp:extent cx="1734820" cy="1587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734820" cy="15875"/>
                    </a:xfrm>
                    <a:prstGeom prst="rect">
                      <a:avLst/>
                    </a:prstGeom>
                    <a:noFill/>
                  </pic:spPr>
                </pic:pic>
              </a:graphicData>
            </a:graphic>
          </wp:anchor>
        </w:drawing>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-35560</wp:posOffset>
            </wp:positionV>
            <wp:extent cx="1431925" cy="1587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44" w:name="page445"/>
    <w:bookmarkEnd w:id="44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80"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ACKNOWLEDGMENT</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Corporation hereby acknowledges this Conversion Notice and hereby directs [______] to issue the above indicated number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81393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-123190</wp:posOffset>
            </wp:positionV>
            <wp:extent cx="250634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506345"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-123190</wp:posOffset>
            </wp:positionV>
            <wp:extent cx="250634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2506345"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11430</wp:posOffset>
            </wp:positionV>
            <wp:extent cx="2506345" cy="1587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506345" cy="1587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5" w:name="page446"/>
    <w:bookmarkEnd w:id="44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F</w:t>
      </w:r>
    </w:p>
    <w:p>
      <w:pPr>
        <w:spacing w:after="0" w:line="109"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(Form of Series 1 Warrant)</w:t>
      </w:r>
    </w:p>
    <w:p>
      <w:pPr>
        <w:spacing w:after="0" w:line="105" w:lineRule="exact"/>
        <w:rPr>
          <w:sz w:val="20"/>
          <w:szCs w:val="20"/>
          <w:color w:val="auto"/>
        </w:rPr>
      </w:pPr>
    </w:p>
    <w:p>
      <w:pPr>
        <w:jc w:val="both"/>
        <w:ind w:left="40" w:right="1239"/>
        <w:spacing w:after="0" w:line="248" w:lineRule="auto"/>
        <w:rPr>
          <w:sz w:val="20"/>
          <w:szCs w:val="20"/>
          <w:color w:val="auto"/>
        </w:rPr>
      </w:pPr>
      <w:r>
        <w:rPr>
          <w:rFonts w:ascii="Arial" w:cs="Arial" w:eastAsia="Arial" w:hAnsi="Arial"/>
          <w:sz w:val="17"/>
          <w:szCs w:val="17"/>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5300" w:val="left"/>
        </w:tabs>
        <w:rPr>
          <w:sz w:val="20"/>
          <w:szCs w:val="20"/>
          <w:color w:val="auto"/>
        </w:rPr>
      </w:pPr>
      <w:r>
        <w:rPr>
          <w:rFonts w:ascii="Arial" w:cs="Arial" w:eastAsia="Arial" w:hAnsi="Arial"/>
          <w:sz w:val="17"/>
          <w:szCs w:val="17"/>
          <w:color w:val="auto"/>
        </w:rPr>
        <w:t>Warrant No. W-___</w:t>
      </w:r>
      <w:r>
        <w:rPr>
          <w:sz w:val="20"/>
          <w:szCs w:val="20"/>
          <w:color w:val="auto"/>
        </w:rPr>
        <w:tab/>
      </w:r>
      <w:r>
        <w:rPr>
          <w:rFonts w:ascii="Arial" w:cs="Arial" w:eastAsia="Arial" w:hAnsi="Arial"/>
          <w:sz w:val="14"/>
          <w:szCs w:val="14"/>
          <w:color w:val="auto"/>
        </w:rPr>
        <w:t>Number of Shares: ____________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 of Issuance: _________ __, 2012 (“</w:t>
      </w:r>
      <w:r>
        <w:rPr>
          <w:rFonts w:ascii="Arial" w:cs="Arial" w:eastAsia="Arial" w:hAnsi="Arial"/>
          <w:sz w:val="17"/>
          <w:szCs w:val="17"/>
          <w:u w:val="single" w:color="auto"/>
          <w:color w:val="auto"/>
        </w:rPr>
        <w:t>Issuance Date</w:t>
      </w:r>
      <w:r>
        <w:rPr>
          <w:rFonts w:ascii="Arial" w:cs="Arial" w:eastAsia="Arial" w:hAnsi="Arial"/>
          <w:sz w:val="17"/>
          <w:szCs w:val="17"/>
          <w:color w:val="auto"/>
        </w:rPr>
        <w:t>”)</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Common Stock Warrant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Vringo, Inc. </w:t>
      </w:r>
      <w:r>
        <w:rPr>
          <w:rFonts w:ascii="Arial" w:cs="Arial" w:eastAsia="Arial" w:hAnsi="Arial"/>
          <w:sz w:val="15"/>
          <w:szCs w:val="15"/>
          <w:color w:val="auto"/>
        </w:rPr>
        <w:t>(the “</w:t>
      </w:r>
      <w:r>
        <w:rPr>
          <w:rFonts w:ascii="Arial" w:cs="Arial" w:eastAsia="Arial" w:hAnsi="Arial"/>
          <w:sz w:val="15"/>
          <w:szCs w:val="15"/>
          <w:u w:val="single" w:color="auto"/>
          <w:color w:val="auto"/>
        </w:rPr>
        <w:t>Company</w:t>
      </w:r>
      <w:r>
        <w:rPr>
          <w:rFonts w:ascii="Arial" w:cs="Arial" w:eastAsia="Arial" w:hAnsi="Arial"/>
          <w:sz w:val="15"/>
          <w:szCs w:val="15"/>
          <w:color w:val="auto"/>
        </w:rPr>
        <w:t>”), for value received, hereby certifies that ________, or its registered assigns (the “</w:t>
      </w:r>
      <w:r>
        <w:rPr>
          <w:rFonts w:ascii="Arial" w:cs="Arial" w:eastAsia="Arial" w:hAnsi="Arial"/>
          <w:sz w:val="15"/>
          <w:szCs w:val="15"/>
          <w:u w:val="single" w:color="auto"/>
          <w:color w:val="auto"/>
        </w:rPr>
        <w:t>Registered</w:t>
      </w:r>
    </w:p>
    <w:p>
      <w:pPr>
        <w:spacing w:after="0" w:line="44"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is entitled, 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___________ __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 shares of common stock of the Company (the “</w:t>
      </w:r>
      <w:r>
        <w:rPr>
          <w:rFonts w:ascii="Arial" w:cs="Arial" w:eastAsia="Arial" w:hAnsi="Arial"/>
          <w:sz w:val="15"/>
          <w:szCs w:val="15"/>
          <w:u w:val="single" w:color="auto"/>
          <w:color w:val="auto"/>
        </w:rPr>
        <w:t>Warrant Stock</w:t>
      </w:r>
      <w:r>
        <w:rPr>
          <w:rFonts w:ascii="Arial" w:cs="Arial" w:eastAsia="Arial" w:hAnsi="Arial"/>
          <w:sz w:val="15"/>
          <w:szCs w:val="15"/>
          <w:color w:val="auto"/>
        </w:rPr>
        <w:t>”), par value $0.01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at a</w:t>
      </w:r>
    </w:p>
    <w:p>
      <w:pPr>
        <w:spacing w:after="0" w:line="28"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per share exercise price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equal to One Dollar and Seventy-Six Cents ($1.76) per share (subject to adjustment as set forth in Section 2).</w:t>
      </w:r>
    </w:p>
    <w:p>
      <w:pPr>
        <w:spacing w:after="0" w:line="74" w:lineRule="exact"/>
        <w:rPr>
          <w:sz w:val="20"/>
          <w:szCs w:val="20"/>
          <w:color w:val="auto"/>
        </w:rPr>
      </w:pPr>
    </w:p>
    <w:p>
      <w:pPr>
        <w:ind w:left="540" w:hanging="242"/>
        <w:spacing w:after="0"/>
        <w:tabs>
          <w:tab w:leader="none" w:pos="540" w:val="left"/>
        </w:tabs>
        <w:numPr>
          <w:ilvl w:val="0"/>
          <w:numId w:val="426"/>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1" w:lineRule="auto"/>
        <w:tabs>
          <w:tab w:leader="none" w:pos="832" w:val="left"/>
        </w:tabs>
        <w:numPr>
          <w:ilvl w:val="1"/>
          <w:numId w:val="426"/>
        </w:numPr>
        <w:rPr>
          <w:rFonts w:ascii="Arial" w:cs="Arial" w:eastAsia="Arial" w:hAnsi="Arial"/>
          <w:sz w:val="15"/>
          <w:szCs w:val="15"/>
          <w:color w:val="auto"/>
        </w:rPr>
      </w:pPr>
      <w:r>
        <w:rPr>
          <w:rFonts w:ascii="Arial" w:cs="Arial" w:eastAsia="Arial" w:hAnsi="Arial"/>
          <w:sz w:val="15"/>
          <w:szCs w:val="15"/>
          <w:b w:val="1"/>
          <w:bCs w:val="1"/>
          <w:u w:val="single" w:color="auto"/>
          <w:color w:val="auto"/>
        </w:rPr>
        <w:t>Method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may be exercised by the Registered Holder, in whole or in part, by delivering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form appended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duly executed by such Registered Holder (the “</w:t>
      </w:r>
      <w:r>
        <w:rPr>
          <w:rFonts w:ascii="Arial" w:cs="Arial" w:eastAsia="Arial" w:hAnsi="Arial"/>
          <w:sz w:val="15"/>
          <w:szCs w:val="15"/>
          <w:u w:val="single" w:color="auto"/>
          <w:color w:val="auto"/>
        </w:rPr>
        <w:t>Exercise Notice</w:t>
      </w:r>
      <w:r>
        <w:rPr>
          <w:rFonts w:ascii="Arial" w:cs="Arial" w:eastAsia="Arial" w:hAnsi="Arial"/>
          <w:sz w:val="15"/>
          <w:szCs w:val="15"/>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48" w:lineRule="exact"/>
        <w:rPr>
          <w:rFonts w:ascii="Arial" w:cs="Arial" w:eastAsia="Arial" w:hAnsi="Arial"/>
          <w:sz w:val="15"/>
          <w:szCs w:val="15"/>
          <w:color w:val="auto"/>
        </w:rPr>
      </w:pPr>
    </w:p>
    <w:p>
      <w:pPr>
        <w:jc w:val="both"/>
        <w:ind w:left="300" w:right="1239" w:firstLine="248"/>
        <w:spacing w:after="0" w:line="272" w:lineRule="auto"/>
        <w:tabs>
          <w:tab w:leader="none" w:pos="829" w:val="left"/>
        </w:tabs>
        <w:numPr>
          <w:ilvl w:val="1"/>
          <w:numId w:val="426"/>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Each exercise of this Warrant shall be deemed to have been effected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close of business on 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6"/>
          <w:szCs w:val="16"/>
          <w:color w:val="auto"/>
        </w:rPr>
      </w:pPr>
    </w:p>
    <w:p>
      <w:pPr>
        <w:jc w:val="both"/>
        <w:ind w:left="300" w:right="1239" w:firstLine="248"/>
        <w:spacing w:after="0" w:line="266" w:lineRule="auto"/>
        <w:tabs>
          <w:tab w:leader="none" w:pos="832" w:val="left"/>
        </w:tabs>
        <w:numPr>
          <w:ilvl w:val="1"/>
          <w:numId w:val="426"/>
        </w:numPr>
        <w:rPr>
          <w:rFonts w:ascii="Arial" w:cs="Arial" w:eastAsia="Arial" w:hAnsi="Arial"/>
          <w:sz w:val="16"/>
          <w:szCs w:val="16"/>
          <w:color w:val="auto"/>
        </w:rPr>
      </w:pP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herein to the contrary, if at any time between the three (3) month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X = Y *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453390" cy="1587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453390" cy="1587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Arial" w:cs="Arial" w:eastAsia="Arial" w:hAnsi="Arial"/>
          <w:sz w:val="17"/>
          <w:szCs w:val="17"/>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6" w:name="page447"/>
    <w:bookmarkEnd w:id="44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where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X = the number of shares of Warrant Stock to be issued to the Registered Holder.</w:t>
      </w:r>
    </w:p>
    <w:p>
      <w:pPr>
        <w:spacing w:after="0" w:line="105" w:lineRule="exact"/>
        <w:rPr>
          <w:sz w:val="20"/>
          <w:szCs w:val="20"/>
          <w:color w:val="auto"/>
        </w:rPr>
      </w:pPr>
    </w:p>
    <w:p>
      <w:pPr>
        <w:ind w:left="300" w:right="1239" w:firstLine="251"/>
        <w:spacing w:after="0" w:line="267" w:lineRule="auto"/>
        <w:rPr>
          <w:sz w:val="20"/>
          <w:szCs w:val="20"/>
          <w:color w:val="auto"/>
        </w:rPr>
      </w:pPr>
      <w:r>
        <w:rPr>
          <w:rFonts w:ascii="Arial" w:cs="Arial" w:eastAsia="Arial" w:hAnsi="Arial"/>
          <w:sz w:val="17"/>
          <w:szCs w:val="17"/>
          <w:color w:val="auto"/>
        </w:rPr>
        <w:t>Y = the Warrant Stock purchasable under this Warrant or, if only a portion of the Warrant is being exercised, the portion of the Warrant Stock being exercised.</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 = the Fair Market Value (defined below) of one share of Common Stock on the Exercise Date.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 = the Exercise Price (as adjusted pursuant to the provisions of this Warrant).</w:t>
      </w:r>
    </w:p>
    <w:p>
      <w:pPr>
        <w:spacing w:after="0" w:line="105" w:lineRule="exact"/>
        <w:rPr>
          <w:sz w:val="20"/>
          <w:szCs w:val="20"/>
          <w:color w:val="auto"/>
        </w:rPr>
      </w:pPr>
    </w:p>
    <w:p>
      <w:pPr>
        <w:ind w:left="40" w:right="1239" w:firstLine="251"/>
        <w:spacing w:after="0" w:line="267" w:lineRule="auto"/>
        <w:rPr>
          <w:sz w:val="20"/>
          <w:szCs w:val="20"/>
          <w:color w:val="auto"/>
        </w:rPr>
      </w:pPr>
      <w:r>
        <w:rPr>
          <w:rFonts w:ascii="Arial" w:cs="Arial" w:eastAsia="Arial" w:hAnsi="Arial"/>
          <w:sz w:val="17"/>
          <w:szCs w:val="17"/>
          <w:color w:val="auto"/>
        </w:rPr>
        <w:t>For purposes of this Section 1(c), the “Fair Market Value” of one share of Common Stock on the Exercise Date shall have one of the following meanings:</w:t>
      </w:r>
    </w:p>
    <w:p>
      <w:pPr>
        <w:spacing w:after="0" w:line="66" w:lineRule="exact"/>
        <w:rPr>
          <w:sz w:val="20"/>
          <w:szCs w:val="20"/>
          <w:color w:val="auto"/>
        </w:rPr>
      </w:pPr>
    </w:p>
    <w:p>
      <w:pPr>
        <w:jc w:val="both"/>
        <w:ind w:left="300" w:right="1239" w:firstLine="248"/>
        <w:spacing w:after="0" w:line="280" w:lineRule="auto"/>
        <w:tabs>
          <w:tab w:leader="none" w:pos="871"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7" w:lineRule="exact"/>
        <w:rPr>
          <w:rFonts w:ascii="Arial" w:cs="Arial" w:eastAsia="Arial" w:hAnsi="Arial"/>
          <w:sz w:val="16"/>
          <w:szCs w:val="16"/>
          <w:color w:val="auto"/>
        </w:rPr>
      </w:pPr>
    </w:p>
    <w:p>
      <w:pPr>
        <w:ind w:left="300" w:right="1239" w:firstLine="248"/>
        <w:spacing w:after="0" w:line="267" w:lineRule="auto"/>
        <w:tabs>
          <w:tab w:leader="none" w:pos="833"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if the Common Stock is traded over-the-counter, the Fair Market Value shall be deemed to be the average of the closing sales price over the thirty (30) day period ending three (3) days before the Exercise Date; or</w:t>
      </w:r>
    </w:p>
    <w:p>
      <w:pPr>
        <w:spacing w:after="0" w:line="66" w:lineRule="exact"/>
        <w:rPr>
          <w:rFonts w:ascii="Arial" w:cs="Arial" w:eastAsia="Arial" w:hAnsi="Arial"/>
          <w:sz w:val="17"/>
          <w:szCs w:val="17"/>
          <w:color w:val="auto"/>
        </w:rPr>
      </w:pPr>
    </w:p>
    <w:p>
      <w:pPr>
        <w:jc w:val="both"/>
        <w:ind w:left="300" w:right="1239" w:firstLine="248"/>
        <w:spacing w:after="0" w:line="253" w:lineRule="auto"/>
        <w:tabs>
          <w:tab w:leader="none" w:pos="839"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8" w:lineRule="exact"/>
        <w:rPr>
          <w:sz w:val="20"/>
          <w:szCs w:val="20"/>
          <w:color w:val="auto"/>
        </w:rPr>
      </w:pPr>
    </w:p>
    <w:p>
      <w:pPr>
        <w:jc w:val="both"/>
        <w:ind w:left="300" w:right="1239" w:firstLine="251"/>
        <w:spacing w:after="0" w:line="253" w:lineRule="auto"/>
        <w:rPr>
          <w:sz w:val="20"/>
          <w:szCs w:val="20"/>
          <w:color w:val="auto"/>
        </w:rPr>
      </w:pPr>
      <w:r>
        <w:rPr>
          <w:rFonts w:ascii="Arial" w:cs="Arial" w:eastAsia="Arial" w:hAnsi="Arial"/>
          <w:sz w:val="17"/>
          <w:szCs w:val="17"/>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962660" cy="1587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962660" cy="15875"/>
                    </a:xfrm>
                    <a:prstGeom prst="rect">
                      <a:avLst/>
                    </a:prstGeom>
                    <a:noFill/>
                  </pic:spPr>
                </pic:pic>
              </a:graphicData>
            </a:graphic>
          </wp:anchor>
        </w:drawing>
      </w:r>
    </w:p>
    <w:p>
      <w:pPr>
        <w:spacing w:after="0" w:line="6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$2.00</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X = 25,000</w:t>
      </w:r>
    </w:p>
    <w:p>
      <w:pPr>
        <w:spacing w:after="0" w:line="105" w:lineRule="exact"/>
        <w:rPr>
          <w:sz w:val="20"/>
          <w:szCs w:val="20"/>
          <w:color w:val="auto"/>
        </w:rPr>
      </w:pPr>
    </w:p>
    <w:p>
      <w:pPr>
        <w:jc w:val="both"/>
        <w:ind w:left="40" w:right="1239" w:firstLine="251"/>
        <w:spacing w:after="0" w:line="267" w:lineRule="auto"/>
        <w:rPr>
          <w:sz w:val="20"/>
          <w:szCs w:val="20"/>
          <w:color w:val="auto"/>
        </w:rPr>
      </w:pPr>
      <w:r>
        <w:rPr>
          <w:rFonts w:ascii="Arial" w:cs="Arial" w:eastAsia="Arial" w:hAnsi="Arial"/>
          <w:sz w:val="16"/>
          <w:szCs w:val="16"/>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67" w:lineRule="exact"/>
        <w:rPr>
          <w:sz w:val="20"/>
          <w:szCs w:val="20"/>
          <w:color w:val="auto"/>
        </w:rPr>
      </w:pPr>
    </w:p>
    <w:p>
      <w:pPr>
        <w:jc w:val="both"/>
        <w:ind w:left="300" w:right="1239" w:firstLine="248"/>
        <w:spacing w:after="0" w:line="254" w:lineRule="auto"/>
        <w:tabs>
          <w:tab w:leader="none" w:pos="854" w:val="left"/>
        </w:tabs>
        <w:numPr>
          <w:ilvl w:val="0"/>
          <w:numId w:val="428"/>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color w:val="auto"/>
        </w:rPr>
        <w:t>. As soon as practicable after the exercise of this Warrant in whole or in part, and in any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78" w:lineRule="exact"/>
        <w:rPr>
          <w:rFonts w:ascii="Arial" w:cs="Arial" w:eastAsia="Arial" w:hAnsi="Arial"/>
          <w:sz w:val="17"/>
          <w:szCs w:val="17"/>
          <w:color w:val="auto"/>
        </w:rPr>
      </w:pPr>
    </w:p>
    <w:p>
      <w:pPr>
        <w:ind w:left="540" w:right="1239" w:firstLine="259"/>
        <w:spacing w:after="0" w:line="267" w:lineRule="auto"/>
        <w:tabs>
          <w:tab w:leader="none" w:pos="1076" w:val="left"/>
        </w:tabs>
        <w:numPr>
          <w:ilvl w:val="1"/>
          <w:numId w:val="428"/>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66" w:lineRule="exact"/>
        <w:rPr>
          <w:rFonts w:ascii="Arial" w:cs="Arial" w:eastAsia="Arial" w:hAnsi="Arial"/>
          <w:sz w:val="17"/>
          <w:szCs w:val="17"/>
          <w:color w:val="auto"/>
        </w:rPr>
      </w:pPr>
    </w:p>
    <w:p>
      <w:pPr>
        <w:jc w:val="both"/>
        <w:ind w:left="540" w:right="1239" w:firstLine="259"/>
        <w:spacing w:after="0" w:line="253" w:lineRule="auto"/>
        <w:tabs>
          <w:tab w:leader="none" w:pos="1098" w:val="left"/>
        </w:tabs>
        <w:numPr>
          <w:ilvl w:val="1"/>
          <w:numId w:val="428"/>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04"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7" w:name="page448"/>
    <w:bookmarkEnd w:id="44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82" w:lineRule="auto"/>
        <w:tabs>
          <w:tab w:leader="none" w:pos="819" w:val="left"/>
        </w:tabs>
        <w:numPr>
          <w:ilvl w:val="0"/>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 for Buy-In on Failure to Timely Deliver Certificates Upon Exercise</w:t>
      </w:r>
      <w:r>
        <w:rPr>
          <w:rFonts w:ascii="Arial" w:cs="Arial" w:eastAsia="Arial" w:hAnsi="Arial"/>
          <w:sz w:val="15"/>
          <w:szCs w:val="15"/>
          <w:color w:val="auto"/>
        </w:rPr>
        <w:t>. In addition to any other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0" w:lineRule="exact"/>
        <w:rPr>
          <w:rFonts w:ascii="Arial" w:cs="Arial" w:eastAsia="Arial" w:hAnsi="Arial"/>
          <w:sz w:val="15"/>
          <w:szCs w:val="15"/>
          <w:color w:val="auto"/>
        </w:rPr>
      </w:pPr>
    </w:p>
    <w:p>
      <w:pPr>
        <w:jc w:val="both"/>
        <w:ind w:left="300" w:right="1239" w:firstLine="248"/>
        <w:spacing w:after="0" w:line="280" w:lineRule="auto"/>
        <w:tabs>
          <w:tab w:leader="none" w:pos="876" w:val="left"/>
        </w:tabs>
        <w:numPr>
          <w:ilvl w:val="0"/>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Registered Holder’s Exercise Limitations</w:t>
      </w:r>
      <w:r>
        <w:rPr>
          <w:rFonts w:ascii="Arial" w:cs="Arial" w:eastAsia="Arial" w:hAnsi="Arial"/>
          <w:sz w:val="15"/>
          <w:szCs w:val="15"/>
          <w:color w:val="auto"/>
        </w:rPr>
        <w:t>. The Company shall not effect any exercise of this Warrant, and a</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w:t>
      </w:r>
    </w:p>
    <w:p>
      <w:pPr>
        <w:spacing w:after="0" w:line="13" w:lineRule="exact"/>
        <w:rPr>
          <w:sz w:val="20"/>
          <w:szCs w:val="20"/>
          <w:color w:val="auto"/>
        </w:rPr>
      </w:pPr>
    </w:p>
    <w:p>
      <w:pPr>
        <w:ind w:left="300" w:right="1239"/>
        <w:spacing w:after="0" w:line="213" w:lineRule="auto"/>
        <w:rPr>
          <w:sz w:val="20"/>
          <w:szCs w:val="20"/>
          <w:color w:val="auto"/>
        </w:rPr>
      </w:pPr>
      <w:r>
        <w:rPr>
          <w:rFonts w:ascii="Arial" w:cs="Arial" w:eastAsia="Arial" w:hAnsi="Arial"/>
          <w:sz w:val="17"/>
          <w:szCs w:val="17"/>
          <w:color w:val="auto"/>
        </w:rPr>
        <w:t>such increase or decrease will not be effective until the 61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w:t>
      </w: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8" w:name="page449"/>
    <w:bookmarkEnd w:id="44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4" w:lineRule="exact"/>
        <w:rPr>
          <w:sz w:val="20"/>
          <w:szCs w:val="20"/>
          <w:color w:val="auto"/>
        </w:rPr>
      </w:pPr>
    </w:p>
    <w:p>
      <w:pPr>
        <w:ind w:left="500" w:hanging="202"/>
        <w:spacing w:after="0"/>
        <w:tabs>
          <w:tab w:leader="none" w:pos="500" w:val="left"/>
        </w:tabs>
        <w:numPr>
          <w:ilvl w:val="0"/>
          <w:numId w:val="430"/>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45"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the Company’s Common Stock shall be subdivided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6" w:lineRule="exact"/>
        <w:rPr>
          <w:rFonts w:ascii="Arial" w:cs="Arial" w:eastAsia="Arial" w:hAnsi="Arial"/>
          <w:sz w:val="16"/>
          <w:szCs w:val="16"/>
          <w:color w:val="auto"/>
        </w:rPr>
      </w:pPr>
    </w:p>
    <w:p>
      <w:pPr>
        <w:jc w:val="both"/>
        <w:ind w:left="300" w:right="1239" w:firstLine="248"/>
        <w:spacing w:after="0" w:line="281" w:lineRule="auto"/>
        <w:tabs>
          <w:tab w:leader="none" w:pos="841" w:val="left"/>
        </w:tabs>
        <w:numPr>
          <w:ilvl w:val="1"/>
          <w:numId w:val="430"/>
        </w:numPr>
        <w:rPr>
          <w:rFonts w:ascii="Arial" w:cs="Arial" w:eastAsia="Arial" w:hAnsi="Arial"/>
          <w:sz w:val="15"/>
          <w:szCs w:val="15"/>
          <w:color w:val="auto"/>
        </w:rPr>
      </w:pPr>
      <w:r>
        <w:rPr>
          <w:rFonts w:ascii="Arial" w:cs="Arial" w:eastAsia="Arial" w:hAnsi="Arial"/>
          <w:sz w:val="15"/>
          <w:szCs w:val="15"/>
          <w:b w:val="1"/>
          <w:bCs w:val="1"/>
          <w:u w:val="single" w:color="auto"/>
          <w:color w:val="auto"/>
        </w:rPr>
        <w:t>Fundamental Transaction</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while this Warrant is outstanding, (i) the Company effects any merger or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5" w:lineRule="exact"/>
        <w:rPr>
          <w:rFonts w:ascii="Arial" w:cs="Arial" w:eastAsia="Arial" w:hAnsi="Arial"/>
          <w:sz w:val="15"/>
          <w:szCs w:val="15"/>
          <w:color w:val="auto"/>
        </w:rPr>
      </w:pPr>
    </w:p>
    <w:p>
      <w:pPr>
        <w:jc w:val="both"/>
        <w:ind w:left="300" w:right="1239" w:firstLine="248"/>
        <w:spacing w:after="0" w:line="275" w:lineRule="auto"/>
        <w:tabs>
          <w:tab w:leader="none" w:pos="819" w:val="left"/>
        </w:tabs>
        <w:numPr>
          <w:ilvl w:val="1"/>
          <w:numId w:val="43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27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49" w:name="page450"/>
    <w:bookmarkEnd w:id="44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500" w:hanging="202"/>
        <w:spacing w:after="0"/>
        <w:tabs>
          <w:tab w:leader="none" w:pos="500" w:val="left"/>
        </w:tabs>
        <w:numPr>
          <w:ilvl w:val="0"/>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832" w:val="left"/>
        </w:tabs>
        <w:numPr>
          <w:ilvl w:val="1"/>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has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1" w:lineRule="exact"/>
        <w:rPr>
          <w:rFonts w:ascii="Arial" w:cs="Arial" w:eastAsia="Arial" w:hAnsi="Arial"/>
          <w:sz w:val="16"/>
          <w:szCs w:val="16"/>
          <w:color w:val="auto"/>
        </w:rPr>
      </w:pPr>
    </w:p>
    <w:p>
      <w:pPr>
        <w:jc w:val="both"/>
        <w:ind w:left="300" w:right="1239" w:firstLine="248"/>
        <w:spacing w:after="0" w:line="254" w:lineRule="auto"/>
        <w:tabs>
          <w:tab w:leader="none" w:pos="829" w:val="left"/>
        </w:tabs>
        <w:numPr>
          <w:ilvl w:val="1"/>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74" w:lineRule="exact"/>
        <w:rPr>
          <w:rFonts w:ascii="Arial" w:cs="Arial" w:eastAsia="Arial" w:hAnsi="Arial"/>
          <w:sz w:val="17"/>
          <w:szCs w:val="17"/>
          <w:color w:val="auto"/>
        </w:rPr>
      </w:pPr>
    </w:p>
    <w:p>
      <w:pPr>
        <w:jc w:val="both"/>
        <w:ind w:left="300" w:right="1239" w:firstLine="248"/>
        <w:spacing w:after="0" w:line="270" w:lineRule="auto"/>
        <w:tabs>
          <w:tab w:leader="none" w:pos="870" w:val="left"/>
        </w:tabs>
        <w:numPr>
          <w:ilvl w:val="1"/>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1" w:lineRule="exact"/>
        <w:rPr>
          <w:rFonts w:ascii="Arial" w:cs="Arial" w:eastAsia="Arial" w:hAnsi="Arial"/>
          <w:sz w:val="16"/>
          <w:szCs w:val="16"/>
          <w:color w:val="auto"/>
        </w:rPr>
      </w:pPr>
    </w:p>
    <w:p>
      <w:pPr>
        <w:ind w:left="500" w:hanging="202"/>
        <w:spacing w:after="0"/>
        <w:tabs>
          <w:tab w:leader="none" w:pos="500" w:val="left"/>
        </w:tabs>
        <w:numPr>
          <w:ilvl w:val="0"/>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6" w:lineRule="auto"/>
        <w:tabs>
          <w:tab w:leader="none" w:pos="832" w:val="left"/>
        </w:tabs>
        <w:numPr>
          <w:ilvl w:val="1"/>
          <w:numId w:val="431"/>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 of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redeemed, at the option of the Company, at any time after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65" w:lineRule="exact"/>
        <w:rPr>
          <w:rFonts w:ascii="Arial" w:cs="Arial" w:eastAsia="Arial" w:hAnsi="Arial"/>
          <w:sz w:val="16"/>
          <w:szCs w:val="16"/>
          <w:color w:val="auto"/>
        </w:rPr>
      </w:pPr>
    </w:p>
    <w:p>
      <w:pPr>
        <w:jc w:val="both"/>
        <w:ind w:left="300" w:right="1239" w:firstLine="248"/>
        <w:spacing w:after="0" w:line="294" w:lineRule="auto"/>
        <w:tabs>
          <w:tab w:leader="none" w:pos="892" w:val="left"/>
        </w:tabs>
        <w:numPr>
          <w:ilvl w:val="1"/>
          <w:numId w:val="431"/>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5"/>
          <w:szCs w:val="15"/>
          <w:color w:val="auto"/>
        </w:rPr>
      </w:pPr>
    </w:p>
    <w:p>
      <w:pPr>
        <w:jc w:val="both"/>
        <w:ind w:left="300" w:right="1239" w:firstLine="248"/>
        <w:spacing w:after="0" w:line="254" w:lineRule="auto"/>
        <w:tabs>
          <w:tab w:leader="none" w:pos="845" w:val="left"/>
        </w:tabs>
        <w:numPr>
          <w:ilvl w:val="1"/>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After Notice of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Warrants may be exercised in accordance with this Warrant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4" w:lineRule="exact"/>
        <w:rPr>
          <w:rFonts w:ascii="Arial" w:cs="Arial" w:eastAsia="Arial" w:hAnsi="Arial"/>
          <w:sz w:val="17"/>
          <w:szCs w:val="17"/>
          <w:color w:val="auto"/>
        </w:rPr>
      </w:pPr>
    </w:p>
    <w:p>
      <w:pPr>
        <w:jc w:val="both"/>
        <w:ind w:left="40" w:right="1239" w:firstLine="258"/>
        <w:spacing w:after="0" w:line="291" w:lineRule="auto"/>
        <w:tabs>
          <w:tab w:leader="none" w:pos="499" w:val="left"/>
        </w:tabs>
        <w:numPr>
          <w:ilvl w:val="0"/>
          <w:numId w:val="431"/>
        </w:numPr>
        <w:rPr>
          <w:rFonts w:ascii="Arial" w:cs="Arial" w:eastAsia="Arial" w:hAnsi="Arial"/>
          <w:sz w:val="15"/>
          <w:szCs w:val="15"/>
          <w:color w:val="auto"/>
        </w:rPr>
      </w:pPr>
      <w:r>
        <w:rPr>
          <w:rFonts w:ascii="Arial" w:cs="Arial" w:eastAsia="Arial" w:hAnsi="Arial"/>
          <w:sz w:val="15"/>
          <w:szCs w:val="15"/>
          <w:b w:val="1"/>
          <w:bCs w:val="1"/>
          <w:u w:val="single" w:color="auto"/>
          <w:color w:val="auto"/>
        </w:rPr>
        <w:t>Superior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date hereof until December 31, 2014, in the event the Company shall issue or sell a warrant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shares of Common Stock of the 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w:t>
      </w:r>
    </w:p>
    <w:p>
      <w:pPr>
        <w:spacing w:after="0" w:line="200" w:lineRule="exact"/>
        <w:rPr>
          <w:sz w:val="20"/>
          <w:szCs w:val="20"/>
          <w:color w:val="auto"/>
        </w:rPr>
      </w:pPr>
    </w:p>
    <w:p>
      <w:pPr>
        <w:spacing w:after="0" w:line="26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0" w:name="page451"/>
    <w:bookmarkEnd w:id="45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99" w:lineRule="auto"/>
        <w:rPr>
          <w:sz w:val="20"/>
          <w:szCs w:val="20"/>
          <w:color w:val="auto"/>
        </w:rPr>
      </w:pPr>
      <w:r>
        <w:rPr>
          <w:rFonts w:ascii="Arial" w:cs="Arial" w:eastAsia="Arial" w:hAnsi="Arial"/>
          <w:sz w:val="16"/>
          <w:szCs w:val="16"/>
          <w:color w:val="auto"/>
        </w:rPr>
        <w:t>adjustments to the Warrant in accordance with this Section 5 shall be made upon the issuance of any Excluded Securities (as defined in the Company’s Certificate of Designations, Preferences and Rights of Series A Convertible Preferred Stock).</w:t>
      </w:r>
    </w:p>
    <w:p>
      <w:pPr>
        <w:spacing w:after="0" w:line="39" w:lineRule="exact"/>
        <w:rPr>
          <w:sz w:val="20"/>
          <w:szCs w:val="20"/>
          <w:color w:val="auto"/>
        </w:rPr>
      </w:pPr>
    </w:p>
    <w:p>
      <w:pPr>
        <w:ind w:left="40" w:right="1239" w:firstLine="258"/>
        <w:spacing w:after="0" w:line="272" w:lineRule="auto"/>
        <w:tabs>
          <w:tab w:leader="none" w:pos="499"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the right to purchase securities upon exercise hereof) shall terminate at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time, on the Expiration Date.</w:t>
      </w:r>
    </w:p>
    <w:p>
      <w:pPr>
        <w:spacing w:after="0" w:line="58" w:lineRule="exact"/>
        <w:rPr>
          <w:rFonts w:ascii="Arial" w:cs="Arial" w:eastAsia="Arial" w:hAnsi="Arial"/>
          <w:sz w:val="17"/>
          <w:szCs w:val="17"/>
          <w:color w:val="auto"/>
        </w:rPr>
      </w:pPr>
    </w:p>
    <w:p>
      <w:pPr>
        <w:ind w:left="500" w:hanging="202"/>
        <w:spacing w:after="0"/>
        <w:tabs>
          <w:tab w:leader="none" w:pos="500" w:val="left"/>
        </w:tabs>
        <w:numPr>
          <w:ilvl w:val="0"/>
          <w:numId w:val="432"/>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 of Certain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case:</w:t>
      </w:r>
    </w:p>
    <w:p>
      <w:pPr>
        <w:spacing w:after="0" w:line="109" w:lineRule="exact"/>
        <w:rPr>
          <w:rFonts w:ascii="Arial" w:cs="Arial" w:eastAsia="Arial" w:hAnsi="Arial"/>
          <w:sz w:val="17"/>
          <w:szCs w:val="17"/>
          <w:color w:val="auto"/>
        </w:rPr>
      </w:pPr>
    </w:p>
    <w:p>
      <w:pPr>
        <w:jc w:val="both"/>
        <w:ind w:left="300" w:right="1239" w:firstLine="248"/>
        <w:spacing w:after="0" w:line="297" w:lineRule="auto"/>
        <w:tabs>
          <w:tab w:leader="none" w:pos="825" w:val="left"/>
        </w:tabs>
        <w:numPr>
          <w:ilvl w:val="1"/>
          <w:numId w:val="432"/>
        </w:numPr>
        <w:rPr>
          <w:rFonts w:ascii="Arial" w:cs="Arial" w:eastAsia="Arial" w:hAnsi="Arial"/>
          <w:sz w:val="15"/>
          <w:szCs w:val="15"/>
          <w:color w:val="auto"/>
        </w:rPr>
      </w:pPr>
      <w:r>
        <w:rPr>
          <w:rFonts w:ascii="Arial" w:cs="Arial" w:eastAsia="Arial" w:hAnsi="Arial"/>
          <w:sz w:val="15"/>
          <w:szCs w:val="15"/>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48" w:lineRule="exact"/>
        <w:rPr>
          <w:rFonts w:ascii="Arial" w:cs="Arial" w:eastAsia="Arial" w:hAnsi="Arial"/>
          <w:sz w:val="15"/>
          <w:szCs w:val="15"/>
          <w:color w:val="auto"/>
        </w:rPr>
      </w:pPr>
    </w:p>
    <w:p>
      <w:pPr>
        <w:jc w:val="both"/>
        <w:ind w:left="300" w:right="1239" w:firstLine="248"/>
        <w:spacing w:after="0" w:line="253" w:lineRule="auto"/>
        <w:tabs>
          <w:tab w:leader="none" w:pos="929" w:val="left"/>
        </w:tabs>
        <w:numPr>
          <w:ilvl w:val="1"/>
          <w:numId w:val="432"/>
        </w:numPr>
        <w:rPr>
          <w:rFonts w:ascii="Arial" w:cs="Arial" w:eastAsia="Arial" w:hAnsi="Arial"/>
          <w:sz w:val="17"/>
          <w:szCs w:val="17"/>
          <w:color w:val="auto"/>
        </w:rPr>
      </w:pPr>
      <w:r>
        <w:rPr>
          <w:rFonts w:ascii="Arial" w:cs="Arial" w:eastAsia="Arial" w:hAnsi="Arial"/>
          <w:sz w:val="17"/>
          <w:szCs w:val="17"/>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7" w:lineRule="exact"/>
        <w:rPr>
          <w:rFonts w:ascii="Arial" w:cs="Arial" w:eastAsia="Arial" w:hAnsi="Arial"/>
          <w:sz w:val="17"/>
          <w:szCs w:val="17"/>
          <w:color w:val="auto"/>
        </w:rPr>
      </w:pPr>
    </w:p>
    <w:p>
      <w:pPr>
        <w:ind w:left="820" w:hanging="272"/>
        <w:spacing w:after="0"/>
        <w:tabs>
          <w:tab w:leader="none" w:pos="82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Company, or</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of any Fundamental Transaction,</w:t>
      </w:r>
    </w:p>
    <w:p>
      <w:pPr>
        <w:spacing w:after="0" w:line="105"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1" w:lineRule="exact"/>
        <w:rPr>
          <w:sz w:val="20"/>
          <w:szCs w:val="20"/>
          <w:color w:val="auto"/>
        </w:rPr>
      </w:pPr>
    </w:p>
    <w:p>
      <w:pPr>
        <w:jc w:val="both"/>
        <w:ind w:left="40" w:right="1239" w:firstLine="258"/>
        <w:spacing w:after="0" w:line="265" w:lineRule="auto"/>
        <w:tabs>
          <w:tab w:leader="none" w:pos="512" w:val="left"/>
        </w:tabs>
        <w:numPr>
          <w:ilvl w:val="0"/>
          <w:numId w:val="433"/>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0" w:lineRule="exact"/>
        <w:rPr>
          <w:rFonts w:ascii="Arial" w:cs="Arial" w:eastAsia="Arial" w:hAnsi="Arial"/>
          <w:sz w:val="16"/>
          <w:szCs w:val="16"/>
          <w:color w:val="auto"/>
        </w:rPr>
      </w:pPr>
    </w:p>
    <w:p>
      <w:pPr>
        <w:jc w:val="both"/>
        <w:ind w:left="40" w:right="1239" w:firstLine="258"/>
        <w:spacing w:after="0" w:line="299" w:lineRule="auto"/>
        <w:tabs>
          <w:tab w:leader="none" w:pos="499" w:val="left"/>
        </w:tabs>
        <w:numPr>
          <w:ilvl w:val="0"/>
          <w:numId w:val="433"/>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2" w:lineRule="exact"/>
        <w:rPr>
          <w:rFonts w:ascii="Arial" w:cs="Arial" w:eastAsia="Arial" w:hAnsi="Arial"/>
          <w:sz w:val="15"/>
          <w:szCs w:val="15"/>
          <w:color w:val="auto"/>
        </w:rPr>
      </w:pPr>
    </w:p>
    <w:p>
      <w:pPr>
        <w:jc w:val="both"/>
        <w:ind w:left="40" w:right="1239" w:firstLine="258"/>
        <w:spacing w:after="0" w:line="254" w:lineRule="auto"/>
        <w:tabs>
          <w:tab w:leader="none" w:pos="583" w:val="left"/>
        </w:tabs>
        <w:numPr>
          <w:ilvl w:val="0"/>
          <w:numId w:val="43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Warrant shall be in writing and shall be deemed duly given upon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w:t>
      </w:r>
    </w:p>
    <w:p>
      <w:pPr>
        <w:spacing w:after="0" w:line="200" w:lineRule="exact"/>
        <w:rPr>
          <w:sz w:val="20"/>
          <w:szCs w:val="20"/>
          <w:color w:val="auto"/>
        </w:rPr>
      </w:pPr>
    </w:p>
    <w:p>
      <w:pPr>
        <w:spacing w:after="0" w:line="29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1" w:name="page452"/>
    <w:bookmarkEnd w:id="45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40" w:right="1239"/>
        <w:spacing w:after="0" w:line="267" w:lineRule="auto"/>
        <w:rPr>
          <w:sz w:val="20"/>
          <w:szCs w:val="20"/>
          <w:color w:val="auto"/>
        </w:rPr>
      </w:pPr>
      <w:r>
        <w:rPr>
          <w:rFonts w:ascii="Arial" w:cs="Arial" w:eastAsia="Arial" w:hAnsi="Arial"/>
          <w:sz w:val="17"/>
          <w:szCs w:val="17"/>
          <w:color w:val="auto"/>
        </w:rPr>
        <w:t>Registered Holder most recently furnished in writing to the Company and (b) if to the Company, to the address set forth on the signature page of this Warrant or as subsequently modified by written notice to the Registered Holder.</w:t>
      </w:r>
    </w:p>
    <w:p>
      <w:pPr>
        <w:spacing w:after="0" w:line="62" w:lineRule="exact"/>
        <w:rPr>
          <w:sz w:val="20"/>
          <w:szCs w:val="20"/>
          <w:color w:val="auto"/>
        </w:rPr>
      </w:pPr>
    </w:p>
    <w:p>
      <w:pPr>
        <w:ind w:left="40" w:right="1239" w:firstLine="258"/>
        <w:spacing w:after="0" w:line="272" w:lineRule="auto"/>
        <w:tabs>
          <w:tab w:leader="none" w:pos="602"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Rights as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exercise of this Warrant, the Registered Holder of this Warrant shall not have or</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rights by virtue hereof as a stockholder of the Company.</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583"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 of this Warrant may be amended or waived upon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w:t>
      </w:r>
    </w:p>
    <w:p>
      <w:pPr>
        <w:spacing w:after="0" w:line="5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in this Warrant are for purposes of reference only and shall not limit or otherwise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any provision of this Warrant.</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Covenants of the Registered Holder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has been entered into by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following representations and covenants of the Registered Holder:</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19" w:val="left"/>
        </w:tabs>
        <w:numPr>
          <w:ilvl w:val="1"/>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7"/>
          <w:szCs w:val="17"/>
          <w:color w:val="auto"/>
        </w:rPr>
      </w:pPr>
    </w:p>
    <w:p>
      <w:pPr>
        <w:jc w:val="both"/>
        <w:ind w:left="300" w:right="1239" w:firstLine="248"/>
        <w:spacing w:after="0" w:line="252" w:lineRule="auto"/>
        <w:tabs>
          <w:tab w:leader="none" w:pos="854" w:val="left"/>
        </w:tabs>
        <w:numPr>
          <w:ilvl w:val="1"/>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Private Issue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understands: (i) that the Warrant is not registered under the Securities Act or</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1"/>
          <w:numId w:val="434"/>
        </w:numPr>
        <w:rPr>
          <w:rFonts w:ascii="Arial" w:cs="Arial" w:eastAsia="Arial" w:hAnsi="Arial"/>
          <w:sz w:val="15"/>
          <w:szCs w:val="15"/>
          <w:color w:val="auto"/>
        </w:rPr>
      </w:pPr>
      <w:r>
        <w:rPr>
          <w:rFonts w:ascii="Arial" w:cs="Arial" w:eastAsia="Arial" w:hAnsi="Arial"/>
          <w:sz w:val="15"/>
          <w:szCs w:val="15"/>
          <w:b w:val="1"/>
          <w:bCs w:val="1"/>
          <w:u w:val="single" w:color="auto"/>
          <w:color w:val="auto"/>
        </w:rPr>
        <w:t>Disposition of Registered Holder’s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In no event will the Registered Holder make a disposition of the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4" w:lineRule="exact"/>
        <w:rPr>
          <w:rFonts w:ascii="Arial" w:cs="Arial" w:eastAsia="Arial" w:hAnsi="Arial"/>
          <w:sz w:val="15"/>
          <w:szCs w:val="15"/>
          <w:color w:val="auto"/>
        </w:rPr>
      </w:pPr>
    </w:p>
    <w:p>
      <w:pPr>
        <w:ind w:left="300" w:right="1239" w:firstLine="248"/>
        <w:spacing w:after="0" w:line="272" w:lineRule="auto"/>
        <w:tabs>
          <w:tab w:leader="none" w:pos="829" w:val="left"/>
        </w:tabs>
        <w:numPr>
          <w:ilvl w:val="1"/>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Financial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has such business and financial experience as is required to give it the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its own interests in connection with its investment.</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70" w:val="left"/>
        </w:tabs>
        <w:numPr>
          <w:ilvl w:val="1"/>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Accredited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an “accredited investor” as defined by Rule 501 of Regulation D</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under the Securities Act.</w:t>
      </w:r>
    </w:p>
    <w:p>
      <w:pPr>
        <w:spacing w:after="0" w:line="62"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2" w:name="page453"/>
    <w:bookmarkEnd w:id="45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48215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line="2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3175</wp:posOffset>
            </wp:positionV>
            <wp:extent cx="190182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901825" cy="8255"/>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color w:val="auto"/>
        </w:rPr>
        <w:t>Name:</w:t>
      </w:r>
    </w:p>
    <w:p>
      <w:pPr>
        <w:spacing w:after="0" w:line="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3" w:name="page454"/>
    <w:bookmarkEnd w:id="45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A</w:t>
      </w:r>
    </w:p>
    <w:p>
      <w:pPr>
        <w:spacing w:after="0" w:line="2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WARRANT EXERCISE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undersigned hereby irrevocably elects to exercise the within Warrant to the extent of purchasing ______ shares of Common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Stock of Vringo, Inc., a Delaware corporation, and hereby makes payment of $___________ in payment therefore (if a cashless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exercise, insert “cashless”), all in accordance with the terms and conditions of the Warrant dated ________,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2005330" cy="1587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00533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1909445" cy="1587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-36195</wp:posOffset>
            </wp:positionV>
            <wp:extent cx="1718945" cy="1587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7189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668655" cy="1587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6865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INSTRUCTIONS FOR ISSUANCE OF STOCK</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(if other than to the registered holder of the within Warrant)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1431925" cy="1587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-36195</wp:posOffset>
            </wp:positionV>
            <wp:extent cx="2386965" cy="1587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38696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-36195</wp:posOffset>
            </wp:positionV>
            <wp:extent cx="955040" cy="1587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955040" cy="1587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4" w:name="page455"/>
    <w:bookmarkEnd w:id="45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B</w:t>
      </w:r>
    </w:p>
    <w:p>
      <w:pPr>
        <w:spacing w:after="0" w:line="2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ASSIGNMENT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VALUE RECEIVED, _____________________ hereby sells, assigns and transfers unto _______________________ the right</w:t>
      </w:r>
    </w:p>
    <w:p>
      <w:pPr>
        <w:spacing w:after="0" w:line="4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6"/>
          <w:szCs w:val="16"/>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1431925" cy="1587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2100580" cy="1587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10058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74930</wp:posOffset>
            </wp:positionV>
            <wp:extent cx="238696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5" w:name="page456"/>
    <w:bookmarkEnd w:id="45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G</w:t>
      </w:r>
    </w:p>
    <w:p>
      <w:pPr>
        <w:spacing w:after="0" w:line="109" w:lineRule="exact"/>
        <w:rPr>
          <w:sz w:val="20"/>
          <w:szCs w:val="20"/>
          <w:color w:val="auto"/>
        </w:rPr>
      </w:pPr>
    </w:p>
    <w:p>
      <w:pPr>
        <w:jc w:val="right"/>
        <w:ind w:right="1239"/>
        <w:spacing w:after="0"/>
        <w:rPr>
          <w:sz w:val="20"/>
          <w:szCs w:val="20"/>
          <w:color w:val="auto"/>
        </w:rPr>
      </w:pPr>
      <w:r>
        <w:rPr>
          <w:rFonts w:ascii="Arial" w:cs="Arial" w:eastAsia="Arial" w:hAnsi="Arial"/>
          <w:sz w:val="17"/>
          <w:szCs w:val="17"/>
          <w:color w:val="auto"/>
        </w:rPr>
        <w:t>(Form of Series 2 Warrant)</w:t>
      </w:r>
    </w:p>
    <w:p>
      <w:pPr>
        <w:spacing w:after="0" w:line="105" w:lineRule="exact"/>
        <w:rPr>
          <w:sz w:val="20"/>
          <w:szCs w:val="20"/>
          <w:color w:val="auto"/>
        </w:rPr>
      </w:pPr>
    </w:p>
    <w:p>
      <w:pPr>
        <w:jc w:val="both"/>
        <w:ind w:left="40" w:right="1239"/>
        <w:spacing w:after="0" w:line="248" w:lineRule="auto"/>
        <w:rPr>
          <w:sz w:val="20"/>
          <w:szCs w:val="20"/>
          <w:color w:val="auto"/>
        </w:rPr>
      </w:pPr>
      <w:r>
        <w:rPr>
          <w:rFonts w:ascii="Arial" w:cs="Arial" w:eastAsia="Arial" w:hAnsi="Arial"/>
          <w:sz w:val="17"/>
          <w:szCs w:val="17"/>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48215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4821555" cy="8255"/>
                    </a:xfrm>
                    <a:prstGeom prst="rect">
                      <a:avLst/>
                    </a:prstGeom>
                    <a:noFill/>
                  </pic:spPr>
                </pic:pic>
              </a:graphicData>
            </a:graphic>
          </wp:anchor>
        </w:drawing>
      </w:r>
    </w:p>
    <w:p>
      <w:pPr>
        <w:spacing w:after="0"/>
        <w:tabs>
          <w:tab w:leader="none" w:pos="5300" w:val="left"/>
        </w:tabs>
        <w:rPr>
          <w:sz w:val="20"/>
          <w:szCs w:val="20"/>
          <w:color w:val="auto"/>
        </w:rPr>
      </w:pPr>
      <w:r>
        <w:rPr>
          <w:rFonts w:ascii="Arial" w:cs="Arial" w:eastAsia="Arial" w:hAnsi="Arial"/>
          <w:sz w:val="17"/>
          <w:szCs w:val="17"/>
          <w:color w:val="auto"/>
        </w:rPr>
        <w:t>Warrant No. W-___</w:t>
      </w:r>
      <w:r>
        <w:rPr>
          <w:sz w:val="20"/>
          <w:szCs w:val="20"/>
          <w:color w:val="auto"/>
        </w:rPr>
        <w:tab/>
      </w:r>
      <w:r>
        <w:rPr>
          <w:rFonts w:ascii="Arial" w:cs="Arial" w:eastAsia="Arial" w:hAnsi="Arial"/>
          <w:sz w:val="14"/>
          <w:szCs w:val="14"/>
          <w:color w:val="auto"/>
        </w:rPr>
        <w:t>Number of Shares: ____________</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Date of Issuance: ____________ __, 2012 (“</w:t>
      </w:r>
      <w:r>
        <w:rPr>
          <w:rFonts w:ascii="Arial" w:cs="Arial" w:eastAsia="Arial" w:hAnsi="Arial"/>
          <w:sz w:val="17"/>
          <w:szCs w:val="17"/>
          <w:u w:val="single" w:color="auto"/>
          <w:color w:val="auto"/>
        </w:rPr>
        <w:t>Issuance Date</w:t>
      </w:r>
      <w:r>
        <w:rPr>
          <w:rFonts w:ascii="Arial" w:cs="Arial" w:eastAsia="Arial" w:hAnsi="Arial"/>
          <w:sz w:val="17"/>
          <w:szCs w:val="17"/>
          <w:color w:val="auto"/>
        </w:rPr>
        <w:t>”)</w:t>
      </w:r>
    </w:p>
    <w:p>
      <w:pPr>
        <w:spacing w:after="0" w:line="189"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color w:val="auto"/>
        </w:rPr>
        <w:t>VRINGO, INC.</w:t>
      </w:r>
    </w:p>
    <w:p>
      <w:pPr>
        <w:spacing w:after="0" w:line="205" w:lineRule="exact"/>
        <w:rPr>
          <w:sz w:val="20"/>
          <w:szCs w:val="20"/>
          <w:color w:val="auto"/>
        </w:rPr>
      </w:pPr>
    </w:p>
    <w:p>
      <w:pPr>
        <w:jc w:val="center"/>
        <w:ind w:right="1239"/>
        <w:spacing w:after="0"/>
        <w:rPr>
          <w:sz w:val="20"/>
          <w:szCs w:val="20"/>
          <w:color w:val="auto"/>
        </w:rPr>
      </w:pPr>
      <w:r>
        <w:rPr>
          <w:rFonts w:ascii="Arial" w:cs="Arial" w:eastAsia="Arial" w:hAnsi="Arial"/>
          <w:sz w:val="17"/>
          <w:szCs w:val="17"/>
          <w:b w:val="1"/>
          <w:bCs w:val="1"/>
          <w:u w:val="single" w:color="auto"/>
          <w:color w:val="auto"/>
        </w:rPr>
        <w:t>Common Stock Warrant</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 xml:space="preserve">Vringo, Inc. </w:t>
      </w:r>
      <w:r>
        <w:rPr>
          <w:rFonts w:ascii="Arial" w:cs="Arial" w:eastAsia="Arial" w:hAnsi="Arial"/>
          <w:sz w:val="15"/>
          <w:szCs w:val="15"/>
          <w:color w:val="auto"/>
        </w:rPr>
        <w:t>(the “</w:t>
      </w:r>
      <w:r>
        <w:rPr>
          <w:rFonts w:ascii="Arial" w:cs="Arial" w:eastAsia="Arial" w:hAnsi="Arial"/>
          <w:sz w:val="15"/>
          <w:szCs w:val="15"/>
          <w:u w:val="single" w:color="auto"/>
          <w:color w:val="auto"/>
        </w:rPr>
        <w:t>Company</w:t>
      </w:r>
      <w:r>
        <w:rPr>
          <w:rFonts w:ascii="Arial" w:cs="Arial" w:eastAsia="Arial" w:hAnsi="Arial"/>
          <w:sz w:val="15"/>
          <w:szCs w:val="15"/>
          <w:color w:val="auto"/>
        </w:rPr>
        <w:t>”), for value received, hereby certifies that ________, or its registered assigns (the “</w:t>
      </w:r>
      <w:r>
        <w:rPr>
          <w:rFonts w:ascii="Arial" w:cs="Arial" w:eastAsia="Arial" w:hAnsi="Arial"/>
          <w:sz w:val="15"/>
          <w:szCs w:val="15"/>
          <w:u w:val="single" w:color="auto"/>
          <w:color w:val="auto"/>
        </w:rPr>
        <w:t>Registered</w:t>
      </w:r>
    </w:p>
    <w:p>
      <w:pPr>
        <w:spacing w:after="0" w:line="44" w:lineRule="exact"/>
        <w:rPr>
          <w:sz w:val="20"/>
          <w:szCs w:val="20"/>
          <w:color w:val="auto"/>
        </w:rPr>
      </w:pPr>
    </w:p>
    <w:p>
      <w:pPr>
        <w:jc w:val="both"/>
        <w:ind w:left="40" w:right="1239"/>
        <w:spacing w:after="0" w:line="261" w:lineRule="auto"/>
        <w:rPr>
          <w:sz w:val="20"/>
          <w:szCs w:val="20"/>
          <w:color w:val="auto"/>
        </w:rPr>
      </w:pPr>
      <w:r>
        <w:rPr>
          <w:rFonts w:ascii="Arial" w:cs="Arial" w:eastAsia="Arial" w:hAnsi="Arial"/>
          <w:sz w:val="16"/>
          <w:szCs w:val="16"/>
          <w:u w:val="single" w:color="auto"/>
          <w:color w:val="auto"/>
        </w:rPr>
        <w:t>Holder</w:t>
      </w:r>
      <w:r>
        <w:rPr>
          <w:rFonts w:ascii="Arial" w:cs="Arial" w:eastAsia="Arial" w:hAnsi="Arial"/>
          <w:sz w:val="16"/>
          <w:szCs w:val="16"/>
          <w:color w:val="auto"/>
        </w:rPr>
        <w:t>”), is entitled, 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__________ __, 2017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(_______) shares of common stock of the Company (the “</w:t>
      </w:r>
      <w:r>
        <w:rPr>
          <w:rFonts w:ascii="Arial" w:cs="Arial" w:eastAsia="Arial" w:hAnsi="Arial"/>
          <w:sz w:val="15"/>
          <w:szCs w:val="15"/>
          <w:u w:val="single" w:color="auto"/>
          <w:color w:val="auto"/>
        </w:rPr>
        <w:t>Warrant Stock</w:t>
      </w:r>
      <w:r>
        <w:rPr>
          <w:rFonts w:ascii="Arial" w:cs="Arial" w:eastAsia="Arial" w:hAnsi="Arial"/>
          <w:sz w:val="15"/>
          <w:szCs w:val="15"/>
          <w:color w:val="auto"/>
        </w:rPr>
        <w:t>”), par value $0.01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at a</w:t>
      </w:r>
    </w:p>
    <w:p>
      <w:pPr>
        <w:spacing w:after="0" w:line="28" w:lineRule="exact"/>
        <w:rPr>
          <w:sz w:val="20"/>
          <w:szCs w:val="20"/>
          <w:color w:val="auto"/>
        </w:rPr>
      </w:pPr>
    </w:p>
    <w:p>
      <w:pPr>
        <w:jc w:val="both"/>
        <w:ind w:left="40" w:right="1239"/>
        <w:spacing w:after="0" w:line="252" w:lineRule="auto"/>
        <w:rPr>
          <w:sz w:val="20"/>
          <w:szCs w:val="20"/>
          <w:color w:val="auto"/>
        </w:rPr>
      </w:pPr>
      <w:r>
        <w:rPr>
          <w:rFonts w:ascii="Arial" w:cs="Arial" w:eastAsia="Arial" w:hAnsi="Arial"/>
          <w:sz w:val="17"/>
          <w:szCs w:val="17"/>
          <w:color w:val="auto"/>
        </w:rPr>
        <w:t>per share exercise price (the “</w:t>
      </w:r>
      <w:r>
        <w:rPr>
          <w:rFonts w:ascii="Arial" w:cs="Arial" w:eastAsia="Arial" w:hAnsi="Arial"/>
          <w:sz w:val="17"/>
          <w:szCs w:val="17"/>
          <w:u w:val="single" w:color="auto"/>
          <w:color w:val="auto"/>
        </w:rPr>
        <w:t>Exercise Price</w:t>
      </w:r>
      <w:r>
        <w:rPr>
          <w:rFonts w:ascii="Arial" w:cs="Arial" w:eastAsia="Arial" w:hAnsi="Arial"/>
          <w:sz w:val="17"/>
          <w:szCs w:val="17"/>
          <w:color w:val="auto"/>
        </w:rPr>
        <w:t>”) equal to One Dollar and Seventy-Six Cents ($1.76) per share (subject to adjustment as set forth in Section 2).</w:t>
      </w:r>
    </w:p>
    <w:p>
      <w:pPr>
        <w:spacing w:after="0" w:line="74" w:lineRule="exact"/>
        <w:rPr>
          <w:sz w:val="20"/>
          <w:szCs w:val="20"/>
          <w:color w:val="auto"/>
        </w:rPr>
      </w:pPr>
    </w:p>
    <w:p>
      <w:pPr>
        <w:ind w:left="500" w:hanging="202"/>
        <w:spacing w:after="0"/>
        <w:tabs>
          <w:tab w:leader="none" w:pos="500" w:val="left"/>
        </w:tabs>
        <w:numPr>
          <w:ilvl w:val="0"/>
          <w:numId w:val="435"/>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91" w:lineRule="auto"/>
        <w:tabs>
          <w:tab w:leader="none" w:pos="832" w:val="left"/>
        </w:tabs>
        <w:numPr>
          <w:ilvl w:val="1"/>
          <w:numId w:val="435"/>
        </w:numPr>
        <w:rPr>
          <w:rFonts w:ascii="Arial" w:cs="Arial" w:eastAsia="Arial" w:hAnsi="Arial"/>
          <w:sz w:val="15"/>
          <w:szCs w:val="15"/>
          <w:color w:val="auto"/>
        </w:rPr>
      </w:pPr>
      <w:r>
        <w:rPr>
          <w:rFonts w:ascii="Arial" w:cs="Arial" w:eastAsia="Arial" w:hAnsi="Arial"/>
          <w:sz w:val="15"/>
          <w:szCs w:val="15"/>
          <w:b w:val="1"/>
          <w:bCs w:val="1"/>
          <w:u w:val="single" w:color="auto"/>
          <w:color w:val="auto"/>
        </w:rPr>
        <w:t>Method of Exercise</w:t>
      </w:r>
      <w:r>
        <w:rPr>
          <w:rFonts w:ascii="Arial" w:cs="Arial" w:eastAsia="Arial" w:hAnsi="Arial"/>
          <w:sz w:val="15"/>
          <w:szCs w:val="15"/>
          <w:color w:val="auto"/>
        </w:rPr>
        <w:t>. This Warrant may be exercised by the Registered Holder, in whole or in part, by delivering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form appended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duly executed by such Registered Holder (the “</w:t>
      </w:r>
      <w:r>
        <w:rPr>
          <w:rFonts w:ascii="Arial" w:cs="Arial" w:eastAsia="Arial" w:hAnsi="Arial"/>
          <w:sz w:val="15"/>
          <w:szCs w:val="15"/>
          <w:u w:val="single" w:color="auto"/>
          <w:color w:val="auto"/>
        </w:rPr>
        <w:t>Exercise Notice</w:t>
      </w:r>
      <w:r>
        <w:rPr>
          <w:rFonts w:ascii="Arial" w:cs="Arial" w:eastAsia="Arial" w:hAnsi="Arial"/>
          <w:sz w:val="15"/>
          <w:szCs w:val="15"/>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48" w:lineRule="exact"/>
        <w:rPr>
          <w:rFonts w:ascii="Arial" w:cs="Arial" w:eastAsia="Arial" w:hAnsi="Arial"/>
          <w:sz w:val="15"/>
          <w:szCs w:val="15"/>
          <w:color w:val="auto"/>
        </w:rPr>
      </w:pPr>
    </w:p>
    <w:p>
      <w:pPr>
        <w:jc w:val="both"/>
        <w:ind w:left="300" w:right="1239" w:firstLine="248"/>
        <w:spacing w:after="0" w:line="272" w:lineRule="auto"/>
        <w:tabs>
          <w:tab w:leader="none" w:pos="829" w:val="left"/>
        </w:tabs>
        <w:numPr>
          <w:ilvl w:val="1"/>
          <w:numId w:val="435"/>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Effective Time of Exercise</w:t>
      </w:r>
      <w:r>
        <w:rPr>
          <w:rFonts w:ascii="Arial" w:cs="Arial" w:eastAsia="Arial" w:hAnsi="Arial"/>
          <w:sz w:val="16"/>
          <w:szCs w:val="16"/>
          <w:color w:val="auto"/>
        </w:rPr>
        <w:t>. Each exercise of this Warrant shall be deemed to have been effected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close of business on the day on which the Exercise Notice has been delivered to the Company (the “</w:t>
      </w:r>
      <w:r>
        <w:rPr>
          <w:rFonts w:ascii="Arial" w:cs="Arial" w:eastAsia="Arial" w:hAnsi="Arial"/>
          <w:sz w:val="16"/>
          <w:szCs w:val="16"/>
          <w:u w:val="single" w:color="auto"/>
          <w:color w:val="auto"/>
        </w:rPr>
        <w:t>Exercise Date</w:t>
      </w:r>
      <w:r>
        <w:rPr>
          <w:rFonts w:ascii="Arial" w:cs="Arial" w:eastAsia="Arial" w:hAnsi="Arial"/>
          <w:sz w:val="16"/>
          <w:szCs w:val="16"/>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6"/>
          <w:szCs w:val="16"/>
          <w:color w:val="auto"/>
        </w:rPr>
      </w:pPr>
    </w:p>
    <w:p>
      <w:pPr>
        <w:jc w:val="both"/>
        <w:ind w:left="300" w:right="1239" w:firstLine="248"/>
        <w:spacing w:after="0" w:line="266" w:lineRule="auto"/>
        <w:tabs>
          <w:tab w:leader="none" w:pos="832" w:val="left"/>
        </w:tabs>
        <w:numPr>
          <w:ilvl w:val="1"/>
          <w:numId w:val="435"/>
        </w:numPr>
        <w:rPr>
          <w:rFonts w:ascii="Arial" w:cs="Arial" w:eastAsia="Arial" w:hAnsi="Arial"/>
          <w:sz w:val="16"/>
          <w:szCs w:val="16"/>
          <w:color w:val="auto"/>
        </w:rPr>
      </w:pPr>
      <w:r>
        <w:rPr>
          <w:rFonts w:ascii="Arial" w:cs="Arial" w:eastAsia="Arial" w:hAnsi="Arial"/>
          <w:sz w:val="16"/>
          <w:szCs w:val="16"/>
          <w:b w:val="1"/>
          <w:bCs w:val="1"/>
          <w:u w:val="single" w:color="auto"/>
          <w:color w:val="auto"/>
        </w:rPr>
        <w:t>Cashless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provisions herein to the contrary, if at any time between the three (3) month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6"/>
          <w:szCs w:val="16"/>
          <w:u w:val="single" w:color="auto"/>
          <w:color w:val="auto"/>
        </w:rPr>
        <w:t>Cashless Exercise</w:t>
      </w:r>
      <w:r>
        <w:rPr>
          <w:rFonts w:ascii="Arial" w:cs="Arial" w:eastAsia="Arial" w:hAnsi="Arial"/>
          <w:sz w:val="16"/>
          <w:szCs w:val="16"/>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X = 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389890" cy="1587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89890" cy="15875"/>
                    </a:xfrm>
                    <a:prstGeom prst="rect">
                      <a:avLst/>
                    </a:prstGeom>
                    <a:noFill/>
                  </pic:spPr>
                </pic:pic>
              </a:graphicData>
            </a:graphic>
          </wp:anchor>
        </w:drawing>
      </w:r>
    </w:p>
    <w:p>
      <w:pPr>
        <w:spacing w:after="0" w:line="60" w:lineRule="exact"/>
        <w:rPr>
          <w:sz w:val="20"/>
          <w:szCs w:val="20"/>
          <w:color w:val="auto"/>
        </w:rPr>
      </w:pPr>
    </w:p>
    <w:p>
      <w:pPr>
        <w:ind w:left="4380"/>
        <w:spacing w:after="0"/>
        <w:rPr>
          <w:sz w:val="20"/>
          <w:szCs w:val="20"/>
          <w:color w:val="auto"/>
        </w:rPr>
      </w:pPr>
      <w:r>
        <w:rPr>
          <w:rFonts w:ascii="Arial" w:cs="Arial" w:eastAsia="Arial" w:hAnsi="Arial"/>
          <w:sz w:val="17"/>
          <w:szCs w:val="17"/>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6" w:name="page457"/>
    <w:bookmarkEnd w:id="45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where</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X = the number of shares of Warrant Stock to be issued to the Registered Holder.</w:t>
      </w:r>
    </w:p>
    <w:p>
      <w:pPr>
        <w:spacing w:after="0" w:line="105" w:lineRule="exact"/>
        <w:rPr>
          <w:sz w:val="20"/>
          <w:szCs w:val="20"/>
          <w:color w:val="auto"/>
        </w:rPr>
      </w:pPr>
    </w:p>
    <w:p>
      <w:pPr>
        <w:ind w:left="540" w:right="1239" w:firstLine="251"/>
        <w:spacing w:after="0" w:line="267" w:lineRule="auto"/>
        <w:rPr>
          <w:sz w:val="20"/>
          <w:szCs w:val="20"/>
          <w:color w:val="auto"/>
        </w:rPr>
      </w:pPr>
      <w:r>
        <w:rPr>
          <w:rFonts w:ascii="Arial" w:cs="Arial" w:eastAsia="Arial" w:hAnsi="Arial"/>
          <w:sz w:val="17"/>
          <w:szCs w:val="17"/>
          <w:color w:val="auto"/>
        </w:rPr>
        <w:t>Y = the Warrant Stock purchasable under this Warrant or, if only a portion of the Warrant is being exercised, the portion of the Warrant Stock being exercised.</w:t>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 the Fair Market Value (defined below) of one share of Common Stock on the Exercise Date.</w:t>
      </w:r>
    </w:p>
    <w:p>
      <w:pPr>
        <w:spacing w:after="0" w:line="10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B = the Exercise Price (as adjusted pursuant to the provisions of this Warrant).</w:t>
      </w:r>
    </w:p>
    <w:p>
      <w:pPr>
        <w:spacing w:after="0" w:line="105" w:lineRule="exact"/>
        <w:rPr>
          <w:sz w:val="20"/>
          <w:szCs w:val="20"/>
          <w:color w:val="auto"/>
        </w:rPr>
      </w:pPr>
    </w:p>
    <w:p>
      <w:pPr>
        <w:ind w:left="300" w:right="1239" w:firstLine="251"/>
        <w:spacing w:after="0" w:line="267" w:lineRule="auto"/>
        <w:rPr>
          <w:sz w:val="20"/>
          <w:szCs w:val="20"/>
          <w:color w:val="auto"/>
        </w:rPr>
      </w:pPr>
      <w:r>
        <w:rPr>
          <w:rFonts w:ascii="Arial" w:cs="Arial" w:eastAsia="Arial" w:hAnsi="Arial"/>
          <w:sz w:val="17"/>
          <w:szCs w:val="17"/>
          <w:color w:val="auto"/>
        </w:rPr>
        <w:t>For purposes of this Section 1(c), the “Fair Market Value” of one share of Common Stock on the Exercise Date shall have one of the following meanings:</w:t>
      </w:r>
    </w:p>
    <w:p>
      <w:pPr>
        <w:spacing w:after="0" w:line="66" w:lineRule="exact"/>
        <w:rPr>
          <w:sz w:val="20"/>
          <w:szCs w:val="20"/>
          <w:color w:val="auto"/>
        </w:rPr>
      </w:pPr>
    </w:p>
    <w:p>
      <w:pPr>
        <w:jc w:val="both"/>
        <w:ind w:left="540" w:right="1239" w:firstLine="259"/>
        <w:spacing w:after="0" w:line="307" w:lineRule="auto"/>
        <w:tabs>
          <w:tab w:leader="none" w:pos="1088" w:val="left"/>
        </w:tabs>
        <w:numPr>
          <w:ilvl w:val="0"/>
          <w:numId w:val="436"/>
        </w:numPr>
        <w:rPr>
          <w:rFonts w:ascii="Arial" w:cs="Arial" w:eastAsia="Arial" w:hAnsi="Arial"/>
          <w:sz w:val="15"/>
          <w:szCs w:val="15"/>
          <w:color w:val="auto"/>
        </w:rPr>
      </w:pPr>
      <w:r>
        <w:rPr>
          <w:rFonts w:ascii="Arial" w:cs="Arial" w:eastAsia="Arial" w:hAnsi="Arial"/>
          <w:sz w:val="15"/>
          <w:szCs w:val="15"/>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39" w:lineRule="exact"/>
        <w:rPr>
          <w:rFonts w:ascii="Arial" w:cs="Arial" w:eastAsia="Arial" w:hAnsi="Arial"/>
          <w:sz w:val="15"/>
          <w:szCs w:val="15"/>
          <w:color w:val="auto"/>
        </w:rPr>
      </w:pPr>
    </w:p>
    <w:p>
      <w:pPr>
        <w:ind w:left="540" w:right="1239" w:firstLine="259"/>
        <w:spacing w:after="0" w:line="299" w:lineRule="auto"/>
        <w:tabs>
          <w:tab w:leader="none" w:pos="1100"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if the Common Stock is traded over-the-counter, the Fair Market Value shall be deemed to be the average of the closing sales price over the thirty (30) day period ending three (3) days before the Exercise Date; or</w:t>
      </w:r>
    </w:p>
    <w:p>
      <w:pPr>
        <w:spacing w:after="0" w:line="42" w:lineRule="exact"/>
        <w:rPr>
          <w:rFonts w:ascii="Arial" w:cs="Arial" w:eastAsia="Arial" w:hAnsi="Arial"/>
          <w:sz w:val="16"/>
          <w:szCs w:val="16"/>
          <w:color w:val="auto"/>
        </w:rPr>
      </w:pPr>
    </w:p>
    <w:p>
      <w:pPr>
        <w:jc w:val="both"/>
        <w:ind w:left="540" w:right="1239" w:firstLine="259"/>
        <w:spacing w:after="0" w:line="253" w:lineRule="auto"/>
        <w:tabs>
          <w:tab w:leader="none" w:pos="1099" w:val="left"/>
        </w:tabs>
        <w:numPr>
          <w:ilvl w:val="0"/>
          <w:numId w:val="436"/>
        </w:numPr>
        <w:rPr>
          <w:rFonts w:ascii="Arial" w:cs="Arial" w:eastAsia="Arial" w:hAnsi="Arial"/>
          <w:sz w:val="17"/>
          <w:szCs w:val="17"/>
          <w:color w:val="auto"/>
        </w:rPr>
      </w:pPr>
      <w:r>
        <w:rPr>
          <w:rFonts w:ascii="Arial" w:cs="Arial" w:eastAsia="Arial" w:hAnsi="Arial"/>
          <w:sz w:val="17"/>
          <w:szCs w:val="17"/>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8" w:lineRule="exact"/>
        <w:rPr>
          <w:sz w:val="20"/>
          <w:szCs w:val="20"/>
          <w:color w:val="auto"/>
        </w:rPr>
      </w:pPr>
    </w:p>
    <w:p>
      <w:pPr>
        <w:jc w:val="both"/>
        <w:ind w:left="300" w:right="1239" w:firstLine="251"/>
        <w:spacing w:after="0" w:line="253" w:lineRule="auto"/>
        <w:rPr>
          <w:sz w:val="20"/>
          <w:szCs w:val="20"/>
          <w:color w:val="auto"/>
        </w:rPr>
      </w:pPr>
      <w:r>
        <w:rPr>
          <w:rFonts w:ascii="Arial" w:cs="Arial" w:eastAsia="Arial" w:hAnsi="Arial"/>
          <w:sz w:val="17"/>
          <w:szCs w:val="17"/>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962660" cy="1587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962660" cy="15875"/>
                    </a:xfrm>
                    <a:prstGeom prst="rect">
                      <a:avLst/>
                    </a:prstGeom>
                    <a:noFill/>
                  </pic:spPr>
                </pic:pic>
              </a:graphicData>
            </a:graphic>
          </wp:anchor>
        </w:drawing>
      </w:r>
    </w:p>
    <w:p>
      <w:pPr>
        <w:spacing w:after="0" w:line="60"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$2.00</w:t>
      </w: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X = 25,000</w:t>
      </w:r>
    </w:p>
    <w:p>
      <w:pPr>
        <w:spacing w:after="0" w:line="105" w:lineRule="exact"/>
        <w:rPr>
          <w:sz w:val="20"/>
          <w:szCs w:val="20"/>
          <w:color w:val="auto"/>
        </w:rPr>
      </w:pPr>
    </w:p>
    <w:p>
      <w:pPr>
        <w:jc w:val="both"/>
        <w:ind w:left="300" w:right="1239" w:firstLine="251"/>
        <w:spacing w:after="0" w:line="267" w:lineRule="auto"/>
        <w:rPr>
          <w:sz w:val="20"/>
          <w:szCs w:val="20"/>
          <w:color w:val="auto"/>
        </w:rPr>
      </w:pPr>
      <w:r>
        <w:rPr>
          <w:rFonts w:ascii="Arial" w:cs="Arial" w:eastAsia="Arial" w:hAnsi="Arial"/>
          <w:sz w:val="16"/>
          <w:szCs w:val="16"/>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67" w:lineRule="exact"/>
        <w:rPr>
          <w:sz w:val="20"/>
          <w:szCs w:val="20"/>
          <w:color w:val="auto"/>
        </w:rPr>
      </w:pPr>
    </w:p>
    <w:p>
      <w:pPr>
        <w:jc w:val="both"/>
        <w:ind w:left="300" w:right="1239" w:firstLine="248"/>
        <w:spacing w:after="0" w:line="254" w:lineRule="auto"/>
        <w:tabs>
          <w:tab w:leader="none" w:pos="854" w:val="left"/>
        </w:tabs>
        <w:numPr>
          <w:ilvl w:val="0"/>
          <w:numId w:val="437"/>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to Holder</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the exercise of this Warrant in whole or in part, and in any event</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three (3) business days thereafter (the “</w:t>
      </w:r>
      <w:r>
        <w:rPr>
          <w:rFonts w:ascii="Arial" w:cs="Arial" w:eastAsia="Arial" w:hAnsi="Arial"/>
          <w:sz w:val="17"/>
          <w:szCs w:val="17"/>
          <w:u w:val="single" w:color="auto"/>
          <w:color w:val="auto"/>
        </w:rPr>
        <w:t>Warrant Stock Delivery Date</w:t>
      </w:r>
      <w:r>
        <w:rPr>
          <w:rFonts w:ascii="Arial" w:cs="Arial" w:eastAsia="Arial" w:hAnsi="Arial"/>
          <w:sz w:val="17"/>
          <w:szCs w:val="17"/>
          <w:color w:val="auto"/>
        </w:rPr>
        <w:t>”), the Company will cause to be issued in the name of, and delivered to, the Registered Holder, or as such Registered Holder (upon payment by such Registered Holder of any applicable transfer taxes) may direct:</w:t>
      </w:r>
    </w:p>
    <w:p>
      <w:pPr>
        <w:spacing w:after="0" w:line="78" w:lineRule="exact"/>
        <w:rPr>
          <w:rFonts w:ascii="Arial" w:cs="Arial" w:eastAsia="Arial" w:hAnsi="Arial"/>
          <w:sz w:val="17"/>
          <w:szCs w:val="17"/>
          <w:color w:val="auto"/>
        </w:rPr>
      </w:pPr>
    </w:p>
    <w:p>
      <w:pPr>
        <w:ind w:left="540" w:right="1239" w:firstLine="259"/>
        <w:spacing w:after="0" w:line="267" w:lineRule="auto"/>
        <w:tabs>
          <w:tab w:leader="none" w:pos="1076" w:val="left"/>
        </w:tabs>
        <w:numPr>
          <w:ilvl w:val="1"/>
          <w:numId w:val="437"/>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66" w:lineRule="exact"/>
        <w:rPr>
          <w:rFonts w:ascii="Arial" w:cs="Arial" w:eastAsia="Arial" w:hAnsi="Arial"/>
          <w:sz w:val="17"/>
          <w:szCs w:val="17"/>
          <w:color w:val="auto"/>
        </w:rPr>
      </w:pPr>
    </w:p>
    <w:p>
      <w:pPr>
        <w:jc w:val="both"/>
        <w:ind w:left="540" w:right="1239" w:firstLine="259"/>
        <w:spacing w:after="0" w:line="253" w:lineRule="auto"/>
        <w:tabs>
          <w:tab w:leader="none" w:pos="1098" w:val="left"/>
        </w:tabs>
        <w:numPr>
          <w:ilvl w:val="1"/>
          <w:numId w:val="437"/>
        </w:numPr>
        <w:rPr>
          <w:rFonts w:ascii="Arial" w:cs="Arial" w:eastAsia="Arial" w:hAnsi="Arial"/>
          <w:sz w:val="17"/>
          <w:szCs w:val="17"/>
          <w:color w:val="auto"/>
        </w:rPr>
      </w:pPr>
      <w:r>
        <w:rPr>
          <w:rFonts w:ascii="Arial" w:cs="Arial" w:eastAsia="Arial" w:hAnsi="Arial"/>
          <w:sz w:val="17"/>
          <w:szCs w:val="17"/>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0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7" w:name="page458"/>
    <w:bookmarkEnd w:id="45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both"/>
        <w:ind w:left="300" w:right="1239" w:firstLine="248"/>
        <w:spacing w:after="0" w:line="282" w:lineRule="auto"/>
        <w:tabs>
          <w:tab w:leader="none" w:pos="819" w:val="left"/>
        </w:tabs>
        <w:numPr>
          <w:ilvl w:val="0"/>
          <w:numId w:val="438"/>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 for Buy-In on Failure to Timely Deliver Certificates Upon Exercise</w:t>
      </w:r>
      <w:r>
        <w:rPr>
          <w:rFonts w:ascii="Arial" w:cs="Arial" w:eastAsia="Arial" w:hAnsi="Arial"/>
          <w:sz w:val="15"/>
          <w:szCs w:val="15"/>
          <w:color w:val="auto"/>
        </w:rPr>
        <w:t>. In addition to any other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0" w:lineRule="exact"/>
        <w:rPr>
          <w:rFonts w:ascii="Arial" w:cs="Arial" w:eastAsia="Arial" w:hAnsi="Arial"/>
          <w:sz w:val="15"/>
          <w:szCs w:val="15"/>
          <w:color w:val="auto"/>
        </w:rPr>
      </w:pPr>
    </w:p>
    <w:p>
      <w:pPr>
        <w:jc w:val="both"/>
        <w:ind w:left="300" w:right="1239" w:firstLine="248"/>
        <w:spacing w:after="0" w:line="281" w:lineRule="auto"/>
        <w:tabs>
          <w:tab w:leader="none" w:pos="876" w:val="left"/>
        </w:tabs>
        <w:numPr>
          <w:ilvl w:val="0"/>
          <w:numId w:val="438"/>
        </w:numPr>
        <w:rPr>
          <w:rFonts w:ascii="Arial" w:cs="Arial" w:eastAsia="Arial" w:hAnsi="Arial"/>
          <w:sz w:val="15"/>
          <w:szCs w:val="15"/>
          <w:color w:val="auto"/>
        </w:rPr>
      </w:pPr>
      <w:r>
        <w:rPr>
          <w:rFonts w:ascii="Arial" w:cs="Arial" w:eastAsia="Arial" w:hAnsi="Arial"/>
          <w:sz w:val="15"/>
          <w:szCs w:val="15"/>
          <w:b w:val="1"/>
          <w:bCs w:val="1"/>
          <w:u w:val="single" w:color="auto"/>
          <w:color w:val="auto"/>
        </w:rPr>
        <w:t>Registered Holder’s Exercise Limitations</w:t>
      </w:r>
      <w:r>
        <w:rPr>
          <w:rFonts w:ascii="Arial" w:cs="Arial" w:eastAsia="Arial" w:hAnsi="Arial"/>
          <w:sz w:val="15"/>
          <w:szCs w:val="15"/>
          <w:color w:val="auto"/>
        </w:rPr>
        <w:t>. The Company shall not effect any exercise of this Warrant, and a</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5" w:right="1440" w:bottom="1440" w:gutter="0" w:footer="0" w:header="0"/>
        </w:sectPr>
      </w:pPr>
    </w:p>
    <w:bookmarkStart w:id="458" w:name="page459"/>
    <w:bookmarkEnd w:id="45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300" w:right="1239"/>
        <w:spacing w:after="0" w:line="253" w:lineRule="auto"/>
        <w:rPr>
          <w:sz w:val="20"/>
          <w:szCs w:val="20"/>
          <w:color w:val="auto"/>
        </w:rPr>
      </w:pPr>
      <w:r>
        <w:rPr>
          <w:rFonts w:ascii="Arial" w:cs="Arial" w:eastAsia="Arial" w:hAnsi="Arial"/>
          <w:sz w:val="17"/>
          <w:szCs w:val="17"/>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4" w:lineRule="exact"/>
        <w:rPr>
          <w:sz w:val="20"/>
          <w:szCs w:val="20"/>
          <w:color w:val="auto"/>
        </w:rPr>
      </w:pPr>
    </w:p>
    <w:p>
      <w:pPr>
        <w:ind w:left="500" w:hanging="202"/>
        <w:spacing w:after="0"/>
        <w:tabs>
          <w:tab w:leader="none" w:pos="500" w:val="left"/>
        </w:tabs>
        <w:numPr>
          <w:ilvl w:val="0"/>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Adjustments</w:t>
      </w:r>
      <w:r>
        <w:rPr>
          <w:rFonts w:ascii="Arial" w:cs="Arial" w:eastAsia="Arial" w:hAnsi="Arial"/>
          <w:sz w:val="17"/>
          <w:szCs w:val="17"/>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7" w:lineRule="auto"/>
        <w:tabs>
          <w:tab w:leader="none" w:pos="845" w:val="left"/>
        </w:tabs>
        <w:numPr>
          <w:ilvl w:val="1"/>
          <w:numId w:val="439"/>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Splits and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outstanding shares of the Company’s Common Stock shall be subdivided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6" w:lineRule="exact"/>
        <w:rPr>
          <w:rFonts w:ascii="Arial" w:cs="Arial" w:eastAsia="Arial" w:hAnsi="Arial"/>
          <w:sz w:val="16"/>
          <w:szCs w:val="16"/>
          <w:color w:val="auto"/>
        </w:rPr>
      </w:pPr>
    </w:p>
    <w:p>
      <w:pPr>
        <w:jc w:val="both"/>
        <w:ind w:left="300" w:right="1239" w:firstLine="248"/>
        <w:spacing w:after="0" w:line="281" w:lineRule="auto"/>
        <w:tabs>
          <w:tab w:leader="none" w:pos="841" w:val="left"/>
        </w:tabs>
        <w:numPr>
          <w:ilvl w:val="1"/>
          <w:numId w:val="439"/>
        </w:numPr>
        <w:rPr>
          <w:rFonts w:ascii="Arial" w:cs="Arial" w:eastAsia="Arial" w:hAnsi="Arial"/>
          <w:sz w:val="15"/>
          <w:szCs w:val="15"/>
          <w:color w:val="auto"/>
        </w:rPr>
      </w:pPr>
      <w:r>
        <w:rPr>
          <w:rFonts w:ascii="Arial" w:cs="Arial" w:eastAsia="Arial" w:hAnsi="Arial"/>
          <w:sz w:val="15"/>
          <w:szCs w:val="15"/>
          <w:b w:val="1"/>
          <w:bCs w:val="1"/>
          <w:u w:val="single" w:color="auto"/>
          <w:color w:val="auto"/>
        </w:rPr>
        <w:t>Fundamental Transaction</w:t>
      </w:r>
      <w:r>
        <w:rPr>
          <w:rFonts w:ascii="Arial" w:cs="Arial" w:eastAsia="Arial" w:hAnsi="Arial"/>
          <w:sz w:val="15"/>
          <w:szCs w:val="15"/>
          <w:color w:val="auto"/>
        </w:rPr>
        <w:t>. If, at any time while this Warrant is outstanding, (i) the Company effects any merger or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5"/>
          <w:szCs w:val="15"/>
          <w:u w:val="single" w:color="auto"/>
          <w:color w:val="auto"/>
        </w:rPr>
        <w:t>Fundamental Transaction</w:t>
      </w:r>
      <w:r>
        <w:rPr>
          <w:rFonts w:ascii="Arial" w:cs="Arial" w:eastAsia="Arial" w:hAnsi="Arial"/>
          <w:sz w:val="15"/>
          <w:szCs w:val="15"/>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5"/>
          <w:szCs w:val="15"/>
          <w:u w:val="single" w:color="auto"/>
          <w:color w:val="auto"/>
        </w:rPr>
        <w:t>Alternate Consideration</w:t>
      </w:r>
      <w:r>
        <w:rPr>
          <w:rFonts w:ascii="Arial" w:cs="Arial" w:eastAsia="Arial" w:hAnsi="Arial"/>
          <w:sz w:val="15"/>
          <w:szCs w:val="15"/>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5" w:lineRule="exact"/>
        <w:rPr>
          <w:rFonts w:ascii="Arial" w:cs="Arial" w:eastAsia="Arial" w:hAnsi="Arial"/>
          <w:sz w:val="15"/>
          <w:szCs w:val="15"/>
          <w:color w:val="auto"/>
        </w:rPr>
      </w:pPr>
    </w:p>
    <w:p>
      <w:pPr>
        <w:jc w:val="both"/>
        <w:ind w:left="300" w:right="1239" w:firstLine="248"/>
        <w:spacing w:after="0" w:line="275" w:lineRule="auto"/>
        <w:tabs>
          <w:tab w:leader="none" w:pos="819" w:val="left"/>
        </w:tabs>
        <w:numPr>
          <w:ilvl w:val="1"/>
          <w:numId w:val="439"/>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27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59" w:name="page460"/>
    <w:bookmarkEnd w:id="45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500" w:hanging="202"/>
        <w:spacing w:after="0"/>
        <w:tabs>
          <w:tab w:leader="none" w:pos="500"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Transfers</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70" w:lineRule="auto"/>
        <w:tabs>
          <w:tab w:leader="none" w:pos="832"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Unregistered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Warrant acknowledges that this Warrant has not been registered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61" w:lineRule="exact"/>
        <w:rPr>
          <w:rFonts w:ascii="Arial" w:cs="Arial" w:eastAsia="Arial" w:hAnsi="Arial"/>
          <w:sz w:val="16"/>
          <w:szCs w:val="16"/>
          <w:color w:val="auto"/>
        </w:rPr>
      </w:pPr>
    </w:p>
    <w:p>
      <w:pPr>
        <w:jc w:val="both"/>
        <w:ind w:left="300" w:right="1239" w:firstLine="248"/>
        <w:spacing w:after="0" w:line="254" w:lineRule="auto"/>
        <w:tabs>
          <w:tab w:leader="none" w:pos="829" w:val="left"/>
        </w:tabs>
        <w:numPr>
          <w:ilvl w:val="1"/>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74" w:lineRule="exact"/>
        <w:rPr>
          <w:rFonts w:ascii="Arial" w:cs="Arial" w:eastAsia="Arial" w:hAnsi="Arial"/>
          <w:sz w:val="17"/>
          <w:szCs w:val="17"/>
          <w:color w:val="auto"/>
        </w:rPr>
      </w:pPr>
    </w:p>
    <w:p>
      <w:pPr>
        <w:jc w:val="both"/>
        <w:ind w:left="300" w:right="1239" w:firstLine="248"/>
        <w:spacing w:after="0" w:line="270" w:lineRule="auto"/>
        <w:tabs>
          <w:tab w:leader="none" w:pos="870"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Warrant Register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will maintain a register containing the names and addresses of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1" w:lineRule="exact"/>
        <w:rPr>
          <w:rFonts w:ascii="Arial" w:cs="Arial" w:eastAsia="Arial" w:hAnsi="Arial"/>
          <w:sz w:val="16"/>
          <w:szCs w:val="16"/>
          <w:color w:val="auto"/>
        </w:rPr>
      </w:pPr>
    </w:p>
    <w:p>
      <w:pPr>
        <w:ind w:left="500" w:hanging="202"/>
        <w:spacing w:after="0"/>
        <w:tabs>
          <w:tab w:leader="none" w:pos="500"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w:t>
      </w:r>
    </w:p>
    <w:p>
      <w:pPr>
        <w:spacing w:after="0" w:line="105" w:lineRule="exact"/>
        <w:rPr>
          <w:rFonts w:ascii="Arial" w:cs="Arial" w:eastAsia="Arial" w:hAnsi="Arial"/>
          <w:sz w:val="17"/>
          <w:szCs w:val="17"/>
          <w:color w:val="auto"/>
        </w:rPr>
      </w:pPr>
    </w:p>
    <w:p>
      <w:pPr>
        <w:jc w:val="both"/>
        <w:ind w:left="300" w:right="1239" w:firstLine="248"/>
        <w:spacing w:after="0" w:line="266" w:lineRule="auto"/>
        <w:tabs>
          <w:tab w:leader="none" w:pos="832" w:val="left"/>
        </w:tabs>
        <w:numPr>
          <w:ilvl w:val="1"/>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Redemption of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may be redeemed, at the option of the Company, at any time after it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65" w:lineRule="exact"/>
        <w:rPr>
          <w:rFonts w:ascii="Arial" w:cs="Arial" w:eastAsia="Arial" w:hAnsi="Arial"/>
          <w:sz w:val="16"/>
          <w:szCs w:val="16"/>
          <w:color w:val="auto"/>
        </w:rPr>
      </w:pPr>
    </w:p>
    <w:p>
      <w:pPr>
        <w:jc w:val="both"/>
        <w:ind w:left="300" w:right="1239" w:firstLine="248"/>
        <w:spacing w:after="0" w:line="294" w:lineRule="auto"/>
        <w:tabs>
          <w:tab w:leader="none" w:pos="892" w:val="left"/>
        </w:tabs>
        <w:numPr>
          <w:ilvl w:val="1"/>
          <w:numId w:val="440"/>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5"/>
          <w:szCs w:val="15"/>
          <w:color w:val="auto"/>
        </w:rPr>
      </w:pPr>
    </w:p>
    <w:p>
      <w:pPr>
        <w:jc w:val="both"/>
        <w:ind w:left="300" w:right="1239" w:firstLine="248"/>
        <w:spacing w:after="0" w:line="254" w:lineRule="auto"/>
        <w:tabs>
          <w:tab w:leader="none" w:pos="845" w:val="left"/>
        </w:tabs>
        <w:numPr>
          <w:ilvl w:val="1"/>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After Notice of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Warrants may be exercised in accordance with this Warrant at any time</w:t>
      </w:r>
      <w:r>
        <w:rPr>
          <w:rFonts w:ascii="Arial" w:cs="Arial" w:eastAsia="Arial" w:hAnsi="Arial"/>
          <w:sz w:val="17"/>
          <w:szCs w:val="17"/>
          <w:b w:val="1"/>
          <w:bCs w:val="1"/>
          <w:color w:val="auto"/>
        </w:rPr>
        <w:t xml:space="preserve"> </w:t>
      </w:r>
      <w:r>
        <w:rPr>
          <w:rFonts w:ascii="Arial" w:cs="Arial" w:eastAsia="Arial" w:hAnsi="Arial"/>
          <w:sz w:val="17"/>
          <w:szCs w:val="17"/>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4" w:lineRule="exact"/>
        <w:rPr>
          <w:rFonts w:ascii="Arial" w:cs="Arial" w:eastAsia="Arial" w:hAnsi="Arial"/>
          <w:sz w:val="17"/>
          <w:szCs w:val="17"/>
          <w:color w:val="auto"/>
        </w:rPr>
      </w:pPr>
    </w:p>
    <w:p>
      <w:pPr>
        <w:ind w:left="40" w:right="1239" w:firstLine="258"/>
        <w:spacing w:after="0" w:line="272" w:lineRule="auto"/>
        <w:tabs>
          <w:tab w:leader="none" w:pos="499"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the right to purchase securities upon exercise hereof) shall terminate at 5:00 p.m., Eastern</w:t>
      </w:r>
      <w:r>
        <w:rPr>
          <w:rFonts w:ascii="Arial" w:cs="Arial" w:eastAsia="Arial" w:hAnsi="Arial"/>
          <w:sz w:val="17"/>
          <w:szCs w:val="17"/>
          <w:b w:val="1"/>
          <w:bCs w:val="1"/>
          <w:color w:val="auto"/>
        </w:rPr>
        <w:t xml:space="preserve"> </w:t>
      </w:r>
      <w:r>
        <w:rPr>
          <w:rFonts w:ascii="Arial" w:cs="Arial" w:eastAsia="Arial" w:hAnsi="Arial"/>
          <w:sz w:val="17"/>
          <w:szCs w:val="17"/>
          <w:color w:val="auto"/>
        </w:rPr>
        <w:t>time, on the Expiration Date.</w:t>
      </w:r>
    </w:p>
    <w:p>
      <w:pPr>
        <w:spacing w:after="0" w:line="58" w:lineRule="exact"/>
        <w:rPr>
          <w:rFonts w:ascii="Arial" w:cs="Arial" w:eastAsia="Arial" w:hAnsi="Arial"/>
          <w:sz w:val="17"/>
          <w:szCs w:val="17"/>
          <w:color w:val="auto"/>
        </w:rPr>
      </w:pPr>
    </w:p>
    <w:p>
      <w:pPr>
        <w:ind w:left="500" w:hanging="202"/>
        <w:spacing w:after="0"/>
        <w:tabs>
          <w:tab w:leader="none" w:pos="500" w:val="left"/>
        </w:tabs>
        <w:numPr>
          <w:ilvl w:val="0"/>
          <w:numId w:val="44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 of Certain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In case:</w:t>
      </w:r>
    </w:p>
    <w:p>
      <w:pPr>
        <w:spacing w:after="0" w:line="109" w:lineRule="exact"/>
        <w:rPr>
          <w:rFonts w:ascii="Arial" w:cs="Arial" w:eastAsia="Arial" w:hAnsi="Arial"/>
          <w:sz w:val="17"/>
          <w:szCs w:val="17"/>
          <w:color w:val="auto"/>
        </w:rPr>
      </w:pPr>
    </w:p>
    <w:p>
      <w:pPr>
        <w:jc w:val="both"/>
        <w:ind w:left="300" w:right="1239" w:firstLine="248"/>
        <w:spacing w:after="0" w:line="256" w:lineRule="auto"/>
        <w:tabs>
          <w:tab w:leader="none" w:pos="825" w:val="left"/>
        </w:tabs>
        <w:numPr>
          <w:ilvl w:val="1"/>
          <w:numId w:val="440"/>
        </w:numPr>
        <w:rPr>
          <w:rFonts w:ascii="Arial" w:cs="Arial" w:eastAsia="Arial" w:hAnsi="Arial"/>
          <w:sz w:val="17"/>
          <w:szCs w:val="17"/>
          <w:color w:val="auto"/>
        </w:rPr>
      </w:pPr>
      <w:r>
        <w:rPr>
          <w:rFonts w:ascii="Arial" w:cs="Arial" w:eastAsia="Arial" w:hAnsi="Arial"/>
          <w:sz w:val="17"/>
          <w:szCs w:val="17"/>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w:t>
      </w:r>
    </w:p>
    <w:p>
      <w:pPr>
        <w:spacing w:after="0" w:line="200" w:lineRule="exact"/>
        <w:rPr>
          <w:sz w:val="20"/>
          <w:szCs w:val="20"/>
          <w:color w:val="auto"/>
        </w:rPr>
      </w:pPr>
    </w:p>
    <w:p>
      <w:pPr>
        <w:spacing w:after="0" w:line="29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0" w:name="page461"/>
    <w:bookmarkEnd w:id="460"/>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right="1239"/>
        <w:spacing w:after="0" w:line="267" w:lineRule="auto"/>
        <w:rPr>
          <w:sz w:val="20"/>
          <w:szCs w:val="20"/>
          <w:color w:val="auto"/>
        </w:rPr>
      </w:pPr>
      <w:r>
        <w:rPr>
          <w:rFonts w:ascii="Arial" w:cs="Arial" w:eastAsia="Arial" w:hAnsi="Arial"/>
          <w:sz w:val="17"/>
          <w:szCs w:val="17"/>
          <w:color w:val="auto"/>
        </w:rPr>
        <w:t>purchase any shares of stock of any class or any other securities, or to receive any other right, to subscribe for or purchase any shares of stock of any class or any other securities, or to receive any other right, or</w:t>
      </w:r>
    </w:p>
    <w:p>
      <w:pPr>
        <w:spacing w:after="0" w:line="66" w:lineRule="exact"/>
        <w:rPr>
          <w:sz w:val="20"/>
          <w:szCs w:val="20"/>
          <w:color w:val="auto"/>
        </w:rPr>
      </w:pPr>
    </w:p>
    <w:p>
      <w:pPr>
        <w:jc w:val="both"/>
        <w:ind w:left="300" w:right="1239" w:firstLine="248"/>
        <w:spacing w:after="0" w:line="253" w:lineRule="auto"/>
        <w:tabs>
          <w:tab w:leader="none" w:pos="929"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7" w:lineRule="exact"/>
        <w:rPr>
          <w:rFonts w:ascii="Arial" w:cs="Arial" w:eastAsia="Arial" w:hAnsi="Arial"/>
          <w:sz w:val="17"/>
          <w:szCs w:val="17"/>
          <w:color w:val="auto"/>
        </w:rPr>
      </w:pPr>
    </w:p>
    <w:p>
      <w:pPr>
        <w:ind w:left="820" w:hanging="272"/>
        <w:spacing w:after="0"/>
        <w:tabs>
          <w:tab w:leader="none" w:pos="8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Company, or</w:t>
      </w:r>
    </w:p>
    <w:p>
      <w:pPr>
        <w:spacing w:after="0" w:line="105" w:lineRule="exact"/>
        <w:rPr>
          <w:rFonts w:ascii="Arial" w:cs="Arial" w:eastAsia="Arial" w:hAnsi="Arial"/>
          <w:sz w:val="17"/>
          <w:szCs w:val="17"/>
          <w:color w:val="auto"/>
        </w:rPr>
      </w:pPr>
    </w:p>
    <w:p>
      <w:pPr>
        <w:ind w:left="820" w:hanging="272"/>
        <w:spacing w:after="0"/>
        <w:tabs>
          <w:tab w:leader="none" w:pos="82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of any Fundamental Transaction,</w:t>
      </w:r>
    </w:p>
    <w:p>
      <w:pPr>
        <w:spacing w:after="0" w:line="105" w:lineRule="exact"/>
        <w:rPr>
          <w:sz w:val="20"/>
          <w:szCs w:val="20"/>
          <w:color w:val="auto"/>
        </w:rPr>
      </w:pPr>
    </w:p>
    <w:p>
      <w:pPr>
        <w:jc w:val="both"/>
        <w:ind w:left="40" w:right="1239"/>
        <w:spacing w:after="0" w:line="288" w:lineRule="auto"/>
        <w:rPr>
          <w:sz w:val="20"/>
          <w:szCs w:val="20"/>
          <w:color w:val="auto"/>
        </w:rPr>
      </w:pPr>
      <w:r>
        <w:rPr>
          <w:rFonts w:ascii="Arial" w:cs="Arial" w:eastAsia="Arial" w:hAnsi="Arial"/>
          <w:sz w:val="15"/>
          <w:szCs w:val="15"/>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1" w:lineRule="exact"/>
        <w:rPr>
          <w:sz w:val="20"/>
          <w:szCs w:val="20"/>
          <w:color w:val="auto"/>
        </w:rPr>
      </w:pPr>
    </w:p>
    <w:p>
      <w:pPr>
        <w:jc w:val="both"/>
        <w:ind w:left="40" w:right="1239" w:firstLine="258"/>
        <w:spacing w:after="0" w:line="265" w:lineRule="auto"/>
        <w:tabs>
          <w:tab w:leader="none" w:pos="512" w:val="left"/>
        </w:tabs>
        <w:numPr>
          <w:ilvl w:val="0"/>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Reservation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covenants that at all times it will have authorized, reserve and keep available, solely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70" w:lineRule="exact"/>
        <w:rPr>
          <w:rFonts w:ascii="Arial" w:cs="Arial" w:eastAsia="Arial" w:hAnsi="Arial"/>
          <w:sz w:val="16"/>
          <w:szCs w:val="16"/>
          <w:color w:val="auto"/>
        </w:rPr>
      </w:pPr>
    </w:p>
    <w:p>
      <w:pPr>
        <w:jc w:val="both"/>
        <w:ind w:left="40" w:right="1239" w:firstLine="258"/>
        <w:spacing w:after="0" w:line="299" w:lineRule="auto"/>
        <w:tabs>
          <w:tab w:leader="none" w:pos="499" w:val="left"/>
        </w:tabs>
        <w:numPr>
          <w:ilvl w:val="0"/>
          <w:numId w:val="442"/>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w:t>
      </w:r>
      <w:r>
        <w:rPr>
          <w:rFonts w:ascii="Arial" w:cs="Arial" w:eastAsia="Arial" w:hAnsi="Arial"/>
          <w:sz w:val="15"/>
          <w:szCs w:val="15"/>
          <w:b w:val="1"/>
          <w:bCs w:val="1"/>
          <w:color w:val="auto"/>
        </w:rPr>
        <w:t xml:space="preserve"> </w:t>
      </w:r>
      <w:r>
        <w:rPr>
          <w:rFonts w:ascii="Arial" w:cs="Arial" w:eastAsia="Arial" w:hAnsi="Arial"/>
          <w:sz w:val="15"/>
          <w:szCs w:val="15"/>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42" w:lineRule="exact"/>
        <w:rPr>
          <w:rFonts w:ascii="Arial" w:cs="Arial" w:eastAsia="Arial" w:hAnsi="Arial"/>
          <w:sz w:val="15"/>
          <w:szCs w:val="15"/>
          <w:color w:val="auto"/>
        </w:rPr>
      </w:pPr>
    </w:p>
    <w:p>
      <w:pPr>
        <w:jc w:val="both"/>
        <w:ind w:left="40" w:right="1239" w:firstLine="258"/>
        <w:spacing w:after="0" w:line="294" w:lineRule="auto"/>
        <w:tabs>
          <w:tab w:leader="none" w:pos="499" w:val="left"/>
        </w:tabs>
        <w:numPr>
          <w:ilvl w:val="0"/>
          <w:numId w:val="44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w:t>
      </w:r>
      <w:r>
        <w:rPr>
          <w:rFonts w:ascii="Arial" w:cs="Arial" w:eastAsia="Arial" w:hAnsi="Arial"/>
          <w:sz w:val="15"/>
          <w:szCs w:val="15"/>
          <w:b w:val="1"/>
          <w:bCs w:val="1"/>
          <w:color w:val="auto"/>
        </w:rPr>
        <w:t xml:space="preserve"> </w:t>
      </w:r>
      <w:r>
        <w:rPr>
          <w:rFonts w:ascii="Arial" w:cs="Arial" w:eastAsia="Arial" w:hAnsi="Arial"/>
          <w:sz w:val="15"/>
          <w:szCs w:val="15"/>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46" w:lineRule="exact"/>
        <w:rPr>
          <w:rFonts w:ascii="Arial" w:cs="Arial" w:eastAsia="Arial" w:hAnsi="Arial"/>
          <w:sz w:val="15"/>
          <w:szCs w:val="15"/>
          <w:color w:val="auto"/>
        </w:rPr>
      </w:pPr>
    </w:p>
    <w:p>
      <w:pPr>
        <w:ind w:left="40" w:right="1239" w:firstLine="258"/>
        <w:spacing w:after="0" w:line="272" w:lineRule="auto"/>
        <w:tabs>
          <w:tab w:leader="none" w:pos="608" w:val="left"/>
        </w:tabs>
        <w:numPr>
          <w:ilvl w:val="0"/>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No Rights as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 exercise of this Warrant, the Registered Holder of this Warrant shall not have or</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rights by virtue hereof as a stockholder of the Company.</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89" w:val="left"/>
        </w:tabs>
        <w:numPr>
          <w:ilvl w:val="0"/>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583" w:val="left"/>
        </w:tabs>
        <w:numPr>
          <w:ilvl w:val="0"/>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Waiver</w:t>
      </w:r>
      <w:r>
        <w:rPr>
          <w:rFonts w:ascii="Arial" w:cs="Arial" w:eastAsia="Arial" w:hAnsi="Arial"/>
          <w:sz w:val="17"/>
          <w:szCs w:val="17"/>
          <w:b w:val="1"/>
          <w:bCs w:val="1"/>
          <w:color w:val="auto"/>
        </w:rPr>
        <w:t xml:space="preserve">. </w:t>
      </w:r>
      <w:r>
        <w:rPr>
          <w:rFonts w:ascii="Arial" w:cs="Arial" w:eastAsia="Arial" w:hAnsi="Arial"/>
          <w:sz w:val="17"/>
          <w:szCs w:val="17"/>
          <w:color w:val="auto"/>
        </w:rPr>
        <w:t>Any term of this Warrant may be amended or waived upon written consent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w:t>
      </w:r>
    </w:p>
    <w:p>
      <w:pPr>
        <w:spacing w:after="0" w:line="200" w:lineRule="exact"/>
        <w:rPr>
          <w:sz w:val="20"/>
          <w:szCs w:val="20"/>
          <w:color w:val="auto"/>
        </w:rPr>
      </w:pPr>
    </w:p>
    <w:p>
      <w:pPr>
        <w:spacing w:after="0" w:line="27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1" w:name="page462"/>
    <w:bookmarkEnd w:id="461"/>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ind w:left="40" w:right="1239" w:firstLine="258"/>
        <w:spacing w:after="0" w:line="272" w:lineRule="auto"/>
        <w:tabs>
          <w:tab w:leader="none" w:pos="620"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in this Warrant are for purposes of reference only and shall not limit or otherwise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any provision of this Warrant.</w:t>
      </w:r>
    </w:p>
    <w:p>
      <w:pPr>
        <w:spacing w:after="0" w:line="58" w:lineRule="exact"/>
        <w:rPr>
          <w:rFonts w:ascii="Arial" w:cs="Arial" w:eastAsia="Arial" w:hAnsi="Arial"/>
          <w:sz w:val="17"/>
          <w:szCs w:val="17"/>
          <w:color w:val="auto"/>
        </w:rPr>
      </w:pPr>
    </w:p>
    <w:p>
      <w:pPr>
        <w:jc w:val="both"/>
        <w:ind w:left="40" w:right="1239" w:firstLine="258"/>
        <w:spacing w:after="0" w:line="259" w:lineRule="auto"/>
        <w:tabs>
          <w:tab w:leader="none" w:pos="595"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7"/>
          <w:szCs w:val="17"/>
          <w:color w:val="auto"/>
        </w:rPr>
      </w:pPr>
    </w:p>
    <w:p>
      <w:pPr>
        <w:ind w:left="40" w:right="1239" w:firstLine="258"/>
        <w:spacing w:after="0" w:line="272" w:lineRule="auto"/>
        <w:tabs>
          <w:tab w:leader="none" w:pos="620" w:val="left"/>
        </w:tabs>
        <w:numPr>
          <w:ilvl w:val="0"/>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Covenants of the Registered Holder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has been entered into by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reliance upon the following representations and covenants of the Registered Holder:</w:t>
      </w:r>
    </w:p>
    <w:p>
      <w:pPr>
        <w:spacing w:after="0" w:line="58" w:lineRule="exact"/>
        <w:rPr>
          <w:rFonts w:ascii="Arial" w:cs="Arial" w:eastAsia="Arial" w:hAnsi="Arial"/>
          <w:sz w:val="17"/>
          <w:szCs w:val="17"/>
          <w:color w:val="auto"/>
        </w:rPr>
      </w:pPr>
    </w:p>
    <w:p>
      <w:pPr>
        <w:jc w:val="both"/>
        <w:ind w:left="300" w:right="1239" w:firstLine="248"/>
        <w:spacing w:after="0" w:line="259" w:lineRule="auto"/>
        <w:tabs>
          <w:tab w:leader="none" w:pos="819" w:val="left"/>
        </w:tabs>
        <w:numPr>
          <w:ilvl w:val="1"/>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Investment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acquiring the Warrant and the Warrant Stock issuable upon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7"/>
          <w:szCs w:val="17"/>
          <w:color w:val="auto"/>
        </w:rPr>
      </w:pPr>
    </w:p>
    <w:p>
      <w:pPr>
        <w:jc w:val="both"/>
        <w:ind w:left="300" w:right="1239" w:firstLine="248"/>
        <w:spacing w:after="0" w:line="252" w:lineRule="auto"/>
        <w:tabs>
          <w:tab w:leader="none" w:pos="854" w:val="left"/>
        </w:tabs>
        <w:numPr>
          <w:ilvl w:val="1"/>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Private Issue</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understands: (i) that the Warrant is not registered under the Securities Act or</w:t>
      </w:r>
      <w:r>
        <w:rPr>
          <w:rFonts w:ascii="Arial" w:cs="Arial" w:eastAsia="Arial" w:hAnsi="Arial"/>
          <w:sz w:val="17"/>
          <w:szCs w:val="17"/>
          <w:b w:val="1"/>
          <w:bCs w:val="1"/>
          <w:color w:val="auto"/>
        </w:rPr>
        <w:t xml:space="preserve"> </w:t>
      </w:r>
      <w:r>
        <w:rPr>
          <w:rFonts w:ascii="Arial" w:cs="Arial" w:eastAsia="Arial" w:hAnsi="Arial"/>
          <w:sz w:val="17"/>
          <w:szCs w:val="17"/>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76" w:lineRule="exact"/>
        <w:rPr>
          <w:rFonts w:ascii="Arial" w:cs="Arial" w:eastAsia="Arial" w:hAnsi="Arial"/>
          <w:sz w:val="17"/>
          <w:szCs w:val="17"/>
          <w:color w:val="auto"/>
        </w:rPr>
      </w:pPr>
    </w:p>
    <w:p>
      <w:pPr>
        <w:jc w:val="both"/>
        <w:ind w:left="300" w:right="1239" w:firstLine="248"/>
        <w:spacing w:after="0" w:line="287" w:lineRule="auto"/>
        <w:tabs>
          <w:tab w:leader="none" w:pos="832" w:val="left"/>
        </w:tabs>
        <w:numPr>
          <w:ilvl w:val="1"/>
          <w:numId w:val="443"/>
        </w:numPr>
        <w:rPr>
          <w:rFonts w:ascii="Arial" w:cs="Arial" w:eastAsia="Arial" w:hAnsi="Arial"/>
          <w:sz w:val="15"/>
          <w:szCs w:val="15"/>
          <w:color w:val="auto"/>
        </w:rPr>
      </w:pPr>
      <w:r>
        <w:rPr>
          <w:rFonts w:ascii="Arial" w:cs="Arial" w:eastAsia="Arial" w:hAnsi="Arial"/>
          <w:sz w:val="15"/>
          <w:szCs w:val="15"/>
          <w:b w:val="1"/>
          <w:bCs w:val="1"/>
          <w:u w:val="single" w:color="auto"/>
          <w:color w:val="auto"/>
        </w:rPr>
        <w:t>Disposition of Registered Holder’s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In no event will the Registered Holder make a disposition of the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4" w:lineRule="exact"/>
        <w:rPr>
          <w:rFonts w:ascii="Arial" w:cs="Arial" w:eastAsia="Arial" w:hAnsi="Arial"/>
          <w:sz w:val="15"/>
          <w:szCs w:val="15"/>
          <w:color w:val="auto"/>
        </w:rPr>
      </w:pPr>
    </w:p>
    <w:p>
      <w:pPr>
        <w:ind w:left="300" w:right="1239" w:firstLine="248"/>
        <w:spacing w:after="0" w:line="272" w:lineRule="auto"/>
        <w:tabs>
          <w:tab w:leader="none" w:pos="829" w:val="left"/>
        </w:tabs>
        <w:numPr>
          <w:ilvl w:val="1"/>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Financial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has such business and financial experience as is required to give it the capacity</w:t>
      </w:r>
      <w:r>
        <w:rPr>
          <w:rFonts w:ascii="Arial" w:cs="Arial" w:eastAsia="Arial" w:hAnsi="Arial"/>
          <w:sz w:val="17"/>
          <w:szCs w:val="17"/>
          <w:b w:val="1"/>
          <w:bCs w:val="1"/>
          <w:color w:val="auto"/>
        </w:rPr>
        <w:t xml:space="preserve"> </w:t>
      </w:r>
      <w:r>
        <w:rPr>
          <w:rFonts w:ascii="Arial" w:cs="Arial" w:eastAsia="Arial" w:hAnsi="Arial"/>
          <w:sz w:val="17"/>
          <w:szCs w:val="17"/>
          <w:color w:val="auto"/>
        </w:rPr>
        <w:t>to protect its own interests in connection with its investment.</w:t>
      </w:r>
    </w:p>
    <w:p>
      <w:pPr>
        <w:spacing w:after="0" w:line="58" w:lineRule="exact"/>
        <w:rPr>
          <w:rFonts w:ascii="Arial" w:cs="Arial" w:eastAsia="Arial" w:hAnsi="Arial"/>
          <w:sz w:val="17"/>
          <w:szCs w:val="17"/>
          <w:color w:val="auto"/>
        </w:rPr>
      </w:pPr>
    </w:p>
    <w:p>
      <w:pPr>
        <w:ind w:left="300" w:right="1239" w:firstLine="248"/>
        <w:spacing w:after="0" w:line="272" w:lineRule="auto"/>
        <w:tabs>
          <w:tab w:leader="none" w:pos="870" w:val="left"/>
        </w:tabs>
        <w:numPr>
          <w:ilvl w:val="1"/>
          <w:numId w:val="443"/>
        </w:numPr>
        <w:rPr>
          <w:rFonts w:ascii="Arial" w:cs="Arial" w:eastAsia="Arial" w:hAnsi="Arial"/>
          <w:sz w:val="17"/>
          <w:szCs w:val="17"/>
          <w:color w:val="auto"/>
        </w:rPr>
      </w:pPr>
      <w:r>
        <w:rPr>
          <w:rFonts w:ascii="Arial" w:cs="Arial" w:eastAsia="Arial" w:hAnsi="Arial"/>
          <w:sz w:val="17"/>
          <w:szCs w:val="17"/>
          <w:b w:val="1"/>
          <w:bCs w:val="1"/>
          <w:u w:val="single" w:color="auto"/>
          <w:color w:val="auto"/>
        </w:rPr>
        <w:t>Accredited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Registered Holder is an “accredited investor” as defined by Rule 501 of Regulation D</w:t>
      </w:r>
      <w:r>
        <w:rPr>
          <w:rFonts w:ascii="Arial" w:cs="Arial" w:eastAsia="Arial" w:hAnsi="Arial"/>
          <w:sz w:val="17"/>
          <w:szCs w:val="17"/>
          <w:b w:val="1"/>
          <w:bCs w:val="1"/>
          <w:color w:val="auto"/>
        </w:rPr>
        <w:t xml:space="preserve"> </w:t>
      </w:r>
      <w:r>
        <w:rPr>
          <w:rFonts w:ascii="Arial" w:cs="Arial" w:eastAsia="Arial" w:hAnsi="Arial"/>
          <w:sz w:val="17"/>
          <w:szCs w:val="17"/>
          <w:color w:val="auto"/>
        </w:rPr>
        <w:t>promulgated under the Securities Act.</w:t>
      </w:r>
    </w:p>
    <w:p>
      <w:pPr>
        <w:spacing w:after="0" w:line="62" w:lineRule="exact"/>
        <w:rPr>
          <w:sz w:val="20"/>
          <w:szCs w:val="20"/>
          <w:color w:val="auto"/>
        </w:rPr>
      </w:pPr>
    </w:p>
    <w:p>
      <w:pPr>
        <w:ind w:left="3580"/>
        <w:spacing w:after="0"/>
        <w:rPr>
          <w:sz w:val="20"/>
          <w:szCs w:val="20"/>
          <w:color w:val="auto"/>
        </w:rPr>
      </w:pPr>
      <w:r>
        <w:rPr>
          <w:rFonts w:ascii="Arial" w:cs="Arial" w:eastAsia="Arial" w:hAnsi="Arial"/>
          <w:sz w:val="17"/>
          <w:szCs w:val="17"/>
          <w:i w:val="1"/>
          <w:iCs w:val="1"/>
          <w:color w:val="auto"/>
        </w:rPr>
        <w:t>[Signature Page Follows]</w:t>
      </w:r>
    </w:p>
    <w:p>
      <w:pPr>
        <w:spacing w:after="0" w:line="200" w:lineRule="exact"/>
        <w:rPr>
          <w:sz w:val="20"/>
          <w:szCs w:val="20"/>
          <w:color w:val="auto"/>
        </w:rPr>
      </w:pPr>
    </w:p>
    <w:p>
      <w:pPr>
        <w:spacing w:after="0" w:line="31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2" w:name="page463"/>
    <w:bookmarkEnd w:id="462"/>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481393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4813935" cy="8255"/>
                    </a:xfrm>
                    <a:prstGeom prst="rect">
                      <a:avLst/>
                    </a:prstGeom>
                    <a:noFill/>
                  </pic:spPr>
                </pic:pic>
              </a:graphicData>
            </a:graphic>
          </wp:anchor>
        </w:drawing>
      </w:r>
    </w:p>
    <w:p>
      <w:pPr>
        <w:spacing w:after="0" w:line="2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VRINGO, INC.</w:t>
      </w:r>
    </w:p>
    <w:p>
      <w:pPr>
        <w:spacing w:after="0" w:line="5"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By:</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-123190</wp:posOffset>
            </wp:positionV>
            <wp:extent cx="229171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291715" cy="8255"/>
                    </a:xfrm>
                    <a:prstGeom prst="rect">
                      <a:avLst/>
                    </a:prstGeom>
                    <a:noFill/>
                  </pic:spPr>
                </pic:pic>
              </a:graphicData>
            </a:graphic>
          </wp:anchor>
        </w:drawing>
      </w:r>
    </w:p>
    <w:p>
      <w:pPr>
        <w:ind w:left="40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3" w:name="page464"/>
    <w:bookmarkEnd w:id="463"/>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A</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WARRANT EXERCISE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undersigned hereby irrevocably elects to exercise the within Warrant to the extent of purchasing ______ shares of Common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Stock of Vringo, Inc., a Delaware corporation, and hereby makes payment of $___________ in payment therefore (if a cashless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exercise, insert “cashless”), all in accordance with the terms and conditions of the Warrant dated ________, 2012.</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2005330" cy="1587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00533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1909445" cy="1587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-36195</wp:posOffset>
            </wp:positionV>
            <wp:extent cx="2275840" cy="1587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275840"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-35560</wp:posOffset>
            </wp:positionV>
            <wp:extent cx="763905" cy="1587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6390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INSTRUCTIONS FOR ISSUANCE OF STOCK</w:t>
      </w:r>
    </w:p>
    <w:p>
      <w:pPr>
        <w:spacing w:after="0" w:line="105"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(if other than to the registered holder of the within Warrant)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-36195</wp:posOffset>
            </wp:positionV>
            <wp:extent cx="1431925" cy="1587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43192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11430</wp:posOffset>
            </wp:positionV>
            <wp:extent cx="560133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5601335" cy="8255"/>
                    </a:xfrm>
                    <a:prstGeom prst="rect">
                      <a:avLst/>
                    </a:prstGeom>
                    <a:noFill/>
                  </pic:spPr>
                </pic:pic>
              </a:graphicData>
            </a:graphic>
          </wp:anchor>
        </w:drawing>
      </w:r>
    </w:p>
    <w:p>
      <w:pPr>
        <w:spacing w:after="0" w:line="9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-27940</wp:posOffset>
            </wp:positionV>
            <wp:extent cx="149606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49606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4" w:name="page465"/>
    <w:bookmarkEnd w:id="464"/>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Exhibit B</w:t>
      </w:r>
    </w:p>
    <w:p>
      <w:pPr>
        <w:spacing w:after="0" w:line="105" w:lineRule="exact"/>
        <w:rPr>
          <w:sz w:val="20"/>
          <w:szCs w:val="20"/>
          <w:color w:val="auto"/>
        </w:rPr>
      </w:pPr>
    </w:p>
    <w:p>
      <w:pPr>
        <w:jc w:val="center"/>
        <w:ind w:right="1199"/>
        <w:spacing w:after="0"/>
        <w:rPr>
          <w:sz w:val="20"/>
          <w:szCs w:val="20"/>
          <w:color w:val="auto"/>
        </w:rPr>
      </w:pPr>
      <w:r>
        <w:rPr>
          <w:rFonts w:ascii="Arial" w:cs="Arial" w:eastAsia="Arial" w:hAnsi="Arial"/>
          <w:sz w:val="17"/>
          <w:szCs w:val="17"/>
          <w:color w:val="auto"/>
        </w:rPr>
        <w:t>ASSIGNMENT FORM</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FOR VALUE RECEIVED, _____________________ hereby sells, assigns and transfers unto _______________________ the right</w:t>
      </w:r>
    </w:p>
    <w:p>
      <w:pPr>
        <w:spacing w:after="0" w:line="40" w:lineRule="exact"/>
        <w:rPr>
          <w:sz w:val="20"/>
          <w:szCs w:val="20"/>
          <w:color w:val="auto"/>
        </w:rPr>
      </w:pPr>
    </w:p>
    <w:p>
      <w:pPr>
        <w:jc w:val="both"/>
        <w:ind w:left="40" w:right="1239"/>
        <w:spacing w:after="0" w:line="272" w:lineRule="auto"/>
        <w:rPr>
          <w:sz w:val="20"/>
          <w:szCs w:val="20"/>
          <w:color w:val="auto"/>
        </w:rPr>
      </w:pPr>
      <w:r>
        <w:rPr>
          <w:rFonts w:ascii="Arial" w:cs="Arial" w:eastAsia="Arial" w:hAnsi="Arial"/>
          <w:sz w:val="16"/>
          <w:szCs w:val="16"/>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-36195</wp:posOffset>
            </wp:positionV>
            <wp:extent cx="763905" cy="1587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6390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-36195</wp:posOffset>
            </wp:positionV>
            <wp:extent cx="1909445" cy="1587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909445" cy="15875"/>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138430</wp:posOffset>
            </wp:positionV>
            <wp:extent cx="286448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2864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5" w:name="page466"/>
    <w:bookmarkEnd w:id="465"/>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0" w:lineRule="exact"/>
        <w:rPr>
          <w:sz w:val="20"/>
          <w:szCs w:val="20"/>
          <w:color w:val="auto"/>
        </w:rPr>
      </w:pPr>
    </w:p>
    <w:p>
      <w:pPr>
        <w:jc w:val="right"/>
        <w:ind w:right="1239"/>
        <w:spacing w:after="0"/>
        <w:rPr>
          <w:sz w:val="20"/>
          <w:szCs w:val="20"/>
          <w:color w:val="auto"/>
        </w:rPr>
      </w:pPr>
      <w:r>
        <w:rPr>
          <w:rFonts w:ascii="Arial" w:cs="Arial" w:eastAsia="Arial" w:hAnsi="Arial"/>
          <w:sz w:val="17"/>
          <w:szCs w:val="17"/>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77470</wp:posOffset>
            </wp:positionV>
            <wp:extent cx="1042035" cy="34988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042035" cy="34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March 12, 2012</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CONFIDENTIAL</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Board of Directors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Vringo, Inc.</w:t>
      </w:r>
    </w:p>
    <w:p>
      <w:pPr>
        <w:ind w:left="40"/>
        <w:spacing w:after="0" w:line="208" w:lineRule="auto"/>
        <w:rPr>
          <w:sz w:val="20"/>
          <w:szCs w:val="20"/>
          <w:color w:val="auto"/>
        </w:rPr>
      </w:pPr>
      <w:r>
        <w:rPr>
          <w:rFonts w:ascii="Arial" w:cs="Arial" w:eastAsia="Arial" w:hAnsi="Arial"/>
          <w:sz w:val="17"/>
          <w:szCs w:val="17"/>
          <w:color w:val="auto"/>
        </w:rPr>
        <w:t>44 West 28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Suite 1414</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New York, New York 10001</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Members of the Board</w:t>
      </w:r>
      <w:r>
        <w:rPr>
          <w:rFonts w:ascii="Arial" w:cs="Arial" w:eastAsia="Arial" w:hAnsi="Arial"/>
          <w:sz w:val="17"/>
          <w:szCs w:val="17"/>
          <w:color w:val="auto"/>
        </w:rPr>
        <w:t>:</w:t>
      </w:r>
    </w:p>
    <w:p>
      <w:pPr>
        <w:spacing w:after="0" w:line="105"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You have requested the Etico Capital Division of Olympus Securities LLC (“Etico”) to render a written opinion (“Opinion”) to the Board of Directors of Vringo, Inc (“Vringo”) as to the fairness, from a financial point of view, to the holders of common stock, par value $.01 per share, of Vringo (“Vringo Common Stock”) (other than any of those holders who own, or whose affiliates own, securities of Innovate/Protect, Inc. (“IPI”)) of the consideration to be issued to the stockholders and warrant holders of IPI provided for in the Agreement and Plan of Merger (the “Agreement”), dated as of March 12, 2012, proposed to be entered into among Vringo, VIP Merger Sub, Inc. (“VMS”) and IPI. The Agreement provides for, among other things, the combination of IPI with Vringo through the merger of IPI into VMS (the “Merger”) pursuant to which (a) each outstanding share of common stock, par value $.0001 per share, of IPI (“IPI Common Stock”), will be converted into 3.0176 shares of Vringo Common Stock, (b) each outstanding share of Series A Convertible Preferred Stock, par value $.0001 per share, of IPI will be converted into one share of a newly created Series A Convertible Preferred Stock, par value $.01 per share, convertible into an aggregate of 21,026,637 shares of Vringo Common Stock and (c) Vringo will issue to the IPI stockholders and warrant holder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an aggregate of 15,959,838 warrants to purchase an aggregate of 15,959,838 shares of Vringo Common Stock with an exercise price of $1.76 per share. In addition, the existing IPI warrant shall be exchanged for an aggregate of 250,000 shares of Vringo Common Stock and an aggregate of 850,000 warrants to acquire an aggregate of 850,000 shares of Vringo Common Stock at an exercise price of $1.76. As a result of the Merger, (i) IPI will merge into VMS and the surviving company will be a wholly-owned subsidiary of Vringo and (ii) the former stockholders, warrant holders and option holders of IPI will, in the aggregate, own approximately 68% Vringo Common Stock on a fully diluted basis. Immediately following the merger, the combined entity will have outstanding common stock, on a fully-diluted basis, as listed in the ‘Total Post-Merger’ column in the attachment annexed hereto (Exhibit A), as provided by management.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arriving at our Opinion, we have among other things:</w:t>
      </w:r>
    </w:p>
    <w:p>
      <w:pPr>
        <w:spacing w:after="0" w:line="105" w:lineRule="exact"/>
        <w:rPr>
          <w:sz w:val="20"/>
          <w:szCs w:val="20"/>
          <w:color w:val="auto"/>
        </w:rPr>
      </w:pPr>
    </w:p>
    <w:p>
      <w:pPr>
        <w:ind w:left="520" w:hanging="260"/>
        <w:spacing w:after="0"/>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a draft, dated March 10, 2012, of the Agreement and the exhibits thereto;</w:t>
      </w:r>
    </w:p>
    <w:p>
      <w:pPr>
        <w:spacing w:after="0" w:line="105"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the audited financial statements of Vringo as at and for the year ended December 31, 2010 and unaudited financial statements of Vringo as at and for the nine months ended September 30, 2011;</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the audited financial statements of IPI for period from June 8, 2011 (inception) to and as at December 31, 2011 (the “IPI Financial Statements”);</w:t>
      </w:r>
    </w:p>
    <w:p>
      <w:pPr>
        <w:spacing w:after="0" w:line="66" w:lineRule="exact"/>
        <w:rPr>
          <w:rFonts w:ascii="Arial" w:cs="Arial" w:eastAsia="Arial" w:hAnsi="Arial"/>
          <w:sz w:val="17"/>
          <w:szCs w:val="17"/>
          <w:color w:val="auto"/>
        </w:rPr>
      </w:pPr>
    </w:p>
    <w:p>
      <w:pPr>
        <w:ind w:left="520" w:hanging="260"/>
        <w:spacing w:after="0"/>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the historical market prices and trading volumes of Vringo Common Stock;</w:t>
      </w:r>
    </w:p>
    <w:p>
      <w:pPr>
        <w:spacing w:after="0" w:line="105"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held discussions with the senior management of Vringo with respect to the business and prospects of Vringo and IPI and the reasons for the Merger;</w:t>
      </w:r>
    </w:p>
    <w:p>
      <w:pPr>
        <w:spacing w:after="0" w:line="66" w:lineRule="exact"/>
        <w:rPr>
          <w:rFonts w:ascii="Arial" w:cs="Arial" w:eastAsia="Arial" w:hAnsi="Arial"/>
          <w:sz w:val="17"/>
          <w:szCs w:val="17"/>
          <w:color w:val="auto"/>
        </w:rPr>
      </w:pPr>
    </w:p>
    <w:p>
      <w:pPr>
        <w:ind w:left="520" w:right="1239" w:hanging="260"/>
        <w:spacing w:after="0" w:line="267" w:lineRule="auto"/>
        <w:tabs>
          <w:tab w:leader="none" w:pos="5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data for companies that we deemed relevant in evaluating Vringo and IPI;</w:t>
      </w: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6" w:name="page467"/>
    <w:bookmarkEnd w:id="466"/>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ind w:left="520" w:right="1239" w:hanging="260"/>
        <w:spacing w:after="0" w:line="299" w:lineRule="auto"/>
        <w:tabs>
          <w:tab w:leader="none" w:pos="5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information for transactions that we deemed relevant in evaluating the Merger and the reported prices and historical trading activities of the securities of such companies; and</w:t>
      </w:r>
    </w:p>
    <w:p>
      <w:pPr>
        <w:spacing w:after="0" w:line="42" w:lineRule="exact"/>
        <w:rPr>
          <w:rFonts w:ascii="Arial" w:cs="Arial" w:eastAsia="Arial" w:hAnsi="Arial"/>
          <w:sz w:val="16"/>
          <w:szCs w:val="16"/>
          <w:color w:val="auto"/>
        </w:rPr>
      </w:pPr>
    </w:p>
    <w:p>
      <w:pPr>
        <w:ind w:left="520" w:right="1239" w:hanging="260"/>
        <w:spacing w:after="0" w:line="267" w:lineRule="auto"/>
        <w:tabs>
          <w:tab w:leader="none" w:pos="5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deemed appropriate.</w:t>
      </w:r>
    </w:p>
    <w:p>
      <w:pPr>
        <w:spacing w:after="0" w:line="66"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 xml:space="preserve">In rendering our Opinion, we relied upon and assumed, without independent verification or investigation, the accuracy and completeness of all of the financial and other information provided to or discussed with us by Vringo, IPI and their respective employees, legal counsel, representatives and affiliates or otherwise reviewed by us. No forecast or projections of financial performance or results of operations or of the financial condition of Vringo, IPI or of the combined entities were supplied and we understand that none exist. We have neither made nor obtained any independent evaluations or appraisals of the assets or liabilities, contingent or otherwise, of Vringo or IPI. We also, at the direction and consent of Vringo, did not, and have not sought to (a) independently value US Patent numbers 6,314,420 and 6,775,664 (collectively, the “Patent”) acquired by IPI in June 2011 or (b) determine the likelihood of success, the amount of damages, if any, that may be recovered, nor the timing and cost (and whether the combined company has or will have adequate resources, financial or otherwise, to prosecute) the lawsuit initiated by IPI in September 15, 2011 in the US District Court for the Eastern District of Virginia, Norfolk Division (Civil Action No: 2:11cv512), in which IPI alleges </w:t>
      </w:r>
      <w:r>
        <w:rPr>
          <w:rFonts w:ascii="Arial" w:cs="Arial" w:eastAsia="Arial" w:hAnsi="Arial"/>
          <w:sz w:val="15"/>
          <w:szCs w:val="15"/>
          <w:i w:val="1"/>
          <w:iCs w:val="1"/>
          <w:color w:val="auto"/>
        </w:rPr>
        <w:t>inter alia</w:t>
      </w:r>
      <w:r>
        <w:rPr>
          <w:rFonts w:ascii="Arial" w:cs="Arial" w:eastAsia="Arial" w:hAnsi="Arial"/>
          <w:sz w:val="15"/>
          <w:szCs w:val="15"/>
          <w:color w:val="auto"/>
        </w:rPr>
        <w:t xml:space="preserve"> infringement of the Patent by the defendants named therein. At the direction and with the consent of Vringo, we also have assumed that (a) the final terms of the Agreement will not vary materially from those set forth in the draft reviewed by us, (b) that the Merger will qualify for federal income tax purposes as reorganization under Section 368(a) of the Internal Revenue Code of 1986, as amended. We also have assumed, with the consent of Vringo, that (a) all representations and warranties of each party contained in the Agreement are true and correct, (b) each party will perform all of the covenants and agreements to be performed by it pursuant to the Agreement and (c) the Merger will be consummated in accordance with its terms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IPI.</w:t>
      </w:r>
    </w:p>
    <w:p>
      <w:pPr>
        <w:spacing w:after="0" w:line="259" w:lineRule="exact"/>
        <w:rPr>
          <w:sz w:val="20"/>
          <w:szCs w:val="20"/>
          <w:color w:val="auto"/>
        </w:rPr>
      </w:pPr>
    </w:p>
    <w:p>
      <w:pPr>
        <w:jc w:val="both"/>
        <w:ind w:left="40" w:right="1239" w:firstLine="251"/>
        <w:spacing w:after="0" w:line="282" w:lineRule="auto"/>
        <w:rPr>
          <w:sz w:val="20"/>
          <w:szCs w:val="20"/>
          <w:color w:val="auto"/>
        </w:rPr>
      </w:pPr>
      <w:r>
        <w:rPr>
          <w:rFonts w:ascii="Arial" w:cs="Arial" w:eastAsia="Arial" w:hAnsi="Arial"/>
          <w:sz w:val="15"/>
          <w:szCs w:val="15"/>
          <w:color w:val="auto"/>
        </w:rPr>
        <w:t>Our Opinion, as set forth herein, relates to the relative values of Vringo and IPI. We have not served as financial advisor to Vringo in connection with the Merger. We are not expressing any opinion as to the underlying valuation, future performance or long term viability of Vringo, the actual value of Vringo Common Stock when issued in the Merger or the price at which Vringo Common Stock will trade at any time. We express no view as to, and our Opinion does not address, any terms or other aspects or implications of the Merger (other than the consideration to be paid by Vringo in the Merger to the extent expressly specified herein)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IPI, the existence or lack or conflicts of interest between officers, directors, employees and stockholders of Vringo and IPI or the class of such persons, whether relative to the consideration to be paid by Vringo in the Merger or otherwise. In addition, we express no view as to, and our Opinion does not address, the underlying business decision of Vringo to proceed with or effect the Merger nor does our Opinion address the relative merits of the Merger as compared to any alternative business strategies that might exist for Vringo or the effect of any other transaction in which Vringo might engage. We have relied, without independent verification, upon the views of management of Vringo concerning the business, operational and strategic benefits and implications of the Merger. In connection with our engagement, we were not requested to, and we did not, solicit third party indications of interest in possible alternative transactions for Vringo. Our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the Opinion.</w:t>
      </w:r>
    </w:p>
    <w:p>
      <w:pPr>
        <w:spacing w:after="0" w:line="200" w:lineRule="exact"/>
        <w:rPr>
          <w:sz w:val="20"/>
          <w:szCs w:val="20"/>
          <w:color w:val="auto"/>
        </w:rPr>
      </w:pPr>
    </w:p>
    <w:p>
      <w:pPr>
        <w:spacing w:after="0" w:line="274"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7" w:name="page468"/>
    <w:bookmarkEnd w:id="467"/>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184" w:lineRule="exact"/>
        <w:rPr>
          <w:sz w:val="20"/>
          <w:szCs w:val="20"/>
          <w:color w:val="auto"/>
        </w:rPr>
      </w:pPr>
    </w:p>
    <w:p>
      <w:pPr>
        <w:jc w:val="both"/>
        <w:ind w:left="40" w:right="1239" w:firstLine="251"/>
        <w:spacing w:after="0" w:line="266" w:lineRule="auto"/>
        <w:rPr>
          <w:sz w:val="20"/>
          <w:szCs w:val="20"/>
          <w:color w:val="auto"/>
        </w:rPr>
      </w:pPr>
      <w:r>
        <w:rPr>
          <w:rFonts w:ascii="Arial" w:cs="Arial" w:eastAsia="Arial" w:hAnsi="Arial"/>
          <w:sz w:val="16"/>
          <w:szCs w:val="16"/>
          <w:color w:val="auto"/>
        </w:rPr>
        <w:t>We have only been retained by Vringo to render this Opinion and will (a) receive the fee for our services only upon delivery of an opinion, (b) be reimbursed for certain costs and expenses (including certain of our legal fees) and (c) be indemnified by Vringo against certain liabilities that may arise out of our engagement. As previously discussed and disclosed to Vringo, a principal of Etico is related by marriage to a general partner of a holder of Vringo Common Stock and of warrants to purchase Vringo Common Stock, which holder is also a holder of IPI Common Stock and Series A Convertible Preferred Stock of IPI. In the ordinary course of business, we and our affiliates may actively trade securities of Vringo for our and our affiliates’ own accounts and for the accounts of customers and, accordingly, may at any time hold a long or short position in such securities. The issuance of this Opinion was approved by an authorized committee of Etico.</w:t>
      </w:r>
    </w:p>
    <w:p>
      <w:pPr>
        <w:spacing w:after="0" w:line="73"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This Opinion does not constitute a recommendation to any stockholder as to how such stockholder should vote or act with respect to any matters relating to the Merger. Neither this Opinion nor the services provided by Etico in connection herewith may be publicly disclosed or referred to in any manner without the prior written consent of Etico.</w:t>
      </w:r>
    </w:p>
    <w:p>
      <w:pPr>
        <w:spacing w:after="0" w:line="76" w:lineRule="exact"/>
        <w:rPr>
          <w:sz w:val="20"/>
          <w:szCs w:val="20"/>
          <w:color w:val="auto"/>
        </w:rPr>
      </w:pPr>
    </w:p>
    <w:p>
      <w:pPr>
        <w:jc w:val="both"/>
        <w:ind w:left="40" w:right="1239" w:firstLine="251"/>
        <w:spacing w:after="0" w:line="256" w:lineRule="auto"/>
        <w:rPr>
          <w:sz w:val="20"/>
          <w:szCs w:val="20"/>
          <w:color w:val="auto"/>
        </w:rPr>
      </w:pPr>
      <w:r>
        <w:rPr>
          <w:rFonts w:ascii="Arial" w:cs="Arial" w:eastAsia="Arial" w:hAnsi="Arial"/>
          <w:sz w:val="17"/>
          <w:szCs w:val="17"/>
          <w:color w:val="auto"/>
        </w:rPr>
        <w:t>Based upon and subject to the foregoing, and such other factors as we deemed relevant, it is our opinion that, as of the date hereof, the consideration to be paid by Vringo in the Merger is fair, from a financial point of view, to the holders of Vringo Common Stock (other than those who own, or whose affiliates own, securities of IPI).</w:t>
      </w:r>
    </w:p>
    <w:p>
      <w:pPr>
        <w:spacing w:after="0" w:line="76"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Very truly yours,</w:t>
      </w:r>
    </w:p>
    <w:p>
      <w:pPr>
        <w:spacing w:after="0" w:line="105" w:lineRule="exact"/>
        <w:rPr>
          <w:sz w:val="20"/>
          <w:szCs w:val="20"/>
          <w:color w:val="auto"/>
        </w:rPr>
      </w:pPr>
    </w:p>
    <w:p>
      <w:pPr>
        <w:ind w:left="3060"/>
        <w:spacing w:after="0"/>
        <w:rPr>
          <w:sz w:val="20"/>
          <w:szCs w:val="20"/>
          <w:color w:val="auto"/>
        </w:rPr>
      </w:pPr>
      <w:r>
        <w:rPr>
          <w:rFonts w:ascii="Arial" w:cs="Arial" w:eastAsia="Arial" w:hAnsi="Arial"/>
          <w:sz w:val="17"/>
          <w:szCs w:val="17"/>
          <w:b w:val="1"/>
          <w:bCs w:val="1"/>
          <w:i w:val="1"/>
          <w:iCs w:val="1"/>
          <w:color w:val="auto"/>
        </w:rPr>
        <w:t>The Etico Capital Division of Olympus</w:t>
      </w:r>
    </w:p>
    <w:p>
      <w:pPr>
        <w:spacing w:after="0" w:line="17" w:lineRule="exact"/>
        <w:rPr>
          <w:sz w:val="20"/>
          <w:szCs w:val="20"/>
          <w:color w:val="auto"/>
        </w:rPr>
      </w:pPr>
    </w:p>
    <w:p>
      <w:pPr>
        <w:ind w:left="3300"/>
        <w:spacing w:after="0"/>
        <w:rPr>
          <w:sz w:val="20"/>
          <w:szCs w:val="20"/>
          <w:color w:val="auto"/>
        </w:rPr>
      </w:pPr>
      <w:r>
        <w:rPr>
          <w:rFonts w:ascii="Arial" w:cs="Arial" w:eastAsia="Arial" w:hAnsi="Arial"/>
          <w:sz w:val="17"/>
          <w:szCs w:val="17"/>
          <w:b w:val="1"/>
          <w:bCs w:val="1"/>
          <w:i w:val="1"/>
          <w:iCs w:val="1"/>
          <w:color w:val="auto"/>
        </w:rPr>
        <w:t>Securities LLC</w:t>
      </w:r>
    </w:p>
    <w:p>
      <w:pPr>
        <w:spacing w:after="0" w:line="200" w:lineRule="exact"/>
        <w:rPr>
          <w:sz w:val="20"/>
          <w:szCs w:val="20"/>
          <w:color w:val="auto"/>
        </w:rPr>
      </w:pPr>
    </w:p>
    <w:p>
      <w:pPr>
        <w:spacing w:after="0" w:line="306"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93980</wp:posOffset>
            </wp:positionV>
            <wp:extent cx="5674360" cy="5715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674360" cy="5715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8" w:name="page469"/>
    <w:bookmarkEnd w:id="468"/>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124460</wp:posOffset>
            </wp:positionV>
            <wp:extent cx="6362065" cy="799338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6362065" cy="7993380"/>
                    </a:xfrm>
                    <a:prstGeom prst="rect">
                      <a:avLst/>
                    </a:prstGeom>
                    <a:noFill/>
                  </pic:spPr>
                </pic:pic>
              </a:graphicData>
            </a:graphic>
          </wp:anchor>
        </w:drawing>
      </w:r>
    </w:p>
    <w:p>
      <w:pPr>
        <w:sectPr>
          <w:pgSz w:w="11900" w:h="16838" w:orient="portrait"/>
          <w:cols w:equalWidth="0" w:num="1">
            <w:col w:w="10099"/>
          </w:cols>
          <w:pgMar w:left="360" w:top="746" w:right="1440" w:bottom="1440" w:gutter="0" w:footer="0" w:header="0"/>
        </w:sectPr>
      </w:pPr>
    </w:p>
    <w:bookmarkStart w:id="469" w:name="page470"/>
    <w:bookmarkEnd w:id="469"/>
    <w:p>
      <w:pPr>
        <w:spacing w:after="0"/>
        <w:rPr>
          <w:sz w:val="20"/>
          <w:szCs w:val="20"/>
          <w:color w:val="auto"/>
        </w:rPr>
      </w:pPr>
      <w:r>
        <w:rPr>
          <w:rFonts w:ascii="Arial" w:cs="Arial" w:eastAsia="Arial" w:hAnsi="Arial"/>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124460</wp:posOffset>
            </wp:positionV>
            <wp:extent cx="6362065" cy="639381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6362065" cy="6393815"/>
                    </a:xfrm>
                    <a:prstGeom prst="rect">
                      <a:avLst/>
                    </a:prstGeom>
                    <a:noFill/>
                  </pic:spPr>
                </pic:pic>
              </a:graphicData>
            </a:graphic>
          </wp:anchor>
        </w:drawing>
      </w:r>
    </w:p>
    <w:sectPr>
      <w:pgSz w:w="11900" w:h="16838" w:orient="portrait"/>
      <w:cols w:equalWidth="0" w:num="1">
        <w:col w:w="10099"/>
      </w:cols>
      <w:pgMar w:left="36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8D97C0"/>
    <w:multiLevelType w:val="hybridMultilevel"/>
    <w:lvl w:ilvl="0">
      <w:lvlJc w:val="left"/>
      <w:lvlText w:val="%1."/>
      <w:numFmt w:val="decimal"/>
      <w:start w:val="1"/>
    </w:lvl>
  </w:abstractNum>
  <w:abstractNum w:abstractNumId="1">
    <w:nsid w:val="1D91467C"/>
    <w:multiLevelType w:val="hybridMultilevel"/>
    <w:lvl w:ilvl="0">
      <w:lvlJc w:val="left"/>
      <w:lvlText w:val="%1."/>
      <w:numFmt w:val="decimal"/>
      <w:start w:val="3"/>
    </w:lvl>
  </w:abstractNum>
  <w:abstractNum w:abstractNumId="2">
    <w:nsid w:val="316032BB"/>
    <w:multiLevelType w:val="hybridMultilevel"/>
    <w:lvl w:ilvl="0">
      <w:lvlJc w:val="left"/>
      <w:lvlText w:val="%1:"/>
      <w:numFmt w:val="upperLetter"/>
      <w:start w:val="1"/>
    </w:lvl>
  </w:abstractNum>
  <w:abstractNum w:abstractNumId="3">
    <w:nsid w:val="44344C22"/>
    <w:multiLevelType w:val="hybridMultilevel"/>
    <w:lvl w:ilvl="0">
      <w:lvlJc w:val="left"/>
      <w:lvlText w:val="%1:"/>
      <w:numFmt w:val="upperLetter"/>
      <w:start w:val="1"/>
    </w:lvl>
  </w:abstractNum>
  <w:abstractNum w:abstractNumId="4">
    <w:nsid w:val="13CDFCFC"/>
    <w:multiLevelType w:val="hybridMultilevel"/>
    <w:lvl w:ilvl="0">
      <w:lvlJc w:val="left"/>
      <w:lvlText w:val="%1:"/>
      <w:numFmt w:val="upperLetter"/>
      <w:start w:val="1"/>
    </w:lvl>
  </w:abstractNum>
  <w:abstractNum w:abstractNumId="5">
    <w:nsid w:val="471745E4"/>
    <w:multiLevelType w:val="hybridMultilevel"/>
    <w:lvl w:ilvl="0">
      <w:lvlJc w:val="left"/>
      <w:lvlText w:val="%1:"/>
      <w:numFmt w:val="upperLetter"/>
      <w:start w:val="1"/>
    </w:lvl>
  </w:abstractNum>
  <w:abstractNum w:abstractNumId="6">
    <w:nsid w:val="1DDBC66"/>
    <w:multiLevelType w:val="hybridMultilevel"/>
    <w:lvl w:ilvl="0">
      <w:lvlJc w:val="left"/>
      <w:lvlText w:val="%1:"/>
      <w:numFmt w:val="upperLetter"/>
      <w:start w:val="1"/>
    </w:lvl>
  </w:abstractNum>
  <w:abstractNum w:abstractNumId="7">
    <w:nsid w:val="30AADFDA"/>
    <w:multiLevelType w:val="hybridMultilevel"/>
    <w:lvl w:ilvl="0">
      <w:lvlJc w:val="left"/>
      <w:lvlText w:val="%1:"/>
      <w:numFmt w:val="upperLetter"/>
      <w:start w:val="17"/>
    </w:lvl>
  </w:abstractNum>
  <w:abstractNum w:abstractNumId="8">
    <w:nsid w:val="30EADA61"/>
    <w:multiLevelType w:val="hybridMultilevel"/>
    <w:lvl w:ilvl="0">
      <w:lvlJc w:val="left"/>
      <w:lvlText w:val="%1:"/>
      <w:numFmt w:val="upperLetter"/>
      <w:start w:val="1"/>
    </w:lvl>
  </w:abstractNum>
  <w:abstractNum w:abstractNumId="9">
    <w:nsid w:val="27179C0B"/>
    <w:multiLevelType w:val="hybridMultilevel"/>
    <w:lvl w:ilvl="0">
      <w:lvlJc w:val="left"/>
      <w:lvlText w:val="%1:"/>
      <w:numFmt w:val="upperLetter"/>
      <w:start w:val="1"/>
    </w:lvl>
  </w:abstractNum>
  <w:abstractNum w:abstractNumId="10">
    <w:nsid w:val="5E636063"/>
    <w:multiLevelType w:val="hybridMultilevel"/>
    <w:lvl w:ilvl="0">
      <w:lvlJc w:val="left"/>
      <w:lvlText w:val="%1:"/>
      <w:numFmt w:val="upperLetter"/>
      <w:start w:val="1"/>
    </w:lvl>
  </w:abstractNum>
  <w:abstractNum w:abstractNumId="11">
    <w:nsid w:val="215641AF"/>
    <w:multiLevelType w:val="hybridMultilevel"/>
    <w:lvl w:ilvl="0">
      <w:lvlJc w:val="left"/>
      <w:lvlText w:val="•"/>
      <w:numFmt w:val="bullet"/>
      <w:start w:val="1"/>
    </w:lvl>
  </w:abstractNum>
  <w:abstractNum w:abstractNumId="12">
    <w:nsid w:val="53280662"/>
    <w:multiLevelType w:val="hybridMultilevel"/>
    <w:lvl w:ilvl="0">
      <w:lvlJc w:val="left"/>
      <w:lvlText w:val="•"/>
      <w:numFmt w:val="bullet"/>
      <w:start w:val="1"/>
    </w:lvl>
  </w:abstractNum>
  <w:abstractNum w:abstractNumId="13">
    <w:nsid w:val="46B24DBC"/>
    <w:multiLevelType w:val="hybridMultilevel"/>
    <w:lvl w:ilvl="0">
      <w:lvlJc w:val="left"/>
      <w:lvlText w:val="•"/>
      <w:numFmt w:val="bullet"/>
      <w:start w:val="1"/>
    </w:lvl>
  </w:abstractNum>
  <w:abstractNum w:abstractNumId="14">
    <w:nsid w:val="75B52783"/>
    <w:multiLevelType w:val="hybridMultilevel"/>
    <w:lvl w:ilvl="0">
      <w:lvlJc w:val="left"/>
      <w:lvlText w:val="%1:"/>
      <w:numFmt w:val="upperLetter"/>
      <w:start w:val="1"/>
    </w:lvl>
  </w:abstractNum>
  <w:abstractNum w:abstractNumId="15">
    <w:nsid w:val="57CE66B4"/>
    <w:multiLevelType w:val="hybridMultilevel"/>
    <w:lvl w:ilvl="0">
      <w:lvlJc w:val="left"/>
      <w:lvlText w:val="%1:"/>
      <w:numFmt w:val="upperLetter"/>
      <w:start w:val="17"/>
    </w:lvl>
  </w:abstractNum>
  <w:abstractNum w:abstractNumId="16">
    <w:nsid w:val="67A70B69"/>
    <w:multiLevelType w:val="hybridMultilevel"/>
    <w:lvl w:ilvl="0">
      <w:lvlJc w:val="left"/>
      <w:lvlText w:val="%1:"/>
      <w:numFmt w:val="upperLetter"/>
      <w:start w:val="1"/>
    </w:lvl>
  </w:abstractNum>
  <w:abstractNum w:abstractNumId="17">
    <w:nsid w:val="5953172F"/>
    <w:multiLevelType w:val="hybridMultilevel"/>
    <w:lvl w:ilvl="0">
      <w:lvlJc w:val="left"/>
      <w:lvlText w:val="%1:"/>
      <w:numFmt w:val="upperLetter"/>
      <w:start w:val="1"/>
    </w:lvl>
  </w:abstractNum>
  <w:abstractNum w:abstractNumId="18">
    <w:nsid w:val="27EDFE3A"/>
    <w:multiLevelType w:val="hybridMultilevel"/>
    <w:lvl w:ilvl="0">
      <w:lvlJc w:val="left"/>
      <w:lvlText w:val="%1:"/>
      <w:numFmt w:val="upperLetter"/>
      <w:start w:val="1"/>
    </w:lvl>
  </w:abstractNum>
  <w:abstractNum w:abstractNumId="19">
    <w:nsid w:val="52AC7DFF"/>
    <w:multiLevelType w:val="hybridMultilevel"/>
    <w:lvl w:ilvl="0">
      <w:lvlJc w:val="left"/>
      <w:lvlText w:val="%1:"/>
      <w:numFmt w:val="upperLetter"/>
      <w:start w:val="17"/>
    </w:lvl>
  </w:abstractNum>
  <w:abstractNum w:abstractNumId="20">
    <w:nsid w:val="C4C3AF"/>
    <w:multiLevelType w:val="hybridMultilevel"/>
    <w:lvl w:ilvl="0">
      <w:lvlJc w:val="left"/>
      <w:lvlText w:val="%1:"/>
      <w:numFmt w:val="upperLetter"/>
      <w:start w:val="1"/>
    </w:lvl>
  </w:abstractNum>
  <w:abstractNum w:abstractNumId="21">
    <w:nsid w:val="44380727"/>
    <w:multiLevelType w:val="hybridMultilevel"/>
    <w:lvl w:ilvl="0">
      <w:lvlJc w:val="left"/>
      <w:lvlText w:val="%1:"/>
      <w:numFmt w:val="upperLetter"/>
      <w:start w:val="1"/>
    </w:lvl>
  </w:abstractNum>
  <w:abstractNum w:abstractNumId="22">
    <w:nsid w:val="6C053B16"/>
    <w:multiLevelType w:val="hybridMultilevel"/>
    <w:lvl w:ilvl="0">
      <w:lvlJc w:val="left"/>
      <w:lvlText w:val="(%1)"/>
      <w:numFmt w:val="lowerRoman"/>
      <w:start w:val="10"/>
    </w:lvl>
  </w:abstractNum>
  <w:abstractNum w:abstractNumId="23">
    <w:nsid w:val="4F294393"/>
    <w:multiLevelType w:val="hybridMultilevel"/>
    <w:lvl w:ilvl="0">
      <w:lvlJc w:val="left"/>
      <w:lvlText w:val="%1:"/>
      <w:numFmt w:val="upperLetter"/>
      <w:start w:val="1"/>
    </w:lvl>
  </w:abstractNum>
  <w:abstractNum w:abstractNumId="24">
    <w:nsid w:val="5243BFAC"/>
    <w:multiLevelType w:val="hybridMultilevel"/>
    <w:lvl w:ilvl="0">
      <w:lvlJc w:val="left"/>
      <w:lvlText w:val="%1:"/>
      <w:numFmt w:val="upperLetter"/>
      <w:start w:val="1"/>
    </w:lvl>
  </w:abstractNum>
  <w:abstractNum w:abstractNumId="25">
    <w:nsid w:val="425EB207"/>
    <w:multiLevelType w:val="hybridMultilevel"/>
    <w:lvl w:ilvl="0">
      <w:lvlJc w:val="left"/>
      <w:lvlText w:val="%1:"/>
      <w:numFmt w:val="upperLetter"/>
      <w:start w:val="1"/>
    </w:lvl>
  </w:abstractNum>
  <w:abstractNum w:abstractNumId="26">
    <w:nsid w:val="334A6F1F"/>
    <w:multiLevelType w:val="hybridMultilevel"/>
    <w:lvl w:ilvl="0">
      <w:lvlJc w:val="left"/>
      <w:lvlText w:val="%1:"/>
      <w:numFmt w:val="upperLetter"/>
      <w:start w:val="1"/>
    </w:lvl>
  </w:abstractNum>
  <w:abstractNum w:abstractNumId="27">
    <w:nsid w:val="2E5B12B8"/>
    <w:multiLevelType w:val="hybridMultilevel"/>
    <w:lvl w:ilvl="0">
      <w:lvlJc w:val="left"/>
      <w:lvlText w:val="%1:"/>
      <w:numFmt w:val="upperLetter"/>
      <w:start w:val="17"/>
    </w:lvl>
  </w:abstractNum>
  <w:abstractNum w:abstractNumId="28">
    <w:nsid w:val="5C03D76D"/>
    <w:multiLevelType w:val="hybridMultilevel"/>
    <w:lvl w:ilvl="0">
      <w:lvlJc w:val="left"/>
      <w:lvlText w:val="%1:"/>
      <w:numFmt w:val="upperLetter"/>
      <w:start w:val="1"/>
    </w:lvl>
    <w:lvl w:ilvl="1">
      <w:lvlJc w:val="left"/>
      <w:lvlText w:val="(%2)"/>
      <w:numFmt w:val="decimal"/>
      <w:start w:val="7"/>
    </w:lvl>
  </w:abstractNum>
  <w:abstractNum w:abstractNumId="29">
    <w:nsid w:val="66A48D11"/>
    <w:multiLevelType w:val="hybridMultilevel"/>
    <w:lvl w:ilvl="0">
      <w:lvlJc w:val="left"/>
      <w:lvlText w:val="%1:"/>
      <w:numFmt w:val="upperLetter"/>
      <w:start w:val="1"/>
    </w:lvl>
  </w:abstractNum>
  <w:abstractNum w:abstractNumId="30">
    <w:nsid w:val="56C28E34"/>
    <w:multiLevelType w:val="hybridMultilevel"/>
    <w:lvl w:ilvl="0">
      <w:lvlJc w:val="left"/>
      <w:lvlText w:val="%1:"/>
      <w:numFmt w:val="upperLetter"/>
      <w:start w:val="1"/>
    </w:lvl>
  </w:abstractNum>
  <w:abstractNum w:abstractNumId="31">
    <w:nsid w:val="13916F2D"/>
    <w:multiLevelType w:val="hybridMultilevel"/>
    <w:lvl w:ilvl="0">
      <w:lvlJc w:val="left"/>
      <w:lvlText w:val="%1:"/>
      <w:numFmt w:val="upperLetter"/>
      <w:start w:val="1"/>
    </w:lvl>
  </w:abstractNum>
  <w:abstractNum w:abstractNumId="32">
    <w:nsid w:val="435D38D"/>
    <w:multiLevelType w:val="hybridMultilevel"/>
    <w:lvl w:ilvl="0">
      <w:lvlJc w:val="left"/>
      <w:lvlText w:val="%1:"/>
      <w:numFmt w:val="upperLetter"/>
      <w:start w:val="1"/>
    </w:lvl>
  </w:abstractNum>
  <w:abstractNum w:abstractNumId="33">
    <w:nsid w:val="822C0EF"/>
    <w:multiLevelType w:val="hybridMultilevel"/>
    <w:lvl w:ilvl="0">
      <w:lvlJc w:val="left"/>
      <w:lvlText w:val="%1:"/>
      <w:numFmt w:val="upperLetter"/>
      <w:start w:val="1"/>
    </w:lvl>
  </w:abstractNum>
  <w:abstractNum w:abstractNumId="34">
    <w:nsid w:val="57C5BB4F"/>
    <w:multiLevelType w:val="hybridMultilevel"/>
    <w:lvl w:ilvl="0">
      <w:lvlJc w:val="left"/>
      <w:lvlText w:val="%1:"/>
      <w:numFmt w:val="upperLetter"/>
      <w:start w:val="1"/>
    </w:lvl>
  </w:abstractNum>
  <w:abstractNum w:abstractNumId="35">
    <w:nsid w:val="1803D089"/>
    <w:multiLevelType w:val="hybridMultilevel"/>
    <w:lvl w:ilvl="0">
      <w:lvlJc w:val="left"/>
      <w:lvlText w:val="%1:"/>
      <w:numFmt w:val="upperLetter"/>
      <w:start w:val="1"/>
    </w:lvl>
  </w:abstractNum>
  <w:abstractNum w:abstractNumId="36">
    <w:nsid w:val="4F3A06D4"/>
    <w:multiLevelType w:val="hybridMultilevel"/>
    <w:lvl w:ilvl="0">
      <w:lvlJc w:val="left"/>
      <w:lvlText w:val="%1:"/>
      <w:numFmt w:val="upperLetter"/>
      <w:start w:val="17"/>
    </w:lvl>
  </w:abstractNum>
  <w:abstractNum w:abstractNumId="37">
    <w:nsid w:val="59A377B6"/>
    <w:multiLevelType w:val="hybridMultilevel"/>
    <w:lvl w:ilvl="0">
      <w:lvlJc w:val="left"/>
      <w:lvlText w:val="%1:"/>
      <w:numFmt w:val="upperLetter"/>
      <w:start w:val="1"/>
    </w:lvl>
  </w:abstractNum>
  <w:abstractNum w:abstractNumId="38">
    <w:nsid w:val="48AEB063"/>
    <w:multiLevelType w:val="hybridMultilevel"/>
    <w:lvl w:ilvl="0">
      <w:lvlJc w:val="left"/>
      <w:lvlText w:val="%1:"/>
      <w:numFmt w:val="upperLetter"/>
      <w:start w:val="1"/>
    </w:lvl>
  </w:abstractNum>
  <w:abstractNum w:abstractNumId="39">
    <w:nsid w:val="24E135"/>
    <w:multiLevelType w:val="hybridMultilevel"/>
    <w:lvl w:ilvl="0">
      <w:lvlJc w:val="left"/>
      <w:lvlText w:val="%1:"/>
      <w:numFmt w:val="upperLetter"/>
      <w:start w:val="1"/>
    </w:lvl>
  </w:abstractNum>
  <w:abstractNum w:abstractNumId="40">
    <w:nsid w:val="BB13C1"/>
    <w:multiLevelType w:val="hybridMultilevel"/>
    <w:lvl w:ilvl="0">
      <w:lvlJc w:val="left"/>
      <w:lvlText w:val="%1:"/>
      <w:numFmt w:val="upperLetter"/>
      <w:start w:val="1"/>
    </w:lvl>
  </w:abstractNum>
  <w:abstractNum w:abstractNumId="41">
    <w:nsid w:val="271210C7"/>
    <w:multiLevelType w:val="hybridMultilevel"/>
    <w:lvl w:ilvl="0">
      <w:lvlJc w:val="left"/>
      <w:lvlText w:val="%1:"/>
      <w:numFmt w:val="upperLetter"/>
      <w:start w:val="1"/>
    </w:lvl>
  </w:abstractNum>
  <w:abstractNum w:abstractNumId="42">
    <w:nsid w:val="217B22E4"/>
    <w:multiLevelType w:val="hybridMultilevel"/>
    <w:lvl w:ilvl="0">
      <w:lvlJc w:val="left"/>
      <w:lvlText w:val="%1:"/>
      <w:numFmt w:val="upperLetter"/>
      <w:start w:val="1"/>
    </w:lvl>
  </w:abstractNum>
  <w:abstractNum w:abstractNumId="43">
    <w:nsid w:val="53E31A24"/>
    <w:multiLevelType w:val="hybridMultilevel"/>
    <w:lvl w:ilvl="0">
      <w:lvlJc w:val="left"/>
      <w:lvlText w:val="%1:"/>
      <w:numFmt w:val="upperLetter"/>
      <w:start w:val="1"/>
    </w:lvl>
  </w:abstractNum>
  <w:abstractNum w:abstractNumId="44">
    <w:nsid w:val="6DC45E83"/>
    <w:multiLevelType w:val="hybridMultilevel"/>
    <w:lvl w:ilvl="0">
      <w:lvlJc w:val="left"/>
      <w:lvlText w:val="%1:"/>
      <w:numFmt w:val="upperLetter"/>
      <w:start w:val="1"/>
    </w:lvl>
  </w:abstractNum>
  <w:abstractNum w:abstractNumId="45">
    <w:nsid w:val="17304A67"/>
    <w:multiLevelType w:val="hybridMultilevel"/>
    <w:lvl w:ilvl="0">
      <w:lvlJc w:val="left"/>
      <w:lvlText w:val="%1:"/>
      <w:numFmt w:val="upperLetter"/>
      <w:start w:val="1"/>
    </w:lvl>
  </w:abstractNum>
  <w:abstractNum w:abstractNumId="46">
    <w:nsid w:val="2BB180D8"/>
    <w:multiLevelType w:val="hybridMultilevel"/>
    <w:lvl w:ilvl="0">
      <w:lvlJc w:val="left"/>
      <w:lvlText w:val="•"/>
      <w:numFmt w:val="bullet"/>
      <w:start w:val="1"/>
    </w:lvl>
  </w:abstractNum>
  <w:abstractNum w:abstractNumId="47">
    <w:nsid w:val="556B69ED"/>
    <w:multiLevelType w:val="hybridMultilevel"/>
    <w:lvl w:ilvl="0">
      <w:lvlJc w:val="left"/>
      <w:lvlText w:val="(%1)"/>
      <w:numFmt w:val="decimal"/>
      <w:start w:val="1"/>
    </w:lvl>
  </w:abstractNum>
  <w:abstractNum w:abstractNumId="48">
    <w:nsid w:val="70836196"/>
    <w:multiLevelType w:val="hybridMultilevel"/>
    <w:lvl w:ilvl="0">
      <w:lvlJc w:val="left"/>
      <w:lvlText w:val="•"/>
      <w:numFmt w:val="bullet"/>
      <w:start w:val="1"/>
    </w:lvl>
  </w:abstractNum>
  <w:abstractNum w:abstractNumId="49">
    <w:nsid w:val="539F7F12"/>
    <w:multiLevelType w:val="hybridMultilevel"/>
    <w:lvl w:ilvl="0">
      <w:lvlJc w:val="left"/>
      <w:lvlText w:val="•"/>
      <w:numFmt w:val="bullet"/>
      <w:start w:val="1"/>
    </w:lvl>
  </w:abstractNum>
  <w:abstractNum w:abstractNumId="50">
    <w:nsid w:val="2817E7EC"/>
    <w:multiLevelType w:val="hybridMultilevel"/>
    <w:lvl w:ilvl="0">
      <w:lvlJc w:val="left"/>
      <w:lvlText w:val="•"/>
      <w:numFmt w:val="bullet"/>
      <w:start w:val="1"/>
    </w:lvl>
    <w:lvl w:ilvl="1">
      <w:lvlJc w:val="left"/>
      <w:lvlText w:val="•"/>
      <w:numFmt w:val="bullet"/>
      <w:start w:val="1"/>
    </w:lvl>
  </w:abstractNum>
  <w:abstractNum w:abstractNumId="51">
    <w:nsid w:val="71482545"/>
    <w:multiLevelType w:val="hybridMultilevel"/>
    <w:lvl w:ilvl="0">
      <w:lvlJc w:val="left"/>
      <w:lvlText w:val="•"/>
      <w:numFmt w:val="bullet"/>
      <w:start w:val="1"/>
    </w:lvl>
  </w:abstractNum>
  <w:abstractNum w:abstractNumId="52">
    <w:nsid w:val="17D78639"/>
    <w:multiLevelType w:val="hybridMultilevel"/>
    <w:lvl w:ilvl="0">
      <w:lvlJc w:val="left"/>
      <w:lvlText w:val="•"/>
      <w:numFmt w:val="bullet"/>
      <w:start w:val="1"/>
    </w:lvl>
  </w:abstractNum>
  <w:abstractNum w:abstractNumId="53">
    <w:nsid w:val="141D2302"/>
    <w:multiLevelType w:val="hybridMultilevel"/>
    <w:lvl w:ilvl="0">
      <w:lvlJc w:val="left"/>
      <w:lvlText w:val="(%1)"/>
      <w:numFmt w:val="lowerRoman"/>
      <w:start w:val="2"/>
    </w:lvl>
  </w:abstractNum>
  <w:abstractNum w:abstractNumId="54">
    <w:nsid w:val="407168D8"/>
    <w:multiLevelType w:val="hybridMultilevel"/>
    <w:lvl w:ilvl="0">
      <w:lvlJc w:val="left"/>
      <w:lvlText w:val="%1."/>
      <w:numFmt w:val="decimal"/>
      <w:start w:val="1"/>
    </w:lvl>
  </w:abstractNum>
  <w:abstractNum w:abstractNumId="55">
    <w:nsid w:val="6A1B45E5"/>
    <w:multiLevelType w:val="hybridMultilevel"/>
    <w:lvl w:ilvl="0">
      <w:lvlJc w:val="left"/>
      <w:lvlText w:val="%1."/>
      <w:numFmt w:val="decimal"/>
      <w:start w:val="3"/>
    </w:lvl>
  </w:abstractNum>
  <w:abstractNum w:abstractNumId="56">
    <w:nsid w:val="567BD50A"/>
    <w:multiLevelType w:val="hybridMultilevel"/>
    <w:lvl w:ilvl="0">
      <w:lvlJc w:val="left"/>
      <w:lvlText w:val="*"/>
      <w:numFmt w:val="bullet"/>
      <w:start w:val="1"/>
    </w:lvl>
  </w:abstractNum>
  <w:abstractNum w:abstractNumId="57">
    <w:nsid w:val="73BBD7F8"/>
    <w:multiLevelType w:val="hybridMultilevel"/>
    <w:lvl w:ilvl="0">
      <w:lvlJc w:val="left"/>
      <w:lvlText w:val="**"/>
      <w:numFmt w:val="bullet"/>
      <w:start w:val="1"/>
    </w:lvl>
  </w:abstractNum>
  <w:abstractNum w:abstractNumId="58">
    <w:nsid w:val="1876589D"/>
    <w:multiLevelType w:val="hybridMultilevel"/>
    <w:lvl w:ilvl="0">
      <w:lvlJc w:val="left"/>
      <w:lvlText w:val="%1."/>
      <w:numFmt w:val="decimal"/>
      <w:start w:val="1"/>
    </w:lvl>
  </w:abstractNum>
  <w:abstractNum w:abstractNumId="59">
    <w:nsid w:val="327FAC77"/>
    <w:multiLevelType w:val="hybridMultilevel"/>
    <w:lvl w:ilvl="0">
      <w:lvlJc w:val="left"/>
      <w:lvlText w:val="%1."/>
      <w:numFmt w:val="decimal"/>
      <w:start w:val="3"/>
    </w:lvl>
  </w:abstractNum>
  <w:abstractNum w:abstractNumId="60">
    <w:nsid w:val="5A606509"/>
    <w:multiLevelType w:val="hybridMultilevel"/>
    <w:lvl w:ilvl="0">
      <w:lvlJc w:val="left"/>
      <w:lvlText w:val="%1."/>
      <w:numFmt w:val="decimal"/>
      <w:start w:val="4"/>
    </w:lvl>
  </w:abstractNum>
  <w:abstractNum w:abstractNumId="61">
    <w:nsid w:val="6F38E6D1"/>
    <w:multiLevelType w:val="hybridMultilevel"/>
    <w:lvl w:ilvl="0">
      <w:lvlJc w:val="left"/>
      <w:lvlText w:val="%1."/>
      <w:numFmt w:val="decimal"/>
      <w:start w:val="7"/>
    </w:lvl>
  </w:abstractNum>
  <w:abstractNum w:abstractNumId="62">
    <w:nsid w:val="46111BA5"/>
    <w:multiLevelType w:val="hybridMultilevel"/>
    <w:lvl w:ilvl="0">
      <w:lvlJc w:val="left"/>
      <w:lvlText w:val="%1."/>
      <w:numFmt w:val="decimal"/>
      <w:start w:val="8"/>
    </w:lvl>
  </w:abstractNum>
  <w:abstractNum w:abstractNumId="63">
    <w:nsid w:val="5E963896"/>
    <w:multiLevelType w:val="hybridMultilevel"/>
    <w:lvl w:ilvl="0">
      <w:lvlJc w:val="left"/>
      <w:lvlText w:val="(%1)"/>
      <w:numFmt w:val="decimal"/>
      <w:start w:val="1"/>
    </w:lvl>
  </w:abstractNum>
  <w:abstractNum w:abstractNumId="64">
    <w:nsid w:val="775BA7C1"/>
    <w:multiLevelType w:val="hybridMultilevel"/>
    <w:lvl w:ilvl="0">
      <w:lvlJc w:val="left"/>
      <w:lvlText w:val="(%1)"/>
      <w:numFmt w:val="decimal"/>
      <w:start w:val="1"/>
    </w:lvl>
  </w:abstractNum>
  <w:abstractNum w:abstractNumId="65">
    <w:nsid w:val="1DD6D6F4"/>
    <w:multiLevelType w:val="hybridMultilevel"/>
    <w:lvl w:ilvl="0">
      <w:lvlJc w:val="left"/>
      <w:lvlText w:val="•"/>
      <w:numFmt w:val="bullet"/>
      <w:start w:val="1"/>
    </w:lvl>
  </w:abstractNum>
  <w:abstractNum w:abstractNumId="66">
    <w:nsid w:val="769A091F"/>
    <w:multiLevelType w:val="hybridMultilevel"/>
    <w:lvl w:ilvl="0">
      <w:lvlJc w:val="left"/>
      <w:lvlText w:val="•"/>
      <w:numFmt w:val="bullet"/>
      <w:start w:val="1"/>
    </w:lvl>
  </w:abstractNum>
  <w:abstractNum w:abstractNumId="67">
    <w:nsid w:val="4695AE95"/>
    <w:multiLevelType w:val="hybridMultilevel"/>
    <w:lvl w:ilvl="0">
      <w:lvlJc w:val="left"/>
      <w:lvlText w:val="•"/>
      <w:numFmt w:val="bullet"/>
      <w:start w:val="1"/>
    </w:lvl>
  </w:abstractNum>
  <w:abstractNum w:abstractNumId="68">
    <w:nsid w:val="777A4EAA"/>
    <w:multiLevelType w:val="hybridMultilevel"/>
    <w:lvl w:ilvl="0">
      <w:lvlJc w:val="left"/>
      <w:lvlText w:val="•"/>
      <w:numFmt w:val="bullet"/>
      <w:start w:val="1"/>
    </w:lvl>
  </w:abstractNum>
  <w:abstractNum w:abstractNumId="69">
    <w:nsid w:val="3F48B982"/>
    <w:multiLevelType w:val="hybridMultilevel"/>
    <w:lvl w:ilvl="0">
      <w:lvlJc w:val="left"/>
      <w:lvlText w:val="•"/>
      <w:numFmt w:val="bullet"/>
      <w:start w:val="1"/>
    </w:lvl>
  </w:abstractNum>
  <w:abstractNum w:abstractNumId="70">
    <w:nsid w:val="46BA8FCA"/>
    <w:multiLevelType w:val="hybridMultilevel"/>
    <w:lvl w:ilvl="0">
      <w:lvlJc w:val="left"/>
      <w:lvlText w:val="•"/>
      <w:numFmt w:val="bullet"/>
      <w:start w:val="1"/>
    </w:lvl>
  </w:abstractNum>
  <w:abstractNum w:abstractNumId="71">
    <w:nsid w:val="7835626C"/>
    <w:multiLevelType w:val="hybridMultilevel"/>
    <w:lvl w:ilvl="0">
      <w:lvlJc w:val="left"/>
      <w:lvlText w:val="•"/>
      <w:numFmt w:val="bullet"/>
      <w:start w:val="1"/>
    </w:lvl>
  </w:abstractNum>
  <w:abstractNum w:abstractNumId="72">
    <w:nsid w:val="665ACA49"/>
    <w:multiLevelType w:val="hybridMultilevel"/>
    <w:lvl w:ilvl="0">
      <w:lvlJc w:val="left"/>
      <w:lvlText w:val="(%1)"/>
      <w:numFmt w:val="lowerLetter"/>
      <w:start w:val="3"/>
    </w:lvl>
  </w:abstractNum>
  <w:abstractNum w:abstractNumId="73">
    <w:nsid w:val="6835B2AE"/>
    <w:multiLevelType w:val="hybridMultilevel"/>
    <w:lvl w:ilvl="0">
      <w:lvlJc w:val="left"/>
      <w:lvlText w:val="•"/>
      <w:numFmt w:val="bullet"/>
      <w:start w:val="1"/>
    </w:lvl>
  </w:abstractNum>
  <w:abstractNum w:abstractNumId="74">
    <w:nsid w:val="4C187C90"/>
    <w:multiLevelType w:val="hybridMultilevel"/>
    <w:lvl w:ilvl="0">
      <w:lvlJc w:val="left"/>
      <w:lvlText w:val="•"/>
      <w:numFmt w:val="bullet"/>
      <w:start w:val="1"/>
    </w:lvl>
  </w:abstractNum>
  <w:abstractNum w:abstractNumId="75">
    <w:nsid w:val="541F28CD"/>
    <w:multiLevelType w:val="hybridMultilevel"/>
    <w:lvl w:ilvl="0">
      <w:lvlJc w:val="left"/>
      <w:lvlText w:val="•"/>
      <w:numFmt w:val="bullet"/>
      <w:start w:val="1"/>
    </w:lvl>
  </w:abstractNum>
  <w:abstractNum w:abstractNumId="76">
    <w:nsid w:val="7F65FD16"/>
    <w:multiLevelType w:val="hybridMultilevel"/>
    <w:lvl w:ilvl="0">
      <w:lvlJc w:val="left"/>
      <w:lvlText w:val="•"/>
      <w:numFmt w:val="bullet"/>
      <w:start w:val="1"/>
    </w:lvl>
  </w:abstractNum>
  <w:abstractNum w:abstractNumId="77">
    <w:nsid w:val="77C9FD68"/>
    <w:multiLevelType w:val="hybridMultilevel"/>
    <w:lvl w:ilvl="0">
      <w:lvlJc w:val="left"/>
      <w:lvlText w:val="•"/>
      <w:numFmt w:val="bullet"/>
      <w:start w:val="1"/>
    </w:lvl>
  </w:abstractNum>
  <w:abstractNum w:abstractNumId="78">
    <w:nsid w:val="298A92BA"/>
    <w:multiLevelType w:val="hybridMultilevel"/>
    <w:lvl w:ilvl="0">
      <w:lvlJc w:val="left"/>
      <w:lvlText w:val="•"/>
      <w:numFmt w:val="bullet"/>
      <w:start w:val="1"/>
    </w:lvl>
  </w:abstractNum>
  <w:abstractNum w:abstractNumId="79">
    <w:nsid w:val="6FE95EAC"/>
    <w:multiLevelType w:val="hybridMultilevel"/>
    <w:lvl w:ilvl="0">
      <w:lvlJc w:val="left"/>
      <w:lvlText w:val="•"/>
      <w:numFmt w:val="bullet"/>
      <w:start w:val="1"/>
    </w:lvl>
  </w:abstractNum>
  <w:abstractNum w:abstractNumId="80">
    <w:nsid w:val="4B697C7A"/>
    <w:multiLevelType w:val="hybridMultilevel"/>
    <w:lvl w:ilvl="0">
      <w:lvlJc w:val="left"/>
      <w:lvlText w:val="•"/>
      <w:numFmt w:val="bullet"/>
      <w:start w:val="1"/>
    </w:lvl>
  </w:abstractNum>
  <w:abstractNum w:abstractNumId="81">
    <w:nsid w:val="51A27AA6"/>
    <w:multiLevelType w:val="hybridMultilevel"/>
    <w:lvl w:ilvl="0">
      <w:lvlJc w:val="left"/>
      <w:lvlText w:val="•"/>
      <w:numFmt w:val="bullet"/>
      <w:start w:val="1"/>
    </w:lvl>
  </w:abstractNum>
  <w:abstractNum w:abstractNumId="82">
    <w:nsid w:val="613183F2"/>
    <w:multiLevelType w:val="hybridMultilevel"/>
    <w:lvl w:ilvl="0">
      <w:lvlJc w:val="left"/>
      <w:lvlText w:val="•"/>
      <w:numFmt w:val="bullet"/>
      <w:start w:val="1"/>
    </w:lvl>
  </w:abstractNum>
  <w:abstractNum w:abstractNumId="83">
    <w:nsid w:val="634102B4"/>
    <w:multiLevelType w:val="hybridMultilevel"/>
    <w:lvl w:ilvl="0">
      <w:lvlJc w:val="left"/>
      <w:lvlText w:val="•"/>
      <w:numFmt w:val="bullet"/>
      <w:start w:val="1"/>
    </w:lvl>
  </w:abstractNum>
  <w:abstractNum w:abstractNumId="84">
    <w:nsid w:val="65BF9DA8"/>
    <w:multiLevelType w:val="hybridMultilevel"/>
    <w:lvl w:ilvl="0">
      <w:lvlJc w:val="left"/>
      <w:lvlText w:val="•"/>
      <w:numFmt w:val="bullet"/>
      <w:start w:val="1"/>
    </w:lvl>
  </w:abstractNum>
  <w:abstractNum w:abstractNumId="85">
    <w:nsid w:val="21A2ECCA"/>
    <w:multiLevelType w:val="hybridMultilevel"/>
    <w:lvl w:ilvl="0">
      <w:lvlJc w:val="left"/>
      <w:lvlText w:val="•"/>
      <w:numFmt w:val="bullet"/>
      <w:start w:val="1"/>
    </w:lvl>
  </w:abstractNum>
  <w:abstractNum w:abstractNumId="86">
    <w:nsid w:val="4D5C4899"/>
    <w:multiLevelType w:val="hybridMultilevel"/>
    <w:lvl w:ilvl="0">
      <w:lvlJc w:val="left"/>
      <w:lvlText w:val="•"/>
      <w:numFmt w:val="bullet"/>
      <w:start w:val="1"/>
    </w:lvl>
  </w:abstractNum>
  <w:abstractNum w:abstractNumId="87">
    <w:nsid w:val="3C3B72B2"/>
    <w:multiLevelType w:val="hybridMultilevel"/>
    <w:lvl w:ilvl="0">
      <w:lvlJc w:val="left"/>
      <w:lvlText w:val="•"/>
      <w:numFmt w:val="bullet"/>
      <w:start w:val="1"/>
    </w:lvl>
  </w:abstractNum>
  <w:abstractNum w:abstractNumId="88">
    <w:nsid w:val="155EC4C2"/>
    <w:multiLevelType w:val="hybridMultilevel"/>
    <w:lvl w:ilvl="0">
      <w:lvlJc w:val="left"/>
      <w:lvlText w:val="•"/>
      <w:numFmt w:val="bullet"/>
      <w:start w:val="1"/>
    </w:lvl>
  </w:abstractNum>
  <w:abstractNum w:abstractNumId="89">
    <w:nsid w:val="65D2A137"/>
    <w:multiLevelType w:val="hybridMultilevel"/>
    <w:lvl w:ilvl="0">
      <w:lvlJc w:val="left"/>
      <w:lvlText w:val="(%1)"/>
      <w:numFmt w:val="lowerRoman"/>
      <w:start w:val="2"/>
    </w:lvl>
  </w:abstractNum>
  <w:abstractNum w:abstractNumId="90">
    <w:nsid w:val="6EBB1F2A"/>
    <w:multiLevelType w:val="hybridMultilevel"/>
    <w:lvl w:ilvl="0">
      <w:lvlJc w:val="left"/>
      <w:lvlText w:val="•"/>
      <w:numFmt w:val="bullet"/>
      <w:start w:val="1"/>
    </w:lvl>
  </w:abstractNum>
  <w:abstractNum w:abstractNumId="91">
    <w:nsid w:val="6FBF29CB"/>
    <w:multiLevelType w:val="hybridMultilevel"/>
    <w:lvl w:ilvl="0">
      <w:lvlJc w:val="left"/>
      <w:lvlText w:val="•"/>
      <w:numFmt w:val="bullet"/>
      <w:start w:val="1"/>
    </w:lvl>
  </w:abstractNum>
  <w:abstractNum w:abstractNumId="92">
    <w:nsid w:val="550B8808"/>
    <w:multiLevelType w:val="hybridMultilevel"/>
    <w:lvl w:ilvl="0">
      <w:lvlJc w:val="left"/>
      <w:lvlText w:val="•"/>
      <w:numFmt w:val="bullet"/>
      <w:start w:val="1"/>
    </w:lvl>
  </w:abstractNum>
  <w:abstractNum w:abstractNumId="93">
    <w:nsid w:val="34CC3ACF"/>
    <w:multiLevelType w:val="hybridMultilevel"/>
    <w:lvl w:ilvl="0">
      <w:lvlJc w:val="left"/>
      <w:lvlText w:val="•"/>
      <w:numFmt w:val="bullet"/>
      <w:start w:val="1"/>
    </w:lvl>
  </w:abstractNum>
  <w:abstractNum w:abstractNumId="94">
    <w:nsid w:val="4E556261"/>
    <w:multiLevelType w:val="hybridMultilevel"/>
    <w:lvl w:ilvl="0">
      <w:lvlJc w:val="left"/>
      <w:lvlText w:val="•"/>
      <w:numFmt w:val="bullet"/>
      <w:start w:val="1"/>
    </w:lvl>
  </w:abstractNum>
  <w:abstractNum w:abstractNumId="95">
    <w:nsid w:val="4C672FC9"/>
    <w:multiLevelType w:val="hybridMultilevel"/>
    <w:lvl w:ilvl="0">
      <w:lvlJc w:val="left"/>
      <w:lvlText w:val="•"/>
      <w:numFmt w:val="bullet"/>
      <w:start w:val="1"/>
    </w:lvl>
  </w:abstractNum>
  <w:abstractNum w:abstractNumId="96">
    <w:nsid w:val="52A311C3"/>
    <w:multiLevelType w:val="hybridMultilevel"/>
    <w:lvl w:ilvl="0">
      <w:lvlJc w:val="left"/>
      <w:lvlText w:val="(%1)"/>
      <w:numFmt w:val="lowerLetter"/>
      <w:start w:val="25"/>
    </w:lvl>
  </w:abstractNum>
  <w:abstractNum w:abstractNumId="97">
    <w:nsid w:val="44EF6B80"/>
    <w:multiLevelType w:val="hybridMultilevel"/>
    <w:lvl w:ilvl="0">
      <w:lvlJc w:val="left"/>
      <w:lvlText w:val="•"/>
      <w:numFmt w:val="bullet"/>
      <w:start w:val="1"/>
    </w:lvl>
  </w:abstractNum>
  <w:abstractNum w:abstractNumId="98">
    <w:nsid w:val="12FCDE5E"/>
    <w:multiLevelType w:val="hybridMultilevel"/>
    <w:lvl w:ilvl="0">
      <w:lvlJc w:val="left"/>
      <w:lvlText w:val="•"/>
      <w:numFmt w:val="bullet"/>
      <w:start w:val="1"/>
    </w:lvl>
  </w:abstractNum>
  <w:abstractNum w:abstractNumId="99">
    <w:nsid w:val="4A1D606E"/>
    <w:multiLevelType w:val="hybridMultilevel"/>
    <w:lvl w:ilvl="0">
      <w:lvlJc w:val="left"/>
      <w:lvlText w:val="•"/>
      <w:numFmt w:val="bullet"/>
      <w:start w:val="1"/>
    </w:lvl>
  </w:abstractNum>
  <w:abstractNum w:abstractNumId="100">
    <w:nsid w:val="4382503"/>
    <w:multiLevelType w:val="hybridMultilevel"/>
    <w:lvl w:ilvl="0">
      <w:lvlJc w:val="left"/>
      <w:lvlText w:val="•"/>
      <w:numFmt w:val="bullet"/>
      <w:start w:val="1"/>
    </w:lvl>
  </w:abstractNum>
  <w:abstractNum w:abstractNumId="101">
    <w:nsid w:val="59B76E28"/>
    <w:multiLevelType w:val="hybridMultilevel"/>
    <w:lvl w:ilvl="0">
      <w:lvlJc w:val="left"/>
      <w:lvlText w:val="%1."/>
      <w:numFmt w:val="decimal"/>
      <w:start w:val="1"/>
    </w:lvl>
  </w:abstractNum>
  <w:abstractNum w:abstractNumId="102">
    <w:nsid w:val="4252C2DA"/>
    <w:multiLevelType w:val="hybridMultilevel"/>
    <w:lvl w:ilvl="0">
      <w:lvlJc w:val="left"/>
      <w:lvlText w:val="•"/>
      <w:numFmt w:val="bullet"/>
      <w:start w:val="1"/>
    </w:lvl>
  </w:abstractNum>
  <w:abstractNum w:abstractNumId="103">
    <w:nsid w:val="6A92EF4C"/>
    <w:multiLevelType w:val="hybridMultilevel"/>
    <w:lvl w:ilvl="0">
      <w:lvlJc w:val="left"/>
      <w:lvlText w:val="•"/>
      <w:numFmt w:val="bullet"/>
      <w:start w:val="1"/>
    </w:lvl>
  </w:abstractNum>
  <w:abstractNum w:abstractNumId="104">
    <w:nsid w:val="41ED20D7"/>
    <w:multiLevelType w:val="hybridMultilevel"/>
    <w:lvl w:ilvl="0">
      <w:lvlJc w:val="left"/>
      <w:lvlText w:val="•"/>
      <w:numFmt w:val="bullet"/>
      <w:start w:val="1"/>
    </w:lvl>
  </w:abstractNum>
  <w:abstractNum w:abstractNumId="105">
    <w:nsid w:val="E6B3F6A"/>
    <w:multiLevelType w:val="hybridMultilevel"/>
    <w:lvl w:ilvl="0">
      <w:lvlJc w:val="left"/>
      <w:lvlText w:val="•"/>
      <w:numFmt w:val="bullet"/>
      <w:start w:val="1"/>
    </w:lvl>
  </w:abstractNum>
  <w:abstractNum w:abstractNumId="106">
    <w:nsid w:val="3EB21819"/>
    <w:multiLevelType w:val="hybridMultilevel"/>
    <w:lvl w:ilvl="0">
      <w:lvlJc w:val="left"/>
      <w:lvlText w:val="%1."/>
      <w:numFmt w:val="decimal"/>
      <w:start w:val="4"/>
    </w:lvl>
  </w:abstractNum>
  <w:abstractNum w:abstractNumId="107">
    <w:nsid w:val="41531DED"/>
    <w:multiLevelType w:val="hybridMultilevel"/>
    <w:lvl w:ilvl="0">
      <w:lvlJc w:val="left"/>
      <w:lvlText w:val="•"/>
      <w:numFmt w:val="bullet"/>
      <w:start w:val="1"/>
    </w:lvl>
  </w:abstractNum>
  <w:abstractNum w:abstractNumId="108">
    <w:nsid w:val="6353CD2"/>
    <w:multiLevelType w:val="hybridMultilevel"/>
    <w:lvl w:ilvl="0">
      <w:lvlJc w:val="left"/>
      <w:lvlText w:val="(%1)"/>
      <w:numFmt w:val="decimal"/>
      <w:start w:val="1"/>
    </w:lvl>
  </w:abstractNum>
  <w:abstractNum w:abstractNumId="109">
    <w:nsid w:val="683CAAD3"/>
    <w:multiLevelType w:val="hybridMultilevel"/>
    <w:lvl w:ilvl="0">
      <w:lvlJc w:val="left"/>
      <w:lvlText w:val="•"/>
      <w:numFmt w:val="bullet"/>
      <w:start w:val="1"/>
    </w:lvl>
  </w:abstractNum>
  <w:abstractNum w:abstractNumId="110">
    <w:nsid w:val="313C7C99"/>
    <w:multiLevelType w:val="hybridMultilevel"/>
    <w:lvl w:ilvl="0">
      <w:lvlJc w:val="left"/>
      <w:lvlText w:val="•"/>
      <w:numFmt w:val="bullet"/>
      <w:start w:val="1"/>
    </w:lvl>
  </w:abstractNum>
  <w:abstractNum w:abstractNumId="111">
    <w:nsid w:val="519EB94C"/>
    <w:multiLevelType w:val="hybridMultilevel"/>
    <w:lvl w:ilvl="0">
      <w:lvlJc w:val="left"/>
      <w:lvlText w:val="•"/>
      <w:numFmt w:val="bullet"/>
      <w:start w:val="1"/>
    </w:lvl>
  </w:abstractNum>
  <w:abstractNum w:abstractNumId="112">
    <w:nsid w:val="39DF2579"/>
    <w:multiLevelType w:val="hybridMultilevel"/>
    <w:lvl w:ilvl="0">
      <w:lvlJc w:val="left"/>
      <w:lvlText w:val="(%1)"/>
      <w:numFmt w:val="lowerRoman"/>
      <w:start w:val="2"/>
    </w:lvl>
  </w:abstractNum>
  <w:abstractNum w:abstractNumId="113">
    <w:nsid w:val="126E008B"/>
    <w:multiLevelType w:val="hybridMultilevel"/>
    <w:lvl w:ilvl="0">
      <w:lvlJc w:val="left"/>
      <w:lvlText w:val="•"/>
      <w:numFmt w:val="bullet"/>
      <w:start w:val="1"/>
    </w:lvl>
  </w:abstractNum>
  <w:abstractNum w:abstractNumId="114">
    <w:nsid w:val="34DFBC00"/>
    <w:multiLevelType w:val="hybridMultilevel"/>
    <w:lvl w:ilvl="0">
      <w:lvlJc w:val="left"/>
      <w:lvlText w:val="(%1)"/>
      <w:numFmt w:val="lowerRoman"/>
      <w:start w:val="1"/>
    </w:lvl>
  </w:abstractNum>
  <w:abstractNum w:abstractNumId="115">
    <w:nsid w:val="1F9EC322"/>
    <w:multiLevelType w:val="hybridMultilevel"/>
    <w:lvl w:ilvl="0">
      <w:lvlJc w:val="left"/>
      <w:lvlText w:val="•"/>
      <w:numFmt w:val="bullet"/>
      <w:start w:val="1"/>
    </w:lvl>
  </w:abstractNum>
  <w:abstractNum w:abstractNumId="116">
    <w:nsid w:val="3410ED56"/>
    <w:multiLevelType w:val="hybridMultilevel"/>
    <w:lvl w:ilvl="0">
      <w:lvlJc w:val="left"/>
      <w:lvlText w:val="(%1)"/>
      <w:numFmt w:val="decimal"/>
      <w:start w:val="1"/>
    </w:lvl>
  </w:abstractNum>
  <w:abstractNum w:abstractNumId="117">
    <w:nsid w:val="23C049A"/>
    <w:multiLevelType w:val="hybridMultilevel"/>
    <w:lvl w:ilvl="0">
      <w:lvlJc w:val="left"/>
      <w:lvlText w:val="•"/>
      <w:numFmt w:val="bullet"/>
      <w:start w:val="1"/>
    </w:lvl>
  </w:abstractNum>
  <w:abstractNum w:abstractNumId="118">
    <w:nsid w:val="5BDA35D4"/>
    <w:multiLevelType w:val="hybridMultilevel"/>
    <w:lvl w:ilvl="0">
      <w:lvlJc w:val="left"/>
      <w:lvlText w:val="•"/>
      <w:numFmt w:val="bullet"/>
      <w:start w:val="1"/>
    </w:lvl>
  </w:abstractNum>
  <w:abstractNum w:abstractNumId="119">
    <w:nsid w:val="496FB218"/>
    <w:multiLevelType w:val="hybridMultilevel"/>
    <w:lvl w:ilvl="0">
      <w:lvlJc w:val="left"/>
      <w:lvlText w:val="•"/>
      <w:numFmt w:val="bullet"/>
      <w:start w:val="1"/>
    </w:lvl>
  </w:abstractNum>
  <w:abstractNum w:abstractNumId="120">
    <w:nsid w:val="680EA5D1"/>
    <w:multiLevelType w:val="hybridMultilevel"/>
    <w:lvl w:ilvl="0">
      <w:lvlJc w:val="left"/>
      <w:lvlText w:val="(%1)"/>
      <w:numFmt w:val="lowerRoman"/>
      <w:start w:val="3"/>
    </w:lvl>
  </w:abstractNum>
  <w:abstractNum w:abstractNumId="121">
    <w:nsid w:val="4A9554FE"/>
    <w:multiLevelType w:val="hybridMultilevel"/>
    <w:lvl w:ilvl="0">
      <w:lvlJc w:val="left"/>
      <w:lvlText w:val="•"/>
      <w:numFmt w:val="bullet"/>
      <w:start w:val="1"/>
    </w:lvl>
  </w:abstractNum>
  <w:abstractNum w:abstractNumId="122">
    <w:nsid w:val="392EDBE4"/>
    <w:multiLevelType w:val="hybridMultilevel"/>
    <w:lvl w:ilvl="0">
      <w:lvlJc w:val="left"/>
      <w:lvlText w:val="•"/>
      <w:numFmt w:val="bullet"/>
      <w:start w:val="1"/>
    </w:lvl>
  </w:abstractNum>
  <w:abstractNum w:abstractNumId="123">
    <w:nsid w:val="3D1A2DD9"/>
    <w:multiLevelType w:val="hybridMultilevel"/>
    <w:lvl w:ilvl="0">
      <w:lvlJc w:val="left"/>
      <w:lvlText w:val="•"/>
      <w:numFmt w:val="bullet"/>
      <w:start w:val="1"/>
    </w:lvl>
  </w:abstractNum>
  <w:abstractNum w:abstractNumId="124">
    <w:nsid w:val="7F618FCD"/>
    <w:multiLevelType w:val="hybridMultilevel"/>
    <w:lvl w:ilvl="0">
      <w:lvlJc w:val="left"/>
      <w:lvlText w:val="•"/>
      <w:numFmt w:val="bullet"/>
      <w:start w:val="1"/>
    </w:lvl>
  </w:abstractNum>
  <w:abstractNum w:abstractNumId="125">
    <w:nsid w:val="7843E45"/>
    <w:multiLevelType w:val="hybridMultilevel"/>
    <w:lvl w:ilvl="0">
      <w:lvlJc w:val="left"/>
      <w:lvlText w:val="•"/>
      <w:numFmt w:val="bullet"/>
      <w:start w:val="1"/>
    </w:lvl>
  </w:abstractNum>
  <w:abstractNum w:abstractNumId="126">
    <w:nsid w:val="9815DA3"/>
    <w:multiLevelType w:val="hybridMultilevel"/>
    <w:lvl w:ilvl="0">
      <w:lvlJc w:val="left"/>
      <w:lvlText w:val="•"/>
      <w:numFmt w:val="bullet"/>
      <w:start w:val="1"/>
    </w:lvl>
  </w:abstractNum>
  <w:abstractNum w:abstractNumId="127">
    <w:nsid w:val="5204A191"/>
    <w:multiLevelType w:val="hybridMultilevel"/>
    <w:lvl w:ilvl="0">
      <w:lvlJc w:val="left"/>
      <w:lvlText w:val="•"/>
      <w:numFmt w:val="bullet"/>
      <w:start w:val="1"/>
    </w:lvl>
  </w:abstractNum>
  <w:abstractNum w:abstractNumId="128">
    <w:nsid w:val="4C73A9C6"/>
    <w:multiLevelType w:val="hybridMultilevel"/>
    <w:lvl w:ilvl="0">
      <w:lvlJc w:val="left"/>
      <w:lvlText w:val="•"/>
      <w:numFmt w:val="bullet"/>
      <w:start w:val="1"/>
    </w:lvl>
  </w:abstractNum>
  <w:abstractNum w:abstractNumId="129">
    <w:nsid w:val="1C7E3C01"/>
    <w:multiLevelType w:val="hybridMultilevel"/>
    <w:lvl w:ilvl="0">
      <w:lvlJc w:val="left"/>
      <w:lvlText w:val="•"/>
      <w:numFmt w:val="bullet"/>
      <w:start w:val="1"/>
    </w:lvl>
  </w:abstractNum>
  <w:abstractNum w:abstractNumId="130">
    <w:nsid w:val="1C2201FF"/>
    <w:multiLevelType w:val="hybridMultilevel"/>
    <w:lvl w:ilvl="0">
      <w:lvlJc w:val="left"/>
      <w:lvlText w:val="•"/>
      <w:numFmt w:val="bullet"/>
      <w:start w:val="1"/>
    </w:lvl>
  </w:abstractNum>
  <w:abstractNum w:abstractNumId="131">
    <w:nsid w:val="50ABCEC9"/>
    <w:multiLevelType w:val="hybridMultilevel"/>
    <w:lvl w:ilvl="0">
      <w:lvlJc w:val="left"/>
      <w:lvlText w:val="•"/>
      <w:numFmt w:val="bullet"/>
      <w:start w:val="1"/>
    </w:lvl>
  </w:abstractNum>
  <w:abstractNum w:abstractNumId="132">
    <w:nsid w:val="7635AA2A"/>
    <w:multiLevelType w:val="hybridMultilevel"/>
    <w:lvl w:ilvl="0">
      <w:lvlJc w:val="left"/>
      <w:lvlText w:val="(%1)"/>
      <w:numFmt w:val="decimal"/>
      <w:start w:val="1"/>
    </w:lvl>
  </w:abstractNum>
  <w:abstractNum w:abstractNumId="133">
    <w:nsid w:val="5E74C4D9"/>
    <w:multiLevelType w:val="hybridMultilevel"/>
    <w:lvl w:ilvl="0">
      <w:lvlJc w:val="left"/>
      <w:lvlText w:val="(%1)"/>
      <w:numFmt w:val="decimal"/>
      <w:start w:val="1"/>
    </w:lvl>
  </w:abstractNum>
  <w:abstractNum w:abstractNumId="134">
    <w:nsid w:val="3B3EBE15"/>
    <w:multiLevelType w:val="hybridMultilevel"/>
    <w:lvl w:ilvl="0">
      <w:lvlJc w:val="left"/>
      <w:lvlText w:val="(%1)"/>
      <w:numFmt w:val="decimal"/>
      <w:start w:val="1"/>
    </w:lvl>
  </w:abstractNum>
  <w:abstractNum w:abstractNumId="135">
    <w:nsid w:val="3822CB01"/>
    <w:multiLevelType w:val="hybridMultilevel"/>
    <w:lvl w:ilvl="0">
      <w:lvlJc w:val="left"/>
      <w:lvlText w:val="(%1)"/>
      <w:numFmt w:val="decimal"/>
      <w:start w:val="1"/>
    </w:lvl>
  </w:abstractNum>
  <w:abstractNum w:abstractNumId="136">
    <w:nsid w:val="6CE00443"/>
    <w:multiLevelType w:val="hybridMultilevel"/>
    <w:lvl w:ilvl="0">
      <w:lvlJc w:val="left"/>
      <w:lvlText w:val="(%1)"/>
      <w:numFmt w:val="decimal"/>
      <w:start w:val="1"/>
    </w:lvl>
  </w:abstractNum>
  <w:abstractNum w:abstractNumId="137">
    <w:nsid w:val="79F0D62F"/>
    <w:multiLevelType w:val="hybridMultilevel"/>
    <w:lvl w:ilvl="0">
      <w:lvlJc w:val="left"/>
      <w:lvlText w:val="(%1)"/>
      <w:numFmt w:val="decimal"/>
      <w:start w:val="4"/>
    </w:lvl>
  </w:abstractNum>
  <w:abstractNum w:abstractNumId="138">
    <w:nsid w:val="7975E8EE"/>
    <w:multiLevelType w:val="hybridMultilevel"/>
    <w:lvl w:ilvl="0">
      <w:lvlJc w:val="left"/>
      <w:lvlText w:val="(%1)"/>
      <w:numFmt w:val="decimal"/>
      <w:start w:val="1"/>
    </w:lvl>
  </w:abstractNum>
  <w:abstractNum w:abstractNumId="139">
    <w:nsid w:val="73154115"/>
    <w:multiLevelType w:val="hybridMultilevel"/>
    <w:lvl w:ilvl="0">
      <w:lvlJc w:val="left"/>
      <w:lvlText w:val="(%1)"/>
      <w:numFmt w:val="lowerRoman"/>
      <w:start w:val="1"/>
    </w:lvl>
  </w:abstractNum>
  <w:abstractNum w:abstractNumId="140">
    <w:nsid w:val="622D8102"/>
    <w:multiLevelType w:val="hybridMultilevel"/>
    <w:lvl w:ilvl="0">
      <w:lvlJc w:val="left"/>
      <w:lvlText w:val="(%1)"/>
      <w:numFmt w:val="decimal"/>
      <w:start w:val="1"/>
    </w:lvl>
  </w:abstractNum>
  <w:abstractNum w:abstractNumId="141">
    <w:nsid w:val="2AB26587"/>
    <w:multiLevelType w:val="hybridMultilevel"/>
    <w:lvl w:ilvl="0">
      <w:lvlJc w:val="left"/>
      <w:lvlText w:val="(%1)"/>
      <w:numFmt w:val="decimal"/>
      <w:start w:val="6"/>
    </w:lvl>
  </w:abstractNum>
  <w:abstractNum w:abstractNumId="142">
    <w:nsid w:val="44B3FA61"/>
    <w:multiLevelType w:val="hybridMultilevel"/>
    <w:lvl w:ilvl="0">
      <w:lvlJc w:val="left"/>
      <w:lvlText w:val="(%1)"/>
      <w:numFmt w:val="decimal"/>
      <w:start w:val="1"/>
    </w:lvl>
  </w:abstractNum>
  <w:abstractNum w:abstractNumId="143">
    <w:nsid w:val="1C0CA67C"/>
    <w:multiLevelType w:val="hybridMultilevel"/>
    <w:lvl w:ilvl="0">
      <w:lvlJc w:val="left"/>
      <w:lvlText w:val="(%1)"/>
      <w:numFmt w:val="decimal"/>
      <w:start w:val="1"/>
    </w:lvl>
  </w:abstractNum>
  <w:abstractNum w:abstractNumId="144">
    <w:nsid w:val="3D206613"/>
    <w:multiLevelType w:val="hybridMultilevel"/>
    <w:lvl w:ilvl="0">
      <w:lvlJc w:val="left"/>
      <w:lvlText w:val="(%1)"/>
      <w:numFmt w:val="decimal"/>
      <w:start w:val="5"/>
    </w:lvl>
  </w:abstractNum>
  <w:abstractNum w:abstractNumId="145">
    <w:nsid w:val="7993B662"/>
    <w:multiLevelType w:val="hybridMultilevel"/>
    <w:lvl w:ilvl="0">
      <w:lvlJc w:val="left"/>
      <w:lvlText w:val="*"/>
      <w:numFmt w:val="bullet"/>
      <w:start w:val="1"/>
    </w:lvl>
  </w:abstractNum>
  <w:abstractNum w:abstractNumId="146">
    <w:nsid w:val="3BAB699E"/>
    <w:multiLevelType w:val="hybridMultilevel"/>
    <w:lvl w:ilvl="0">
      <w:lvlJc w:val="left"/>
      <w:lvlText w:val="**"/>
      <w:numFmt w:val="bullet"/>
      <w:start w:val="1"/>
    </w:lvl>
  </w:abstractNum>
  <w:abstractNum w:abstractNumId="147">
    <w:nsid w:val="71315369"/>
    <w:multiLevelType w:val="hybridMultilevel"/>
    <w:lvl w:ilvl="0">
      <w:lvlJc w:val="left"/>
      <w:lvlText w:val="%1."/>
      <w:numFmt w:val="decimal"/>
      <w:start w:val="3"/>
    </w:lvl>
  </w:abstractNum>
  <w:abstractNum w:abstractNumId="148">
    <w:nsid w:val="7BCFBAFC"/>
    <w:multiLevelType w:val="hybridMultilevel"/>
    <w:lvl w:ilvl="0">
      <w:lvlJc w:val="left"/>
      <w:lvlText w:val="%1."/>
      <w:numFmt w:val="decimal"/>
      <w:start w:val="4"/>
    </w:lvl>
  </w:abstractNum>
  <w:abstractNum w:abstractNumId="149">
    <w:nsid w:val="17859F72"/>
    <w:multiLevelType w:val="hybridMultilevel"/>
    <w:lvl w:ilvl="0">
      <w:lvlJc w:val="left"/>
      <w:lvlText w:val="%1."/>
      <w:numFmt w:val="decimal"/>
      <w:start w:val="7"/>
    </w:lvl>
  </w:abstractNum>
  <w:abstractNum w:abstractNumId="150">
    <w:nsid w:val="3AA10581"/>
    <w:multiLevelType w:val="hybridMultilevel"/>
    <w:lvl w:ilvl="0">
      <w:lvlJc w:val="left"/>
      <w:lvlText w:val="%1."/>
      <w:numFmt w:val="decimal"/>
      <w:start w:val="8"/>
    </w:lvl>
  </w:abstractNum>
  <w:abstractNum w:abstractNumId="151">
    <w:nsid w:val="63DE60CD"/>
    <w:multiLevelType w:val="hybridMultilevel"/>
    <w:lvl w:ilvl="0">
      <w:lvlJc w:val="left"/>
      <w:lvlText w:val="%1."/>
      <w:numFmt w:val="decimal"/>
      <w:start w:val="3"/>
    </w:lvl>
  </w:abstractNum>
  <w:abstractNum w:abstractNumId="152">
    <w:nsid w:val="621AF471"/>
    <w:multiLevelType w:val="hybridMultilevel"/>
    <w:lvl w:ilvl="0">
      <w:lvlJc w:val="left"/>
      <w:lvlText w:val="•"/>
      <w:numFmt w:val="bullet"/>
      <w:start w:val="1"/>
    </w:lvl>
  </w:abstractNum>
  <w:abstractNum w:abstractNumId="153">
    <w:nsid w:val="73CFE165"/>
    <w:multiLevelType w:val="hybridMultilevel"/>
    <w:lvl w:ilvl="0">
      <w:lvlJc w:val="left"/>
      <w:lvlText w:val="•"/>
      <w:numFmt w:val="bullet"/>
      <w:start w:val="1"/>
    </w:lvl>
  </w:abstractNum>
  <w:abstractNum w:abstractNumId="154">
    <w:nsid w:val="20F88EA6"/>
    <w:multiLevelType w:val="hybridMultilevel"/>
    <w:lvl w:ilvl="0">
      <w:lvlJc w:val="left"/>
      <w:lvlText w:val="•"/>
      <w:numFmt w:val="bullet"/>
      <w:start w:val="1"/>
    </w:lvl>
  </w:abstractNum>
  <w:abstractNum w:abstractNumId="155">
    <w:nsid w:val="617C843E"/>
    <w:multiLevelType w:val="hybridMultilevel"/>
    <w:lvl w:ilvl="0">
      <w:lvlJc w:val="left"/>
      <w:lvlText w:val="*"/>
      <w:numFmt w:val="bullet"/>
      <w:start w:val="1"/>
    </w:lvl>
  </w:abstractNum>
  <w:abstractNum w:abstractNumId="156">
    <w:nsid w:val="7B541FAB"/>
    <w:multiLevelType w:val="hybridMultilevel"/>
    <w:lvl w:ilvl="0">
      <w:lvlJc w:val="left"/>
      <w:lvlText w:val="*"/>
      <w:numFmt w:val="bullet"/>
      <w:start w:val="1"/>
    </w:lvl>
  </w:abstractNum>
  <w:abstractNum w:abstractNumId="157">
    <w:nsid w:val="2A79EC49"/>
    <w:multiLevelType w:val="hybridMultilevel"/>
    <w:lvl w:ilvl="0">
      <w:lvlJc w:val="left"/>
      <w:lvlText w:val="*"/>
      <w:numFmt w:val="bullet"/>
      <w:start w:val="1"/>
    </w:lvl>
  </w:abstractNum>
  <w:abstractNum w:abstractNumId="158">
    <w:nsid w:val="338125CF"/>
    <w:multiLevelType w:val="hybridMultilevel"/>
    <w:lvl w:ilvl="0">
      <w:lvlJc w:val="left"/>
      <w:lvlText w:val="(%1)"/>
      <w:numFmt w:val="lowerLetter"/>
      <w:start w:val="1"/>
    </w:lvl>
  </w:abstractNum>
  <w:abstractNum w:abstractNumId="159">
    <w:nsid w:val="47C7C971"/>
    <w:multiLevelType w:val="hybridMultilevel"/>
    <w:lvl w:ilvl="0">
      <w:lvlJc w:val="left"/>
      <w:lvlText w:val="(%1)"/>
      <w:numFmt w:val="lowerLetter"/>
      <w:start w:val="5"/>
    </w:lvl>
  </w:abstractNum>
  <w:abstractNum w:abstractNumId="160">
    <w:nsid w:val="46F8284B"/>
    <w:multiLevelType w:val="hybridMultilevel"/>
    <w:lvl w:ilvl="0">
      <w:lvlJc w:val="left"/>
      <w:lvlText w:val="(%1)"/>
      <w:numFmt w:val="lowerLetter"/>
      <w:start w:val="1"/>
    </w:lvl>
    <w:lvl w:ilvl="1">
      <w:lvlJc w:val="left"/>
      <w:lvlText w:val="(%2)"/>
      <w:numFmt w:val="lowerRoman"/>
      <w:start w:val="4"/>
    </w:lvl>
  </w:abstractNum>
  <w:abstractNum w:abstractNumId="161">
    <w:nsid w:val="4FA327CE"/>
    <w:multiLevelType w:val="hybridMultilevel"/>
    <w:lvl w:ilvl="0">
      <w:lvlJc w:val="left"/>
      <w:lvlText w:val="*"/>
      <w:numFmt w:val="bullet"/>
      <w:start w:val="1"/>
    </w:lvl>
  </w:abstractNum>
  <w:abstractNum w:abstractNumId="162">
    <w:nsid w:val="1873983A"/>
    <w:multiLevelType w:val="hybridMultilevel"/>
    <w:lvl w:ilvl="0">
      <w:lvlJc w:val="left"/>
      <w:lvlText w:val="*"/>
      <w:numFmt w:val="bullet"/>
      <w:start w:val="1"/>
    </w:lvl>
  </w:abstractNum>
  <w:abstractNum w:abstractNumId="163">
    <w:nsid w:val="3D2DD275"/>
    <w:multiLevelType w:val="hybridMultilevel"/>
    <w:lvl w:ilvl="0">
      <w:lvlJc w:val="left"/>
      <w:lvlText w:val="(%1)"/>
      <w:numFmt w:val="lowerLetter"/>
      <w:start w:val="21"/>
    </w:lvl>
  </w:abstractNum>
  <w:abstractNum w:abstractNumId="164">
    <w:nsid w:val="2E17ECA7"/>
    <w:multiLevelType w:val="hybridMultilevel"/>
    <w:lvl w:ilvl="0">
      <w:lvlJc w:val="left"/>
      <w:lvlText w:val="(%1)"/>
      <w:numFmt w:val="lowerLetter"/>
      <w:start w:val="1"/>
    </w:lvl>
  </w:abstractNum>
  <w:abstractNum w:abstractNumId="165">
    <w:nsid w:val="53B2564F"/>
    <w:multiLevelType w:val="hybridMultilevel"/>
    <w:lvl w:ilvl="0">
      <w:lvlJc w:val="left"/>
      <w:lvlText w:val="(%1)"/>
      <w:numFmt w:val="lowerLetter"/>
      <w:start w:val="1"/>
    </w:lvl>
  </w:abstractNum>
  <w:abstractNum w:abstractNumId="166">
    <w:nsid w:val="75509D76"/>
    <w:multiLevelType w:val="hybridMultilevel"/>
    <w:lvl w:ilvl="0">
      <w:lvlJc w:val="left"/>
      <w:lvlText w:val="(%1)"/>
      <w:numFmt w:val="lowerLetter"/>
      <w:start w:val="4"/>
    </w:lvl>
  </w:abstractNum>
  <w:abstractNum w:abstractNumId="167">
    <w:nsid w:val="1AF7F0EA"/>
    <w:multiLevelType w:val="hybridMultilevel"/>
    <w:lvl w:ilvl="0">
      <w:lvlJc w:val="left"/>
      <w:lvlText w:val="(%1)"/>
      <w:numFmt w:val="lowerLetter"/>
      <w:start w:val="1"/>
    </w:lvl>
  </w:abstractNum>
  <w:abstractNum w:abstractNumId="168">
    <w:nsid w:val="4DA32C7E"/>
    <w:multiLevelType w:val="hybridMultilevel"/>
    <w:lvl w:ilvl="0">
      <w:lvlJc w:val="left"/>
      <w:lvlText w:val="(%1)"/>
      <w:numFmt w:val="lowerLetter"/>
      <w:start w:val="5"/>
    </w:lvl>
  </w:abstractNum>
  <w:abstractNum w:abstractNumId="169">
    <w:nsid w:val="6EC68664"/>
    <w:multiLevelType w:val="hybridMultilevel"/>
    <w:lvl w:ilvl="0">
      <w:lvlJc w:val="left"/>
      <w:lvlText w:val="•"/>
      <w:numFmt w:val="bullet"/>
      <w:start w:val="1"/>
    </w:lvl>
  </w:abstractNum>
  <w:abstractNum w:abstractNumId="170">
    <w:nsid w:val="E0D31FF"/>
    <w:multiLevelType w:val="hybridMultilevel"/>
    <w:lvl w:ilvl="0">
      <w:lvlJc w:val="left"/>
      <w:lvlText w:val="(%1)"/>
      <w:numFmt w:val="decimal"/>
      <w:start w:val="1"/>
    </w:lvl>
  </w:abstractNum>
  <w:abstractNum w:abstractNumId="171">
    <w:nsid w:val="2FD0AD81"/>
    <w:multiLevelType w:val="hybridMultilevel"/>
    <w:lvl w:ilvl="0">
      <w:lvlJc w:val="left"/>
      <w:lvlText w:val="•"/>
      <w:numFmt w:val="bullet"/>
      <w:start w:val="1"/>
    </w:lvl>
  </w:abstractNum>
  <w:abstractNum w:abstractNumId="172">
    <w:nsid w:val="1978EBEB"/>
    <w:multiLevelType w:val="hybridMultilevel"/>
    <w:lvl w:ilvl="0">
      <w:lvlJc w:val="left"/>
      <w:lvlText w:val="(%1)"/>
      <w:numFmt w:val="decimal"/>
      <w:start w:val="1"/>
    </w:lvl>
  </w:abstractNum>
  <w:abstractNum w:abstractNumId="173">
    <w:nsid w:val="52C12C61"/>
    <w:multiLevelType w:val="hybridMultilevel"/>
    <w:lvl w:ilvl="0">
      <w:lvlJc w:val="left"/>
      <w:lvlText w:val="*"/>
      <w:numFmt w:val="bullet"/>
      <w:start w:val="1"/>
    </w:lvl>
  </w:abstractNum>
  <w:abstractNum w:abstractNumId="174">
    <w:nsid w:val="4BDD53FD"/>
    <w:multiLevelType w:val="hybridMultilevel"/>
    <w:lvl w:ilvl="0">
      <w:lvlJc w:val="left"/>
      <w:lvlText w:val="(%1)"/>
      <w:numFmt w:val="lowerLetter"/>
      <w:start w:val="1"/>
    </w:lvl>
  </w:abstractNum>
  <w:abstractNum w:abstractNumId="175">
    <w:nsid w:val="569951FE"/>
    <w:multiLevelType w:val="hybridMultilevel"/>
    <w:lvl w:ilvl="0">
      <w:lvlJc w:val="left"/>
      <w:lvlText w:val="(%1)"/>
      <w:numFmt w:val="lowerLetter"/>
      <w:start w:val="1"/>
    </w:lvl>
  </w:abstractNum>
  <w:abstractNum w:abstractNumId="176">
    <w:nsid w:val="4C54E2C3"/>
    <w:multiLevelType w:val="hybridMultilevel"/>
    <w:lvl w:ilvl="0">
      <w:lvlJc w:val="left"/>
      <w:lvlText w:val="(%1)"/>
      <w:numFmt w:val="lowerLetter"/>
      <w:start w:val="1"/>
    </w:lvl>
  </w:abstractNum>
  <w:abstractNum w:abstractNumId="177">
    <w:nsid w:val="788BD9B"/>
    <w:multiLevelType w:val="hybridMultilevel"/>
    <w:lvl w:ilvl="0">
      <w:lvlJc w:val="left"/>
      <w:lvlText w:val="(%1)"/>
      <w:numFmt w:val="lowerLetter"/>
      <w:start w:val="1"/>
    </w:lvl>
  </w:abstractNum>
  <w:abstractNum w:abstractNumId="178">
    <w:nsid w:val="47CAA567"/>
    <w:multiLevelType w:val="hybridMultilevel"/>
    <w:lvl w:ilvl="0">
      <w:lvlJc w:val="left"/>
      <w:lvlText w:val="(%1)"/>
      <w:numFmt w:val="lowerLetter"/>
      <w:start w:val="1"/>
    </w:lvl>
  </w:abstractNum>
  <w:abstractNum w:abstractNumId="179">
    <w:nsid w:val="48249DBF"/>
    <w:multiLevelType w:val="hybridMultilevel"/>
    <w:lvl w:ilvl="0">
      <w:lvlJc w:val="left"/>
      <w:lvlText w:val="(%1)"/>
      <w:numFmt w:val="lowerLetter"/>
      <w:start w:val="5"/>
    </w:lvl>
  </w:abstractNum>
  <w:abstractNum w:abstractNumId="180">
    <w:nsid w:val="1F0E5D0D"/>
    <w:multiLevelType w:val="hybridMultilevel"/>
    <w:lvl w:ilvl="0">
      <w:lvlJc w:val="left"/>
      <w:lvlText w:val="(%1)"/>
      <w:numFmt w:val="lowerLetter"/>
      <w:start w:val="1"/>
    </w:lvl>
  </w:abstractNum>
  <w:abstractNum w:abstractNumId="181">
    <w:nsid w:val="26BAAE9"/>
    <w:multiLevelType w:val="hybridMultilevel"/>
    <w:lvl w:ilvl="0">
      <w:lvlJc w:val="left"/>
      <w:lvlText w:val="(%1)"/>
      <w:numFmt w:val="lowerLetter"/>
      <w:start w:val="6"/>
    </w:lvl>
  </w:abstractNum>
  <w:abstractNum w:abstractNumId="182">
    <w:nsid w:val="2C02FE8C"/>
    <w:multiLevelType w:val="hybridMultilevel"/>
    <w:lvl w:ilvl="0">
      <w:lvlJc w:val="left"/>
      <w:lvlText w:val="%1"/>
      <w:numFmt w:val="lowerLetter"/>
      <w:start w:val="1"/>
    </w:lvl>
    <w:lvl w:ilvl="1">
      <w:lvlJc w:val="left"/>
      <w:lvlText w:val="(%2)"/>
      <w:numFmt w:val="lowerLetter"/>
      <w:start w:val="2"/>
    </w:lvl>
  </w:abstractNum>
  <w:abstractNum w:abstractNumId="183">
    <w:nsid w:val="129517E"/>
    <w:multiLevelType w:val="hybridMultilevel"/>
    <w:lvl w:ilvl="0">
      <w:lvlJc w:val="left"/>
      <w:lvlText w:val="(%1)"/>
      <w:numFmt w:val="lowerLetter"/>
      <w:start w:val="9"/>
    </w:lvl>
    <w:lvl w:ilvl="1">
      <w:lvlJc w:val="left"/>
      <w:lvlText w:val="%2"/>
      <w:numFmt w:val="lowerLetter"/>
      <w:start w:val="1"/>
    </w:lvl>
  </w:abstractNum>
  <w:abstractNum w:abstractNumId="184">
    <w:nsid w:val="763B8C4E"/>
    <w:multiLevelType w:val="hybridMultilevel"/>
    <w:lvl w:ilvl="0">
      <w:lvlJc w:val="left"/>
      <w:lvlText w:val="(%1)"/>
      <w:numFmt w:val="lowerLetter"/>
      <w:start w:val="4"/>
    </w:lvl>
  </w:abstractNum>
  <w:abstractNum w:abstractNumId="185">
    <w:nsid w:val="4CFB8D32"/>
    <w:multiLevelType w:val="hybridMultilevel"/>
    <w:lvl w:ilvl="0">
      <w:lvlJc w:val="left"/>
      <w:lvlText w:val="(%1)"/>
      <w:numFmt w:val="lowerLetter"/>
      <w:start w:val="1"/>
    </w:lvl>
  </w:abstractNum>
  <w:abstractNum w:abstractNumId="186">
    <w:nsid w:val="62A5D5BD"/>
    <w:multiLevelType w:val="hybridMultilevel"/>
    <w:lvl w:ilvl="0">
      <w:lvlJc w:val="left"/>
      <w:lvlText w:val="(%1)"/>
      <w:numFmt w:val="lowerRoman"/>
      <w:start w:val="1"/>
    </w:lvl>
  </w:abstractNum>
  <w:abstractNum w:abstractNumId="187">
    <w:nsid w:val="718FABF9"/>
    <w:multiLevelType w:val="hybridMultilevel"/>
    <w:lvl w:ilvl="0">
      <w:lvlJc w:val="left"/>
      <w:lvlText w:val="(%1)"/>
      <w:numFmt w:val="lowerLetter"/>
      <w:start w:val="1"/>
    </w:lvl>
  </w:abstractNum>
  <w:abstractNum w:abstractNumId="188">
    <w:nsid w:val="7775797C"/>
    <w:multiLevelType w:val="hybridMultilevel"/>
    <w:lvl w:ilvl="0">
      <w:lvlJc w:val="left"/>
      <w:lvlText w:val="(%1)"/>
      <w:numFmt w:val="lowerLetter"/>
      <w:start w:val="1"/>
    </w:lvl>
  </w:abstractNum>
  <w:abstractNum w:abstractNumId="189">
    <w:nsid w:val="1626FB8C"/>
    <w:multiLevelType w:val="hybridMultilevel"/>
    <w:lvl w:ilvl="0">
      <w:lvlJc w:val="left"/>
      <w:lvlText w:val="(%1)"/>
      <w:numFmt w:val="lowerLetter"/>
      <w:start w:val="3"/>
    </w:lvl>
  </w:abstractNum>
  <w:abstractNum w:abstractNumId="190">
    <w:nsid w:val="3957756A"/>
    <w:multiLevelType w:val="hybridMultilevel"/>
    <w:lvl w:ilvl="0">
      <w:lvlJc w:val="left"/>
      <w:lvlText w:val="%1"/>
      <w:numFmt w:val="lowerLetter"/>
      <w:start w:val="1"/>
    </w:lvl>
    <w:lvl w:ilvl="1">
      <w:lvlJc w:val="left"/>
      <w:lvlText w:val="(%2)"/>
      <w:numFmt w:val="lowerLetter"/>
      <w:start w:val="1"/>
    </w:lvl>
  </w:abstractNum>
  <w:abstractNum w:abstractNumId="191">
    <w:nsid w:val="3E6DA1C7"/>
    <w:multiLevelType w:val="hybridMultilevel"/>
    <w:lvl w:ilvl="0">
      <w:lvlJc w:val="left"/>
      <w:lvlText w:val="(%1)"/>
      <w:numFmt w:val="lowerLetter"/>
      <w:start w:val="35"/>
    </w:lvl>
    <w:lvl w:ilvl="1">
      <w:lvlJc w:val="left"/>
      <w:lvlText w:val="%2"/>
      <w:numFmt w:val="lowerLetter"/>
      <w:start w:val="1"/>
    </w:lvl>
  </w:abstractNum>
  <w:abstractNum w:abstractNumId="192">
    <w:nsid w:val="65CA235B"/>
    <w:multiLevelType w:val="hybridMultilevel"/>
    <w:lvl w:ilvl="0">
      <w:lvlJc w:val="left"/>
      <w:lvlText w:val="(%1)"/>
      <w:numFmt w:val="lowerLetter"/>
      <w:start w:val="1"/>
    </w:lvl>
  </w:abstractNum>
  <w:abstractNum w:abstractNumId="193">
    <w:nsid w:val="51CB0DA4"/>
    <w:multiLevelType w:val="hybridMultilevel"/>
    <w:lvl w:ilvl="0">
      <w:lvlJc w:val="left"/>
      <w:lvlText w:val="(%1)"/>
      <w:numFmt w:val="lowerLetter"/>
      <w:start w:val="3"/>
    </w:lvl>
  </w:abstractNum>
  <w:abstractNum w:abstractNumId="194">
    <w:nsid w:val="7B9B743C"/>
    <w:multiLevelType w:val="hybridMultilevel"/>
    <w:lvl w:ilvl="0">
      <w:lvlJc w:val="left"/>
      <w:lvlText w:val="(%1)"/>
      <w:numFmt w:val="lowerLetter"/>
      <w:start w:val="1"/>
    </w:lvl>
  </w:abstractNum>
  <w:abstractNum w:abstractNumId="195">
    <w:nsid w:val="13E21002"/>
    <w:multiLevelType w:val="hybridMultilevel"/>
    <w:lvl w:ilvl="0">
      <w:lvlJc w:val="left"/>
      <w:lvlText w:val="(%1)"/>
      <w:numFmt w:val="lowerLetter"/>
      <w:start w:val="1"/>
    </w:lvl>
  </w:abstractNum>
  <w:abstractNum w:abstractNumId="196">
    <w:nsid w:val="257D63F4"/>
    <w:multiLevelType w:val="hybridMultilevel"/>
    <w:lvl w:ilvl="0">
      <w:lvlJc w:val="left"/>
      <w:lvlText w:val="(%1)"/>
      <w:numFmt w:val="lowerLetter"/>
      <w:start w:val="4"/>
    </w:lvl>
  </w:abstractNum>
  <w:abstractNum w:abstractNumId="197">
    <w:nsid w:val="70EC11B2"/>
    <w:multiLevelType w:val="hybridMultilevel"/>
    <w:lvl w:ilvl="0">
      <w:lvlJc w:val="left"/>
      <w:lvlText w:val="(%1)"/>
      <w:numFmt w:val="lowerRoman"/>
      <w:start w:val="1"/>
    </w:lvl>
  </w:abstractNum>
  <w:abstractNum w:abstractNumId="198">
    <w:nsid w:val="2EDA00ED"/>
    <w:multiLevelType w:val="hybridMultilevel"/>
    <w:lvl w:ilvl="0">
      <w:lvlJc w:val="left"/>
      <w:lvlText w:val="(%1)"/>
      <w:numFmt w:val="lowerLetter"/>
      <w:start w:val="1"/>
    </w:lvl>
  </w:abstractNum>
  <w:abstractNum w:abstractNumId="199">
    <w:nsid w:val="73209072"/>
    <w:multiLevelType w:val="hybridMultilevel"/>
    <w:lvl w:ilvl="0">
      <w:lvlJc w:val="left"/>
      <w:lvlText w:val="(%1)"/>
      <w:numFmt w:val="lowerLetter"/>
      <w:start w:val="1"/>
    </w:lvl>
  </w:abstractNum>
  <w:abstractNum w:abstractNumId="200">
    <w:nsid w:val="5FB29816"/>
    <w:multiLevelType w:val="hybridMultilevel"/>
    <w:lvl w:ilvl="0">
      <w:lvlJc w:val="left"/>
      <w:lvlText w:val="(%1)"/>
      <w:numFmt w:val="lowerLetter"/>
      <w:start w:val="1"/>
    </w:lvl>
  </w:abstractNum>
  <w:abstractNum w:abstractNumId="201">
    <w:nsid w:val="3CE732EC"/>
    <w:multiLevelType w:val="hybridMultilevel"/>
    <w:lvl w:ilvl="0">
      <w:lvlJc w:val="left"/>
      <w:lvlText w:val="(%1)"/>
      <w:numFmt w:val="lowerLetter"/>
      <w:start w:val="1"/>
    </w:lvl>
  </w:abstractNum>
  <w:abstractNum w:abstractNumId="202">
    <w:nsid w:val="22F13DF3"/>
    <w:multiLevelType w:val="hybridMultilevel"/>
    <w:lvl w:ilvl="0">
      <w:lvlJc w:val="left"/>
      <w:lvlText w:val="(%1)"/>
      <w:numFmt w:val="lowerLetter"/>
      <w:start w:val="1"/>
    </w:lvl>
  </w:abstractNum>
  <w:abstractNum w:abstractNumId="203">
    <w:nsid w:val="792B8401"/>
    <w:multiLevelType w:val="hybridMultilevel"/>
    <w:lvl w:ilvl="0">
      <w:lvlJc w:val="left"/>
      <w:lvlText w:val="%1"/>
      <w:numFmt w:val="lowerLetter"/>
      <w:start w:val="1"/>
    </w:lvl>
    <w:lvl w:ilvl="1">
      <w:lvlJc w:val="left"/>
      <w:lvlText w:val="(%2)"/>
      <w:numFmt w:val="lowerLetter"/>
      <w:start w:val="2"/>
    </w:lvl>
  </w:abstractNum>
  <w:abstractNum w:abstractNumId="204">
    <w:nsid w:val="FA85F4D"/>
    <w:multiLevelType w:val="hybridMultilevel"/>
    <w:lvl w:ilvl="0">
      <w:lvlJc w:val="left"/>
      <w:lvlText w:val="(%1)"/>
      <w:numFmt w:val="lowerLetter"/>
      <w:start w:val="61"/>
    </w:lvl>
    <w:lvl w:ilvl="1">
      <w:lvlJc w:val="left"/>
      <w:lvlText w:val="(%2)"/>
      <w:numFmt w:val="lowerLetter"/>
      <w:start w:val="3"/>
    </w:lvl>
  </w:abstractNum>
  <w:abstractNum w:abstractNumId="205">
    <w:nsid w:val="6ECE91F0"/>
    <w:multiLevelType w:val="hybridMultilevel"/>
    <w:lvl w:ilvl="0">
      <w:lvlJc w:val="left"/>
      <w:lvlText w:val="(%1)"/>
      <w:numFmt w:val="lowerLetter"/>
      <w:start w:val="35"/>
    </w:lvl>
    <w:lvl w:ilvl="1">
      <w:lvlJc w:val="left"/>
      <w:lvlText w:val="(%2)"/>
      <w:numFmt w:val="lowerLetter"/>
      <w:start w:val="4"/>
    </w:lvl>
  </w:abstractNum>
  <w:abstractNum w:abstractNumId="206">
    <w:nsid w:val="4FC4D600"/>
    <w:multiLevelType w:val="hybridMultilevel"/>
    <w:lvl w:ilvl="0">
      <w:lvlJc w:val="left"/>
      <w:lvlText w:val="(%1)"/>
      <w:numFmt w:val="lowerLetter"/>
      <w:start w:val="1"/>
    </w:lvl>
  </w:abstractNum>
  <w:abstractNum w:abstractNumId="207">
    <w:nsid w:val="5BFD4210"/>
    <w:multiLevelType w:val="hybridMultilevel"/>
    <w:lvl w:ilvl="0">
      <w:lvlJc w:val="left"/>
      <w:lvlText w:val="(%1)"/>
      <w:numFmt w:val="lowerLetter"/>
      <w:start w:val="1"/>
    </w:lvl>
  </w:abstractNum>
  <w:abstractNum w:abstractNumId="208">
    <w:nsid w:val="76574F8B"/>
    <w:multiLevelType w:val="hybridMultilevel"/>
    <w:lvl w:ilvl="0">
      <w:lvlJc w:val="left"/>
      <w:lvlText w:val="(%1)"/>
      <w:numFmt w:val="lowerLetter"/>
      <w:start w:val="1"/>
    </w:lvl>
  </w:abstractNum>
  <w:abstractNum w:abstractNumId="209">
    <w:nsid w:val="178F7B67"/>
    <w:multiLevelType w:val="hybridMultilevel"/>
    <w:lvl w:ilvl="0">
      <w:lvlJc w:val="left"/>
      <w:lvlText w:val="(%1)"/>
      <w:numFmt w:val="lowerLetter"/>
      <w:start w:val="1"/>
    </w:lvl>
  </w:abstractNum>
  <w:abstractNum w:abstractNumId="210">
    <w:nsid w:val="2421DFCF"/>
    <w:multiLevelType w:val="hybridMultilevel"/>
    <w:lvl w:ilvl="0">
      <w:lvlJc w:val="left"/>
      <w:lvlText w:val="(%1)"/>
      <w:numFmt w:val="lowerLetter"/>
      <w:start w:val="2"/>
    </w:lvl>
  </w:abstractNum>
  <w:abstractNum w:abstractNumId="211">
    <w:nsid w:val="1565AC99"/>
    <w:multiLevelType w:val="hybridMultilevel"/>
    <w:lvl w:ilvl="0">
      <w:lvlJc w:val="left"/>
      <w:lvlText w:val="(%1)"/>
      <w:numFmt w:val="lowerLetter"/>
      <w:start w:val="1"/>
    </w:lvl>
  </w:abstractNum>
  <w:abstractNum w:abstractNumId="212">
    <w:nsid w:val="19FB2650"/>
    <w:multiLevelType w:val="hybridMultilevel"/>
    <w:lvl w:ilvl="0">
      <w:lvlJc w:val="left"/>
      <w:lvlText w:val="(%1)"/>
      <w:numFmt w:val="lowerLetter"/>
      <w:start w:val="1"/>
    </w:lvl>
  </w:abstractNum>
  <w:abstractNum w:abstractNumId="213">
    <w:nsid w:val="5024DE5B"/>
    <w:multiLevelType w:val="hybridMultilevel"/>
    <w:lvl w:ilvl="0">
      <w:lvlJc w:val="left"/>
      <w:lvlText w:val="(%1)"/>
      <w:numFmt w:val="lowerLetter"/>
      <w:start w:val="1"/>
    </w:lvl>
  </w:abstractNum>
  <w:abstractNum w:abstractNumId="214">
    <w:nsid w:val="168EFE17"/>
    <w:multiLevelType w:val="hybridMultilevel"/>
    <w:lvl w:ilvl="0">
      <w:lvlJc w:val="left"/>
      <w:lvlText w:val="(%1)"/>
      <w:numFmt w:val="lowerLetter"/>
      <w:start w:val="1"/>
    </w:lvl>
  </w:abstractNum>
  <w:abstractNum w:abstractNumId="215">
    <w:nsid w:val="1036B29F"/>
    <w:multiLevelType w:val="hybridMultilevel"/>
    <w:lvl w:ilvl="0">
      <w:lvlJc w:val="left"/>
      <w:lvlText w:val="(%1)"/>
      <w:numFmt w:val="lowerLetter"/>
      <w:start w:val="1"/>
    </w:lvl>
  </w:abstractNum>
  <w:abstractNum w:abstractNumId="216">
    <w:nsid w:val="1D206B8E"/>
    <w:multiLevelType w:val="hybridMultilevel"/>
    <w:lvl w:ilvl="0">
      <w:lvlJc w:val="left"/>
      <w:lvlText w:val="(%1)"/>
      <w:numFmt w:val="lowerLetter"/>
      <w:start w:val="2"/>
    </w:lvl>
  </w:abstractNum>
  <w:abstractNum w:abstractNumId="217">
    <w:nsid w:val="7934D3D4"/>
    <w:multiLevelType w:val="hybridMultilevel"/>
    <w:lvl w:ilvl="0">
      <w:lvlJc w:val="left"/>
      <w:lvlText w:val="(%1)"/>
      <w:numFmt w:val="lowerLetter"/>
      <w:start w:val="1"/>
    </w:lvl>
    <w:lvl w:ilvl="1">
      <w:lvlJc w:val="left"/>
      <w:lvlText w:val="(%2)"/>
      <w:numFmt w:val="lowerRoman"/>
      <w:start w:val="1"/>
    </w:lvl>
  </w:abstractNum>
  <w:abstractNum w:abstractNumId="218">
    <w:nsid w:val="1C65E98"/>
    <w:multiLevelType w:val="hybridMultilevel"/>
    <w:lvl w:ilvl="0">
      <w:lvlJc w:val="left"/>
      <w:lvlText w:val="%1"/>
      <w:numFmt w:val="lowerLetter"/>
      <w:start w:val="1"/>
    </w:lvl>
    <w:lvl w:ilvl="1">
      <w:lvlJc w:val="left"/>
      <w:lvlText w:val="(%2)"/>
      <w:numFmt w:val="lowerRoman"/>
      <w:start w:val="9"/>
    </w:lvl>
  </w:abstractNum>
  <w:abstractNum w:abstractNumId="219">
    <w:nsid w:val="1495E50A"/>
    <w:multiLevelType w:val="hybridMultilevel"/>
    <w:lvl w:ilvl="0">
      <w:lvlJc w:val="left"/>
      <w:lvlText w:val="(%1)"/>
      <w:numFmt w:val="lowerLetter"/>
      <w:start w:val="2"/>
    </w:lvl>
    <w:lvl w:ilvl="1">
      <w:lvlJc w:val="left"/>
      <w:lvlText w:val="%2"/>
      <w:numFmt w:val="lowerRoman"/>
      <w:start w:val="1"/>
    </w:lvl>
  </w:abstractNum>
  <w:abstractNum w:abstractNumId="220">
    <w:nsid w:val="F5BCF61"/>
    <w:multiLevelType w:val="hybridMultilevel"/>
    <w:lvl w:ilvl="0">
      <w:lvlJc w:val="left"/>
      <w:lvlText w:val="(%1)"/>
      <w:numFmt w:val="lowerLetter"/>
      <w:start w:val="1"/>
    </w:lvl>
  </w:abstractNum>
  <w:abstractNum w:abstractNumId="221">
    <w:nsid w:val="3B1DD403"/>
    <w:multiLevelType w:val="hybridMultilevel"/>
    <w:lvl w:ilvl="0">
      <w:lvlJc w:val="left"/>
      <w:lvlText w:val="%1"/>
      <w:numFmt w:val="lowerLetter"/>
      <w:start w:val="1"/>
    </w:lvl>
    <w:lvl w:ilvl="1">
      <w:lvlJc w:val="left"/>
      <w:lvlText w:val="(%2)"/>
      <w:numFmt w:val="lowerLetter"/>
      <w:start w:val="2"/>
    </w:lvl>
  </w:abstractNum>
  <w:abstractNum w:abstractNumId="222">
    <w:nsid w:val="530386D1"/>
    <w:multiLevelType w:val="hybridMultilevel"/>
    <w:lvl w:ilvl="0">
      <w:lvlJc w:val="left"/>
      <w:lvlText w:val="(%1)"/>
      <w:numFmt w:val="lowerLetter"/>
      <w:start w:val="9"/>
    </w:lvl>
    <w:lvl w:ilvl="1">
      <w:lvlJc w:val="left"/>
      <w:lvlText w:val="(%2)"/>
      <w:numFmt w:val="lowerLetter"/>
      <w:start w:val="4"/>
    </w:lvl>
  </w:abstractNum>
  <w:abstractNum w:abstractNumId="223">
    <w:nsid w:val="7525F2BC"/>
    <w:multiLevelType w:val="hybridMultilevel"/>
    <w:lvl w:ilvl="0">
      <w:lvlJc w:val="left"/>
      <w:lvlText w:val="(%1)"/>
      <w:numFmt w:val="lowerLetter"/>
      <w:start w:val="5"/>
    </w:lvl>
    <w:lvl w:ilvl="1">
      <w:lvlJc w:val="left"/>
      <w:lvlText w:val="(%2)"/>
      <w:numFmt w:val="lowerRoman"/>
      <w:start w:val="1"/>
    </w:lvl>
  </w:abstractNum>
  <w:abstractNum w:abstractNumId="224">
    <w:nsid w:val="CE8E1A7"/>
    <w:multiLevelType w:val="hybridMultilevel"/>
    <w:lvl w:ilvl="0">
      <w:lvlJc w:val="left"/>
      <w:lvlText w:val="(%1)"/>
      <w:numFmt w:val="lowerLetter"/>
      <w:start w:val="1"/>
    </w:lvl>
  </w:abstractNum>
  <w:abstractNum w:abstractNumId="225">
    <w:nsid w:val="4E9EFB0D"/>
    <w:multiLevelType w:val="hybridMultilevel"/>
    <w:lvl w:ilvl="0">
      <w:lvlJc w:val="left"/>
      <w:lvlText w:val="%1"/>
      <w:numFmt w:val="upperLetter"/>
      <w:start w:val="1"/>
    </w:lvl>
    <w:lvl w:ilvl="1">
      <w:lvlJc w:val="left"/>
      <w:lvlText w:val="(%2)"/>
      <w:numFmt w:val="lowerLetter"/>
      <w:start w:val="2"/>
    </w:lvl>
  </w:abstractNum>
  <w:abstractNum w:abstractNumId="226">
    <w:nsid w:val="90802BE"/>
    <w:multiLevelType w:val="hybridMultilevel"/>
    <w:lvl w:ilvl="0">
      <w:lvlJc w:val="left"/>
      <w:lvlText w:val="(%1)"/>
      <w:numFmt w:val="upperLetter"/>
      <w:start w:val="1"/>
    </w:lvl>
    <w:lvl w:ilvl="1">
      <w:lvlJc w:val="left"/>
      <w:lvlText w:val="(%2)"/>
      <w:numFmt w:val="lowerLetter"/>
      <w:start w:val="4"/>
    </w:lvl>
  </w:abstractNum>
  <w:abstractNum w:abstractNumId="227">
    <w:nsid w:val="3266459B"/>
    <w:multiLevelType w:val="hybridMultilevel"/>
    <w:lvl w:ilvl="0">
      <w:lvlJc w:val="left"/>
      <w:lvlText w:val="(%1)"/>
      <w:numFmt w:val="lowerLetter"/>
      <w:start w:val="5"/>
    </w:lvl>
    <w:lvl w:ilvl="1">
      <w:lvlJc w:val="left"/>
      <w:lvlText w:val="(%2)"/>
      <w:numFmt w:val="lowerRoman"/>
      <w:start w:val="1"/>
    </w:lvl>
  </w:abstractNum>
  <w:abstractNum w:abstractNumId="228">
    <w:nsid w:val="3F8B0CBF"/>
    <w:multiLevelType w:val="hybridMultilevel"/>
    <w:lvl w:ilvl="0">
      <w:lvlJc w:val="left"/>
      <w:lvlText w:val="(%1)"/>
      <w:numFmt w:val="lowerLetter"/>
      <w:start w:val="1"/>
    </w:lvl>
  </w:abstractNum>
  <w:abstractNum w:abstractNumId="229">
    <w:nsid w:val="37E203AB"/>
    <w:multiLevelType w:val="hybridMultilevel"/>
    <w:lvl w:ilvl="0">
      <w:lvlJc w:val="left"/>
      <w:lvlText w:val="(%1)"/>
      <w:numFmt w:val="lowerLetter"/>
      <w:start w:val="2"/>
    </w:lvl>
  </w:abstractNum>
  <w:abstractNum w:abstractNumId="230">
    <w:nsid w:val="2586D60E"/>
    <w:multiLevelType w:val="hybridMultilevel"/>
    <w:lvl w:ilvl="0">
      <w:lvlJc w:val="left"/>
      <w:lvlText w:val="(%1)"/>
      <w:numFmt w:val="lowerLetter"/>
      <w:start w:val="5"/>
    </w:lvl>
  </w:abstractNum>
  <w:abstractNum w:abstractNumId="231">
    <w:nsid w:val="1F3DA4D5"/>
    <w:multiLevelType w:val="hybridMultilevel"/>
    <w:lvl w:ilvl="0">
      <w:lvlJc w:val="left"/>
      <w:lvlText w:val="%1"/>
      <w:numFmt w:val="lowerLetter"/>
      <w:start w:val="1"/>
    </w:lvl>
    <w:lvl w:ilvl="1">
      <w:lvlJc w:val="left"/>
      <w:lvlText w:val="(%2)"/>
      <w:numFmt w:val="lowerLetter"/>
      <w:start w:val="1"/>
    </w:lvl>
  </w:abstractNum>
  <w:abstractNum w:abstractNumId="232">
    <w:nsid w:val="74C93698"/>
    <w:multiLevelType w:val="hybridMultilevel"/>
    <w:lvl w:ilvl="0">
      <w:lvlJc w:val="left"/>
      <w:lvlText w:val="(%1)"/>
      <w:numFmt w:val="lowerLetter"/>
      <w:start w:val="61"/>
    </w:lvl>
    <w:lvl w:ilvl="1">
      <w:lvlJc w:val="left"/>
      <w:lvlText w:val="%2"/>
      <w:numFmt w:val="lowerLetter"/>
      <w:start w:val="1"/>
    </w:lvl>
  </w:abstractNum>
  <w:abstractNum w:abstractNumId="233">
    <w:nsid w:val="48781401"/>
    <w:multiLevelType w:val="hybridMultilevel"/>
    <w:lvl w:ilvl="0">
      <w:lvlJc w:val="left"/>
      <w:lvlText w:val="(%1)"/>
      <w:numFmt w:val="lowerRoman"/>
      <w:start w:val="10"/>
    </w:lvl>
  </w:abstractNum>
  <w:abstractNum w:abstractNumId="234">
    <w:nsid w:val="186928D6"/>
    <w:multiLevelType w:val="hybridMultilevel"/>
    <w:lvl w:ilvl="0">
      <w:lvlJc w:val="left"/>
      <w:lvlText w:val="(%1)"/>
      <w:numFmt w:val="lowerLetter"/>
      <w:start w:val="1"/>
    </w:lvl>
  </w:abstractNum>
  <w:abstractNum w:abstractNumId="235">
    <w:nsid w:val="47195E5"/>
    <w:multiLevelType w:val="hybridMultilevel"/>
    <w:lvl w:ilvl="0">
      <w:lvlJc w:val="left"/>
      <w:lvlText w:val="(%1)"/>
      <w:numFmt w:val="lowerLetter"/>
      <w:start w:val="1"/>
    </w:lvl>
  </w:abstractNum>
  <w:abstractNum w:abstractNumId="236">
    <w:nsid w:val="3746A5F2"/>
    <w:multiLevelType w:val="hybridMultilevel"/>
    <w:lvl w:ilvl="0">
      <w:lvlJc w:val="left"/>
      <w:lvlText w:val="(%1)"/>
      <w:numFmt w:val="lowerLetter"/>
      <w:start w:val="1"/>
    </w:lvl>
  </w:abstractNum>
  <w:abstractNum w:abstractNumId="237">
    <w:nsid w:val="682DFED6"/>
    <w:multiLevelType w:val="hybridMultilevel"/>
    <w:lvl w:ilvl="0">
      <w:lvlJc w:val="left"/>
      <w:lvlText w:val="(%1)"/>
      <w:numFmt w:val="lowerLetter"/>
      <w:start w:val="1"/>
    </w:lvl>
  </w:abstractNum>
  <w:abstractNum w:abstractNumId="238">
    <w:nsid w:val="606ED7F6"/>
    <w:multiLevelType w:val="hybridMultilevel"/>
    <w:lvl w:ilvl="0">
      <w:lvlJc w:val="left"/>
      <w:lvlText w:val="(%1)"/>
      <w:numFmt w:val="lowerLetter"/>
      <w:start w:val="1"/>
    </w:lvl>
  </w:abstractNum>
  <w:abstractNum w:abstractNumId="239">
    <w:nsid w:val="2D9DF57D"/>
    <w:multiLevelType w:val="hybridMultilevel"/>
    <w:lvl w:ilvl="0">
      <w:lvlJc w:val="left"/>
      <w:lvlText w:val="(%1)"/>
      <w:numFmt w:val="lowerLetter"/>
      <w:start w:val="1"/>
    </w:lvl>
  </w:abstractNum>
  <w:abstractNum w:abstractNumId="240">
    <w:nsid w:val="7FBD7A3E"/>
    <w:multiLevelType w:val="hybridMultilevel"/>
    <w:lvl w:ilvl="0">
      <w:lvlJc w:val="left"/>
      <w:lvlText w:val="(%1)"/>
      <w:numFmt w:val="lowerLetter"/>
      <w:start w:val="4"/>
    </w:lvl>
  </w:abstractNum>
  <w:abstractNum w:abstractNumId="241">
    <w:nsid w:val="490B7C5"/>
    <w:multiLevelType w:val="hybridMultilevel"/>
    <w:lvl w:ilvl="0">
      <w:lvlJc w:val="left"/>
      <w:lvlText w:val="(%1)"/>
      <w:numFmt w:val="lowerLetter"/>
      <w:start w:val="1"/>
    </w:lvl>
  </w:abstractNum>
  <w:abstractNum w:abstractNumId="242">
    <w:nsid w:val="4303A216"/>
    <w:multiLevelType w:val="hybridMultilevel"/>
    <w:lvl w:ilvl="0">
      <w:lvlJc w:val="left"/>
      <w:lvlText w:val="(%1)"/>
      <w:numFmt w:val="lowerLetter"/>
      <w:start w:val="4"/>
    </w:lvl>
  </w:abstractNum>
  <w:abstractNum w:abstractNumId="243">
    <w:nsid w:val="19B8A08E"/>
    <w:multiLevelType w:val="hybridMultilevel"/>
    <w:lvl w:ilvl="0">
      <w:lvlJc w:val="left"/>
      <w:lvlText w:val="(%1)"/>
      <w:numFmt w:val="lowerLetter"/>
      <w:start w:val="1"/>
    </w:lvl>
  </w:abstractNum>
  <w:abstractNum w:abstractNumId="244">
    <w:nsid w:val="54B59621"/>
    <w:multiLevelType w:val="hybridMultilevel"/>
    <w:lvl w:ilvl="0">
      <w:lvlJc w:val="left"/>
      <w:lvlText w:val="%1"/>
      <w:numFmt w:val="lowerLetter"/>
      <w:start w:val="1"/>
    </w:lvl>
    <w:lvl w:ilvl="1">
      <w:lvlJc w:val="left"/>
      <w:lvlText w:val="(%2)"/>
      <w:numFmt w:val="lowerLetter"/>
      <w:start w:val="7"/>
    </w:lvl>
  </w:abstractNum>
  <w:abstractNum w:abstractNumId="245">
    <w:nsid w:val="5992A02E"/>
    <w:multiLevelType w:val="hybridMultilevel"/>
    <w:lvl w:ilvl="0">
      <w:lvlJc w:val="left"/>
      <w:lvlText w:val="(%1)"/>
      <w:numFmt w:val="lowerLetter"/>
      <w:start w:val="1"/>
    </w:lvl>
    <w:lvl w:ilvl="1">
      <w:lvlJc w:val="left"/>
      <w:lvlText w:val="(%2)"/>
      <w:numFmt w:val="lowerLetter"/>
      <w:start w:val="10"/>
    </w:lvl>
  </w:abstractNum>
  <w:abstractNum w:abstractNumId="246">
    <w:nsid w:val="29EF532D"/>
    <w:multiLevelType w:val="hybridMultilevel"/>
    <w:lvl w:ilvl="0">
      <w:lvlJc w:val="left"/>
      <w:lvlText w:val="(%1)"/>
      <w:numFmt w:val="lowerLetter"/>
      <w:start w:val="1"/>
    </w:lvl>
  </w:abstractNum>
  <w:abstractNum w:abstractNumId="247">
    <w:nsid w:val="71D601AF"/>
    <w:multiLevelType w:val="hybridMultilevel"/>
    <w:lvl w:ilvl="0">
      <w:lvlJc w:val="left"/>
      <w:lvlText w:val="(%1)"/>
      <w:numFmt w:val="lowerLetter"/>
      <w:start w:val="3"/>
    </w:lvl>
  </w:abstractNum>
  <w:abstractNum w:abstractNumId="248">
    <w:nsid w:val="52C77402"/>
    <w:multiLevelType w:val="hybridMultilevel"/>
    <w:lvl w:ilvl="0">
      <w:lvlJc w:val="left"/>
      <w:lvlText w:val="(%1)"/>
      <w:numFmt w:val="lowerLetter"/>
      <w:start w:val="1"/>
    </w:lvl>
  </w:abstractNum>
  <w:abstractNum w:abstractNumId="249">
    <w:nsid w:val="2BB5B1C6"/>
    <w:multiLevelType w:val="hybridMultilevel"/>
    <w:lvl w:ilvl="0">
      <w:lvlJc w:val="left"/>
      <w:lvlText w:val="%1"/>
      <w:numFmt w:val="lowerLetter"/>
      <w:start w:val="1"/>
    </w:lvl>
    <w:lvl w:ilvl="1">
      <w:lvlJc w:val="left"/>
      <w:lvlText w:val="(%2)"/>
      <w:numFmt w:val="lowerLetter"/>
      <w:start w:val="5"/>
    </w:lvl>
  </w:abstractNum>
  <w:abstractNum w:abstractNumId="250">
    <w:nsid w:val="66BE6B9"/>
    <w:multiLevelType w:val="hybridMultilevel"/>
    <w:lvl w:ilvl="0">
      <w:lvlJc w:val="left"/>
      <w:lvlText w:val="(%1)"/>
      <w:numFmt w:val="lowerLetter"/>
      <w:start w:val="61"/>
    </w:lvl>
    <w:lvl w:ilvl="1">
      <w:lvlJc w:val="left"/>
      <w:lvlText w:val="(%2)"/>
      <w:numFmt w:val="lowerLetter"/>
      <w:start w:val="8"/>
    </w:lvl>
  </w:abstractNum>
  <w:abstractNum w:abstractNumId="251">
    <w:nsid w:val="62234363"/>
    <w:multiLevelType w:val="hybridMultilevel"/>
    <w:lvl w:ilvl="0">
      <w:lvlJc w:val="left"/>
      <w:lvlText w:val="(%1)"/>
      <w:numFmt w:val="lowerLetter"/>
      <w:start w:val="1"/>
    </w:lvl>
  </w:abstractNum>
  <w:abstractNum w:abstractNumId="252">
    <w:nsid w:val="66D385C9"/>
    <w:multiLevelType w:val="hybridMultilevel"/>
    <w:lvl w:ilvl="0">
      <w:lvlJc w:val="left"/>
      <w:lvlText w:val="(%1)"/>
      <w:numFmt w:val="lowerLetter"/>
      <w:start w:val="5"/>
    </w:lvl>
  </w:abstractNum>
  <w:abstractNum w:abstractNumId="253">
    <w:nsid w:val="596F6D8A"/>
    <w:multiLevelType w:val="hybridMultilevel"/>
    <w:lvl w:ilvl="0">
      <w:lvlJc w:val="left"/>
      <w:lvlText w:val="(%1)"/>
      <w:numFmt w:val="lowerLetter"/>
      <w:start w:val="1"/>
    </w:lvl>
  </w:abstractNum>
  <w:abstractNum w:abstractNumId="254">
    <w:nsid w:val="5749361F"/>
    <w:multiLevelType w:val="hybridMultilevel"/>
    <w:lvl w:ilvl="0">
      <w:lvlJc w:val="left"/>
      <w:lvlText w:val="(%1)"/>
      <w:numFmt w:val="lowerLetter"/>
      <w:start w:val="1"/>
    </w:lvl>
  </w:abstractNum>
  <w:abstractNum w:abstractNumId="255">
    <w:nsid w:val="73BC6770"/>
    <w:multiLevelType w:val="hybridMultilevel"/>
    <w:lvl w:ilvl="0">
      <w:lvlJc w:val="left"/>
      <w:lvlText w:val="%1."/>
      <w:numFmt w:val="decimal"/>
      <w:start w:val="1"/>
    </w:lvl>
  </w:abstractNum>
  <w:abstractNum w:abstractNumId="256">
    <w:nsid w:val="280E6897"/>
    <w:multiLevelType w:val="hybridMultilevel"/>
    <w:lvl w:ilvl="0">
      <w:lvlJc w:val="left"/>
      <w:lvlText w:val="%1."/>
      <w:numFmt w:val="decimal"/>
      <w:start w:val="6"/>
    </w:lvl>
  </w:abstractNum>
  <w:abstractNum w:abstractNumId="257">
    <w:nsid w:val="605138DE"/>
    <w:multiLevelType w:val="hybridMultilevel"/>
    <w:lvl w:ilvl="0">
      <w:lvlJc w:val="left"/>
      <w:lvlText w:val="(%1)"/>
      <w:numFmt w:val="decimal"/>
      <w:start w:val="1"/>
    </w:lvl>
  </w:abstractNum>
  <w:abstractNum w:abstractNumId="258">
    <w:nsid w:val="2622AD0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9">
    <w:nsid w:val="67997556"/>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60">
    <w:nsid w:val="18333C8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61">
    <w:nsid w:val="4BA983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262">
    <w:nsid w:val="6D71A2B"/>
    <w:multiLevelType w:val="hybridMultilevel"/>
    <w:lvl w:ilvl="0">
      <w:lvlJc w:val="left"/>
      <w:lvlText w:val="(%1)"/>
      <w:numFmt w:val="decimal"/>
      <w:start w:val="5"/>
    </w:lvl>
    <w:lvl w:ilvl="1">
      <w:lvlJc w:val="left"/>
      <w:lvlText w:val="(%2)"/>
      <w:numFmt w:val="lowerLetter"/>
      <w:start w:val="1"/>
    </w:lvl>
  </w:abstractNum>
  <w:abstractNum w:abstractNumId="263">
    <w:nsid w:val="CFC7321"/>
    <w:multiLevelType w:val="hybridMultilevel"/>
    <w:lvl w:ilvl="0">
      <w:lvlJc w:val="left"/>
      <w:lvlText w:val="%1"/>
      <w:numFmt w:val="decimal"/>
      <w:start w:val="1"/>
    </w:lvl>
    <w:lvl w:ilvl="1">
      <w:lvlJc w:val="left"/>
      <w:lvlText w:val="(%2)"/>
      <w:numFmt w:val="decimal"/>
      <w:start w:val="7"/>
    </w:lvl>
  </w:abstractNum>
  <w:abstractNum w:abstractNumId="264">
    <w:nsid w:val="1421971B"/>
    <w:multiLevelType w:val="hybridMultilevel"/>
    <w:lvl w:ilvl="0">
      <w:lvlJc w:val="left"/>
      <w:lvlText w:val="(%1)"/>
      <w:numFmt w:val="decimal"/>
      <w:start w:val="5"/>
    </w:lvl>
    <w:lvl w:ilvl="1">
      <w:lvlJc w:val="left"/>
      <w:lvlText w:val="%2"/>
      <w:numFmt w:val="decimal"/>
      <w:start w:val="1"/>
    </w:lvl>
  </w:abstractNum>
  <w:abstractNum w:abstractNumId="265">
    <w:nsid w:val="1F404301"/>
    <w:multiLevelType w:val="hybridMultilevel"/>
    <w:lvl w:ilvl="0">
      <w:lvlJc w:val="left"/>
      <w:lvlText w:val="(%1)"/>
      <w:numFmt w:val="decimal"/>
      <w:start w:val="9"/>
    </w:lvl>
    <w:lvl w:ilvl="1">
      <w:lvlJc w:val="left"/>
      <w:lvlText w:val="(%2)"/>
      <w:numFmt w:val="lowerLetter"/>
      <w:start w:val="1"/>
    </w:lvl>
  </w:abstractNum>
  <w:abstractNum w:abstractNumId="266">
    <w:nsid w:val="116E0907"/>
    <w:multiLevelType w:val="hybridMultilevel"/>
    <w:lvl w:ilvl="0">
      <w:lvlJc w:val="left"/>
      <w:lvlText w:val="%1"/>
      <w:numFmt w:val="decimal"/>
      <w:start w:val="1"/>
    </w:lvl>
    <w:lvl w:ilvl="1">
      <w:lvlJc w:val="left"/>
      <w:lvlText w:val="(%2)"/>
      <w:numFmt w:val="lowerLetter"/>
      <w:start w:val="9"/>
    </w:lvl>
  </w:abstractNum>
  <w:abstractNum w:abstractNumId="267">
    <w:nsid w:val="4B683D0D"/>
    <w:multiLevelType w:val="hybridMultilevel"/>
    <w:lvl w:ilvl="0">
      <w:lvlJc w:val="left"/>
      <w:lvlText w:val="(%1)"/>
      <w:numFmt w:val="decimal"/>
      <w:start w:val="11"/>
    </w:lvl>
    <w:lvl w:ilvl="1">
      <w:lvlJc w:val="left"/>
      <w:lvlText w:val="(%2)"/>
      <w:numFmt w:val="lowerLetter"/>
      <w:start w:val="1"/>
    </w:lvl>
  </w:abstractNum>
  <w:abstractNum w:abstractNumId="268">
    <w:nsid w:val="76E41D8"/>
    <w:multiLevelType w:val="hybridMultilevel"/>
    <w:lvl w:ilvl="0">
      <w:lvlJc w:val="left"/>
      <w:lvlText w:val="(%1)"/>
      <w:numFmt w:val="decimal"/>
      <w:start w:val="14"/>
    </w:lvl>
    <w:lvl w:ilvl="1">
      <w:lvlJc w:val="left"/>
      <w:lvlText w:val="(%2)"/>
      <w:numFmt w:val="lowerRoman"/>
      <w:start w:val="1"/>
    </w:lvl>
  </w:abstractNum>
  <w:abstractNum w:abstractNumId="269">
    <w:nsid w:val="71DCE0FD"/>
    <w:multiLevelType w:val="hybridMultilevel"/>
    <w:lvl w:ilvl="0">
      <w:lvlJc w:val="left"/>
      <w:lvlText w:val="(%1)"/>
      <w:numFmt w:val="decimal"/>
      <w:start w:val="19"/>
    </w:lvl>
    <w:lvl w:ilvl="1">
      <w:lvlJc w:val="left"/>
      <w:lvlText w:val="(%2)"/>
      <w:numFmt w:val="lowerLetter"/>
      <w:start w:val="1"/>
    </w:lvl>
  </w:abstractNum>
  <w:abstractNum w:abstractNumId="270">
    <w:nsid w:val="7906328B"/>
    <w:multiLevelType w:val="hybridMultilevel"/>
    <w:lvl w:ilvl="0">
      <w:lvlJc w:val="left"/>
      <w:lvlText w:val="%1"/>
      <w:numFmt w:val="decimal"/>
      <w:start w:val="1"/>
    </w:lvl>
    <w:lvl w:ilvl="1">
      <w:lvlJc w:val="left"/>
      <w:lvlText w:val="(%2)"/>
      <w:numFmt w:val="lowerLetter"/>
      <w:start w:val="2"/>
    </w:lvl>
  </w:abstractNum>
  <w:abstractNum w:abstractNumId="271">
    <w:nsid w:val="72BBC16"/>
    <w:multiLevelType w:val="hybridMultilevel"/>
    <w:lvl w:ilvl="0">
      <w:lvlJc w:val="left"/>
      <w:lvlText w:val="(%1)"/>
      <w:numFmt w:val="decimal"/>
      <w:start w:val="21"/>
    </w:lvl>
    <w:lvl w:ilvl="1">
      <w:lvlJc w:val="left"/>
      <w:lvlText w:val="%2"/>
      <w:numFmt w:val="lowerLetter"/>
      <w:start w:val="1"/>
    </w:lvl>
  </w:abstractNum>
  <w:abstractNum w:abstractNumId="272">
    <w:nsid w:val="766D98C2"/>
    <w:multiLevelType w:val="hybridMultilevel"/>
    <w:lvl w:ilvl="0">
      <w:lvlJc w:val="left"/>
      <w:lvlText w:val="(%1)"/>
      <w:numFmt w:val="decimal"/>
      <w:start w:val="24"/>
    </w:lvl>
    <w:lvl w:ilvl="1">
      <w:lvlJc w:val="left"/>
      <w:lvlText w:val="(%2)"/>
      <w:numFmt w:val="lowerLetter"/>
      <w:start w:val="1"/>
    </w:lvl>
  </w:abstractNum>
  <w:abstractNum w:abstractNumId="273">
    <w:nsid w:val="3C09D4A1"/>
    <w:multiLevelType w:val="hybridMultilevel"/>
    <w:lvl w:ilvl="0">
      <w:lvlJc w:val="left"/>
      <w:lvlText w:val="&amp;"/>
      <w:numFmt w:val="bullet"/>
      <w:start w:val="1"/>
    </w:lvl>
    <w:lvl w:ilvl="1">
      <w:lvlJc w:val="left"/>
      <w:lvlText w:val="(%2)"/>
      <w:numFmt w:val="lowerLetter"/>
      <w:start w:val="6"/>
    </w:lvl>
  </w:abstractNum>
  <w:abstractNum w:abstractNumId="274">
    <w:nsid w:val="20E45CA4"/>
    <w:multiLevelType w:val="hybridMultilevel"/>
    <w:lvl w:ilvl="0">
      <w:lvlJc w:val="left"/>
      <w:lvlText w:val="%1"/>
      <w:numFmt w:val="lowerRoman"/>
      <w:start w:val="1"/>
    </w:lvl>
    <w:lvl w:ilvl="1">
      <w:lvlJc w:val="left"/>
      <w:lvlText w:val="(%2)"/>
      <w:numFmt w:val="lowerLetter"/>
      <w:start w:val="13"/>
    </w:lvl>
  </w:abstractNum>
  <w:abstractNum w:abstractNumId="275">
    <w:nsid w:val="4B232EE3"/>
    <w:multiLevelType w:val="hybridMultilevel"/>
    <w:lvl w:ilvl="0">
      <w:lvlJc w:val="left"/>
      <w:lvlText w:val="(%1)"/>
      <w:numFmt w:val="lowerRoman"/>
      <w:start w:val="9"/>
    </w:lvl>
    <w:lvl w:ilvl="1">
      <w:lvlJc w:val="left"/>
      <w:lvlText w:val="(%2)"/>
      <w:numFmt w:val="lowerLetter"/>
      <w:start w:val="20"/>
    </w:lvl>
  </w:abstractNum>
  <w:abstractNum w:abstractNumId="276">
    <w:nsid w:val="159C74CF"/>
    <w:multiLevelType w:val="hybridMultilevel"/>
    <w:lvl w:ilvl="0">
      <w:lvlJc w:val="left"/>
      <w:lvlText w:val="(%1)"/>
      <w:numFmt w:val="lowerLetter"/>
      <w:start w:val="21"/>
    </w:lvl>
  </w:abstractNum>
  <w:abstractNum w:abstractNumId="277">
    <w:nsid w:val="4AD3AFD2"/>
    <w:multiLevelType w:val="hybridMultilevel"/>
    <w:lvl w:ilvl="0">
      <w:lvlJc w:val="left"/>
      <w:lvlText w:val="(%1)"/>
      <w:numFmt w:val="lowerLetter"/>
      <w:start w:val="27"/>
    </w:lvl>
  </w:abstractNum>
  <w:abstractNum w:abstractNumId="278">
    <w:nsid w:val="3CF93092"/>
    <w:multiLevelType w:val="hybridMultilevel"/>
    <w:lvl w:ilvl="0">
      <w:lvlJc w:val="left"/>
      <w:lvlText w:val="%1"/>
      <w:numFmt w:val="decimal"/>
      <w:start w:val="1"/>
    </w:lvl>
    <w:lvl w:ilvl="1">
      <w:lvlJc w:val="left"/>
      <w:lvlText w:val="(%2)"/>
      <w:numFmt w:val="lowerLetter"/>
      <w:start w:val="31"/>
    </w:lvl>
  </w:abstractNum>
  <w:abstractNum w:abstractNumId="279">
    <w:nsid w:val="6863E8D2"/>
    <w:multiLevelType w:val="hybridMultilevel"/>
    <w:lvl w:ilvl="0">
      <w:lvlJc w:val="left"/>
      <w:lvlText w:val="(%1)"/>
      <w:numFmt w:val="decimal"/>
      <w:start w:val="26"/>
    </w:lvl>
    <w:lvl w:ilvl="1">
      <w:lvlJc w:val="left"/>
      <w:lvlText w:val="%2"/>
      <w:numFmt w:val="lowerLetter"/>
      <w:start w:val="1"/>
    </w:lvl>
  </w:abstractNum>
  <w:abstractNum w:abstractNumId="280">
    <w:nsid w:val="76896198"/>
    <w:multiLevelType w:val="hybridMultilevel"/>
    <w:lvl w:ilvl="0">
      <w:lvlJc w:val="left"/>
      <w:lvlText w:val="(%1)"/>
      <w:numFmt w:val="lowerLetter"/>
      <w:start w:val="1"/>
    </w:lvl>
  </w:abstractNum>
  <w:abstractNum w:abstractNumId="281">
    <w:nsid w:val="4365174B"/>
    <w:multiLevelType w:val="hybridMultilevel"/>
    <w:lvl w:ilvl="0">
      <w:lvlJc w:val="left"/>
      <w:lvlText w:val="(%1)"/>
      <w:numFmt w:val="lowerLetter"/>
      <w:start w:val="1"/>
    </w:lvl>
  </w:abstractNum>
  <w:abstractNum w:abstractNumId="282">
    <w:nsid w:val="4A872C35"/>
    <w:multiLevelType w:val="hybridMultilevel"/>
    <w:lvl w:ilvl="0">
      <w:lvlJc w:val="left"/>
      <w:lvlText w:val="(%1)"/>
      <w:numFmt w:val="lowerLetter"/>
      <w:start w:val="16"/>
    </w:lvl>
  </w:abstractNum>
  <w:abstractNum w:abstractNumId="283">
    <w:nsid w:val="5D5CE761"/>
    <w:multiLevelType w:val="hybridMultilevel"/>
    <w:lvl w:ilvl="0">
      <w:lvlJc w:val="left"/>
      <w:lvlText w:val="%1"/>
      <w:numFmt w:val="upperLetter"/>
      <w:start w:val="1"/>
    </w:lvl>
    <w:lvl w:ilvl="1">
      <w:lvlJc w:val="left"/>
      <w:lvlText w:val="(%2)"/>
      <w:numFmt w:val="lowerLetter"/>
      <w:start w:val="1"/>
    </w:lvl>
  </w:abstractNum>
  <w:abstractNum w:abstractNumId="284">
    <w:nsid w:val="1CD484D5"/>
    <w:multiLevelType w:val="hybridMultilevel"/>
    <w:lvl w:ilvl="0">
      <w:lvlJc w:val="left"/>
      <w:lvlText w:val="(%1)"/>
      <w:numFmt w:val="upperLetter"/>
      <w:start w:val="2"/>
    </w:lvl>
    <w:lvl w:ilvl="1">
      <w:lvlJc w:val="left"/>
      <w:lvlText w:val="(%2)"/>
      <w:numFmt w:val="lowerLetter"/>
      <w:start w:val="2"/>
    </w:lvl>
  </w:abstractNum>
  <w:abstractNum w:abstractNumId="285">
    <w:nsid w:val="21D06255"/>
    <w:multiLevelType w:val="hybridMultilevel"/>
    <w:lvl w:ilvl="0">
      <w:lvlJc w:val="left"/>
      <w:lvlText w:val="(%1)"/>
      <w:numFmt w:val="lowerLetter"/>
      <w:start w:val="1"/>
    </w:lvl>
  </w:abstractNum>
  <w:abstractNum w:abstractNumId="286">
    <w:nsid w:val="51194ED1"/>
    <w:multiLevelType w:val="hybridMultilevel"/>
    <w:lvl w:ilvl="0">
      <w:lvlJc w:val="left"/>
      <w:lvlText w:val="%1"/>
      <w:numFmt w:val="lowerLetter"/>
      <w:start w:val="1"/>
    </w:lvl>
    <w:lvl w:ilvl="1">
      <w:lvlJc w:val="left"/>
      <w:lvlText w:val="(%2)"/>
      <w:numFmt w:val="lowerLetter"/>
      <w:start w:val="4"/>
    </w:lvl>
  </w:abstractNum>
  <w:abstractNum w:abstractNumId="287">
    <w:nsid w:val="44E2ED6C"/>
    <w:multiLevelType w:val="hybridMultilevel"/>
    <w:lvl w:ilvl="0">
      <w:lvlJc w:val="left"/>
      <w:lvlText w:val="(%1)"/>
      <w:numFmt w:val="lowerLetter"/>
      <w:start w:val="9"/>
    </w:lvl>
    <w:lvl w:ilvl="1">
      <w:lvlJc w:val="left"/>
      <w:lvlText w:val="(%2)"/>
      <w:numFmt w:val="lowerLetter"/>
      <w:start w:val="5"/>
    </w:lvl>
  </w:abstractNum>
  <w:abstractNum w:abstractNumId="288">
    <w:nsid w:val="2219B33"/>
    <w:multiLevelType w:val="hybridMultilevel"/>
    <w:lvl w:ilvl="0">
      <w:lvlJc w:val="left"/>
      <w:lvlText w:val="(%1)"/>
      <w:numFmt w:val="lowerLetter"/>
      <w:start w:val="7"/>
    </w:lvl>
  </w:abstractNum>
  <w:abstractNum w:abstractNumId="289">
    <w:nsid w:val="773BFBDD"/>
    <w:multiLevelType w:val="hybridMultilevel"/>
    <w:lvl w:ilvl="0">
      <w:lvlJc w:val="left"/>
      <w:lvlText w:val="(%1)"/>
      <w:numFmt w:val="lowerLetter"/>
      <w:start w:val="1"/>
    </w:lvl>
  </w:abstractNum>
  <w:abstractNum w:abstractNumId="290">
    <w:nsid w:val="2C7C62C2"/>
    <w:multiLevelType w:val="hybridMultilevel"/>
    <w:lvl w:ilvl="0">
      <w:lvlJc w:val="left"/>
      <w:lvlText w:val="(%1)"/>
      <w:numFmt w:val="lowerLetter"/>
      <w:start w:val="2"/>
    </w:lvl>
    <w:lvl w:ilvl="1">
      <w:lvlJc w:val="left"/>
      <w:lvlText w:val="(%2)"/>
      <w:numFmt w:val="lowerRoman"/>
      <w:start w:val="1"/>
    </w:lvl>
  </w:abstractNum>
  <w:abstractNum w:abstractNumId="291">
    <w:nsid w:val="1A54D7BC"/>
    <w:multiLevelType w:val="hybridMultilevel"/>
    <w:lvl w:ilvl="0">
      <w:lvlJc w:val="left"/>
      <w:lvlText w:val="%1"/>
      <w:numFmt w:val="lowerLetter"/>
      <w:start w:val="1"/>
    </w:lvl>
    <w:lvl w:ilvl="1">
      <w:lvlJc w:val="left"/>
      <w:lvlText w:val="(%2)"/>
      <w:numFmt w:val="lowerLetter"/>
      <w:start w:val="61"/>
    </w:lvl>
  </w:abstractNum>
  <w:abstractNum w:abstractNumId="292">
    <w:nsid w:val="42E57EF7"/>
    <w:multiLevelType w:val="hybridMultilevel"/>
    <w:lvl w:ilvl="0">
      <w:lvlJc w:val="left"/>
      <w:lvlText w:val="(%1)"/>
      <w:numFmt w:val="lowerLetter"/>
      <w:start w:val="6"/>
    </w:lvl>
    <w:lvl w:ilvl="1">
      <w:lvlJc w:val="left"/>
      <w:lvlText w:val="(%2)"/>
      <w:numFmt w:val="lowerLetter"/>
      <w:start w:val="9"/>
    </w:lvl>
  </w:abstractNum>
  <w:abstractNum w:abstractNumId="293">
    <w:nsid w:val="33537CED"/>
    <w:multiLevelType w:val="hybridMultilevel"/>
    <w:lvl w:ilvl="0">
      <w:lvlJc w:val="left"/>
      <w:lvlText w:val="(%1)"/>
      <w:numFmt w:val="lowerRoman"/>
      <w:start w:val="2"/>
    </w:lvl>
  </w:abstractNum>
  <w:abstractNum w:abstractNumId="294">
    <w:nsid w:val="27514ADE"/>
    <w:multiLevelType w:val="hybridMultilevel"/>
    <w:lvl w:ilvl="0">
      <w:lvlJc w:val="left"/>
      <w:lvlText w:val="%1"/>
      <w:numFmt w:val="lowerLetter"/>
      <w:start w:val="1"/>
    </w:lvl>
    <w:lvl w:ilvl="1">
      <w:lvlJc w:val="left"/>
      <w:lvlText w:val="(%2)"/>
      <w:numFmt w:val="lowerLetter"/>
      <w:start w:val="22"/>
    </w:lvl>
  </w:abstractNum>
  <w:abstractNum w:abstractNumId="295">
    <w:nsid w:val="57071613"/>
    <w:multiLevelType w:val="hybridMultilevel"/>
    <w:lvl w:ilvl="0">
      <w:lvlJc w:val="left"/>
      <w:lvlText w:val="(%1)"/>
      <w:numFmt w:val="lowerLetter"/>
      <w:start w:val="7"/>
    </w:lvl>
    <w:lvl w:ilvl="1">
      <w:lvlJc w:val="left"/>
      <w:lvlText w:val="(%2)"/>
      <w:numFmt w:val="lowerLetter"/>
      <w:start w:val="9"/>
    </w:lvl>
  </w:abstractNum>
  <w:abstractNum w:abstractNumId="296">
    <w:nsid w:val="5293BFEF"/>
    <w:multiLevelType w:val="hybridMultilevel"/>
    <w:lvl w:ilvl="0">
      <w:lvlJc w:val="left"/>
      <w:lvlText w:val="%1"/>
      <w:numFmt w:val="lowerLetter"/>
      <w:start w:val="1"/>
    </w:lvl>
    <w:lvl w:ilvl="1">
      <w:lvlJc w:val="left"/>
      <w:lvlText w:val="(%2)"/>
      <w:numFmt w:val="lowerLetter"/>
      <w:start w:val="35"/>
    </w:lvl>
  </w:abstractNum>
  <w:abstractNum w:abstractNumId="297">
    <w:nsid w:val="38BF53E5"/>
    <w:multiLevelType w:val="hybridMultilevel"/>
    <w:lvl w:ilvl="0">
      <w:lvlJc w:val="left"/>
      <w:lvlText w:val="(%1)"/>
      <w:numFmt w:val="lowerLetter"/>
      <w:start w:val="8"/>
    </w:lvl>
    <w:lvl w:ilvl="1">
      <w:lvlJc w:val="left"/>
      <w:lvlText w:val="(%2)"/>
      <w:numFmt w:val="lowerLetter"/>
      <w:start w:val="9"/>
    </w:lvl>
  </w:abstractNum>
  <w:abstractNum w:abstractNumId="298">
    <w:nsid w:val="226F5320"/>
    <w:multiLevelType w:val="hybridMultilevel"/>
    <w:lvl w:ilvl="0">
      <w:lvlJc w:val="left"/>
      <w:lvlText w:val="%1"/>
      <w:numFmt w:val="lowerRoman"/>
      <w:start w:val="1"/>
    </w:lvl>
    <w:lvl w:ilvl="1">
      <w:lvlJc w:val="left"/>
      <w:lvlText w:val="(%2)"/>
      <w:numFmt w:val="lowerRoman"/>
      <w:start w:val="2"/>
    </w:lvl>
  </w:abstractNum>
  <w:abstractNum w:abstractNumId="299">
    <w:nsid w:val="5A0201C7"/>
    <w:multiLevelType w:val="hybridMultilevel"/>
    <w:lvl w:ilvl="0">
      <w:lvlJc w:val="left"/>
      <w:lvlText w:val="(%1)"/>
      <w:numFmt w:val="lowerRoman"/>
      <w:start w:val="1"/>
    </w:lvl>
    <w:lvl w:ilvl="1">
      <w:lvlJc w:val="left"/>
      <w:lvlText w:val="%2"/>
      <w:numFmt w:val="lowerRoman"/>
      <w:start w:val="1"/>
    </w:lvl>
  </w:abstractNum>
  <w:abstractNum w:abstractNumId="300">
    <w:nsid w:val="2A9C34E2"/>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301">
    <w:nsid w:val="1B7585A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302">
    <w:nsid w:val="612DBDDD"/>
    <w:multiLevelType w:val="hybridMultilevel"/>
    <w:lvl w:ilvl="0">
      <w:lvlJc w:val="left"/>
      <w:lvlText w:val="(%1)"/>
      <w:numFmt w:val="lowerLetter"/>
      <w:start w:val="13"/>
    </w:lvl>
  </w:abstractNum>
  <w:abstractNum w:abstractNumId="303">
    <w:nsid w:val="2109CDA4"/>
    <w:multiLevelType w:val="hybridMultilevel"/>
    <w:lvl w:ilvl="0">
      <w:lvlJc w:val="left"/>
      <w:lvlText w:val="(%1)"/>
      <w:numFmt w:val="lowerLetter"/>
      <w:start w:val="1"/>
    </w:lvl>
  </w:abstractNum>
  <w:abstractNum w:abstractNumId="304">
    <w:nsid w:val="577F5A4D"/>
    <w:multiLevelType w:val="hybridMultilevel"/>
    <w:lvl w:ilvl="0">
      <w:lvlJc w:val="left"/>
      <w:lvlText w:val="(%1)"/>
      <w:numFmt w:val="lowerLetter"/>
      <w:start w:val="4"/>
    </w:lvl>
  </w:abstractNum>
  <w:abstractNum w:abstractNumId="305">
    <w:nsid w:val="2121A81"/>
    <w:multiLevelType w:val="hybridMultilevel"/>
    <w:lvl w:ilvl="0">
      <w:lvlJc w:val="left"/>
      <w:lvlText w:val="(%1)"/>
      <w:numFmt w:val="lowerLetter"/>
      <w:start w:val="1"/>
    </w:lvl>
  </w:abstractNum>
  <w:abstractNum w:abstractNumId="306">
    <w:nsid w:val="6C2CFC88"/>
    <w:multiLevelType w:val="hybridMultilevel"/>
    <w:lvl w:ilvl="0">
      <w:lvlJc w:val="left"/>
      <w:lvlText w:val="(%1)"/>
      <w:numFmt w:val="lowerLetter"/>
      <w:start w:val="2"/>
    </w:lvl>
  </w:abstractNum>
  <w:abstractNum w:abstractNumId="307">
    <w:nsid w:val="6D1BCF1C"/>
    <w:multiLevelType w:val="hybridMultilevel"/>
    <w:lvl w:ilvl="0">
      <w:lvlJc w:val="left"/>
      <w:lvlText w:val="(%1)"/>
      <w:numFmt w:val="lowerLetter"/>
      <w:start w:val="5"/>
    </w:lvl>
  </w:abstractNum>
  <w:abstractNum w:abstractNumId="308">
    <w:nsid w:val="4CE5CA53"/>
    <w:multiLevelType w:val="hybridMultilevel"/>
    <w:lvl w:ilvl="0">
      <w:lvlJc w:val="left"/>
      <w:lvlText w:val="(%1)"/>
      <w:numFmt w:val="lowerLetter"/>
      <w:start w:val="1"/>
    </w:lvl>
  </w:abstractNum>
  <w:abstractNum w:abstractNumId="309">
    <w:nsid w:val="29262D1A"/>
    <w:multiLevelType w:val="hybridMultilevel"/>
    <w:lvl w:ilvl="0">
      <w:lvlJc w:val="left"/>
      <w:lvlText w:val="(%1)"/>
      <w:numFmt w:val="lowerLetter"/>
      <w:start w:val="1"/>
    </w:lvl>
  </w:abstractNum>
  <w:abstractNum w:abstractNumId="310">
    <w:nsid w:val="557FB7EE"/>
    <w:multiLevelType w:val="hybridMultilevel"/>
    <w:lvl w:ilvl="0">
      <w:lvlJc w:val="left"/>
      <w:lvlText w:val="(%1)"/>
      <w:numFmt w:val="lowerLetter"/>
      <w:start w:val="3"/>
    </w:lvl>
  </w:abstractNum>
  <w:abstractNum w:abstractNumId="311">
    <w:nsid w:val="436F2BEB"/>
    <w:multiLevelType w:val="hybridMultilevel"/>
    <w:lvl w:ilvl="0">
      <w:lvlJc w:val="left"/>
      <w:lvlText w:val="(%1)"/>
      <w:numFmt w:val="lowerLetter"/>
      <w:start w:val="8"/>
    </w:lvl>
  </w:abstractNum>
  <w:abstractNum w:abstractNumId="312">
    <w:nsid w:val="6C8B4466"/>
    <w:multiLevelType w:val="hybridMultilevel"/>
    <w:lvl w:ilvl="0">
      <w:lvlJc w:val="left"/>
      <w:lvlText w:val="(%1)"/>
      <w:numFmt w:val="lowerLetter"/>
      <w:start w:val="1"/>
    </w:lvl>
    <w:lvl w:ilvl="1">
      <w:lvlJc w:val="left"/>
      <w:lvlText w:val="(%2)"/>
      <w:numFmt w:val="lowerRoman"/>
      <w:start w:val="1"/>
    </w:lvl>
  </w:abstractNum>
  <w:abstractNum w:abstractNumId="313">
    <w:nsid w:val="2006E424"/>
    <w:multiLevelType w:val="hybridMultilevel"/>
    <w:lvl w:ilvl="0">
      <w:lvlJc w:val="left"/>
      <w:lvlText w:val="(%1)"/>
      <w:numFmt w:val="lowerLetter"/>
      <w:start w:val="2"/>
    </w:lvl>
  </w:abstractNum>
  <w:abstractNum w:abstractNumId="314">
    <w:nsid w:val="20CC134C"/>
    <w:multiLevelType w:val="hybridMultilevel"/>
    <w:lvl w:ilvl="0">
      <w:lvlJc w:val="left"/>
      <w:lvlText w:val="(%1)"/>
      <w:numFmt w:val="lowerLetter"/>
      <w:start w:val="1"/>
    </w:lvl>
    <w:lvl w:ilvl="1">
      <w:lvlJc w:val="left"/>
      <w:lvlText w:val="(%2)"/>
      <w:numFmt w:val="lowerLetter"/>
      <w:start w:val="9"/>
    </w:lvl>
  </w:abstractNum>
  <w:abstractNum w:abstractNumId="315">
    <w:nsid w:val="95FC93B"/>
    <w:multiLevelType w:val="hybridMultilevel"/>
    <w:lvl w:ilvl="0">
      <w:lvlJc w:val="left"/>
      <w:lvlText w:val="(%1)"/>
      <w:numFmt w:val="lowerRoman"/>
      <w:start w:val="2"/>
    </w:lvl>
  </w:abstractNum>
  <w:abstractNum w:abstractNumId="316">
    <w:nsid w:val="41D74679"/>
    <w:multiLevelType w:val="hybridMultilevel"/>
    <w:lvl w:ilvl="0">
      <w:lvlJc w:val="left"/>
      <w:lvlText w:val="(%1)"/>
      <w:numFmt w:val="lowerRoman"/>
      <w:start w:val="1"/>
    </w:lvl>
  </w:abstractNum>
  <w:abstractNum w:abstractNumId="317">
    <w:nsid w:val="71E5621E"/>
    <w:multiLevelType w:val="hybridMultilevel"/>
    <w:lvl w:ilvl="0">
      <w:lvlJc w:val="left"/>
      <w:lvlText w:val="(%1)"/>
      <w:numFmt w:val="lowerLetter"/>
      <w:start w:val="1"/>
    </w:lvl>
  </w:abstractNum>
  <w:abstractNum w:abstractNumId="318">
    <w:nsid w:val="4E42B6A8"/>
    <w:multiLevelType w:val="hybridMultilevel"/>
    <w:lvl w:ilvl="0">
      <w:lvlJc w:val="left"/>
      <w:lvlText w:val="%1"/>
      <w:numFmt w:val="lowerLetter"/>
      <w:start w:val="1"/>
    </w:lvl>
    <w:lvl w:ilvl="1">
      <w:lvlJc w:val="left"/>
      <w:lvlText w:val="(%2)"/>
      <w:numFmt w:val="lowerRoman"/>
      <w:start w:val="1"/>
    </w:lvl>
  </w:abstractNum>
  <w:abstractNum w:abstractNumId="319">
    <w:nsid w:val="43F8E1AC"/>
    <w:multiLevelType w:val="hybridMultilevel"/>
    <w:lvl w:ilvl="0">
      <w:lvlJc w:val="left"/>
      <w:lvlText w:val="(%1)"/>
      <w:numFmt w:val="lowerLetter"/>
      <w:start w:val="2"/>
    </w:lvl>
    <w:lvl w:ilvl="1">
      <w:lvlJc w:val="left"/>
      <w:lvlText w:val="%2"/>
      <w:numFmt w:val="lowerRoman"/>
      <w:start w:val="1"/>
    </w:lvl>
  </w:abstractNum>
  <w:abstractNum w:abstractNumId="320">
    <w:nsid w:val="69215DFB"/>
    <w:multiLevelType w:val="hybridMultilevel"/>
    <w:lvl w:ilvl="0">
      <w:lvlJc w:val="left"/>
      <w:lvlText w:val="(%1)"/>
      <w:numFmt w:val="lowerLetter"/>
      <w:start w:val="1"/>
    </w:lvl>
  </w:abstractNum>
  <w:abstractNum w:abstractNumId="321">
    <w:nsid w:val="7ABF196A"/>
    <w:multiLevelType w:val="hybridMultilevel"/>
    <w:lvl w:ilvl="0">
      <w:lvlJc w:val="left"/>
      <w:lvlText w:val="(%1)"/>
      <w:numFmt w:val="lowerLetter"/>
      <w:start w:val="4"/>
    </w:lvl>
  </w:abstractNum>
  <w:abstractNum w:abstractNumId="322">
    <w:nsid w:val="5E4DB968"/>
    <w:multiLevelType w:val="hybridMultilevel"/>
    <w:lvl w:ilvl="0">
      <w:lvlJc w:val="left"/>
      <w:lvlText w:val="%1."/>
      <w:numFmt w:val="upperLetter"/>
      <w:start w:val="1"/>
    </w:lvl>
  </w:abstractNum>
  <w:abstractNum w:abstractNumId="323">
    <w:nsid w:val="2C06DCF3"/>
    <w:multiLevelType w:val="hybridMultilevel"/>
    <w:lvl w:ilvl="0">
      <w:lvlJc w:val="left"/>
      <w:lvlText w:val="(%1)"/>
      <w:numFmt w:val="decimal"/>
      <w:start w:val="1"/>
    </w:lvl>
  </w:abstractNum>
  <w:abstractNum w:abstractNumId="324">
    <w:nsid w:val="2E129658"/>
    <w:multiLevelType w:val="hybridMultilevel"/>
    <w:lvl w:ilvl="0">
      <w:lvlJc w:val="left"/>
      <w:lvlText w:val="(%1)"/>
      <w:numFmt w:val="lowerLetter"/>
      <w:start w:val="1"/>
    </w:lvl>
  </w:abstractNum>
  <w:abstractNum w:abstractNumId="325">
    <w:nsid w:val="59F0446"/>
    <w:multiLevelType w:val="hybridMultilevel"/>
    <w:lvl w:ilvl="0">
      <w:lvlJc w:val="left"/>
      <w:lvlText w:val="%1."/>
      <w:numFmt w:val="upperLetter"/>
      <w:start w:val="9"/>
    </w:lvl>
  </w:abstractNum>
  <w:abstractNum w:abstractNumId="326">
    <w:nsid w:val="30DF306"/>
    <w:multiLevelType w:val="hybridMultilevel"/>
    <w:lvl w:ilvl="0">
      <w:lvlJc w:val="left"/>
      <w:lvlText w:val="(%1)"/>
      <w:numFmt w:val="decimal"/>
      <w:start w:val="1"/>
    </w:lvl>
  </w:abstractNum>
  <w:abstractNum w:abstractNumId="327">
    <w:nsid w:val="A65647"/>
    <w:multiLevelType w:val="hybridMultilevel"/>
    <w:lvl w:ilvl="0">
      <w:lvlJc w:val="left"/>
      <w:lvlText w:val="(%1)"/>
      <w:numFmt w:val="decimal"/>
      <w:start w:val="4"/>
    </w:lvl>
  </w:abstractNum>
  <w:abstractNum w:abstractNumId="328">
    <w:nsid w:val="3E5E582B"/>
    <w:multiLevelType w:val="hybridMultilevel"/>
    <w:lvl w:ilvl="0">
      <w:lvlJc w:val="left"/>
      <w:lvlText w:val="(%1)"/>
      <w:numFmt w:val="decimal"/>
      <w:start w:val="9"/>
    </w:lvl>
  </w:abstractNum>
  <w:abstractNum w:abstractNumId="329">
    <w:nsid w:val="257D4626"/>
    <w:multiLevelType w:val="hybridMultilevel"/>
    <w:lvl w:ilvl="0">
      <w:lvlJc w:val="left"/>
      <w:lvlText w:val="%1."/>
      <w:numFmt w:val="decimal"/>
      <w:start w:val="1"/>
    </w:lvl>
  </w:abstractNum>
  <w:abstractNum w:abstractNumId="330">
    <w:nsid w:val="5AA8580E"/>
    <w:multiLevelType w:val="hybridMultilevel"/>
    <w:lvl w:ilvl="0">
      <w:lvlJc w:val="left"/>
      <w:lvlText w:val="(%1)"/>
      <w:numFmt w:val="decimal"/>
      <w:start w:val="4"/>
    </w:lvl>
  </w:abstractNum>
  <w:abstractNum w:abstractNumId="331">
    <w:nsid w:val="68FA8D0D"/>
    <w:multiLevelType w:val="hybridMultilevel"/>
    <w:lvl w:ilvl="0">
      <w:lvlJc w:val="left"/>
      <w:lvlText w:val="%1."/>
      <w:numFmt w:val="decimal"/>
      <w:start w:val="1"/>
    </w:lvl>
  </w:abstractNum>
  <w:abstractNum w:abstractNumId="332">
    <w:nsid w:val="40F2CBD2"/>
    <w:multiLevelType w:val="hybridMultilevel"/>
    <w:lvl w:ilvl="0">
      <w:lvlJc w:val="left"/>
      <w:lvlText w:val="%1."/>
      <w:numFmt w:val="decimal"/>
      <w:start w:val="1"/>
    </w:lvl>
  </w:abstractNum>
  <w:abstractNum w:abstractNumId="333">
    <w:nsid w:val="3BD615EB"/>
    <w:multiLevelType w:val="hybridMultilevel"/>
    <w:lvl w:ilvl="0">
      <w:lvlJc w:val="left"/>
      <w:lvlText w:val="(%1)"/>
      <w:numFmt w:val="lowerRoman"/>
      <w:start w:val="1"/>
    </w:lvl>
  </w:abstractNum>
  <w:abstractNum w:abstractNumId="334">
    <w:nsid w:val="A045AB2"/>
    <w:multiLevelType w:val="hybridMultilevel"/>
    <w:lvl w:ilvl="0">
      <w:lvlJc w:val="left"/>
      <w:lvlText w:val="(%1)"/>
      <w:numFmt w:val="upperLetter"/>
      <w:start w:val="2"/>
    </w:lvl>
  </w:abstractNum>
  <w:abstractNum w:abstractNumId="335">
    <w:nsid w:val="1872261F"/>
    <w:multiLevelType w:val="hybridMultilevel"/>
    <w:lvl w:ilvl="0">
      <w:lvlJc w:val="left"/>
      <w:lvlText w:val="(%1)"/>
      <w:numFmt w:val="lowerRoman"/>
      <w:start w:val="4"/>
    </w:lvl>
  </w:abstractNum>
  <w:abstractNum w:abstractNumId="336">
    <w:nsid w:val="3DE8306C"/>
    <w:multiLevelType w:val="hybridMultilevel"/>
    <w:lvl w:ilvl="0">
      <w:lvlJc w:val="left"/>
      <w:lvlText w:val="(%1)"/>
      <w:numFmt w:val="decimal"/>
      <w:start w:val="1"/>
    </w:lvl>
  </w:abstractNum>
  <w:abstractNum w:abstractNumId="337">
    <w:nsid w:val="7631573A"/>
    <w:multiLevelType w:val="hybridMultilevel"/>
    <w:lvl w:ilvl="0">
      <w:lvlJc w:val="left"/>
      <w:lvlText w:val="(%1)"/>
      <w:numFmt w:val="decimal"/>
      <w:start w:val="1"/>
    </w:lvl>
  </w:abstractNum>
  <w:abstractNum w:abstractNumId="338">
    <w:nsid w:val="58DF53B"/>
    <w:multiLevelType w:val="hybridMultilevel"/>
    <w:lvl w:ilvl="0">
      <w:lvlJc w:val="left"/>
      <w:lvlText w:val="%1."/>
      <w:numFmt w:val="decimal"/>
      <w:start w:val="2"/>
    </w:lvl>
  </w:abstractNum>
  <w:abstractNum w:abstractNumId="339">
    <w:nsid w:val="ACDFAC0"/>
    <w:multiLevelType w:val="hybridMultilevel"/>
    <w:lvl w:ilvl="0">
      <w:lvlJc w:val="left"/>
      <w:lvlText w:val="%1."/>
      <w:numFmt w:val="decimal"/>
      <w:start w:val="3"/>
    </w:lvl>
    <w:lvl w:ilvl="1">
      <w:lvlJc w:val="left"/>
      <w:lvlText w:val="(%2)"/>
      <w:numFmt w:val="lowerLetter"/>
      <w:start w:val="1"/>
    </w:lvl>
  </w:abstractNum>
  <w:abstractNum w:abstractNumId="340">
    <w:nsid w:val="1F578454"/>
    <w:multiLevelType w:val="hybridMultilevel"/>
    <w:lvl w:ilvl="0">
      <w:lvlJc w:val="left"/>
      <w:lvlText w:val="(%1)"/>
      <w:numFmt w:val="lowerLetter"/>
      <w:start w:val="1"/>
    </w:lvl>
  </w:abstractNum>
  <w:abstractNum w:abstractNumId="341">
    <w:nsid w:val="5B0DAD2A"/>
    <w:multiLevelType w:val="hybridMultilevel"/>
    <w:lvl w:ilvl="0">
      <w:lvlJc w:val="left"/>
      <w:lvlText w:val="(%1)"/>
      <w:numFmt w:val="lowerLetter"/>
      <w:start w:val="3"/>
    </w:lvl>
  </w:abstractNum>
  <w:abstractNum w:abstractNumId="342">
    <w:nsid w:val="4E3D26AB"/>
    <w:multiLevelType w:val="hybridMultilevel"/>
    <w:lvl w:ilvl="0">
      <w:lvlJc w:val="left"/>
      <w:lvlText w:val="%1."/>
      <w:numFmt w:val="decimal"/>
      <w:start w:val="5"/>
    </w:lvl>
  </w:abstractNum>
  <w:abstractNum w:abstractNumId="343">
    <w:nsid w:val="BE2C8BA"/>
    <w:multiLevelType w:val="hybridMultilevel"/>
    <w:lvl w:ilvl="0">
      <w:lvlJc w:val="left"/>
      <w:lvlText w:val="%1."/>
      <w:numFmt w:val="decimal"/>
      <w:start w:val="6"/>
    </w:lvl>
  </w:abstractNum>
  <w:abstractNum w:abstractNumId="344">
    <w:nsid w:val="7B14914E"/>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45">
    <w:nsid w:val="6F0939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346">
    <w:nsid w:val="154291F6"/>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47">
    <w:nsid w:val="3CEBD7C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348">
    <w:nsid w:val="60EE9C1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49">
    <w:nsid w:val="6385489E"/>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50">
    <w:nsid w:val="E4B973"/>
    <w:multiLevelType w:val="hybridMultilevel"/>
    <w:lvl w:ilvl="0">
      <w:lvlJc w:val="left"/>
      <w:lvlText w:val="%1"/>
      <w:numFmt w:val="decimal"/>
      <w:start w:val="1"/>
    </w:lvl>
    <w:lvl w:ilvl="1">
      <w:lvlJc w:val="left"/>
      <w:lvlText w:val="(%2)"/>
      <w:numFmt w:val="lowerLetter"/>
      <w:start w:val="1"/>
    </w:lvl>
  </w:abstractNum>
  <w:abstractNum w:abstractNumId="351">
    <w:nsid w:val="4A0FFA11"/>
    <w:multiLevelType w:val="hybridMultilevel"/>
    <w:lvl w:ilvl="0">
      <w:lvlJc w:val="left"/>
      <w:lvlText w:val="%1."/>
      <w:numFmt w:val="decimal"/>
      <w:start w:val="8"/>
    </w:lvl>
    <w:lvl w:ilvl="1">
      <w:lvlJc w:val="left"/>
      <w:lvlText w:val="%2"/>
      <w:numFmt w:val="lowerLetter"/>
      <w:start w:val="1"/>
    </w:lvl>
  </w:abstractNum>
  <w:abstractNum w:abstractNumId="352">
    <w:nsid w:val="5E446208"/>
    <w:multiLevelType w:val="hybridMultilevel"/>
    <w:lvl w:ilvl="0">
      <w:lvlJc w:val="left"/>
      <w:lvlText w:val="%1."/>
      <w:numFmt w:val="decimal"/>
      <w:start w:val="9"/>
    </w:lvl>
  </w:abstractNum>
  <w:abstractNum w:abstractNumId="353">
    <w:nsid w:val="5F3272DB"/>
    <w:multiLevelType w:val="hybridMultilevel"/>
    <w:lvl w:ilvl="0">
      <w:lvlJc w:val="left"/>
      <w:lvlText w:val="%1."/>
      <w:numFmt w:val="decimal"/>
      <w:start w:val="10"/>
    </w:lvl>
  </w:abstractNum>
  <w:abstractNum w:abstractNumId="354">
    <w:nsid w:val="7616D704"/>
    <w:multiLevelType w:val="hybridMultilevel"/>
    <w:lvl w:ilvl="0">
      <w:lvlJc w:val="left"/>
      <w:lvlText w:val="%1."/>
      <w:numFmt w:val="decimal"/>
      <w:start w:val="11"/>
    </w:lvl>
  </w:abstractNum>
  <w:abstractNum w:abstractNumId="355">
    <w:nsid w:val="C56F860"/>
    <w:multiLevelType w:val="hybridMultilevel"/>
    <w:lvl w:ilvl="0">
      <w:lvlJc w:val="left"/>
      <w:lvlText w:val="%1."/>
      <w:numFmt w:val="decimal"/>
      <w:start w:val="12"/>
    </w:lvl>
  </w:abstractNum>
  <w:abstractNum w:abstractNumId="356">
    <w:nsid w:val="64D17722"/>
    <w:multiLevelType w:val="hybridMultilevel"/>
    <w:lvl w:ilvl="0">
      <w:lvlJc w:val="left"/>
      <w:lvlText w:val="(%1)"/>
      <w:numFmt w:val="decimal"/>
      <w:start w:val="2"/>
    </w:lvl>
  </w:abstractNum>
  <w:abstractNum w:abstractNumId="357">
    <w:nsid w:val="7924CA0A"/>
    <w:multiLevelType w:val="hybridMultilevel"/>
    <w:lvl w:ilvl="0">
      <w:lvlJc w:val="left"/>
      <w:lvlText w:val="%1."/>
      <w:numFmt w:val="decimal"/>
      <w:start w:val="13"/>
    </w:lvl>
  </w:abstractNum>
  <w:abstractNum w:abstractNumId="358">
    <w:nsid w:val="CFD4EA7"/>
    <w:multiLevelType w:val="hybridMultilevel"/>
    <w:lvl w:ilvl="0">
      <w:lvlJc w:val="left"/>
      <w:lvlText w:val="(%1)"/>
      <w:numFmt w:val="lowerLetter"/>
      <w:start w:val="1"/>
    </w:lvl>
  </w:abstractNum>
  <w:abstractNum w:abstractNumId="359">
    <w:nsid w:val="232FCF4D"/>
    <w:multiLevelType w:val="hybridMultilevel"/>
    <w:lvl w:ilvl="0">
      <w:lvlJc w:val="left"/>
      <w:lvlText w:val="(%1)"/>
      <w:numFmt w:val="lowerLetter"/>
      <w:start w:val="6"/>
    </w:lvl>
  </w:abstractNum>
  <w:abstractNum w:abstractNumId="360">
    <w:nsid w:val="1EA21031"/>
    <w:multiLevelType w:val="hybridMultilevel"/>
    <w:lvl w:ilvl="0">
      <w:lvlJc w:val="left"/>
      <w:lvlText w:val="%1."/>
      <w:numFmt w:val="decimal"/>
      <w:start w:val="14"/>
    </w:lvl>
  </w:abstractNum>
  <w:abstractNum w:abstractNumId="361">
    <w:nsid w:val="67A5A6B5"/>
    <w:multiLevelType w:val="hybridMultilevel"/>
    <w:lvl w:ilvl="0">
      <w:lvlJc w:val="left"/>
      <w:lvlText w:val="%1"/>
      <w:numFmt w:val="decimal"/>
      <w:start w:val="1"/>
    </w:lvl>
    <w:lvl w:ilvl="1">
      <w:lvlJc w:val="left"/>
      <w:lvlText w:val="(%2)"/>
      <w:numFmt w:val="lowerLetter"/>
      <w:start w:val="1"/>
    </w:lvl>
  </w:abstractNum>
  <w:abstractNum w:abstractNumId="362">
    <w:nsid w:val="C2A5C5B"/>
    <w:multiLevelType w:val="hybridMultilevel"/>
    <w:lvl w:ilvl="0">
      <w:lvlJc w:val="left"/>
      <w:lvlText w:val="%1."/>
      <w:numFmt w:val="decimal"/>
      <w:start w:val="15"/>
    </w:lvl>
    <w:lvl w:ilvl="1">
      <w:lvlJc w:val="left"/>
      <w:lvlText w:val="%2"/>
      <w:numFmt w:val="lowerLetter"/>
      <w:start w:val="1"/>
    </w:lvl>
  </w:abstractNum>
  <w:abstractNum w:abstractNumId="363">
    <w:nsid w:val="5F94DC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4">
    <w:nsid w:val="237BBCA0"/>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365">
    <w:nsid w:val="162EB70D"/>
    <w:multiLevelType w:val="hybridMultilevel"/>
    <w:lvl w:ilvl="0">
      <w:lvlJc w:val="left"/>
      <w:lvlText w:val="(%1)"/>
      <w:numFmt w:val="lowerLetter"/>
      <w:start w:val="1"/>
    </w:lvl>
    <w:lvl w:ilvl="1">
      <w:lvlJc w:val="left"/>
      <w:lvlText w:val="(%2)"/>
      <w:numFmt w:val="lowerRoman"/>
      <w:start w:val="1"/>
    </w:lvl>
  </w:abstractNum>
  <w:abstractNum w:abstractNumId="366">
    <w:nsid w:val="78070222"/>
    <w:multiLevelType w:val="hybridMultilevel"/>
    <w:lvl w:ilvl="0">
      <w:lvlJc w:val="left"/>
      <w:lvlText w:val="%1."/>
      <w:numFmt w:val="decimal"/>
      <w:start w:val="17"/>
    </w:lvl>
  </w:abstractNum>
  <w:abstractNum w:abstractNumId="367">
    <w:nsid w:val="6163ED0D"/>
    <w:multiLevelType w:val="hybridMultilevel"/>
    <w:lvl w:ilvl="0">
      <w:lvlJc w:val="left"/>
      <w:lvlText w:val="%1."/>
      <w:numFmt w:val="decimal"/>
      <w:start w:val="18"/>
    </w:lvl>
  </w:abstractNum>
  <w:abstractNum w:abstractNumId="368">
    <w:nsid w:val="C600E47"/>
    <w:multiLevelType w:val="hybridMultilevel"/>
    <w:lvl w:ilvl="0">
      <w:lvlJc w:val="left"/>
      <w:lvlText w:val="%1."/>
      <w:numFmt w:val="decimal"/>
      <w:start w:val="19"/>
    </w:lvl>
  </w:abstractNum>
  <w:abstractNum w:abstractNumId="369">
    <w:nsid w:val="7D94F75D"/>
    <w:multiLevelType w:val="hybridMultilevel"/>
    <w:lvl w:ilvl="0">
      <w:lvlJc w:val="left"/>
      <w:lvlText w:val="%1"/>
      <w:numFmt w:val="decimal"/>
      <w:start w:val="1"/>
    </w:lvl>
    <w:lvl w:ilvl="1">
      <w:lvlJc w:val="left"/>
      <w:lvlText w:val="(%2)"/>
      <w:numFmt w:val="lowerLetter"/>
      <w:start w:val="1"/>
    </w:lvl>
  </w:abstractNum>
  <w:abstractNum w:abstractNumId="370">
    <w:nsid w:val="6C31E7CD"/>
    <w:multiLevelType w:val="hybridMultilevel"/>
    <w:lvl w:ilvl="0">
      <w:lvlJc w:val="left"/>
      <w:lvlText w:val="%1."/>
      <w:numFmt w:val="decimal"/>
      <w:start w:val="20"/>
    </w:lvl>
    <w:lvl w:ilvl="1">
      <w:lvlJc w:val="left"/>
      <w:lvlText w:val="%2"/>
      <w:numFmt w:val="lowerLetter"/>
      <w:start w:val="1"/>
    </w:lvl>
  </w:abstractNum>
  <w:abstractNum w:abstractNumId="371">
    <w:nsid w:val="2BB7929B"/>
    <w:multiLevelType w:val="hybridMultilevel"/>
    <w:lvl w:ilvl="0">
      <w:lvlJc w:val="left"/>
      <w:lvlText w:val="%1."/>
      <w:numFmt w:val="decimal"/>
      <w:start w:val="21"/>
    </w:lvl>
  </w:abstractNum>
  <w:abstractNum w:abstractNumId="372">
    <w:nsid w:val="58A2A487"/>
    <w:multiLevelType w:val="hybridMultilevel"/>
    <w:lvl w:ilvl="0">
      <w:lvlJc w:val="left"/>
      <w:lvlText w:val="%1."/>
      <w:numFmt w:val="decimal"/>
      <w:start w:val="22"/>
    </w:lvl>
  </w:abstractNum>
  <w:abstractNum w:abstractNumId="373">
    <w:nsid w:val="3A6F0E78"/>
    <w:multiLevelType w:val="hybridMultilevel"/>
    <w:lvl w:ilvl="0">
      <w:lvlJc w:val="left"/>
      <w:lvlText w:val="(%1)"/>
      <w:numFmt w:val="lowerLetter"/>
      <w:start w:val="1"/>
    </w:lvl>
  </w:abstractNum>
  <w:abstractNum w:abstractNumId="374">
    <w:nsid w:val="379A5B56"/>
    <w:multiLevelType w:val="hybridMultilevel"/>
    <w:lvl w:ilvl="0">
      <w:lvlJc w:val="left"/>
      <w:lvlText w:val="%1"/>
      <w:numFmt w:val="decimal"/>
      <w:start w:val="1"/>
    </w:lvl>
    <w:lvl w:ilvl="1">
      <w:lvlJc w:val="left"/>
      <w:lvlText w:val="(%2)"/>
      <w:numFmt w:val="lowerLetter"/>
      <w:start w:val="2"/>
    </w:lvl>
  </w:abstractNum>
  <w:abstractNum w:abstractNumId="375">
    <w:nsid w:val="53B735D5"/>
    <w:multiLevelType w:val="hybridMultilevel"/>
    <w:lvl w:ilvl="0">
      <w:lvlJc w:val="left"/>
      <w:lvlText w:val="%1."/>
      <w:numFmt w:val="decimal"/>
      <w:start w:val="23"/>
    </w:lvl>
    <w:lvl w:ilvl="1">
      <w:lvlJc w:val="left"/>
      <w:lvlText w:val="%2"/>
      <w:numFmt w:val="lowerLetter"/>
      <w:start w:val="1"/>
    </w:lvl>
  </w:abstractNum>
  <w:abstractNum w:abstractNumId="376">
    <w:nsid w:val="29784870"/>
    <w:multiLevelType w:val="hybridMultilevel"/>
    <w:lvl w:ilvl="0">
      <w:lvlJc w:val="left"/>
      <w:lvlText w:val="%1."/>
      <w:numFmt w:val="decimal"/>
      <w:start w:val="24"/>
    </w:lvl>
  </w:abstractNum>
  <w:abstractNum w:abstractNumId="377">
    <w:nsid w:val="4CDCED4C"/>
    <w:multiLevelType w:val="hybridMultilevel"/>
    <w:lvl w:ilvl="0">
      <w:lvlJc w:val="left"/>
      <w:lvlText w:val="(%1)"/>
      <w:numFmt w:val="lowerLetter"/>
      <w:start w:val="1"/>
    </w:lvl>
  </w:abstractNum>
  <w:abstractNum w:abstractNumId="378">
    <w:nsid w:val="10A30D9C"/>
    <w:multiLevelType w:val="hybridMultilevel"/>
    <w:lvl w:ilvl="0">
      <w:lvlJc w:val="left"/>
      <w:lvlText w:val="%1"/>
      <w:numFmt w:val="lowerLetter"/>
      <w:start w:val="1"/>
    </w:lvl>
    <w:lvl w:ilvl="1">
      <w:lvlJc w:val="left"/>
      <w:lvlText w:val="(%2)"/>
      <w:numFmt w:val="lowerLetter"/>
      <w:start w:val="3"/>
    </w:lvl>
  </w:abstractNum>
  <w:abstractNum w:abstractNumId="379">
    <w:nsid w:val="A66E486"/>
    <w:multiLevelType w:val="hybridMultilevel"/>
    <w:lvl w:ilvl="0">
      <w:lvlJc w:val="left"/>
      <w:lvlText w:val="(%1)"/>
      <w:numFmt w:val="lowerLetter"/>
      <w:start w:val="3"/>
    </w:lvl>
    <w:lvl w:ilvl="1">
      <w:lvlJc w:val="left"/>
      <w:lvlText w:val="(%2)"/>
      <w:numFmt w:val="lowerLetter"/>
      <w:start w:val="5"/>
    </w:lvl>
  </w:abstractNum>
  <w:abstractNum w:abstractNumId="380">
    <w:nsid w:val="306235EA"/>
    <w:multiLevelType w:val="hybridMultilevel"/>
    <w:lvl w:ilvl="0">
      <w:lvlJc w:val="left"/>
      <w:lvlText w:val="%1."/>
      <w:numFmt w:val="decimal"/>
      <w:start w:val="25"/>
    </w:lvl>
  </w:abstractNum>
  <w:abstractNum w:abstractNumId="381">
    <w:nsid w:val="1187C70F"/>
    <w:multiLevelType w:val="hybridMultilevel"/>
    <w:lvl w:ilvl="0">
      <w:lvlJc w:val="left"/>
      <w:lvlText w:val="%1."/>
      <w:numFmt w:val="decimal"/>
      <w:start w:val="26"/>
    </w:lvl>
  </w:abstractNum>
  <w:abstractNum w:abstractNumId="382">
    <w:nsid w:val="5476DE98"/>
    <w:multiLevelType w:val="hybridMultilevel"/>
    <w:lvl w:ilvl="0">
      <w:lvlJc w:val="left"/>
      <w:lvlText w:val="%1."/>
      <w:numFmt w:val="decimal"/>
      <w:start w:val="27"/>
    </w:lvl>
  </w:abstractNum>
  <w:abstractNum w:abstractNumId="383">
    <w:nsid w:val="EA697F2"/>
    <w:multiLevelType w:val="hybridMultilevel"/>
    <w:lvl w:ilvl="0">
      <w:lvlJc w:val="left"/>
      <w:lvlText w:val="%1."/>
      <w:numFmt w:val="decimal"/>
      <w:start w:val="28"/>
    </w:lvl>
  </w:abstractNum>
  <w:abstractNum w:abstractNumId="384">
    <w:nsid w:val="70BA39EB"/>
    <w:multiLevelType w:val="hybridMultilevel"/>
    <w:lvl w:ilvl="0">
      <w:lvlJc w:val="left"/>
      <w:lvlText w:val="%1."/>
      <w:numFmt w:val="decimal"/>
      <w:start w:val="29"/>
    </w:lvl>
  </w:abstractNum>
  <w:abstractNum w:abstractNumId="385">
    <w:nsid w:val="4A8DB59C"/>
    <w:multiLevelType w:val="hybridMultilevel"/>
    <w:lvl w:ilvl="0">
      <w:lvlJc w:val="left"/>
      <w:lvlText w:val="%1."/>
      <w:numFmt w:val="decimal"/>
      <w:start w:val="30"/>
    </w:lvl>
  </w:abstractNum>
  <w:abstractNum w:abstractNumId="386">
    <w:nsid w:val="1AFD9053"/>
    <w:multiLevelType w:val="hybridMultilevel"/>
    <w:lvl w:ilvl="0">
      <w:lvlJc w:val="left"/>
      <w:lvlText w:val="%1."/>
      <w:numFmt w:val="decimal"/>
      <w:start w:val="31"/>
    </w:lvl>
  </w:abstractNum>
  <w:abstractNum w:abstractNumId="387">
    <w:nsid w:val="558BB10D"/>
    <w:multiLevelType w:val="hybridMultilevel"/>
    <w:lvl w:ilvl="0">
      <w:lvlJc w:val="left"/>
      <w:lvlText w:val="%1."/>
      <w:numFmt w:val="decimal"/>
      <w:start w:val="32"/>
    </w:lvl>
  </w:abstractNum>
  <w:abstractNum w:abstractNumId="388">
    <w:nsid w:val="43B27FA7"/>
    <w:multiLevelType w:val="hybridMultilevel"/>
    <w:lvl w:ilvl="0">
      <w:lvlJc w:val="left"/>
      <w:lvlText w:val="%1."/>
      <w:numFmt w:val="decimal"/>
      <w:start w:val="33"/>
    </w:lvl>
  </w:abstractNum>
  <w:abstractNum w:abstractNumId="389">
    <w:nsid w:val="27FADEFA"/>
    <w:multiLevelType w:val="hybridMultilevel"/>
    <w:lvl w:ilvl="0">
      <w:lvlJc w:val="left"/>
      <w:lvlText w:val="%1."/>
      <w:numFmt w:val="decimal"/>
      <w:start w:val="1"/>
    </w:lvl>
  </w:abstractNum>
  <w:abstractNum w:abstractNumId="390">
    <w:nsid w:val="78BB805A"/>
    <w:multiLevelType w:val="hybridMultilevel"/>
    <w:lvl w:ilvl="0">
      <w:lvlJc w:val="left"/>
      <w:lvlText w:val="(%1)"/>
      <w:numFmt w:val="lowerRoman"/>
      <w:start w:val="1"/>
    </w:lvl>
  </w:abstractNum>
  <w:abstractNum w:abstractNumId="391">
    <w:nsid w:val="62548FD8"/>
    <w:multiLevelType w:val="hybridMultilevel"/>
    <w:lvl w:ilvl="0">
      <w:lvlJc w:val="left"/>
      <w:lvlText w:val="%1."/>
      <w:numFmt w:val="decimal"/>
      <w:start w:val="5"/>
    </w:lvl>
  </w:abstractNum>
  <w:abstractNum w:abstractNumId="392">
    <w:nsid w:val="FA085B0"/>
    <w:multiLevelType w:val="hybridMultilevel"/>
    <w:lvl w:ilvl="0">
      <w:lvlJc w:val="left"/>
      <w:lvlText w:val="%1."/>
      <w:numFmt w:val="decimal"/>
      <w:start w:val="6"/>
    </w:lvl>
  </w:abstractNum>
  <w:abstractNum w:abstractNumId="393">
    <w:nsid w:val="4E5DCB5"/>
    <w:multiLevelType w:val="hybridMultilevel"/>
    <w:lvl w:ilvl="0">
      <w:lvlJc w:val="left"/>
      <w:lvlText w:val="%1."/>
      <w:numFmt w:val="decimal"/>
      <w:start w:val="7"/>
    </w:lvl>
  </w:abstractNum>
  <w:abstractNum w:abstractNumId="394">
    <w:nsid w:val="41E96BDB"/>
    <w:multiLevelType w:val="hybridMultilevel"/>
    <w:lvl w:ilvl="0">
      <w:lvlJc w:val="left"/>
      <w:lvlText w:val="%1."/>
      <w:numFmt w:val="decimal"/>
      <w:start w:val="11"/>
    </w:lvl>
    <w:lvl w:ilvl="1">
      <w:lvlJc w:val="left"/>
      <w:lvlText w:val="*"/>
      <w:numFmt w:val="bullet"/>
      <w:start w:val="1"/>
    </w:lvl>
  </w:abstractNum>
  <w:abstractNum w:abstractNumId="395">
    <w:nsid w:val="331C4250"/>
    <w:multiLevelType w:val="hybridMultilevel"/>
    <w:lvl w:ilvl="0">
      <w:lvlJc w:val="left"/>
      <w:lvlText w:val="%1."/>
      <w:numFmt w:val="decimal"/>
      <w:start w:val="1"/>
    </w:lvl>
  </w:abstractNum>
  <w:abstractNum w:abstractNumId="396">
    <w:nsid w:val="1B1493C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7">
    <w:nsid w:val="39F06DFD"/>
    <w:multiLevelType w:val="hybridMultilevel"/>
    <w:lvl w:ilvl="0">
      <w:lvlJc w:val="left"/>
      <w:lvlText w:val="(%1)"/>
      <w:numFmt w:val="lowerRoman"/>
      <w:start w:val="6"/>
    </w:lvl>
  </w:abstractNum>
  <w:abstractNum w:abstractNumId="398">
    <w:nsid w:val="14802F5D"/>
    <w:multiLevelType w:val="hybridMultilevel"/>
    <w:lvl w:ilvl="0">
      <w:lvlJc w:val="left"/>
      <w:lvlText w:val="%1"/>
      <w:numFmt w:val="lowerLetter"/>
      <w:start w:val="1"/>
    </w:lvl>
    <w:lvl w:ilvl="1">
      <w:lvlJc w:val="left"/>
      <w:lvlText w:val="(%2)"/>
      <w:numFmt w:val="lowerRoman"/>
      <w:start w:val="14"/>
    </w:lvl>
  </w:abstractNum>
  <w:abstractNum w:abstractNumId="399">
    <w:nsid w:val="2774A209"/>
    <w:multiLevelType w:val="hybridMultilevel"/>
    <w:lvl w:ilvl="0">
      <w:lvlJc w:val="left"/>
      <w:lvlText w:val="(%1)"/>
      <w:numFmt w:val="lowerLetter"/>
      <w:start w:val="2"/>
    </w:lvl>
    <w:lvl w:ilvl="1">
      <w:lvlJc w:val="left"/>
      <w:lvlText w:val="%2"/>
      <w:numFmt w:val="lowerRoman"/>
      <w:start w:val="1"/>
    </w:lvl>
  </w:abstractNum>
  <w:abstractNum w:abstractNumId="400">
    <w:nsid w:val="3785655A"/>
    <w:multiLevelType w:val="hybridMultilevel"/>
    <w:lvl w:ilvl="0">
      <w:lvlJc w:val="left"/>
      <w:lvlText w:val="(%1)"/>
      <w:numFmt w:val="lowerLetter"/>
      <w:start w:val="3"/>
    </w:lvl>
  </w:abstractNum>
  <w:abstractNum w:abstractNumId="401">
    <w:nsid w:val="B2172A"/>
    <w:multiLevelType w:val="hybridMultilevel"/>
    <w:lvl w:ilvl="0">
      <w:lvlJc w:val="left"/>
      <w:lvlText w:val="%1"/>
      <w:numFmt w:val="upperLetter"/>
      <w:start w:val="1"/>
    </w:lvl>
    <w:lvl w:ilvl="1">
      <w:lvlJc w:val="left"/>
      <w:lvlText w:val="(%2)"/>
      <w:numFmt w:val="lowerLetter"/>
      <w:start w:val="4"/>
    </w:lvl>
  </w:abstractNum>
  <w:abstractNum w:abstractNumId="402">
    <w:nsid w:val="532C34A5"/>
    <w:multiLevelType w:val="hybridMultilevel"/>
    <w:lvl w:ilvl="0">
      <w:lvlJc w:val="left"/>
      <w:lvlText w:val="(%1)"/>
      <w:numFmt w:val="upperLetter"/>
      <w:start w:val="2"/>
    </w:lvl>
    <w:lvl w:ilvl="1">
      <w:lvlJc w:val="left"/>
      <w:lvlText w:val="(%2)"/>
      <w:numFmt w:val="lowerLetter"/>
      <w:start w:val="5"/>
    </w:lvl>
  </w:abstractNum>
  <w:abstractNum w:abstractNumId="403">
    <w:nsid w:val="102809E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4">
    <w:nsid w:val="3B2125A3"/>
    <w:multiLevelType w:val="hybridMultilevel"/>
    <w:lvl w:ilvl="0">
      <w:lvlJc w:val="left"/>
      <w:lvlText w:val="%1"/>
      <w:numFmt w:val="lowerLetter"/>
      <w:start w:val="1"/>
    </w:lvl>
    <w:lvl w:ilvl="1">
      <w:lvlJc w:val="left"/>
      <w:lvlText w:val="(%2)"/>
      <w:numFmt w:val="lowerRoman"/>
      <w:start w:val="4"/>
    </w:lvl>
  </w:abstractNum>
  <w:abstractNum w:abstractNumId="405">
    <w:nsid w:val="AC68FFB"/>
    <w:multiLevelType w:val="hybridMultilevel"/>
    <w:lvl w:ilvl="0">
      <w:lvlJc w:val="left"/>
      <w:lvlText w:val="(%1)"/>
      <w:numFmt w:val="lowerLetter"/>
      <w:start w:val="2"/>
    </w:lvl>
    <w:lvl w:ilvl="1">
      <w:lvlJc w:val="left"/>
      <w:lvlText w:val="(%2)"/>
      <w:numFmt w:val="lowerRoman"/>
      <w:start w:val="1"/>
    </w:lvl>
  </w:abstractNum>
  <w:abstractNum w:abstractNumId="406">
    <w:nsid w:val="63DF3FB7"/>
    <w:multiLevelType w:val="hybridMultilevel"/>
    <w:lvl w:ilvl="0">
      <w:lvlJc w:val="left"/>
      <w:lvlText w:val="(%1)"/>
      <w:numFmt w:val="lowerRoman"/>
      <w:start w:val="5"/>
    </w:lvl>
  </w:abstractNum>
  <w:abstractNum w:abstractNumId="407">
    <w:nsid w:val="64996E1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8">
    <w:nsid w:val="57A37D47"/>
    <w:multiLevelType w:val="hybridMultilevel"/>
    <w:lvl w:ilvl="0">
      <w:lvlJc w:val="left"/>
      <w:lvlText w:val="(%1)"/>
      <w:numFmt w:val="lowerLetter"/>
      <w:start w:val="3"/>
    </w:lvl>
    <w:lvl w:ilvl="1">
      <w:lvlJc w:val="left"/>
      <w:lvlText w:val="(%2)"/>
      <w:numFmt w:val="lowerRoman"/>
      <w:start w:val="1"/>
    </w:lvl>
  </w:abstractNum>
  <w:abstractNum w:abstractNumId="409">
    <w:nsid w:val="74824D54"/>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410">
    <w:nsid w:val="6F00529A"/>
    <w:multiLevelType w:val="hybridMultilevel"/>
    <w:lvl w:ilvl="0">
      <w:lvlJc w:val="left"/>
      <w:lvlText w:val="(%1)"/>
      <w:numFmt w:val="upperLetter"/>
      <w:start w:val="2"/>
    </w:lvl>
  </w:abstractNum>
  <w:abstractNum w:abstractNumId="411">
    <w:nsid w:val="805B331"/>
    <w:multiLevelType w:val="hybridMultilevel"/>
    <w:lvl w:ilvl="0">
      <w:lvlJc w:val="left"/>
      <w:lvlText w:val="(%1)"/>
      <w:numFmt w:val="lowerRoman"/>
      <w:start w:val="4"/>
    </w:lvl>
  </w:abstractNum>
  <w:abstractNum w:abstractNumId="412">
    <w:nsid w:val="60A1463"/>
    <w:multiLevelType w:val="hybridMultilevel"/>
    <w:lvl w:ilvl="0">
      <w:lvlJc w:val="left"/>
      <w:lvlText w:val="(%1)"/>
      <w:numFmt w:val="lowerLetter"/>
      <w:start w:val="4"/>
    </w:lvl>
    <w:lvl w:ilvl="1">
      <w:lvlJc w:val="left"/>
      <w:lvlText w:val="(%2)"/>
      <w:numFmt w:val="lowerRoman"/>
      <w:start w:val="1"/>
    </w:lvl>
  </w:abstractNum>
  <w:abstractNum w:abstractNumId="413">
    <w:nsid w:val="43773132"/>
    <w:multiLevelType w:val="hybridMultilevel"/>
    <w:lvl w:ilvl="0">
      <w:lvlJc w:val="left"/>
      <w:lvlText w:val="%1"/>
      <w:numFmt w:val="decimal"/>
      <w:start w:val="1"/>
    </w:lvl>
    <w:lvl w:ilvl="1">
      <w:lvlJc w:val="left"/>
      <w:lvlText w:val="(%2)"/>
      <w:numFmt w:val="lowerLetter"/>
      <w:start w:val="6"/>
    </w:lvl>
  </w:abstractNum>
  <w:abstractNum w:abstractNumId="414">
    <w:nsid w:val="16AC4B23"/>
    <w:multiLevelType w:val="hybridMultilevel"/>
    <w:lvl w:ilvl="0">
      <w:lvlJc w:val="left"/>
      <w:lvlText w:val="(%1)"/>
      <w:numFmt w:val="decimal"/>
      <w:start w:val="1"/>
    </w:lvl>
    <w:lvl w:ilvl="1">
      <w:lvlJc w:val="left"/>
      <w:lvlText w:val="%2"/>
      <w:numFmt w:val="lowerLetter"/>
      <w:start w:val="1"/>
    </w:lvl>
  </w:abstractNum>
  <w:abstractNum w:abstractNumId="415">
    <w:nsid w:val="76C44E4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16">
    <w:nsid w:val="E04E6CE"/>
    <w:multiLevelType w:val="hybridMultilevel"/>
    <w:lvl w:ilvl="0">
      <w:lvlJc w:val="left"/>
      <w:lvlText w:val="%1"/>
      <w:numFmt w:val="lowerLetter"/>
      <w:start w:val="1"/>
    </w:lvl>
    <w:lvl w:ilvl="1">
      <w:lvlJc w:val="left"/>
      <w:lvlText w:val="(%2)"/>
      <w:numFmt w:val="lowerRoman"/>
      <w:start w:val="4"/>
    </w:lvl>
  </w:abstractNum>
  <w:abstractNum w:abstractNumId="417">
    <w:nsid w:val="31A9DB76"/>
    <w:multiLevelType w:val="hybridMultilevel"/>
    <w:lvl w:ilvl="0">
      <w:lvlJc w:val="left"/>
      <w:lvlText w:val="(%1)"/>
      <w:numFmt w:val="lowerLetter"/>
      <w:start w:val="2"/>
    </w:lvl>
    <w:lvl w:ilvl="1">
      <w:lvlJc w:val="left"/>
      <w:lvlText w:val="(%2)"/>
      <w:numFmt w:val="lowerRoman"/>
      <w:start w:val="1"/>
    </w:lvl>
  </w:abstractNum>
  <w:abstractNum w:abstractNumId="418">
    <w:nsid w:val="4C4FFF5B"/>
    <w:multiLevelType w:val="hybridMultilevel"/>
    <w:lvl w:ilvl="0">
      <w:lvlJc w:val="left"/>
      <w:lvlText w:val="(%1)"/>
      <w:numFmt w:val="lowerRoman"/>
      <w:start w:val="2"/>
    </w:lvl>
  </w:abstractNum>
  <w:abstractNum w:abstractNumId="419">
    <w:nsid w:val="51B76675"/>
    <w:multiLevelType w:val="hybridMultilevel"/>
    <w:lvl w:ilvl="0">
      <w:lvlJc w:val="left"/>
      <w:lvlText w:val="(%1)"/>
      <w:numFmt w:val="lowerLetter"/>
      <w:start w:val="3"/>
    </w:lvl>
    <w:lvl w:ilvl="1">
      <w:lvlJc w:val="left"/>
      <w:lvlText w:val="(%2)"/>
      <w:numFmt w:val="lowerLetter"/>
      <w:start w:val="9"/>
    </w:lvl>
  </w:abstractNum>
  <w:abstractNum w:abstractNumId="420">
    <w:nsid w:val="59A4BA71"/>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421">
    <w:nsid w:val="450B7FB6"/>
    <w:multiLevelType w:val="hybridMultilevel"/>
    <w:lvl w:ilvl="0">
      <w:lvlJc w:val="left"/>
      <w:lvlText w:val="%1"/>
      <w:numFmt w:val="decimal"/>
      <w:start w:val="1"/>
    </w:lvl>
    <w:lvl w:ilvl="1">
      <w:lvlJc w:val="left"/>
      <w:lvlText w:val="%2"/>
      <w:numFmt w:val="decimal"/>
      <w:start w:val="1"/>
    </w:lvl>
    <w:lvl w:ilvl="2">
      <w:lvlJc w:val="left"/>
      <w:lvlText w:val="(%3)"/>
      <w:numFmt w:val="upperLetter"/>
      <w:start w:val="61"/>
    </w:lvl>
    <w:lvl w:ilvl="3">
      <w:lvlJc w:val="left"/>
      <w:lvlText w:val="(%4)"/>
      <w:numFmt w:val="lowerRoman"/>
      <w:start w:val="3"/>
    </w:lvl>
  </w:abstractNum>
  <w:abstractNum w:abstractNumId="422">
    <w:nsid w:val="340BF64D"/>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lowerRoman"/>
      <w:start w:val="1"/>
    </w:lvl>
  </w:abstractNum>
  <w:abstractNum w:abstractNumId="423">
    <w:nsid w:val="69454021"/>
    <w:multiLevelType w:val="hybridMultilevel"/>
    <w:lvl w:ilvl="0">
      <w:lvlJc w:val="left"/>
      <w:lvlText w:val="(%1)"/>
      <w:numFmt w:val="decimal"/>
      <w:start w:val="15"/>
    </w:lvl>
    <w:lvl w:ilvl="1">
      <w:lvlJc w:val="left"/>
      <w:lvlText w:val="%2."/>
      <w:numFmt w:val="decimal"/>
      <w:start w:val="10"/>
    </w:lvl>
    <w:lvl w:ilvl="2">
      <w:lvlJc w:val="left"/>
      <w:lvlText w:val="%3"/>
      <w:numFmt w:val="upperLetter"/>
      <w:start w:val="1"/>
    </w:lvl>
    <w:lvl w:ilvl="3">
      <w:lvlJc w:val="left"/>
      <w:lvlText w:val="%4"/>
      <w:numFmt w:val="lowerRoman"/>
      <w:start w:val="1"/>
    </w:lvl>
  </w:abstractNum>
  <w:abstractNum w:abstractNumId="424">
    <w:nsid w:val="49F15C6B"/>
    <w:multiLevelType w:val="hybridMultilevel"/>
    <w:lvl w:ilvl="0">
      <w:lvlJc w:val="left"/>
      <w:lvlText w:val="%1."/>
      <w:numFmt w:val="decimal"/>
      <w:start w:val="13"/>
    </w:lvl>
  </w:abstractNum>
  <w:abstractNum w:abstractNumId="425">
    <w:nsid w:val="75F56228"/>
    <w:multiLevelType w:val="hybridMultilevel"/>
    <w:lvl w:ilvl="0">
      <w:lvlJc w:val="left"/>
      <w:lvlText w:val="%1."/>
      <w:numFmt w:val="decimal"/>
      <w:start w:val="1"/>
    </w:lvl>
    <w:lvl w:ilvl="1">
      <w:lvlJc w:val="left"/>
      <w:lvlText w:val="(%2)"/>
      <w:numFmt w:val="lowerLetter"/>
      <w:start w:val="1"/>
    </w:lvl>
  </w:abstractNum>
  <w:abstractNum w:abstractNumId="426">
    <w:nsid w:val="1C618271"/>
    <w:multiLevelType w:val="hybridMultilevel"/>
    <w:lvl w:ilvl="0">
      <w:lvlJc w:val="left"/>
      <w:lvlText w:val="(%1)"/>
      <w:numFmt w:val="decimal"/>
      <w:start w:val="1"/>
    </w:lvl>
  </w:abstractNum>
  <w:abstractNum w:abstractNumId="427">
    <w:nsid w:val="6505F02E"/>
    <w:multiLevelType w:val="hybridMultilevel"/>
    <w:lvl w:ilvl="0">
      <w:lvlJc w:val="left"/>
      <w:lvlText w:val="(%1)"/>
      <w:numFmt w:val="lowerLetter"/>
      <w:start w:val="4"/>
    </w:lvl>
    <w:lvl w:ilvl="1">
      <w:lvlJc w:val="left"/>
      <w:lvlText w:val="(%2)"/>
      <w:numFmt w:val="lowerRoman"/>
      <w:start w:val="1"/>
    </w:lvl>
  </w:abstractNum>
  <w:abstractNum w:abstractNumId="428">
    <w:nsid w:val="2FE5D025"/>
    <w:multiLevelType w:val="hybridMultilevel"/>
    <w:lvl w:ilvl="0">
      <w:lvlJc w:val="left"/>
      <w:lvlText w:val="(%1)"/>
      <w:numFmt w:val="lowerLetter"/>
      <w:start w:val="5"/>
    </w:lvl>
  </w:abstractNum>
  <w:abstractNum w:abstractNumId="429">
    <w:nsid w:val="30E1B1CF"/>
    <w:multiLevelType w:val="hybridMultilevel"/>
    <w:lvl w:ilvl="0">
      <w:lvlJc w:val="left"/>
      <w:lvlText w:val="%1."/>
      <w:numFmt w:val="decimal"/>
      <w:start w:val="2"/>
    </w:lvl>
    <w:lvl w:ilvl="1">
      <w:lvlJc w:val="left"/>
      <w:lvlText w:val="(%2)"/>
      <w:numFmt w:val="lowerLetter"/>
      <w:start w:val="1"/>
    </w:lvl>
  </w:abstractNum>
  <w:abstractNum w:abstractNumId="430">
    <w:nsid w:val="C7A9237"/>
    <w:multiLevelType w:val="hybridMultilevel"/>
    <w:lvl w:ilvl="0">
      <w:lvlJc w:val="left"/>
      <w:lvlText w:val="%1."/>
      <w:numFmt w:val="decimal"/>
      <w:start w:val="3"/>
    </w:lvl>
    <w:lvl w:ilvl="1">
      <w:lvlJc w:val="left"/>
      <w:lvlText w:val="(%2)"/>
      <w:numFmt w:val="lowerLetter"/>
      <w:start w:val="1"/>
    </w:lvl>
  </w:abstractNum>
  <w:abstractNum w:abstractNumId="431">
    <w:nsid w:val="676B3580"/>
    <w:multiLevelType w:val="hybridMultilevel"/>
    <w:lvl w:ilvl="0">
      <w:lvlJc w:val="left"/>
      <w:lvlText w:val="%1."/>
      <w:numFmt w:val="decimal"/>
      <w:start w:val="6"/>
    </w:lvl>
    <w:lvl w:ilvl="1">
      <w:lvlJc w:val="left"/>
      <w:lvlText w:val="(%2)"/>
      <w:numFmt w:val="lowerLetter"/>
      <w:start w:val="1"/>
    </w:lvl>
  </w:abstractNum>
  <w:abstractNum w:abstractNumId="432">
    <w:nsid w:val="3193C8F9"/>
    <w:multiLevelType w:val="hybridMultilevel"/>
    <w:lvl w:ilvl="0">
      <w:lvlJc w:val="left"/>
      <w:lvlText w:val="%1."/>
      <w:numFmt w:val="decimal"/>
      <w:start w:val="8"/>
    </w:lvl>
  </w:abstractNum>
  <w:abstractNum w:abstractNumId="433">
    <w:nsid w:val="5FA6C6DC"/>
    <w:multiLevelType w:val="hybridMultilevel"/>
    <w:lvl w:ilvl="0">
      <w:lvlJc w:val="left"/>
      <w:lvlText w:val="%1."/>
      <w:numFmt w:val="decimal"/>
      <w:start w:val="11"/>
    </w:lvl>
    <w:lvl w:ilvl="1">
      <w:lvlJc w:val="left"/>
      <w:lvlText w:val="(%2)"/>
      <w:numFmt w:val="lowerLetter"/>
      <w:start w:val="1"/>
    </w:lvl>
  </w:abstractNum>
  <w:abstractNum w:abstractNumId="434">
    <w:nsid w:val="77933F62"/>
    <w:multiLevelType w:val="hybridMultilevel"/>
    <w:lvl w:ilvl="0">
      <w:lvlJc w:val="left"/>
      <w:lvlText w:val="%1."/>
      <w:numFmt w:val="decimal"/>
      <w:start w:val="1"/>
    </w:lvl>
    <w:lvl w:ilvl="1">
      <w:lvlJc w:val="left"/>
      <w:lvlText w:val="(%2)"/>
      <w:numFmt w:val="lowerLetter"/>
      <w:start w:val="1"/>
    </w:lvl>
  </w:abstractNum>
  <w:abstractNum w:abstractNumId="435">
    <w:nsid w:val="6CB4EE9C"/>
    <w:multiLevelType w:val="hybridMultilevel"/>
    <w:lvl w:ilvl="0">
      <w:lvlJc w:val="left"/>
      <w:lvlText w:val="(%1)"/>
      <w:numFmt w:val="decimal"/>
      <w:start w:val="1"/>
    </w:lvl>
  </w:abstractNum>
  <w:abstractNum w:abstractNumId="436">
    <w:nsid w:val="6A6D56D7"/>
    <w:multiLevelType w:val="hybridMultilevel"/>
    <w:lvl w:ilvl="0">
      <w:lvlJc w:val="left"/>
      <w:lvlText w:val="(%1)"/>
      <w:numFmt w:val="lowerLetter"/>
      <w:start w:val="4"/>
    </w:lvl>
    <w:lvl w:ilvl="1">
      <w:lvlJc w:val="left"/>
      <w:lvlText w:val="(%2)"/>
      <w:numFmt w:val="lowerRoman"/>
      <w:start w:val="1"/>
    </w:lvl>
  </w:abstractNum>
  <w:abstractNum w:abstractNumId="437">
    <w:nsid w:val="5B727F19"/>
    <w:multiLevelType w:val="hybridMultilevel"/>
    <w:lvl w:ilvl="0">
      <w:lvlJc w:val="left"/>
      <w:lvlText w:val="(%1)"/>
      <w:numFmt w:val="lowerLetter"/>
      <w:start w:val="5"/>
    </w:lvl>
  </w:abstractNum>
  <w:abstractNum w:abstractNumId="438">
    <w:nsid w:val="514E5CB0"/>
    <w:multiLevelType w:val="hybridMultilevel"/>
    <w:lvl w:ilvl="0">
      <w:lvlJc w:val="left"/>
      <w:lvlText w:val="%1."/>
      <w:numFmt w:val="decimal"/>
      <w:start w:val="2"/>
    </w:lvl>
    <w:lvl w:ilvl="1">
      <w:lvlJc w:val="left"/>
      <w:lvlText w:val="(%2)"/>
      <w:numFmt w:val="lowerLetter"/>
      <w:start w:val="1"/>
    </w:lvl>
  </w:abstractNum>
  <w:abstractNum w:abstractNumId="439">
    <w:nsid w:val="4210D41E"/>
    <w:multiLevelType w:val="hybridMultilevel"/>
    <w:lvl w:ilvl="0">
      <w:lvlJc w:val="left"/>
      <w:lvlText w:val="%1."/>
      <w:numFmt w:val="decimal"/>
      <w:start w:val="3"/>
    </w:lvl>
    <w:lvl w:ilvl="1">
      <w:lvlJc w:val="left"/>
      <w:lvlText w:val="(%2)"/>
      <w:numFmt w:val="lowerLetter"/>
      <w:start w:val="1"/>
    </w:lvl>
  </w:abstractNum>
  <w:abstractNum w:abstractNumId="440">
    <w:nsid w:val="4FF4CC6D"/>
    <w:multiLevelType w:val="hybridMultilevel"/>
    <w:lvl w:ilvl="0">
      <w:lvlJc w:val="left"/>
      <w:lvlText w:val="(%1)"/>
      <w:numFmt w:val="lowerLetter"/>
      <w:start w:val="2"/>
    </w:lvl>
  </w:abstractNum>
  <w:abstractNum w:abstractNumId="441">
    <w:nsid w:val="404EAF4A"/>
    <w:multiLevelType w:val="hybridMultilevel"/>
    <w:lvl w:ilvl="0">
      <w:lvlJc w:val="left"/>
      <w:lvlText w:val="%1."/>
      <w:numFmt w:val="decimal"/>
      <w:start w:val="7"/>
    </w:lvl>
  </w:abstractNum>
  <w:abstractNum w:abstractNumId="442">
    <w:nsid w:val="4A16874F"/>
    <w:multiLevelType w:val="hybridMultilevel"/>
    <w:lvl w:ilvl="0">
      <w:lvlJc w:val="left"/>
      <w:lvlText w:val="%1."/>
      <w:numFmt w:val="decimal"/>
      <w:start w:val="13"/>
    </w:lvl>
    <w:lvl w:ilvl="1">
      <w:lvlJc w:val="left"/>
      <w:lvlText w:val="(%2)"/>
      <w:numFmt w:val="lowerLetter"/>
      <w:start w:val="1"/>
    </w:lvl>
  </w:abstractNum>
  <w:abstractNum w:abstractNumId="443">
    <w:nsid w:val="55FEE0D1"/>
    <w:multiLevelType w:val="hybridMultilevel"/>
    <w:lvl w:ilvl="0">
      <w:lvlJc w:val="left"/>
      <w:lvlText w:val="(%1)"/>
      <w:numFmt w:val="lowerLetter"/>
      <w:start w:val="1"/>
    </w:lvl>
  </w:abstractNum>
  <w:abstractNum w:abstractNumId="444">
    <w:nsid w:val="3C5E07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jpe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2019-12-09T19:29:27Z</dcterms:created>
  <dcterms:modified xsi:type="dcterms:W3CDTF">2019-12-09T19:29:27Z</dcterms:modified>
</cp:coreProperties>
</file>