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xwel-20250630x10q.htm"/>
        <w:bookmarkStart w:id="1" w:name="ksxwel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7433f56d_0cfc_4af4_a2a5_7ba00a023cfd"/>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24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pBdr/>
        <w:bidi w:val="0"/>
        <w:spacing w:before="0" w:after="240"/>
        <w:ind w:left="72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2025</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pBdr/>
        <w:bidi w:val="0"/>
        <w:spacing w:before="0" w:after="240"/>
        <w:ind w:left="72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 to ___</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001-34785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XWELL,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ALuBoyrOx0yruMDy_gK7-Q_5_2"/>
      <w:bookmarkStart w:id="4" w:name="Tc_tAg_IZzbMEilxHozVWw17A_5_0"/>
      <w:bookmarkStart w:id="5" w:name="Tc_1Aqwd-MWFU2g7lxZZK675w_4_0"/>
      <w:bookmarkStart w:id="6" w:name="Tc_74pzXQcXIk2iyVNFJT5Ssg_2_2"/>
      <w:bookmarkStart w:id="7" w:name="Tc_SN9CdzNC30G2F46orgIvew_2_0"/>
      <w:bookmarkStart w:id="8" w:name="_1670dc7f_3967_438e_b623_59a3f2a41dfd"/>
      <w:bookmarkStart w:id="9" w:name="Tc_ALuBoyrOx0yruMDy_gK7-Q_5_2"/>
      <w:bookmarkStart w:id="10" w:name="Tc_tAg_IZzbMEilxHozVWw17A_5_0"/>
      <w:bookmarkStart w:id="11" w:name="Tc_1Aqwd-MWFU2g7lxZZK675w_4_0"/>
      <w:bookmarkStart w:id="12" w:name="Tc_74pzXQcXIk2iyVNFJT5Ssg_2_2"/>
      <w:bookmarkStart w:id="13" w:name="Tc_SN9CdzNC30G2F46orgIvew_2_0"/>
      <w:bookmarkStart w:id="14" w:name="_1670dc7f_3967_438e_b623_59a3f2a41dfd"/>
      <w:bookmarkEnd w:id="9"/>
      <w:bookmarkEnd w:id="10"/>
      <w:bookmarkEnd w:id="11"/>
      <w:bookmarkEnd w:id="12"/>
      <w:bookmarkEnd w:id="13"/>
      <w:bookmarkEnd w:id="14"/>
    </w:p>
    <w:tbl>
      <w:tblPr>
        <w:tblW w:w="5878" w:type="dxa"/>
        <w:jc w:val="left"/>
        <w:tblInd w:w="0" w:type="dxa"/>
        <w:tblLayout w:type="fixed"/>
        <w:tblCellMar>
          <w:top w:w="0" w:type="dxa"/>
          <w:left w:w="0" w:type="dxa"/>
          <w:bottom w:w="0" w:type="dxa"/>
          <w:right w:w="0" w:type="dxa"/>
        </w:tblCellMar>
      </w:tblPr>
      <w:tblGrid>
        <w:gridCol w:w="4081"/>
        <w:gridCol w:w="146"/>
        <w:gridCol w:w="1651"/>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20-4988129</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4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254 West 31</w:t>
            </w:r>
            <w:r>
              <w:rPr>
                <w:rFonts w:ascii="Times New Roman;Times;serif" w:hAnsi="Times New Roman;Times;serif"/>
                <w:b/>
                <w:sz w:val="15"/>
              </w:rPr>
              <w:t>st</w:t>
            </w:r>
            <w:r>
              <w:rPr>
                <w:rFonts w:ascii="Times New Roman;Times;serif" w:hAnsi="Times New Roman;Times;serif"/>
                <w:sz w:val="20"/>
              </w:rPr>
              <w:t xml:space="preserve"> </w:t>
            </w:r>
            <w:r>
              <w:rPr>
                <w:rFonts w:ascii="Times New Roman;Times;serif" w:hAnsi="Times New Roman;Times;serif"/>
                <w:b/>
                <w:sz w:val="20"/>
              </w:rPr>
              <w:t>Street, 11th Floor, New York, NY</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10001</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(212) 750-9595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5" w:name="Tc_HoGkvNM1m0G0rsZNSalJ-Q_2_4"/>
      <w:bookmarkStart w:id="16" w:name="Tc_hvCWoV4HTkO3413DhfSQYA_1_4"/>
      <w:bookmarkStart w:id="17" w:name="Tc_9_eEdBQmi0S7h0aV2vEK0Q_1_2"/>
      <w:bookmarkStart w:id="18" w:name="Tc_up-_puT6vkK-qNkuNcF8uw_1_0"/>
      <w:bookmarkStart w:id="19" w:name="_2b7c7af7_3bda_434d_a88c_b37f3b56b004"/>
      <w:bookmarkStart w:id="20" w:name="Tc_HoGkvNM1m0G0rsZNSalJ-Q_2_4"/>
      <w:bookmarkStart w:id="21" w:name="Tc_hvCWoV4HTkO3413DhfSQYA_1_4"/>
      <w:bookmarkStart w:id="22" w:name="Tc_9_eEdBQmi0S7h0aV2vEK0Q_1_2"/>
      <w:bookmarkStart w:id="23" w:name="Tc_up-_puT6vkK-qNkuNcF8uw_1_0"/>
      <w:bookmarkStart w:id="24" w:name="_2b7c7af7_3bda_434d_a88c_b37f3b56b004"/>
      <w:bookmarkEnd w:id="20"/>
      <w:bookmarkEnd w:id="21"/>
      <w:bookmarkEnd w:id="22"/>
      <w:bookmarkEnd w:id="23"/>
      <w:bookmarkEnd w:id="24"/>
    </w:p>
    <w:tbl>
      <w:tblPr>
        <w:tblW w:w="9670" w:type="dxa"/>
        <w:jc w:val="left"/>
        <w:tblInd w:w="0" w:type="dxa"/>
        <w:tblLayout w:type="fixed"/>
        <w:tblCellMar>
          <w:top w:w="0" w:type="dxa"/>
          <w:left w:w="0" w:type="dxa"/>
          <w:bottom w:w="0" w:type="dxa"/>
          <w:right w:w="0" w:type="dxa"/>
        </w:tblCellMar>
      </w:tblPr>
      <w:tblGrid>
        <w:gridCol w:w="3496"/>
        <w:gridCol w:w="326"/>
        <w:gridCol w:w="1696"/>
        <w:gridCol w:w="32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826" w:type="dxa"/>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vAlign w:val="center"/>
          </w:tcPr>
          <w:p>
            <w:pPr>
              <w:pStyle w:val="TableContents"/>
              <w:bidi w:val="0"/>
              <w:spacing w:before="0" w:after="0"/>
              <w:ind w:left="0" w:right="0" w:hanging="0"/>
              <w:jc w:val="center"/>
              <w:rPr/>
            </w:pPr>
            <w:r>
              <w:rPr/>
              <w:t>    </w:t>
            </w:r>
          </w:p>
        </w:tc>
        <w:tc>
          <w:tcPr>
            <w:tcW w:w="16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26" w:type="dxa"/>
            <w:tcBorders/>
            <w:vAlign w:val="center"/>
          </w:tcPr>
          <w:p>
            <w:pPr>
              <w:pStyle w:val="TableContents"/>
              <w:bidi w:val="0"/>
              <w:spacing w:before="0" w:after="0"/>
              <w:ind w:left="0" w:right="0" w:hanging="0"/>
              <w:jc w:val="center"/>
              <w:rPr/>
            </w:pPr>
            <w:r>
              <w:rPr/>
              <w:t>    </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26" w:type="dxa"/>
            <w:tcBorders/>
            <w:vAlign w:val="center"/>
          </w:tcPr>
          <w:p>
            <w:pPr>
              <w:pStyle w:val="TableContents"/>
              <w:bidi w:val="0"/>
              <w:spacing w:before="0" w:after="0"/>
              <w:ind w:left="0" w:right="0" w:hanging="0"/>
              <w:jc w:val="center"/>
              <w:rPr/>
            </w:pPr>
            <w:r>
              <w:rPr/>
              <w:t> </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XWEL</w:t>
            </w:r>
          </w:p>
        </w:tc>
        <w:tc>
          <w:tcPr>
            <w:tcW w:w="326" w:type="dxa"/>
            <w:tcBorders/>
            <w:vAlign w:val="center"/>
          </w:tcPr>
          <w:p>
            <w:pPr>
              <w:pStyle w:val="TableContents"/>
              <w:bidi w:val="0"/>
              <w:spacing w:before="0" w:after="0"/>
              <w:ind w:left="0" w:right="0" w:hanging="0"/>
              <w:jc w:val="center"/>
              <w:rPr/>
            </w:pPr>
            <w:r>
              <w:rPr/>
              <w:t> </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XKYNigr6T0Or2F5Gd04kgg_2_2"/>
      <w:bookmarkStart w:id="26" w:name="Tc_jLfXnzdBNkybSyt6FSR0bQ_1_2"/>
      <w:bookmarkStart w:id="27" w:name="Tc_xDUw_A0t-Umxp0EITiX75Q_1_1"/>
      <w:bookmarkStart w:id="28" w:name="Tc_P8qI_I7_Pky9aBQ-HPSfAA_0_3"/>
      <w:bookmarkStart w:id="29" w:name="Tc_ys1DyXqB9U-N-bzsb88etQ_0_2"/>
      <w:bookmarkStart w:id="30" w:name="Tc_WCZt7T6PakuPj8x__Fo5Hg_0_1"/>
      <w:bookmarkStart w:id="31" w:name="Tc_tEe3YnKJskSckH4rPuHylQ_0_0"/>
      <w:bookmarkStart w:id="32" w:name="_856ccd18_83af_422a_8199_4e911668d10e"/>
      <w:bookmarkStart w:id="33" w:name="Tc_XKYNigr6T0Or2F5Gd04kgg_2_2"/>
      <w:bookmarkStart w:id="34" w:name="Tc_jLfXnzdBNkybSyt6FSR0bQ_1_2"/>
      <w:bookmarkStart w:id="35" w:name="Tc_xDUw_A0t-Umxp0EITiX75Q_1_1"/>
      <w:bookmarkStart w:id="36" w:name="Tc_P8qI_I7_Pky9aBQ-HPSfAA_0_3"/>
      <w:bookmarkStart w:id="37" w:name="Tc_ys1DyXqB9U-N-bzsb88etQ_0_2"/>
      <w:bookmarkStart w:id="38" w:name="Tc_WCZt7T6PakuPj8x__Fo5Hg_0_1"/>
      <w:bookmarkStart w:id="39" w:name="Tc_tEe3YnKJskSckH4rPuHylQ_0_0"/>
      <w:bookmarkStart w:id="40" w:name="_856ccd18_83af_422a_8199_4e911668d10e"/>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18"/>
        </w:rPr>
      </w:pPr>
      <w:r>
        <w:rPr>
          <w:rFonts w:ascii="Times New Roman;Times;serif" w:hAnsi="Times New Roman;Times;serif"/>
          <w:sz w:val="20"/>
        </w:rPr>
        <w:t>As of August 8, 2025, 5,756,703</w:t>
      </w:r>
      <w:r>
        <w:rPr>
          <w:rFonts w:ascii="Times New Roman;Times;serif" w:hAnsi="Times New Roman;Times;serif"/>
          <w:sz w:val="18"/>
        </w:rPr>
        <w:t xml:space="preserve"> </w:t>
      </w:r>
      <w:r>
        <w:rPr>
          <w:rFonts w:ascii="Times New Roman;Times;serif" w:hAnsi="Times New Roman;Times;serif"/>
          <w:sz w:val="20"/>
        </w:rPr>
        <w:t>shares of the registrant’s common stock were outstanding.</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0c81cf1e_3030_472f_a5b2_1fc6ec91091a"/>
      <w:bookmarkEnd w:id="41"/>
      <w:r>
        <w:rPr>
          <w:rFonts w:ascii="Times New Roman;Times;serif" w:hAnsi="Times New Roman;Times;serif"/>
          <w:b/>
          <w:sz w:val="20"/>
        </w:rPr>
        <w:t>XWELL, Inc. and Subsidiaries</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9014" w:type="dxa"/>
        <w:jc w:val="left"/>
        <w:tblInd w:w="0" w:type="dxa"/>
        <w:tblLayout w:type="fixed"/>
        <w:tblCellMar>
          <w:top w:w="0" w:type="dxa"/>
          <w:left w:w="0" w:type="dxa"/>
          <w:bottom w:w="0" w:type="dxa"/>
          <w:right w:w="0" w:type="dxa"/>
        </w:tblCellMar>
      </w:tblPr>
      <w:tblGrid>
        <w:gridCol w:w="811"/>
        <w:gridCol w:w="7366"/>
        <w:gridCol w:w="326"/>
        <w:gridCol w:w="5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77" w:type="dxa"/>
            <w:gridSpan w:val="2"/>
            <w:tcBorders/>
            <w:vAlign w:val="center"/>
          </w:tcPr>
          <w:p>
            <w:pPr>
              <w:pStyle w:val="TableContents"/>
              <w:bidi w:val="0"/>
              <w:spacing w:before="0" w:after="0"/>
              <w:ind w:left="0" w:right="0" w:hanging="0"/>
              <w:jc w:val="left"/>
              <w:rPr/>
            </w:pPr>
            <w:hyperlink w:anchor="PARTIFINANCIALINFORMATION_936580">
              <w:r>
                <w:rPr>
                  <w:rStyle w:val="InternetLink"/>
                  <w:rFonts w:ascii="Times New Roman;Times;serif" w:hAnsi="Times New Roman;Times;serif"/>
                  <w:b w:val="false"/>
                  <w:i w:val="false"/>
                  <w:caps w:val="false"/>
                  <w:smallCaps w:val="false"/>
                  <w:sz w:val="20"/>
                </w:rPr>
                <w:t>PART I. FINANCIAL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1ConsolidatedCondensedFinancialState">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ConsolidatedCondens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4ControlsandProcedures_60349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603492">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hyperlink w:anchor="PARTIIOTHERINFORMATION_90261">
              <w:r>
                <w:rPr>
                  <w:rStyle w:val="InternetLink"/>
                  <w:rFonts w:ascii="Times New Roman;Times;serif" w:hAnsi="Times New Roman;Times;serif"/>
                  <w:b w:val="false"/>
                  <w:i w:val="false"/>
                  <w:caps w:val="false"/>
                  <w:smallCaps w:val="false"/>
                  <w:sz w:val="20"/>
                </w:rPr>
                <w:t>PART II. OTHER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88324">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288324">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1ARiskFactors_714642">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714642">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_2_Unreg_Sal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_2_Unreg_Sal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hyperlink w:anchor="Item3DefaultsUponSeniorSecurities_163017">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163017">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hyperlink w:anchor="Item4MineSafetyDisclosures_95543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955432">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hyperlink w:anchor="Item6Exhibits_900445">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900445">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3" w:name="PARTIFINANCIALINFORMATION_936580"/>
      <w:bookmarkStart w:id="44" w:name="_77e348a4_df97_4dfb_b957_16a8009c4d7d"/>
      <w:bookmarkEnd w:id="43"/>
      <w:bookmarkEnd w:id="44"/>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45" w:name="Item1ConsolidatedCondensedFinancialState"/>
      <w:bookmarkEnd w:id="45"/>
      <w:r>
        <w:rPr>
          <w:rFonts w:ascii="Times New Roman;Times;serif" w:hAnsi="Times New Roman;Times;serif"/>
          <w:b/>
          <w:i w:val="false"/>
          <w:caps w:val="false"/>
          <w:smallCaps w:val="false"/>
          <w:sz w:val="20"/>
        </w:rPr>
        <w:t>Item 1.</w:t>
      </w:r>
      <w:r>
        <w:rPr>
          <w:rFonts w:ascii="Times New Roman;Times;serif" w:hAnsi="Times New Roman;Times;serif"/>
          <w:b/>
          <w:sz w:val="20"/>
        </w:rPr>
        <w:t>Condensed Consolidated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46" w:name="Tc_cS5PwbsV90WTYEBpGFqj0g_40_5"/>
      <w:bookmarkStart w:id="47" w:name="Tc_81mDkWWJ5U-vMWnB8Fk7nA_40_2"/>
      <w:bookmarkStart w:id="48" w:name="Tc_HJO9LYsMJkqQx2T3WX-fGQ_40_0"/>
      <w:bookmarkStart w:id="49" w:name="Tc_rx9MW97pV0mWz4VMa42RQg_39_0"/>
      <w:bookmarkStart w:id="50" w:name="Tc_wuotE1cW4kGL9hq0i62-7Q_38_0"/>
      <w:bookmarkStart w:id="51" w:name="Tc_vrq2KM4psUedmWjZU3Hvgg_37_0"/>
      <w:bookmarkStart w:id="52" w:name="Tc_JiDg6kVXEEOHtYlYd7lG-Q_36_0"/>
      <w:bookmarkStart w:id="53" w:name="Tc_gZ4AiywaPk-2RqoH9T55sQ_35_0"/>
      <w:bookmarkStart w:id="54" w:name="Tc_DVISvUclOE66zXodYzYT_Q_34_0"/>
      <w:bookmarkStart w:id="55" w:name="Tc_7RAkwG9Gx06dMaLSk1iLgQ_33_0"/>
      <w:bookmarkStart w:id="56" w:name="Tc_8K-CbpVPkUi6kCACKnmekw_32_0"/>
      <w:bookmarkStart w:id="57" w:name="Tc_38v99jadD0Wu-bohlRew_g_31_0"/>
      <w:bookmarkStart w:id="58" w:name="Tc_Es2qjXR45EWhTV8n8zZS2g_30_0"/>
      <w:bookmarkStart w:id="59" w:name="Tc_E5P8x3u37UCQTeTBrv6Wzw_29_0"/>
      <w:bookmarkStart w:id="60" w:name="Tc_MiIQwIVTVkeyNyULviIiKA_28_0"/>
      <w:bookmarkStart w:id="61" w:name="Tc_zZj7Du-k2EqgKTGylqnUuw_27_0"/>
      <w:bookmarkStart w:id="62" w:name="Tc_VtXQlB2o5kWZz8_ZnhiMJg_26_6"/>
      <w:bookmarkStart w:id="63" w:name="Tc_b4MjERka7U2vs2FUkIgYRw_26_0"/>
      <w:bookmarkStart w:id="64" w:name="Tc_4J_C89vAM0e-39ZfFs_LJA_25_0"/>
      <w:bookmarkStart w:id="65" w:name="Tc_xzUMm_QQSkSwmwtvrHgnCQ_23_0"/>
      <w:bookmarkStart w:id="66" w:name="Tc_iN3w14we4k2eDTTFwCsPww_22_0"/>
      <w:bookmarkStart w:id="67" w:name="Tc_AflbEMo710yNauS5vUsrmQ_21_0"/>
      <w:bookmarkStart w:id="68" w:name="Tc_fmK8hQt95kyT2PiVwUhacg_20_6"/>
      <w:bookmarkStart w:id="69" w:name="Tc_2IXMByeglEKBSL38bvLINw_20_0"/>
      <w:bookmarkStart w:id="70" w:name="Tc_FCALBYbP8k6NsVbb6E7Tsg_19_0"/>
      <w:bookmarkStart w:id="71" w:name="Tc_tDC8lc9y9k-2YCDtiMhxfQ_18_5"/>
      <w:bookmarkStart w:id="72" w:name="Tc_2_D5VpkjYU-I903xz5TQ5w_18_2"/>
      <w:bookmarkStart w:id="73" w:name="Tc_ewKpi2nkqk2jPooi4aAQyg_18_0"/>
      <w:bookmarkStart w:id="74" w:name="Tc_065I2fXrTkSDi023ok86WQ_17_0"/>
      <w:bookmarkStart w:id="75" w:name="Tc_X8obg8mgH0WQPyO5hpe5mg_16_5"/>
      <w:bookmarkStart w:id="76" w:name="Tc_qn09CjfK5kmVAou3DwT-TQ_16_2"/>
      <w:bookmarkStart w:id="77" w:name="Tc_-aFu-w6-w06KqaC_PD2evQ_16_0"/>
      <w:bookmarkStart w:id="78" w:name="Tc_HzNhAPgdskKvfDZXKToK0Q_15_0"/>
      <w:bookmarkStart w:id="79" w:name="Tc_otnJt9V7_0iYUlR3X9ZY4g_14_0"/>
      <w:bookmarkStart w:id="80" w:name="Tc_d804yGMnmU24Pqg1K82I9g_13_0"/>
      <w:bookmarkStart w:id="81" w:name="Tc_eNg5pnY6uEeNpwGp-SyQNw_12_0"/>
      <w:bookmarkStart w:id="82" w:name="Tc_x3DEG1l2gUWmcm0J7bcKIA_11_0"/>
      <w:bookmarkStart w:id="83" w:name="Tc_G5tKvAjON0O3tlCYgtJPwQ_10_0"/>
      <w:bookmarkStart w:id="84" w:name="Tc_ar4VYqcV1UurZewiMvjTLw_9_0"/>
      <w:bookmarkStart w:id="85" w:name="Tc_rBSLgeKdTUWApDIqfoHdgA_8_0"/>
      <w:bookmarkStart w:id="86" w:name="Tc_U7YLhbEomEadJMJEqhgEEQ_7_0"/>
      <w:bookmarkStart w:id="87" w:name="Tc_I8BMZ6JjVkSMGhh9Fk1p5g_6_0"/>
      <w:bookmarkStart w:id="88" w:name="Tc_HPPacMSwYEuzYBLKIVi3Mg_5_0"/>
      <w:bookmarkStart w:id="89" w:name="Tc_1cyq8mnfMEeB-Bp53JOkBw_4_5"/>
      <w:bookmarkStart w:id="90" w:name="Tc_XDp3iNC-RUq9YQIt5HsWuA_4_2"/>
      <w:bookmarkStart w:id="91" w:name="Tc_6wrAS9lT5kS0O9BDcNHseQ_4_0"/>
      <w:bookmarkStart w:id="92" w:name="Tc_ZbFu2LC8u0CoH7f0uKXWPA_3_0"/>
      <w:bookmarkStart w:id="93" w:name="Tc_yXS3pdxitEqZAEKI2zqr-Q_2_5"/>
      <w:bookmarkStart w:id="94" w:name="Tc_9GeporLCCk-F7KwYRTWnBw_2_2"/>
      <w:bookmarkStart w:id="95" w:name="Tc_vk5uemJ5eE6jHE2nCLCg9w_1_5"/>
      <w:bookmarkStart w:id="96" w:name="Tc_9oQcRtU70UKSQbEpHwHOKA_1_2"/>
      <w:bookmarkStart w:id="97" w:name="_1b64d133_a76f_429e_bc3a_50d5ab4644a0"/>
      <w:bookmarkStart w:id="98" w:name="Tc_cS5PwbsV90WTYEBpGFqj0g_40_5"/>
      <w:bookmarkStart w:id="99" w:name="Tc_81mDkWWJ5U-vMWnB8Fk7nA_40_2"/>
      <w:bookmarkStart w:id="100" w:name="Tc_HJO9LYsMJkqQx2T3WX-fGQ_40_0"/>
      <w:bookmarkStart w:id="101" w:name="Tc_rx9MW97pV0mWz4VMa42RQg_39_0"/>
      <w:bookmarkStart w:id="102" w:name="Tc_wuotE1cW4kGL9hq0i62-7Q_38_0"/>
      <w:bookmarkStart w:id="103" w:name="Tc_vrq2KM4psUedmWjZU3Hvgg_37_0"/>
      <w:bookmarkStart w:id="104" w:name="Tc_JiDg6kVXEEOHtYlYd7lG-Q_36_0"/>
      <w:bookmarkStart w:id="105" w:name="Tc_gZ4AiywaPk-2RqoH9T55sQ_35_0"/>
      <w:bookmarkStart w:id="106" w:name="Tc_DVISvUclOE66zXodYzYT_Q_34_0"/>
      <w:bookmarkStart w:id="107" w:name="Tc_7RAkwG9Gx06dMaLSk1iLgQ_33_0"/>
      <w:bookmarkStart w:id="108" w:name="Tc_8K-CbpVPkUi6kCACKnmekw_32_0"/>
      <w:bookmarkStart w:id="109" w:name="Tc_38v99jadD0Wu-bohlRew_g_31_0"/>
      <w:bookmarkStart w:id="110" w:name="Tc_Es2qjXR45EWhTV8n8zZS2g_30_0"/>
      <w:bookmarkStart w:id="111" w:name="Tc_E5P8x3u37UCQTeTBrv6Wzw_29_0"/>
      <w:bookmarkStart w:id="112" w:name="Tc_MiIQwIVTVkeyNyULviIiKA_28_0"/>
      <w:bookmarkStart w:id="113" w:name="Tc_zZj7Du-k2EqgKTGylqnUuw_27_0"/>
      <w:bookmarkStart w:id="114" w:name="Tc_VtXQlB2o5kWZz8_ZnhiMJg_26_6"/>
      <w:bookmarkStart w:id="115" w:name="Tc_b4MjERka7U2vs2FUkIgYRw_26_0"/>
      <w:bookmarkStart w:id="116" w:name="Tc_4J_C89vAM0e-39ZfFs_LJA_25_0"/>
      <w:bookmarkStart w:id="117" w:name="Tc_xzUMm_QQSkSwmwtvrHgnCQ_23_0"/>
      <w:bookmarkStart w:id="118" w:name="Tc_iN3w14we4k2eDTTFwCsPww_22_0"/>
      <w:bookmarkStart w:id="119" w:name="Tc_AflbEMo710yNauS5vUsrmQ_21_0"/>
      <w:bookmarkStart w:id="120" w:name="Tc_fmK8hQt95kyT2PiVwUhacg_20_6"/>
      <w:bookmarkStart w:id="121" w:name="Tc_2IXMByeglEKBSL38bvLINw_20_0"/>
      <w:bookmarkStart w:id="122" w:name="Tc_FCALBYbP8k6NsVbb6E7Tsg_19_0"/>
      <w:bookmarkStart w:id="123" w:name="Tc_tDC8lc9y9k-2YCDtiMhxfQ_18_5"/>
      <w:bookmarkStart w:id="124" w:name="Tc_2_D5VpkjYU-I903xz5TQ5w_18_2"/>
      <w:bookmarkStart w:id="125" w:name="Tc_ewKpi2nkqk2jPooi4aAQyg_18_0"/>
      <w:bookmarkStart w:id="126" w:name="Tc_065I2fXrTkSDi023ok86WQ_17_0"/>
      <w:bookmarkStart w:id="127" w:name="Tc_X8obg8mgH0WQPyO5hpe5mg_16_5"/>
      <w:bookmarkStart w:id="128" w:name="Tc_qn09CjfK5kmVAou3DwT-TQ_16_2"/>
      <w:bookmarkStart w:id="129" w:name="Tc_-aFu-w6-w06KqaC_PD2evQ_16_0"/>
      <w:bookmarkStart w:id="130" w:name="Tc_HzNhAPgdskKvfDZXKToK0Q_15_0"/>
      <w:bookmarkStart w:id="131" w:name="Tc_otnJt9V7_0iYUlR3X9ZY4g_14_0"/>
      <w:bookmarkStart w:id="132" w:name="Tc_d804yGMnmU24Pqg1K82I9g_13_0"/>
      <w:bookmarkStart w:id="133" w:name="Tc_eNg5pnY6uEeNpwGp-SyQNw_12_0"/>
      <w:bookmarkStart w:id="134" w:name="Tc_x3DEG1l2gUWmcm0J7bcKIA_11_0"/>
      <w:bookmarkStart w:id="135" w:name="Tc_G5tKvAjON0O3tlCYgtJPwQ_10_0"/>
      <w:bookmarkStart w:id="136" w:name="Tc_ar4VYqcV1UurZewiMvjTLw_9_0"/>
      <w:bookmarkStart w:id="137" w:name="Tc_rBSLgeKdTUWApDIqfoHdgA_8_0"/>
      <w:bookmarkStart w:id="138" w:name="Tc_U7YLhbEomEadJMJEqhgEEQ_7_0"/>
      <w:bookmarkStart w:id="139" w:name="Tc_I8BMZ6JjVkSMGhh9Fk1p5g_6_0"/>
      <w:bookmarkStart w:id="140" w:name="Tc_HPPacMSwYEuzYBLKIVi3Mg_5_0"/>
      <w:bookmarkStart w:id="141" w:name="Tc_1cyq8mnfMEeB-Bp53JOkBw_4_5"/>
      <w:bookmarkStart w:id="142" w:name="Tc_XDp3iNC-RUq9YQIt5HsWuA_4_2"/>
      <w:bookmarkStart w:id="143" w:name="Tc_6wrAS9lT5kS0O9BDcNHseQ_4_0"/>
      <w:bookmarkStart w:id="144" w:name="Tc_ZbFu2LC8u0CoH7f0uKXWPA_3_0"/>
      <w:bookmarkStart w:id="145" w:name="Tc_yXS3pdxitEqZAEKI2zqr-Q_2_5"/>
      <w:bookmarkStart w:id="146" w:name="Tc_9GeporLCCk-F7KwYRTWnBw_2_2"/>
      <w:bookmarkStart w:id="147" w:name="Tc_vk5uemJ5eE6jHE2nCLCg9w_1_5"/>
      <w:bookmarkStart w:id="148" w:name="Tc_9oQcRtU70UKSQbEpHwHOKA_1_2"/>
      <w:bookmarkStart w:id="149" w:name="_1b64d133_a76f_429e_bc3a_50d5ab4644a0"/>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tbl>
      <w:tblPr>
        <w:tblW w:w="10205" w:type="dxa"/>
        <w:jc w:val="left"/>
        <w:tblInd w:w="0" w:type="dxa"/>
        <w:tblLayout w:type="fixed"/>
        <w:tblCellMar>
          <w:top w:w="0" w:type="dxa"/>
          <w:left w:w="0" w:type="dxa"/>
          <w:bottom w:w="0" w:type="dxa"/>
          <w:right w:w="0" w:type="dxa"/>
        </w:tblCellMar>
      </w:tblPr>
      <w:tblGrid>
        <w:gridCol w:w="7459"/>
        <w:gridCol w:w="326"/>
        <w:gridCol w:w="196"/>
        <w:gridCol w:w="771"/>
        <w:gridCol w:w="326"/>
        <w:gridCol w:w="221"/>
        <w:gridCol w:w="906"/>
      </w:tblGrid>
      <w:tr>
        <w:trPr/>
        <w:tc>
          <w:tcPr>
            <w:tcW w:w="7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736465" cy="175260"/>
                      <wp:effectExtent l="0" t="0" r="0" b="0"/>
                      <wp:wrapNone/>
                      <wp:docPr id="1" name="Frame1"/>
                      <a:graphic xmlns:a="http://schemas.openxmlformats.org/drawingml/2006/main">
                        <a:graphicData uri="http://schemas.microsoft.com/office/word/2010/wordprocessingShape">
                          <wps:wsp>
                            <wps:cNvSpPr txBox="1"/>
                            <wps:spPr>
                              <a:xfrm>
                                <a:off x="0" y="0"/>
                                <a:ext cx="4736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89585" cy="175260"/>
                      <wp:effectExtent l="0" t="0" r="0" b="0"/>
                      <wp:wrapNone/>
                      <wp:docPr id="4" name="Frame4"/>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0335" cy="175260"/>
                      <wp:effectExtent l="0" t="0" r="0" b="0"/>
                      <wp:wrapNone/>
                      <wp:docPr id="6" name="Frame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75310" cy="175260"/>
                      <wp:effectExtent l="0" t="0" r="0" b="0"/>
                      <wp:wrapNone/>
                      <wp:docPr id="7" name="Frame7"/>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    </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21"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  </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Cash and cash equivalents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5,263</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4,550</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2,885</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7,247</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1,468</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1,793</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560</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501</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Other current assets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1,657</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1,246</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11,833</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15,337</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751</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Property and equipment, net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2,937</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1,809</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870</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1,023</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right of use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2,997</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3,409</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1,389</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1,389</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2,168</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1,634</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22,445</w:t>
            </w:r>
          </w:p>
        </w:tc>
        <w:tc>
          <w:tcPr>
            <w:tcW w:w="326" w:type="dxa"/>
            <w:tcBorders/>
            <w:vAlign w:val="center"/>
          </w:tcPr>
          <w:p>
            <w:pPr>
              <w:pStyle w:val="TableContents"/>
              <w:bidi w:val="0"/>
              <w:spacing w:before="0" w:after="1"/>
              <w:ind w:left="0" w:right="0" w:hanging="0"/>
              <w:jc w:val="righ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25,352</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  </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1,862</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1,612</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3,572</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4,088</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Series G Convertible Preferred payments payable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829</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2,176</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2,381</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Deferred revenue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1,037</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1,143</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9,476</w:t>
            </w:r>
          </w:p>
        </w:tc>
        <w:tc>
          <w:tcPr>
            <w:tcW w:w="326"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9,224</w:t>
            </w:r>
          </w:p>
        </w:tc>
      </w:tr>
      <w:tr>
        <w:trPr/>
        <w:tc>
          <w:tcPr>
            <w:tcW w:w="74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left"/>
              <w:rPr/>
            </w:pPr>
            <w:r>
              <w:rPr/>
              <w:t>​</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Derivative liability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1,036</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pPr>
            <w:r>
              <w:rPr/>
              <w:t>—</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7,809</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8,386</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18,321</w:t>
            </w:r>
          </w:p>
        </w:tc>
        <w:tc>
          <w:tcPr>
            <w:tcW w:w="326" w:type="dxa"/>
            <w:tcBorders/>
            <w:vAlign w:val="center"/>
          </w:tcPr>
          <w:p>
            <w:pPr>
              <w:pStyle w:val="TableContents"/>
              <w:bidi w:val="0"/>
              <w:spacing w:before="0" w:after="1"/>
              <w:ind w:left="0" w:right="0" w:hanging="0"/>
              <w:jc w:val="righ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17,610</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Commitments and contingencies (see Note 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  </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Temporary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pPr>
            <w:r>
              <w:rPr/>
              <w:t>  </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Series G Convertible Preferred Stock, $0.01 par value per share and $1,000 stated value per share, 4,000 shares authorized; 3,333 and 0 shares issued and outstanding as of June 30, 2025 and December 31, 2024, respectively; Liquidation preference of $3,600,000 as of 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$0.01 par value per share, 150,000,000 shares authorized; 5,261,024 shares issued and outstanding as of June 30, 2025 and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475,822</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473,824</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(479,694)</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(472,706)</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(1,362)</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(1,959)</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deficit attributable to XWELL, Inc.</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(5,181)</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(788)</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8,890</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8,530</w:t>
            </w:r>
          </w:p>
        </w:tc>
      </w:tr>
      <w:tr>
        <w:trPr/>
        <w:tc>
          <w:tcPr>
            <w:tcW w:w="74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3,709</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7,742</w:t>
            </w:r>
          </w:p>
        </w:tc>
      </w:tr>
      <w:tr>
        <w:trPr/>
        <w:tc>
          <w:tcPr>
            <w:tcW w:w="745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temporary equity and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22,445</w:t>
            </w:r>
          </w:p>
        </w:tc>
        <w:tc>
          <w:tcPr>
            <w:tcW w:w="326" w:type="dxa"/>
            <w:tcBorders/>
            <w:vAlign w:val="center"/>
          </w:tcPr>
          <w:p>
            <w:pPr>
              <w:pStyle w:val="TableContents"/>
              <w:bidi w:val="0"/>
              <w:spacing w:before="0" w:after="1"/>
              <w:ind w:left="0" w:right="0" w:hanging="0"/>
              <w:jc w:val="righ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25,352</w:t>
            </w:r>
          </w:p>
        </w:tc>
      </w:tr>
    </w:tbl>
    <w:p>
      <w:pPr>
        <w:pStyle w:val="TextBody"/>
        <w:bidi w:val="0"/>
        <w:spacing w:before="0" w:after="240"/>
        <w:ind w:left="0" w:right="0" w:hanging="0"/>
        <w:jc w:val="left"/>
        <w:rPr/>
      </w:pPr>
      <w:r>
        <w:rPr/>
        <w:t>​</w:t>
      </w:r>
    </w:p>
    <w:p>
      <w:pPr>
        <w:pStyle w:val="TextBody"/>
        <w:bidi w:val="0"/>
        <w:spacing w:lineRule="atLeast" w:line="180"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form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0" w:name="_bf18aad0_c6d6_4887_957b_c9530292ba3f"/>
      <w:bookmarkEnd w:id="150"/>
      <w:r>
        <w:rPr>
          <w:rFonts w:ascii="Times New Roman;Times;serif" w:hAnsi="Times New Roman;Times;serif"/>
          <w:b/>
          <w:sz w:val="20"/>
        </w:rPr>
        <w:t>XWELL, Inc. and Subsidiaries</w:t>
      </w:r>
    </w:p>
    <w:p>
      <w:pPr>
        <w:pStyle w:val="TextBody"/>
        <w:bidi w:val="0"/>
        <w:spacing w:before="0" w:after="0"/>
        <w:ind w:left="72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1" w:name="Tc_OA93LnEIKE-IcNygrgyx5g_43_0"/>
      <w:bookmarkStart w:id="152" w:name="Tc_6rDmYfug30uJzpDHlCpApw_42_0"/>
      <w:bookmarkStart w:id="153" w:name="Tc_4EKuvDtELkmZcn_rlMBa0Q_41_0"/>
      <w:bookmarkStart w:id="154" w:name="Tc_tXWIDxNxS021VzZ_S7x00g_40_12"/>
      <w:bookmarkStart w:id="155" w:name="Tc_AQV1Dw--CEmbqbfVKcq0Jw_40_9"/>
      <w:bookmarkStart w:id="156" w:name="Tc_l5XjOpBMe0aMHtZg76EmuQ_40_5"/>
      <w:bookmarkStart w:id="157" w:name="Tc_8rRTPeIaz0OFLDrGsoFubA_40_2"/>
      <w:bookmarkStart w:id="158" w:name="Tc_FfB-7Zc1e0e01sB_N8uPog_40_0"/>
      <w:bookmarkStart w:id="159" w:name="Tc_0_YYeEzAHEyvPJHAqXt3DQ_39_12"/>
      <w:bookmarkStart w:id="160" w:name="Tc_70OgVu9PoEOc8aJGPOCpDQ_39_9"/>
      <w:bookmarkStart w:id="161" w:name="Tc_D1sjyHdmQ0qsFmhcmjlb8g_39_5"/>
      <w:bookmarkStart w:id="162" w:name="Tc_LqHGf5mVU0StuS_0QYsEbw_39_2"/>
      <w:bookmarkStart w:id="163" w:name="Tc_W-ekfQohMEe3CzngQl2-qw_39_0"/>
      <w:bookmarkStart w:id="164" w:name="Tc_xq9K4kHh5EqOpjVDczMkag_38_13"/>
      <w:bookmarkStart w:id="165" w:name="Tc_e--ZuhlaeUe0gwv3r94TJQ_38_6"/>
      <w:bookmarkStart w:id="166" w:name="Tc_xw1IYqyYdE6eRcAcgstkIw_38_0"/>
      <w:bookmarkStart w:id="167" w:name="Tc_yN-5XdQ8eEmC9YRmKCYT5A_37_13"/>
      <w:bookmarkStart w:id="168" w:name="Tc_zu9rMUP7XEqNls4STnzerg_37_6"/>
      <w:bookmarkStart w:id="169" w:name="Tc_fm7iXSU3c0G6FOj4J8m0vA_37_0"/>
      <w:bookmarkStart w:id="170" w:name="Tc_Rat5IuRFTEiQrxxU8HeKdg_36_0"/>
      <w:bookmarkStart w:id="171" w:name="Tc_boSzObpQskmHYWecLo2c0A_35_12"/>
      <w:bookmarkStart w:id="172" w:name="Tc_rc4q_-JiEk6UwLRURngVBg_35_9"/>
      <w:bookmarkStart w:id="173" w:name="Tc_lYpBDTSaoEW_xxxf71hXbA_35_5"/>
      <w:bookmarkStart w:id="174" w:name="Tc_JDYTUiGBrky_GdfPWQtJ6g_35_2"/>
      <w:bookmarkStart w:id="175" w:name="Tc_IiYoDen-sEORrVru8p1NUw_35_0"/>
      <w:bookmarkStart w:id="176" w:name="Tc_nAOH1wyN90qpQVLuOxvMFg_34_0"/>
      <w:bookmarkStart w:id="177" w:name="Tc_FRexvfT8iEG18AZ1RH6xlg_33_5"/>
      <w:bookmarkStart w:id="178" w:name="Tc_tNdIpwlWVEOK0gdhiIGDew_33_2"/>
      <w:bookmarkStart w:id="179" w:name="Tc_EZErA_6RB0ehiXBj3BzW9g_33_0"/>
      <w:bookmarkStart w:id="180" w:name="Tc__jQJiu9qsUeUmJG4Tns-5Q_32_12"/>
      <w:bookmarkStart w:id="181" w:name="Tc_1khYO5DP6USABnz7yPucTA_32_9"/>
      <w:bookmarkStart w:id="182" w:name="Tc_TXyuJTnfvUKVpWAQbrbX7A_32_5"/>
      <w:bookmarkStart w:id="183" w:name="Tc_-u0uJ_SrK0KVZCFq5ebs9g_32_2"/>
      <w:bookmarkStart w:id="184" w:name="Tc_JQIGdrbb_E-ugRcz-497Hg_32_0"/>
      <w:bookmarkStart w:id="185" w:name="Tc_LvjxVnBBiEmDdumB03to2g_31_0"/>
      <w:bookmarkStart w:id="186" w:name="Tc_8qr-6eSj4EqysqXSk7Do_g_30_0"/>
      <w:bookmarkStart w:id="187" w:name="Tc_swFRySc2F0yfJ9i8bPUDOw_29_13"/>
      <w:bookmarkStart w:id="188" w:name="Tc_nrje_dlmnEWH4hd08obXcw_29_6"/>
      <w:bookmarkStart w:id="189" w:name="Tc_CVRlF3SOckeHOHC7T3TYUg_29_0"/>
      <w:bookmarkStart w:id="190" w:name="Tc_lAwIylh_sEe7J9R0GZREGg_28_0"/>
      <w:bookmarkStart w:id="191" w:name="Tc_9B_kcahe7U6TZWbc2tqRMQ_27_0"/>
      <w:bookmarkStart w:id="192" w:name="Tc_zEaJD4IDEUy0GWahxPob6w_26_0"/>
      <w:bookmarkStart w:id="193" w:name="Tc_qF7pYBc4F0WuMDYUhWEhHA_25_0"/>
      <w:bookmarkStart w:id="194" w:name="Tc_IVBU-5qfcU6LHgSXiswhRQ_24_0"/>
      <w:bookmarkStart w:id="195" w:name="Tc_3Rddypm_0EynPQ4m4Nm7Vw_23_13"/>
      <w:bookmarkStart w:id="196" w:name="Tc_mfXH9Lk7EkmCqksQZAPofw_23_6"/>
      <w:bookmarkStart w:id="197" w:name="Tc_EKCQLbdfm0aEWE2ciHCKnw_23_3"/>
      <w:bookmarkStart w:id="198" w:name="Tc_5-9pGUyPwUe87eicEYfxRw_23_0"/>
      <w:bookmarkStart w:id="199" w:name="Tc_iHpnImJIq0uoJDdLhocepA_22_13"/>
      <w:bookmarkStart w:id="200" w:name="Tc_f2PTaUARz0aXfSdq0ZtRyQ_22_6"/>
      <w:bookmarkStart w:id="201" w:name="Tc_RKj_S0aonke1oYrtk-MyGw_22_0"/>
      <w:bookmarkStart w:id="202" w:name="Tc_rNFNeh4z8E2pDEMRTrn7WA_21_13"/>
      <w:bookmarkStart w:id="203" w:name="Tc_42tw8wiUj064MYaoJUdtAw_21_6"/>
      <w:bookmarkStart w:id="204" w:name="Tc_ODSKfKsBzEOBBt1VdHczPw_21_0"/>
      <w:bookmarkStart w:id="205" w:name="Tc_HSLioj_SHkqHYIrj2xnBlA_20_0"/>
      <w:bookmarkStart w:id="206" w:name="Tc_lHFw4FOq1kelHk1orB5EzQ_19_0"/>
      <w:bookmarkStart w:id="207" w:name="Tc_5KEcLxwQOkmmKxBF3_yVBA_18_0"/>
      <w:bookmarkStart w:id="208" w:name="Tc_pimSkqz5ikqF-gD0IUNoRQ_17_10"/>
      <w:bookmarkStart w:id="209" w:name="Tc_M8P_2xCA2kCy8DQIlX6a1Q_17_3"/>
      <w:bookmarkStart w:id="210" w:name="Tc_YRxrY6TzSk2EbfEaCLqEBA_17_0"/>
      <w:bookmarkStart w:id="211" w:name="Tc_JGD5cG8Tn0qEAXCfSDj9rw_16_10"/>
      <w:bookmarkStart w:id="212" w:name="Tc_Xdw-xfzydkakqTRX8PfR8A_16_6"/>
      <w:bookmarkStart w:id="213" w:name="Tc_bqAL-4x-yUWmhHWZFOiy0Q_16_3"/>
      <w:bookmarkStart w:id="214" w:name="Tc_I-LD831eVU68TJdcFzVNdA_16_0"/>
      <w:bookmarkStart w:id="215" w:name="Tc_r9WPIxVkf06vsowMtawyiA_15_0"/>
      <w:bookmarkStart w:id="216" w:name="Tc_hP36WwHBAEyYhF0P0c73MQ_14_0"/>
      <w:bookmarkStart w:id="217" w:name="Tc_MMXpjM8ISU2aBxJuGuJj8A_13_0"/>
      <w:bookmarkStart w:id="218" w:name="Tc_O9JZH1jBb0afYMq93Y_KMw_12_0"/>
      <w:bookmarkStart w:id="219" w:name="Tc_8oefYGriXUWeQCZ60qthJw_11_0"/>
      <w:bookmarkStart w:id="220" w:name="Tc_cUtFYmQ7ZkyKYO-GidQi-Q_10_0"/>
      <w:bookmarkStart w:id="221" w:name="Tc_QAsBN9BGTkK2YL04QHtHiA_9_0"/>
      <w:bookmarkStart w:id="222" w:name="Tc_yt48lruZ9k2qOv0Dkp8XMQ_7_0"/>
      <w:bookmarkStart w:id="223" w:name="Tc_r1dFpZsg60-RDAg5SxblXw_6_0"/>
      <w:bookmarkStart w:id="224" w:name="Tc_gNyaJkXBBUCiVElkU_-jFg_5_12"/>
      <w:bookmarkStart w:id="225" w:name="Tc_5UPRsoCIRUep6Lzi7otfyg_5_9"/>
      <w:bookmarkStart w:id="226" w:name="Tc_1k64BVCtCE-b0aRMoD5nWA_5_5"/>
      <w:bookmarkStart w:id="227" w:name="Tc_saozJpp6hUC4YYb76iyB7w_5_2"/>
      <w:bookmarkStart w:id="228" w:name="Tc_je2cPp08MUW7k9R_6ZIyng_5_0"/>
      <w:bookmarkStart w:id="229" w:name="Tc_7lhMTnMvj0uZnzBnvdXVYw_4_0"/>
      <w:bookmarkStart w:id="230" w:name="Tc_K2ZqhgxiW0Ct34yeOMEItg_2_12"/>
      <w:bookmarkStart w:id="231" w:name="Tc_BaLworPgPkW5y8Zf0x2mLw_2_9"/>
      <w:bookmarkStart w:id="232" w:name="Tc_IB8olhsINUmfFRCOpOwVTw_2_5"/>
      <w:bookmarkStart w:id="233" w:name="Tc_86enlSTaNEKdtPu6Qc0xVQ_2_2"/>
      <w:bookmarkStart w:id="234" w:name="Tc_rmCBVzP5DECfN1A6nxYk4w_1_9"/>
      <w:bookmarkStart w:id="235" w:name="Tc_neBeQjBuTkimpop16G4D0Q_1_2"/>
      <w:bookmarkStart w:id="236" w:name="_d5f39e76_ffda_42ea_b98d_935cecdc7e45"/>
      <w:bookmarkStart w:id="237" w:name="_69cb15e0_d624_4eb0_82ff_d270bfdfbb5a"/>
      <w:bookmarkStart w:id="238" w:name="Tc_OA93LnEIKE-IcNygrgyx5g_43_0"/>
      <w:bookmarkStart w:id="239" w:name="Tc_6rDmYfug30uJzpDHlCpApw_42_0"/>
      <w:bookmarkStart w:id="240" w:name="Tc_4EKuvDtELkmZcn_rlMBa0Q_41_0"/>
      <w:bookmarkStart w:id="241" w:name="Tc_tXWIDxNxS021VzZ_S7x00g_40_12"/>
      <w:bookmarkStart w:id="242" w:name="Tc_AQV1Dw--CEmbqbfVKcq0Jw_40_9"/>
      <w:bookmarkStart w:id="243" w:name="Tc_l5XjOpBMe0aMHtZg76EmuQ_40_5"/>
      <w:bookmarkStart w:id="244" w:name="Tc_8rRTPeIaz0OFLDrGsoFubA_40_2"/>
      <w:bookmarkStart w:id="245" w:name="Tc_FfB-7Zc1e0e01sB_N8uPog_40_0"/>
      <w:bookmarkStart w:id="246" w:name="Tc_0_YYeEzAHEyvPJHAqXt3DQ_39_12"/>
      <w:bookmarkStart w:id="247" w:name="Tc_70OgVu9PoEOc8aJGPOCpDQ_39_9"/>
      <w:bookmarkStart w:id="248" w:name="Tc_D1sjyHdmQ0qsFmhcmjlb8g_39_5"/>
      <w:bookmarkStart w:id="249" w:name="Tc_LqHGf5mVU0StuS_0QYsEbw_39_2"/>
      <w:bookmarkStart w:id="250" w:name="Tc_W-ekfQohMEe3CzngQl2-qw_39_0"/>
      <w:bookmarkStart w:id="251" w:name="Tc_xq9K4kHh5EqOpjVDczMkag_38_13"/>
      <w:bookmarkStart w:id="252" w:name="Tc_e--ZuhlaeUe0gwv3r94TJQ_38_6"/>
      <w:bookmarkStart w:id="253" w:name="Tc_xw1IYqyYdE6eRcAcgstkIw_38_0"/>
      <w:bookmarkStart w:id="254" w:name="Tc_yN-5XdQ8eEmC9YRmKCYT5A_37_13"/>
      <w:bookmarkStart w:id="255" w:name="Tc_zu9rMUP7XEqNls4STnzerg_37_6"/>
      <w:bookmarkStart w:id="256" w:name="Tc_fm7iXSU3c0G6FOj4J8m0vA_37_0"/>
      <w:bookmarkStart w:id="257" w:name="Tc_Rat5IuRFTEiQrxxU8HeKdg_36_0"/>
      <w:bookmarkStart w:id="258" w:name="Tc_boSzObpQskmHYWecLo2c0A_35_12"/>
      <w:bookmarkStart w:id="259" w:name="Tc_rc4q_-JiEk6UwLRURngVBg_35_9"/>
      <w:bookmarkStart w:id="260" w:name="Tc_lYpBDTSaoEW_xxxf71hXbA_35_5"/>
      <w:bookmarkStart w:id="261" w:name="Tc_JDYTUiGBrky_GdfPWQtJ6g_35_2"/>
      <w:bookmarkStart w:id="262" w:name="Tc_IiYoDen-sEORrVru8p1NUw_35_0"/>
      <w:bookmarkStart w:id="263" w:name="Tc_nAOH1wyN90qpQVLuOxvMFg_34_0"/>
      <w:bookmarkStart w:id="264" w:name="Tc_FRexvfT8iEG18AZ1RH6xlg_33_5"/>
      <w:bookmarkStart w:id="265" w:name="Tc_tNdIpwlWVEOK0gdhiIGDew_33_2"/>
      <w:bookmarkStart w:id="266" w:name="Tc_EZErA_6RB0ehiXBj3BzW9g_33_0"/>
      <w:bookmarkStart w:id="267" w:name="Tc__jQJiu9qsUeUmJG4Tns-5Q_32_12"/>
      <w:bookmarkStart w:id="268" w:name="Tc_1khYO5DP6USABnz7yPucTA_32_9"/>
      <w:bookmarkStart w:id="269" w:name="Tc_TXyuJTnfvUKVpWAQbrbX7A_32_5"/>
      <w:bookmarkStart w:id="270" w:name="Tc_-u0uJ_SrK0KVZCFq5ebs9g_32_2"/>
      <w:bookmarkStart w:id="271" w:name="Tc_JQIGdrbb_E-ugRcz-497Hg_32_0"/>
      <w:bookmarkStart w:id="272" w:name="Tc_LvjxVnBBiEmDdumB03to2g_31_0"/>
      <w:bookmarkStart w:id="273" w:name="Tc_8qr-6eSj4EqysqXSk7Do_g_30_0"/>
      <w:bookmarkStart w:id="274" w:name="Tc_swFRySc2F0yfJ9i8bPUDOw_29_13"/>
      <w:bookmarkStart w:id="275" w:name="Tc_nrje_dlmnEWH4hd08obXcw_29_6"/>
      <w:bookmarkStart w:id="276" w:name="Tc_CVRlF3SOckeHOHC7T3TYUg_29_0"/>
      <w:bookmarkStart w:id="277" w:name="Tc_lAwIylh_sEe7J9R0GZREGg_28_0"/>
      <w:bookmarkStart w:id="278" w:name="Tc_9B_kcahe7U6TZWbc2tqRMQ_27_0"/>
      <w:bookmarkStart w:id="279" w:name="Tc_zEaJD4IDEUy0GWahxPob6w_26_0"/>
      <w:bookmarkStart w:id="280" w:name="Tc_qF7pYBc4F0WuMDYUhWEhHA_25_0"/>
      <w:bookmarkStart w:id="281" w:name="Tc_IVBU-5qfcU6LHgSXiswhRQ_24_0"/>
      <w:bookmarkStart w:id="282" w:name="Tc_3Rddypm_0EynPQ4m4Nm7Vw_23_13"/>
      <w:bookmarkStart w:id="283" w:name="Tc_mfXH9Lk7EkmCqksQZAPofw_23_6"/>
      <w:bookmarkStart w:id="284" w:name="Tc_EKCQLbdfm0aEWE2ciHCKnw_23_3"/>
      <w:bookmarkStart w:id="285" w:name="Tc_5-9pGUyPwUe87eicEYfxRw_23_0"/>
      <w:bookmarkStart w:id="286" w:name="Tc_iHpnImJIq0uoJDdLhocepA_22_13"/>
      <w:bookmarkStart w:id="287" w:name="Tc_f2PTaUARz0aXfSdq0ZtRyQ_22_6"/>
      <w:bookmarkStart w:id="288" w:name="Tc_RKj_S0aonke1oYrtk-MyGw_22_0"/>
      <w:bookmarkStart w:id="289" w:name="Tc_rNFNeh4z8E2pDEMRTrn7WA_21_13"/>
      <w:bookmarkStart w:id="290" w:name="Tc_42tw8wiUj064MYaoJUdtAw_21_6"/>
      <w:bookmarkStart w:id="291" w:name="Tc_ODSKfKsBzEOBBt1VdHczPw_21_0"/>
      <w:bookmarkStart w:id="292" w:name="Tc_HSLioj_SHkqHYIrj2xnBlA_20_0"/>
      <w:bookmarkStart w:id="293" w:name="Tc_lHFw4FOq1kelHk1orB5EzQ_19_0"/>
      <w:bookmarkStart w:id="294" w:name="Tc_5KEcLxwQOkmmKxBF3_yVBA_18_0"/>
      <w:bookmarkStart w:id="295" w:name="Tc_pimSkqz5ikqF-gD0IUNoRQ_17_10"/>
      <w:bookmarkStart w:id="296" w:name="Tc_M8P_2xCA2kCy8DQIlX6a1Q_17_3"/>
      <w:bookmarkStart w:id="297" w:name="Tc_YRxrY6TzSk2EbfEaCLqEBA_17_0"/>
      <w:bookmarkStart w:id="298" w:name="Tc_JGD5cG8Tn0qEAXCfSDj9rw_16_10"/>
      <w:bookmarkStart w:id="299" w:name="Tc_Xdw-xfzydkakqTRX8PfR8A_16_6"/>
      <w:bookmarkStart w:id="300" w:name="Tc_bqAL-4x-yUWmhHWZFOiy0Q_16_3"/>
      <w:bookmarkStart w:id="301" w:name="Tc_I-LD831eVU68TJdcFzVNdA_16_0"/>
      <w:bookmarkStart w:id="302" w:name="Tc_r9WPIxVkf06vsowMtawyiA_15_0"/>
      <w:bookmarkStart w:id="303" w:name="Tc_hP36WwHBAEyYhF0P0c73MQ_14_0"/>
      <w:bookmarkStart w:id="304" w:name="Tc_MMXpjM8ISU2aBxJuGuJj8A_13_0"/>
      <w:bookmarkStart w:id="305" w:name="Tc_O9JZH1jBb0afYMq93Y_KMw_12_0"/>
      <w:bookmarkStart w:id="306" w:name="Tc_8oefYGriXUWeQCZ60qthJw_11_0"/>
      <w:bookmarkStart w:id="307" w:name="Tc_cUtFYmQ7ZkyKYO-GidQi-Q_10_0"/>
      <w:bookmarkStart w:id="308" w:name="Tc_QAsBN9BGTkK2YL04QHtHiA_9_0"/>
      <w:bookmarkStart w:id="309" w:name="Tc_yt48lruZ9k2qOv0Dkp8XMQ_7_0"/>
      <w:bookmarkStart w:id="310" w:name="Tc_r1dFpZsg60-RDAg5SxblXw_6_0"/>
      <w:bookmarkStart w:id="311" w:name="Tc_gNyaJkXBBUCiVElkU_-jFg_5_12"/>
      <w:bookmarkStart w:id="312" w:name="Tc_5UPRsoCIRUep6Lzi7otfyg_5_9"/>
      <w:bookmarkStart w:id="313" w:name="Tc_1k64BVCtCE-b0aRMoD5nWA_5_5"/>
      <w:bookmarkStart w:id="314" w:name="Tc_saozJpp6hUC4YYb76iyB7w_5_2"/>
      <w:bookmarkStart w:id="315" w:name="Tc_je2cPp08MUW7k9R_6ZIyng_5_0"/>
      <w:bookmarkStart w:id="316" w:name="Tc_7lhMTnMvj0uZnzBnvdXVYw_4_0"/>
      <w:bookmarkStart w:id="317" w:name="Tc_K2ZqhgxiW0Ct34yeOMEItg_2_12"/>
      <w:bookmarkStart w:id="318" w:name="Tc_BaLworPgPkW5y8Zf0x2mLw_2_9"/>
      <w:bookmarkStart w:id="319" w:name="Tc_IB8olhsINUmfFRCOpOwVTw_2_5"/>
      <w:bookmarkStart w:id="320" w:name="Tc_86enlSTaNEKdtPu6Qc0xVQ_2_2"/>
      <w:bookmarkStart w:id="321" w:name="Tc_rmCBVzP5DECfN1A6nxYk4w_1_9"/>
      <w:bookmarkStart w:id="322" w:name="Tc_neBeQjBuTkimpop16G4D0Q_1_2"/>
      <w:bookmarkStart w:id="323" w:name="_d5f39e76_ffda_42ea_b98d_935cecdc7e45"/>
      <w:bookmarkStart w:id="324" w:name="_69cb15e0_d624_4eb0_82ff_d270bfdfbb5a"/>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tbl>
      <w:tblPr>
        <w:tblW w:w="10205" w:type="dxa"/>
        <w:jc w:val="left"/>
        <w:tblInd w:w="0" w:type="dxa"/>
        <w:tblLayout w:type="fixed"/>
        <w:tblCellMar>
          <w:top w:w="0" w:type="dxa"/>
          <w:left w:w="0" w:type="dxa"/>
          <w:bottom w:w="0" w:type="dxa"/>
          <w:right w:w="0" w:type="dxa"/>
        </w:tblCellMar>
      </w:tblPr>
      <w:tblGrid>
        <w:gridCol w:w="4542"/>
        <w:gridCol w:w="326"/>
        <w:gridCol w:w="200"/>
        <w:gridCol w:w="845"/>
        <w:gridCol w:w="333"/>
        <w:gridCol w:w="200"/>
        <w:gridCol w:w="845"/>
        <w:gridCol w:w="109"/>
        <w:gridCol w:w="326"/>
        <w:gridCol w:w="196"/>
        <w:gridCol w:w="826"/>
        <w:gridCol w:w="326"/>
        <w:gridCol w:w="196"/>
        <w:gridCol w:w="935"/>
      </w:tblGrid>
      <w:tr>
        <w:trPr/>
        <w:tc>
          <w:tcPr>
            <w:tcW w:w="4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884170" cy="175260"/>
                      <wp:effectExtent l="0" t="0" r="0" b="0"/>
                      <wp:wrapNone/>
                      <wp:docPr id="8" name="Frame8"/>
                      <a:graphic xmlns:a="http://schemas.openxmlformats.org/drawingml/2006/main">
                        <a:graphicData uri="http://schemas.microsoft.com/office/word/2010/wordprocessingShape">
                          <wps:wsp>
                            <wps:cNvSpPr txBox="1"/>
                            <wps:spPr>
                              <a:xfrm>
                                <a:off x="0" y="0"/>
                                <a:ext cx="288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7000" cy="175260"/>
                      <wp:effectExtent l="0" t="0" r="0" b="0"/>
                      <wp:wrapNone/>
                      <wp:docPr id="10" name="Frame10"/>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36575" cy="175260"/>
                      <wp:effectExtent l="0" t="0" r="0" b="0"/>
                      <wp:wrapNone/>
                      <wp:docPr id="11" name="Frame11"/>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1455" cy="175260"/>
                      <wp:effectExtent l="0" t="0" r="0" b="0"/>
                      <wp:wrapNone/>
                      <wp:docPr id="12" name="Frame12"/>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7000" cy="175260"/>
                      <wp:effectExtent l="0" t="0" r="0" b="0"/>
                      <wp:wrapNone/>
                      <wp:docPr id="13" name="Frame13"/>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36575" cy="175260"/>
                      <wp:effectExtent l="0" t="0" r="0" b="0"/>
                      <wp:wrapNone/>
                      <wp:docPr id="14" name="Frame14"/>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24510" cy="175260"/>
                      <wp:effectExtent l="0" t="0" r="0" b="0"/>
                      <wp:wrapNone/>
                      <wp:docPr id="18" name="Frame1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3725" cy="175260"/>
                      <wp:effectExtent l="0" t="0" r="0" b="0"/>
                      <wp:wrapNone/>
                      <wp:docPr id="21" name="Frame21"/>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45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33" w:type="dxa"/>
            <w:tcBorders/>
            <w:vAlign w:val="center"/>
          </w:tcPr>
          <w:p>
            <w:pPr>
              <w:pStyle w:val="TableContents"/>
              <w:bidi w:val="0"/>
              <w:spacing w:before="0" w:after="0"/>
              <w:ind w:left="0" w:right="0" w:hanging="0"/>
              <w:jc w:val="center"/>
              <w:rPr/>
            </w:pPr>
            <w:r>
              <w:rPr/>
              <w:t>    </w:t>
            </w:r>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center"/>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5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left"/>
              <w:rPr/>
            </w:pPr>
            <w:r>
              <w:rPr/>
              <w:t>​</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Revenue, net</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  </w:t>
            </w:r>
          </w:p>
        </w:tc>
        <w:tc>
          <w:tcPr>
            <w:tcW w:w="333"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  </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6,905</w:t>
            </w:r>
          </w:p>
        </w:tc>
        <w:tc>
          <w:tcPr>
            <w:tcW w:w="33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8,402</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16,437</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784</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880</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1,571</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revenue, net</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7,689</w:t>
            </w:r>
          </w:p>
        </w:tc>
        <w:tc>
          <w:tcPr>
            <w:tcW w:w="333"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9,282</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14,712</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18,008</w:t>
            </w:r>
          </w:p>
        </w:tc>
      </w:tr>
      <w:tr>
        <w:trPr/>
        <w:tc>
          <w:tcPr>
            <w:tcW w:w="454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left"/>
              <w:rPr/>
            </w:pPr>
            <w:r>
              <w:rPr/>
              <w:t>​</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 of sales</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  </w:t>
            </w:r>
          </w:p>
        </w:tc>
        <w:tc>
          <w:tcPr>
            <w:tcW w:w="33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pPr>
            <w:r>
              <w:rPr/>
              <w:t>  </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Labor</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3,912</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4,660</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8,809</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Occupancy</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1,238</w:t>
            </w:r>
          </w:p>
        </w:tc>
        <w:tc>
          <w:tcPr>
            <w:tcW w:w="33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1,645</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Products and other operating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764</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840</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1,810</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cost of sales</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5,914</w:t>
            </w:r>
          </w:p>
        </w:tc>
        <w:tc>
          <w:tcPr>
            <w:tcW w:w="333" w:type="dxa"/>
            <w:tcBorders/>
            <w:vAlign w:val="center"/>
          </w:tcPr>
          <w:p>
            <w:pPr>
              <w:pStyle w:val="TableContents"/>
              <w:bidi w:val="0"/>
              <w:spacing w:before="0" w:after="0"/>
              <w:ind w:left="0" w:right="0" w:hanging="0"/>
              <w:jc w:val="righ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6,203</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11,618</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12,264</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1,775</w:t>
            </w:r>
          </w:p>
        </w:tc>
        <w:tc>
          <w:tcPr>
            <w:tcW w:w="333"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3,079</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5,744</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c>
          <w:tcPr>
            <w:tcW w:w="33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652</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disposal of assets, net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4,280</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4,725</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8,891</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operating expenses</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333"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4,972</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8,944</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10,015</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(2,692)</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(1,893)</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(4,271)</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derivative liability</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w:t>
            </w:r>
          </w:p>
        </w:tc>
        <w:tc>
          <w:tcPr>
            <w:tcW w:w="33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625</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issuance of Series G Preferred Stock</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exchange loss</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(543)</w:t>
            </w:r>
          </w:p>
        </w:tc>
        <w:tc>
          <w:tcPr>
            <w:tcW w:w="33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investments, realized and unrealized</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non-operating expense, net</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33"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(2,018)</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(1,791)</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(6,606)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(4,149)</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33"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(2,052)</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(1,791)</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(6,640)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(4,149)</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w:t>
            </w:r>
          </w:p>
        </w:tc>
        <w:tc>
          <w:tcPr>
            <w:tcW w:w="333"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 attributable to XWELL, Inc.</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(2,269)</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(1,996)</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(4,508)</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(2,052)</w:t>
            </w:r>
          </w:p>
        </w:tc>
        <w:tc>
          <w:tcPr>
            <w:tcW w:w="33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(1,791)</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(4,149)</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Comprehensive loss</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(1,635)</w:t>
            </w:r>
          </w:p>
        </w:tc>
        <w:tc>
          <w:tcPr>
            <w:tcW w:w="333"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(1,845)</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(4,333)</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left"/>
              <w:rPr/>
            </w:pPr>
            <w:r>
              <w:rPr/>
              <w:t>​</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dividends</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w:t>
            </w:r>
          </w:p>
        </w:tc>
        <w:tc>
          <w:tcPr>
            <w:tcW w:w="33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accretion</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 attributable to XWELL, Inc. common stockholders</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(3,041)</w:t>
            </w:r>
          </w:p>
        </w:tc>
        <w:tc>
          <w:tcPr>
            <w:tcW w:w="333"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(1,996)</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(4,508)</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Basic and diluted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(0.56)</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(0.48)</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Weighted-average number of shares outstanding</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  </w:t>
            </w:r>
          </w:p>
        </w:tc>
        <w:tc>
          <w:tcPr>
            <w:tcW w:w="333"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pPr>
            <w:r>
              <w:rPr/>
              <w:t>  </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5,417,271</w:t>
            </w:r>
          </w:p>
        </w:tc>
        <w:tc>
          <w:tcPr>
            <w:tcW w:w="333"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4,182,617</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5,340,442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4,182,959</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5,417,271</w:t>
            </w:r>
          </w:p>
        </w:tc>
        <w:tc>
          <w:tcPr>
            <w:tcW w:w="333"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4,182,617</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5,340,442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93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4,182,959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5" w:name="_64d1cbc0_6610_4bd5_ad3d_151f4eff1143"/>
      <w:bookmarkEnd w:id="325"/>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TEMPORARY EQUITY AND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26" w:name="Tc_eHTbpMsNuUGSMpeDl-pQNA_22_29"/>
      <w:bookmarkStart w:id="327" w:name="Tc_a394hGg8YE6dWzlFZqxflg_22_26"/>
      <w:bookmarkStart w:id="328" w:name="Tc_nJ3A2wyL_E-aOS5StfIC8A_22_23"/>
      <w:bookmarkStart w:id="329" w:name="Tc_dp5g74dhrEeBbBKYZNV-7Q_22_20"/>
      <w:bookmarkStart w:id="330" w:name="Tc_sBKVycFsJ0-mE3TV6pjtAA_22_17"/>
      <w:bookmarkStart w:id="331" w:name="Tc_RUtAMCTWeUCKl-DKw8kibQ_22_14"/>
      <w:bookmarkStart w:id="332" w:name="Tc_UX5s4wD5A0ereBs6WmadwQ_22_11"/>
      <w:bookmarkStart w:id="333" w:name="Tc_patQw3WzukyH_JRPwI0GVg_22_5"/>
      <w:bookmarkStart w:id="334" w:name="Tc_8uLjgEn5-Eqb_p5Mb_F1bA_22_0"/>
      <w:bookmarkStart w:id="335" w:name="Tc_lcpw9NehmEy8zWCpO5Fq9A_21_21"/>
      <w:bookmarkStart w:id="336" w:name="Tc_X5C4OuSfdkWIasBFLnapfA_21_15"/>
      <w:bookmarkStart w:id="337" w:name="Tc_EpfhIeyGl02c-ClxNQAxTQ_21_12"/>
      <w:bookmarkStart w:id="338" w:name="Tc_1rcqgVOLqk24DEBYrncBMA_21_9"/>
      <w:bookmarkStart w:id="339" w:name="Tc_pVYaXm2B_E-_IRBAKRfQiw_21_6"/>
      <w:bookmarkStart w:id="340" w:name="Tc_2y1piGvNG0Sv1qvwSGTyog_21_3"/>
      <w:bookmarkStart w:id="341" w:name="Tc_s5YNOKDhYESXoDNSqNYpyQ_21_0"/>
      <w:bookmarkStart w:id="342" w:name="Tc_ef1aMZkPDUazUh2FW_tCZg_20_27"/>
      <w:bookmarkStart w:id="343" w:name="Tc_zP9-5jTkfE6SwG9-OMw8sA_20_18"/>
      <w:bookmarkStart w:id="344" w:name="Tc_TgBxrMltPk2SUP4w__tvZA_20_15"/>
      <w:bookmarkStart w:id="345" w:name="Tc_ERDJ_GprxkisRKFTjFWLoA_20_12"/>
      <w:bookmarkStart w:id="346" w:name="Tc_5sbIVask106gPJrn9Tjn8Q_20_9"/>
      <w:bookmarkStart w:id="347" w:name="Tc_ApDLdWvK9UCEIupYMiNwzg_20_6"/>
      <w:bookmarkStart w:id="348" w:name="Tc_aKwbhZlw_EWeJiaC-WQTLQ_20_3"/>
      <w:bookmarkStart w:id="349" w:name="Tc_fVOZU1hStkmTOHK_sgkjCA_20_0"/>
      <w:bookmarkStart w:id="350" w:name="Tc_YjkIRognP0CQWBWzdfJKRA_19_18"/>
      <w:bookmarkStart w:id="351" w:name="Tc__x0CyccvIUSmHpQzykwHNA_19_15"/>
      <w:bookmarkStart w:id="352" w:name="Tc_UGvXBZ4Q3EmEpQJYWAwAHQ_19_12"/>
      <w:bookmarkStart w:id="353" w:name="Tc_v2hGFjSS7UiimNF_VCa3aA_19_9"/>
      <w:bookmarkStart w:id="354" w:name="Tc_XpUfcgCXL0OT7Q4r2CPjUw_19_6"/>
      <w:bookmarkStart w:id="355" w:name="Tc_qZapbE2TAkSHB3JnTTZC4g_19_3"/>
      <w:bookmarkStart w:id="356" w:name="Tc_Ygav02cLpEewLX9cLhq7Gg_19_0"/>
      <w:bookmarkStart w:id="357" w:name="Tc_zz1yyVJ7k0iOMD3NY9hQrQ_18_27"/>
      <w:bookmarkStart w:id="358" w:name="Tc_Oi2Bxs9bukK8Uu-EQzcAuQ_18_21"/>
      <w:bookmarkStart w:id="359" w:name="Tc_3ewVcy4xN025RJeIQp5xYg_18_18"/>
      <w:bookmarkStart w:id="360" w:name="Tc_1S9bvcfV-Emn3wVKF-K9ow_18_12"/>
      <w:bookmarkStart w:id="361" w:name="Tc_99LYo7O3_UGxaTRmlsMNVA_18_9"/>
      <w:bookmarkStart w:id="362" w:name="Tc_C_IeHGcqvEuZncxo75eHGw_18_6"/>
      <w:bookmarkStart w:id="363" w:name="Tc_HOK05k9b1EWJUcZ0ckjilg_18_3"/>
      <w:bookmarkStart w:id="364" w:name="Tc_wpCibv9iyEqjRfz5phaRXQ_18_0"/>
      <w:bookmarkStart w:id="365" w:name="Tc_PkbBbf7NiU-3Y9mzlQAtHw_17_6"/>
      <w:bookmarkStart w:id="366" w:name="Tc_NoRFvF0_JEGngEDF9b_hBg_17_3"/>
      <w:bookmarkStart w:id="367" w:name="Tc_hQL7xsFIsUmdPchpd_vvUA_17_0"/>
      <w:bookmarkStart w:id="368" w:name="Tc_4nTPWZvrjEi51GBvpesdcw_16_30"/>
      <w:bookmarkStart w:id="369" w:name="Tc_hnZDy1rNhEyPj4U4NhqAWg_16_27"/>
      <w:bookmarkStart w:id="370" w:name="Tc_c1prBCbP4UCOiyXHecHHVw_16_24"/>
      <w:bookmarkStart w:id="371" w:name="Tc_z0QBx72JvEC5jnf-Ej8P5g_16_21"/>
      <w:bookmarkStart w:id="372" w:name="Tc_WB1CClkKq0WSY1nCNNlaFw_16_18"/>
      <w:bookmarkStart w:id="373" w:name="Tc_CkZm-Zhl0k-FuCv77axGfw_16_15"/>
      <w:bookmarkStart w:id="374" w:name="Tc_95hQQ5rEG0mXxzx3t3BBqg_16_12"/>
      <w:bookmarkStart w:id="375" w:name="Tc_n-Q_vybnfEm2U7Pb2Y76hA_16_9"/>
      <w:bookmarkStart w:id="376" w:name="Tc_PPNQRtJts0y1RqxrhG8COg_16_0"/>
      <w:bookmarkStart w:id="377" w:name="Tc_E0KQnqFVwky32CNKGNtg1g_15_27"/>
      <w:bookmarkStart w:id="378" w:name="Tc_NLoL6rNgSEeiuz-aoV4dDA_15_21"/>
      <w:bookmarkStart w:id="379" w:name="Tc_mTvYGi8Zt0a2BdFEzLMCEQ_15_18"/>
      <w:bookmarkStart w:id="380" w:name="Tc_w-C5WytoGEqa4NydyWDgpQ_15_12"/>
      <w:bookmarkStart w:id="381" w:name="Tc_JVs7C1NHb06kN8Fic5Fxgw_15_9"/>
      <w:bookmarkStart w:id="382" w:name="Tc_0fU_C-N37UeVOh7impNdDQ_15_3"/>
      <w:bookmarkStart w:id="383" w:name="Tc_geDzYZCGqk-84JHUMyuyZg_15_0"/>
      <w:bookmarkStart w:id="384" w:name="Tc_ABWKfAWoVE2q7muxKS1ucA_14_27"/>
      <w:bookmarkStart w:id="385" w:name="Tc_y3tVKJwhdUOfsWkxDyZJ5w_14_21"/>
      <w:bookmarkStart w:id="386" w:name="Tc_9xKZqt4rz0-ef-08yQxXZg_14_18"/>
      <w:bookmarkStart w:id="387" w:name="Tc_fyPBQzFlGk6qU-El-cU4tA_14_12"/>
      <w:bookmarkStart w:id="388" w:name="Tc_8C3ovUmnOkCwn5QCUZzkPQ_14_9"/>
      <w:bookmarkStart w:id="389" w:name="Tc_F8IBfwKg00GBaiWTZRhBtg_14_3"/>
      <w:bookmarkStart w:id="390" w:name="Tc_WsZ8VRPYhU-lKJzXQuyVXw_14_0"/>
      <w:bookmarkStart w:id="391" w:name="Tc_CGagwbZId06iZIUnpb5NFw_13_27"/>
      <w:bookmarkStart w:id="392" w:name="Tc_MGj3ryooN0q26ptLI9UJcA_13_21"/>
      <w:bookmarkStart w:id="393" w:name="Tc_cHhKR5B_0kaSmUko32Byeg_13_18"/>
      <w:bookmarkStart w:id="394" w:name="Tc_Is30D-yvS024tJvbJHHIxA_13_12"/>
      <w:bookmarkStart w:id="395" w:name="Tc_k11sW1YJB0G5UE09Gfxbdw_13_9"/>
      <w:bookmarkStart w:id="396" w:name="Tc_EArl_7ZCBUCP5sMt8xDSPQ_13_6"/>
      <w:bookmarkStart w:id="397" w:name="Tc_3K7aN8zXWkGkyhhNaF2u-w_13_3"/>
      <w:bookmarkStart w:id="398" w:name="Tc_hytOUPCSbky73f2bD40V-w_13_0"/>
      <w:bookmarkStart w:id="399" w:name="Tc_k5o0Jo6iLE-DHFQ4CEYPuQ_12_29"/>
      <w:bookmarkStart w:id="400" w:name="Tc_sEm3NO0WCEKiJwVhDNlgdA_12_26"/>
      <w:bookmarkStart w:id="401" w:name="Tc_yPJdAA_yjUm4zZnWZ4-BQQ_12_23"/>
      <w:bookmarkStart w:id="402" w:name="Tc_sK96oMJA90iKgenx652pVg_12_20"/>
      <w:bookmarkStart w:id="403" w:name="Tc_4IWLMFMSeEmP4LT_ScKVrw_12_17"/>
      <w:bookmarkStart w:id="404" w:name="Tc_4ri8kOn7zkamh7lmHMzwcw_12_14"/>
      <w:bookmarkStart w:id="405" w:name="Tc_Lz03xtmFcUi6Wig_3IvjwA_12_11"/>
      <w:bookmarkStart w:id="406" w:name="Tc_kIUymP_6EkGPS-zEGvly4Q_12_5"/>
      <w:bookmarkStart w:id="407" w:name="Tc_XN60R2e4iEKlbn-8cDWlSA_12_0"/>
      <w:bookmarkStart w:id="408" w:name="Tc_46OnrBLR3U6swOUBB-bz6A_11_21"/>
      <w:bookmarkStart w:id="409" w:name="Tc_IwkDCS9jpU2wByImNhGmFA_11_15"/>
      <w:bookmarkStart w:id="410" w:name="Tc_zFp2PF_9mkS7a76_mp_Qug_11_12"/>
      <w:bookmarkStart w:id="411" w:name="Tc_efTWH3-6KUGUnPXQWTXOBA_11_9"/>
      <w:bookmarkStart w:id="412" w:name="Tc_W5JYl1AirE26pYca9Wzbig_11_6"/>
      <w:bookmarkStart w:id="413" w:name="Tc_BtHGYKGW1kSn8ckTIvkolQ_11_3"/>
      <w:bookmarkStart w:id="414" w:name="Tc_4ENHshoPp0i2uvk_8EVLSw_11_0"/>
      <w:bookmarkStart w:id="415" w:name="Tc_kPUkJwFNmke7sKzh69wbuQ_10_18"/>
      <w:bookmarkStart w:id="416" w:name="Tc_GmmMZwbGU06YTrevnsN7aA_10_15"/>
      <w:bookmarkStart w:id="417" w:name="Tc_yDPoE9FV2k6mKvtlNek4lA_10_12"/>
      <w:bookmarkStart w:id="418" w:name="Tc_mJGbhGZ0Ak-E_TPbyxULKA_10_9"/>
      <w:bookmarkStart w:id="419" w:name="Tc_DK3dgceCMk2CMEvguW_rCQ_10_6"/>
      <w:bookmarkStart w:id="420" w:name="Tc_d4KHTfEGyEePF5qe50un-w_10_3"/>
      <w:bookmarkStart w:id="421" w:name="Tc_dqk4vU-ue0eGIf3lGXOgsQ_10_0"/>
      <w:bookmarkStart w:id="422" w:name="Tc_WGPnayEV4kqm6227DJM29g_9_27"/>
      <w:bookmarkStart w:id="423" w:name="Tc_VgIyHIT1ukGPBewsKVtwFA_9_21"/>
      <w:bookmarkStart w:id="424" w:name="Tc_R99FEtq7pUODcnqJq9nObg_9_18"/>
      <w:bookmarkStart w:id="425" w:name="Tc_cM-3Kz8o1E6wHz1rhwdGbQ_9_12"/>
      <w:bookmarkStart w:id="426" w:name="Tc_kKIEVBz9QUKCo6Q1lscDzw_9_9"/>
      <w:bookmarkStart w:id="427" w:name="Tc_sPypRwZ7Mkm7X51UDI01Jg_9_3"/>
      <w:bookmarkStart w:id="428" w:name="Tc_cYCsm7flmUOMmmigv4A72Q_9_0"/>
      <w:bookmarkStart w:id="429" w:name="Tc_nAG7YZOvuUKLbQ1sjd1SgA_8_27"/>
      <w:bookmarkStart w:id="430" w:name="Tc_iY9hbuw0-UWa36ewNvFi4Q_8_21"/>
      <w:bookmarkStart w:id="431" w:name="Tc_JikeSmtGL0Cpp1T3lJ2f5A_8_18"/>
      <w:bookmarkStart w:id="432" w:name="Tc_k8VLMSNyA02RCXAfIpa7NQ_8_12"/>
      <w:bookmarkStart w:id="433" w:name="Tc_Ug4z7Hirmkes9Egjo5PRbQ_8_9"/>
      <w:bookmarkStart w:id="434" w:name="Tc_i9th8fXA10qn8b3IWyhmFA_8_3"/>
      <w:bookmarkStart w:id="435" w:name="Tc_ijuZb_8Nx0WAmHdH2-HEjw_8_0"/>
      <w:bookmarkStart w:id="436" w:name="Tc_Yk3gPDl62kyShJ7XZYXHKw_7_30"/>
      <w:bookmarkStart w:id="437" w:name="Tc_krSnM8qj4E2yRRlpohh-kg_7_27"/>
      <w:bookmarkStart w:id="438" w:name="Tc_qko6ZjK_GUC2T_T6MZyCbg_7_24"/>
      <w:bookmarkStart w:id="439" w:name="Tc_CAmchVcqpkCAUdZ2JwkjZw_7_21"/>
      <w:bookmarkStart w:id="440" w:name="Tc_3pLORpvcXUuD3fQP6TvhSg_7_18"/>
      <w:bookmarkStart w:id="441" w:name="Tc_ahkbz8Hq2keKpRN2vECXiQ_7_15"/>
      <w:bookmarkStart w:id="442" w:name="Tc_amL3qDNbvUmk11gBNop6tA_7_12"/>
      <w:bookmarkStart w:id="443" w:name="Tc_F_KbEPA4Q0W4arf2yNdiCw_7_9"/>
      <w:bookmarkStart w:id="444" w:name="Tc_yZ7ep-Wj2Uu4m3cJBCtXrQ_7_6"/>
      <w:bookmarkStart w:id="445" w:name="Tc_Zg5BnK5b-Uq6EYbtgAQONw_7_0"/>
      <w:bookmarkStart w:id="446" w:name="Tc_kXHBMuC520inwiGNPJbdMA_6_21"/>
      <w:bookmarkStart w:id="447" w:name="Tc_ObauJ_ttdU6ouf4_jBKNJA_6_18"/>
      <w:bookmarkStart w:id="448" w:name="Tc_5p-EeX8sjk6mX8vo6lMm0A_6_12"/>
      <w:bookmarkStart w:id="449" w:name="Tc_VhFqx2sY0E-rEnjWTavI-A_6_9"/>
      <w:bookmarkStart w:id="450" w:name="Tc_ukP7JKMud0i8Mj9hzfwAxg_6_6"/>
      <w:bookmarkStart w:id="451" w:name="Tc_u6xcxjXVoU2k6g_zsHwcxw_6_3"/>
      <w:bookmarkStart w:id="452" w:name="Tc_CQKW4DJki0a4QHwgek1zeA_6_0"/>
      <w:bookmarkStart w:id="453" w:name="Tc_hcNPFFpJdkCxaxX5Z7oG5g_5_29"/>
      <w:bookmarkStart w:id="454" w:name="Tc_KYF-boGn1EiJpPGeuvNrzQ_5_26"/>
      <w:bookmarkStart w:id="455" w:name="Tc_fvoLHmK1KUe56uhbK1MvtQ_5_23"/>
      <w:bookmarkStart w:id="456" w:name="Tc_oYaXClAmME6EwO8U1bfDKw_5_20"/>
      <w:bookmarkStart w:id="457" w:name="Tc_RaQPFk8_Gkeuo7Q0B7_76A_5_17"/>
      <w:bookmarkStart w:id="458" w:name="Tc_6Vqc1JUJlEmYjPxn8J17Gw_5_14"/>
      <w:bookmarkStart w:id="459" w:name="Tc_qY61ut63e0SttCHcns2OIg_5_11"/>
      <w:bookmarkStart w:id="460" w:name="Tc_zZO3i-9AMUOx_ohn0ac2RQ_5_6"/>
      <w:bookmarkStart w:id="461" w:name="Tc_qJJkHnNC_kKs_eDi_qaPOg_5_5"/>
      <w:bookmarkStart w:id="462" w:name="Tc_GZnqZa1OV0aRGCR6cDMLTA_5_3"/>
      <w:bookmarkStart w:id="463" w:name="Tc_yrcHeuz9V0SSQl3x0zGbwg_5_0"/>
      <w:bookmarkStart w:id="464" w:name="Tc_f4Iaxyp6T0ah74ksFt7HQQ_4_29"/>
      <w:bookmarkStart w:id="465" w:name="Tc_eyczstnzOEeV-c2bfVR28g_4_26"/>
      <w:bookmarkStart w:id="466" w:name="Tc_4t3sW1Z13UW-umYcaBj7bA_4_23"/>
      <w:bookmarkStart w:id="467" w:name="Tc_VW1tVF2n0Euq0YT3XFvdpg_4_20"/>
      <w:bookmarkStart w:id="468" w:name="Tc_ChoiA3qdbkCjYSf1-nSWmw_4_17"/>
      <w:bookmarkStart w:id="469" w:name="Tc_7fJ-nlL-D02TYfgJ0uY52g_4_14"/>
      <w:bookmarkStart w:id="470" w:name="Tc_kH52pLpFckeJmbdDO7Ph4Q_4_11"/>
      <w:bookmarkStart w:id="471" w:name="Tc_j7I5FkaeI0ax-NNqw-0P3Q_4_9"/>
      <w:bookmarkStart w:id="472" w:name="Tc_8cnZV7ORy0GUdoVqmW03JA_4_5"/>
      <w:bookmarkStart w:id="473" w:name="Tc_oRUI1cXMG0mKXY9_jcPNXA_4_3"/>
      <w:bookmarkStart w:id="474" w:name="Tc_CSlXJ1-J0U2lNrSD71Dgnw_3_29"/>
      <w:bookmarkStart w:id="475" w:name="Tc_6aIJyr5K-0qy5IhCu4fKNg_3_26"/>
      <w:bookmarkStart w:id="476" w:name="Tc_zlboPLSs00WyxAsGvgAZYA_3_23"/>
      <w:bookmarkStart w:id="477" w:name="Tc_786h1wLykU6Eb-Pfecyu5g_3_20"/>
      <w:bookmarkStart w:id="478" w:name="Tc_Gb2b7L-Qs0urgz2gpDcbjQ_3_17"/>
      <w:bookmarkStart w:id="479" w:name="Tc_2aRBaxto0kSLG_FCzQQQ-Q_3_14"/>
      <w:bookmarkStart w:id="480" w:name="Tc_d9iuNZaD_0CoUYtsmri_Rg_3_9"/>
      <w:bookmarkStart w:id="481" w:name="Tc_uF8CD9Z3u0-WMgfbKemVEA_3_3"/>
      <w:bookmarkStart w:id="482" w:name="Tc_vHVfPvldfkaV0HbnUbJnWw_2_26"/>
      <w:bookmarkStart w:id="483" w:name="Tc_iQVCx6t0eEqAgDSceEw3DA_2_23"/>
      <w:bookmarkStart w:id="484" w:name="Tc__HVLtaLsdECMsWC7CKH0rQ_2_20"/>
      <w:bookmarkStart w:id="485" w:name="Tc_67Mvx25bXEeN6d3uAzh6xg_2_14"/>
      <w:bookmarkStart w:id="486" w:name="Tc_NRiDqLo070mo2W6nZTE1Fg_2_3"/>
      <w:bookmarkStart w:id="487" w:name="Tc_TG4n8pgWdkWJ_YEJRHpuiw_1_20"/>
      <w:bookmarkStart w:id="488" w:name="_f926ee1d_6f17_4e3c_b3b1_cd58758c1286"/>
      <w:bookmarkStart w:id="489" w:name="Tc_eHTbpMsNuUGSMpeDl-pQNA_22_29"/>
      <w:bookmarkStart w:id="490" w:name="Tc_a394hGg8YE6dWzlFZqxflg_22_26"/>
      <w:bookmarkStart w:id="491" w:name="Tc_nJ3A2wyL_E-aOS5StfIC8A_22_23"/>
      <w:bookmarkStart w:id="492" w:name="Tc_dp5g74dhrEeBbBKYZNV-7Q_22_20"/>
      <w:bookmarkStart w:id="493" w:name="Tc_sBKVycFsJ0-mE3TV6pjtAA_22_17"/>
      <w:bookmarkStart w:id="494" w:name="Tc_RUtAMCTWeUCKl-DKw8kibQ_22_14"/>
      <w:bookmarkStart w:id="495" w:name="Tc_UX5s4wD5A0ereBs6WmadwQ_22_11"/>
      <w:bookmarkStart w:id="496" w:name="Tc_patQw3WzukyH_JRPwI0GVg_22_5"/>
      <w:bookmarkStart w:id="497" w:name="Tc_8uLjgEn5-Eqb_p5Mb_F1bA_22_0"/>
      <w:bookmarkStart w:id="498" w:name="Tc_lcpw9NehmEy8zWCpO5Fq9A_21_21"/>
      <w:bookmarkStart w:id="499" w:name="Tc_X5C4OuSfdkWIasBFLnapfA_21_15"/>
      <w:bookmarkStart w:id="500" w:name="Tc_EpfhIeyGl02c-ClxNQAxTQ_21_12"/>
      <w:bookmarkStart w:id="501" w:name="Tc_1rcqgVOLqk24DEBYrncBMA_21_9"/>
      <w:bookmarkStart w:id="502" w:name="Tc_pVYaXm2B_E-_IRBAKRfQiw_21_6"/>
      <w:bookmarkStart w:id="503" w:name="Tc_2y1piGvNG0Sv1qvwSGTyog_21_3"/>
      <w:bookmarkStart w:id="504" w:name="Tc_s5YNOKDhYESXoDNSqNYpyQ_21_0"/>
      <w:bookmarkStart w:id="505" w:name="Tc_ef1aMZkPDUazUh2FW_tCZg_20_27"/>
      <w:bookmarkStart w:id="506" w:name="Tc_zP9-5jTkfE6SwG9-OMw8sA_20_18"/>
      <w:bookmarkStart w:id="507" w:name="Tc_TgBxrMltPk2SUP4w__tvZA_20_15"/>
      <w:bookmarkStart w:id="508" w:name="Tc_ERDJ_GprxkisRKFTjFWLoA_20_12"/>
      <w:bookmarkStart w:id="509" w:name="Tc_5sbIVask106gPJrn9Tjn8Q_20_9"/>
      <w:bookmarkStart w:id="510" w:name="Tc_ApDLdWvK9UCEIupYMiNwzg_20_6"/>
      <w:bookmarkStart w:id="511" w:name="Tc_aKwbhZlw_EWeJiaC-WQTLQ_20_3"/>
      <w:bookmarkStart w:id="512" w:name="Tc_fVOZU1hStkmTOHK_sgkjCA_20_0"/>
      <w:bookmarkStart w:id="513" w:name="Tc_YjkIRognP0CQWBWzdfJKRA_19_18"/>
      <w:bookmarkStart w:id="514" w:name="Tc__x0CyccvIUSmHpQzykwHNA_19_15"/>
      <w:bookmarkStart w:id="515" w:name="Tc_UGvXBZ4Q3EmEpQJYWAwAHQ_19_12"/>
      <w:bookmarkStart w:id="516" w:name="Tc_v2hGFjSS7UiimNF_VCa3aA_19_9"/>
      <w:bookmarkStart w:id="517" w:name="Tc_XpUfcgCXL0OT7Q4r2CPjUw_19_6"/>
      <w:bookmarkStart w:id="518" w:name="Tc_qZapbE2TAkSHB3JnTTZC4g_19_3"/>
      <w:bookmarkStart w:id="519" w:name="Tc_Ygav02cLpEewLX9cLhq7Gg_19_0"/>
      <w:bookmarkStart w:id="520" w:name="Tc_zz1yyVJ7k0iOMD3NY9hQrQ_18_27"/>
      <w:bookmarkStart w:id="521" w:name="Tc_Oi2Bxs9bukK8Uu-EQzcAuQ_18_21"/>
      <w:bookmarkStart w:id="522" w:name="Tc_3ewVcy4xN025RJeIQp5xYg_18_18"/>
      <w:bookmarkStart w:id="523" w:name="Tc_1S9bvcfV-Emn3wVKF-K9ow_18_12"/>
      <w:bookmarkStart w:id="524" w:name="Tc_99LYo7O3_UGxaTRmlsMNVA_18_9"/>
      <w:bookmarkStart w:id="525" w:name="Tc_C_IeHGcqvEuZncxo75eHGw_18_6"/>
      <w:bookmarkStart w:id="526" w:name="Tc_HOK05k9b1EWJUcZ0ckjilg_18_3"/>
      <w:bookmarkStart w:id="527" w:name="Tc_wpCibv9iyEqjRfz5phaRXQ_18_0"/>
      <w:bookmarkStart w:id="528" w:name="Tc_PkbBbf7NiU-3Y9mzlQAtHw_17_6"/>
      <w:bookmarkStart w:id="529" w:name="Tc_NoRFvF0_JEGngEDF9b_hBg_17_3"/>
      <w:bookmarkStart w:id="530" w:name="Tc_hQL7xsFIsUmdPchpd_vvUA_17_0"/>
      <w:bookmarkStart w:id="531" w:name="Tc_4nTPWZvrjEi51GBvpesdcw_16_30"/>
      <w:bookmarkStart w:id="532" w:name="Tc_hnZDy1rNhEyPj4U4NhqAWg_16_27"/>
      <w:bookmarkStart w:id="533" w:name="Tc_c1prBCbP4UCOiyXHecHHVw_16_24"/>
      <w:bookmarkStart w:id="534" w:name="Tc_z0QBx72JvEC5jnf-Ej8P5g_16_21"/>
      <w:bookmarkStart w:id="535" w:name="Tc_WB1CClkKq0WSY1nCNNlaFw_16_18"/>
      <w:bookmarkStart w:id="536" w:name="Tc_CkZm-Zhl0k-FuCv77axGfw_16_15"/>
      <w:bookmarkStart w:id="537" w:name="Tc_95hQQ5rEG0mXxzx3t3BBqg_16_12"/>
      <w:bookmarkStart w:id="538" w:name="Tc_n-Q_vybnfEm2U7Pb2Y76hA_16_9"/>
      <w:bookmarkStart w:id="539" w:name="Tc_PPNQRtJts0y1RqxrhG8COg_16_0"/>
      <w:bookmarkStart w:id="540" w:name="Tc_E0KQnqFVwky32CNKGNtg1g_15_27"/>
      <w:bookmarkStart w:id="541" w:name="Tc_NLoL6rNgSEeiuz-aoV4dDA_15_21"/>
      <w:bookmarkStart w:id="542" w:name="Tc_mTvYGi8Zt0a2BdFEzLMCEQ_15_18"/>
      <w:bookmarkStart w:id="543" w:name="Tc_w-C5WytoGEqa4NydyWDgpQ_15_12"/>
      <w:bookmarkStart w:id="544" w:name="Tc_JVs7C1NHb06kN8Fic5Fxgw_15_9"/>
      <w:bookmarkStart w:id="545" w:name="Tc_0fU_C-N37UeVOh7impNdDQ_15_3"/>
      <w:bookmarkStart w:id="546" w:name="Tc_geDzYZCGqk-84JHUMyuyZg_15_0"/>
      <w:bookmarkStart w:id="547" w:name="Tc_ABWKfAWoVE2q7muxKS1ucA_14_27"/>
      <w:bookmarkStart w:id="548" w:name="Tc_y3tVKJwhdUOfsWkxDyZJ5w_14_21"/>
      <w:bookmarkStart w:id="549" w:name="Tc_9xKZqt4rz0-ef-08yQxXZg_14_18"/>
      <w:bookmarkStart w:id="550" w:name="Tc_fyPBQzFlGk6qU-El-cU4tA_14_12"/>
      <w:bookmarkStart w:id="551" w:name="Tc_8C3ovUmnOkCwn5QCUZzkPQ_14_9"/>
      <w:bookmarkStart w:id="552" w:name="Tc_F8IBfwKg00GBaiWTZRhBtg_14_3"/>
      <w:bookmarkStart w:id="553" w:name="Tc_WsZ8VRPYhU-lKJzXQuyVXw_14_0"/>
      <w:bookmarkStart w:id="554" w:name="Tc_CGagwbZId06iZIUnpb5NFw_13_27"/>
      <w:bookmarkStart w:id="555" w:name="Tc_MGj3ryooN0q26ptLI9UJcA_13_21"/>
      <w:bookmarkStart w:id="556" w:name="Tc_cHhKR5B_0kaSmUko32Byeg_13_18"/>
      <w:bookmarkStart w:id="557" w:name="Tc_Is30D-yvS024tJvbJHHIxA_13_12"/>
      <w:bookmarkStart w:id="558" w:name="Tc_k11sW1YJB0G5UE09Gfxbdw_13_9"/>
      <w:bookmarkStart w:id="559" w:name="Tc_EArl_7ZCBUCP5sMt8xDSPQ_13_6"/>
      <w:bookmarkStart w:id="560" w:name="Tc_3K7aN8zXWkGkyhhNaF2u-w_13_3"/>
      <w:bookmarkStart w:id="561" w:name="Tc_hytOUPCSbky73f2bD40V-w_13_0"/>
      <w:bookmarkStart w:id="562" w:name="Tc_k5o0Jo6iLE-DHFQ4CEYPuQ_12_29"/>
      <w:bookmarkStart w:id="563" w:name="Tc_sEm3NO0WCEKiJwVhDNlgdA_12_26"/>
      <w:bookmarkStart w:id="564" w:name="Tc_yPJdAA_yjUm4zZnWZ4-BQQ_12_23"/>
      <w:bookmarkStart w:id="565" w:name="Tc_sK96oMJA90iKgenx652pVg_12_20"/>
      <w:bookmarkStart w:id="566" w:name="Tc_4IWLMFMSeEmP4LT_ScKVrw_12_17"/>
      <w:bookmarkStart w:id="567" w:name="Tc_4ri8kOn7zkamh7lmHMzwcw_12_14"/>
      <w:bookmarkStart w:id="568" w:name="Tc_Lz03xtmFcUi6Wig_3IvjwA_12_11"/>
      <w:bookmarkStart w:id="569" w:name="Tc_kIUymP_6EkGPS-zEGvly4Q_12_5"/>
      <w:bookmarkStart w:id="570" w:name="Tc_XN60R2e4iEKlbn-8cDWlSA_12_0"/>
      <w:bookmarkStart w:id="571" w:name="Tc_46OnrBLR3U6swOUBB-bz6A_11_21"/>
      <w:bookmarkStart w:id="572" w:name="Tc_IwkDCS9jpU2wByImNhGmFA_11_15"/>
      <w:bookmarkStart w:id="573" w:name="Tc_zFp2PF_9mkS7a76_mp_Qug_11_12"/>
      <w:bookmarkStart w:id="574" w:name="Tc_efTWH3-6KUGUnPXQWTXOBA_11_9"/>
      <w:bookmarkStart w:id="575" w:name="Tc_W5JYl1AirE26pYca9Wzbig_11_6"/>
      <w:bookmarkStart w:id="576" w:name="Tc_BtHGYKGW1kSn8ckTIvkolQ_11_3"/>
      <w:bookmarkStart w:id="577" w:name="Tc_4ENHshoPp0i2uvk_8EVLSw_11_0"/>
      <w:bookmarkStart w:id="578" w:name="Tc_kPUkJwFNmke7sKzh69wbuQ_10_18"/>
      <w:bookmarkStart w:id="579" w:name="Tc_GmmMZwbGU06YTrevnsN7aA_10_15"/>
      <w:bookmarkStart w:id="580" w:name="Tc_yDPoE9FV2k6mKvtlNek4lA_10_12"/>
      <w:bookmarkStart w:id="581" w:name="Tc_mJGbhGZ0Ak-E_TPbyxULKA_10_9"/>
      <w:bookmarkStart w:id="582" w:name="Tc_DK3dgceCMk2CMEvguW_rCQ_10_6"/>
      <w:bookmarkStart w:id="583" w:name="Tc_d4KHTfEGyEePF5qe50un-w_10_3"/>
      <w:bookmarkStart w:id="584" w:name="Tc_dqk4vU-ue0eGIf3lGXOgsQ_10_0"/>
      <w:bookmarkStart w:id="585" w:name="Tc_WGPnayEV4kqm6227DJM29g_9_27"/>
      <w:bookmarkStart w:id="586" w:name="Tc_VgIyHIT1ukGPBewsKVtwFA_9_21"/>
      <w:bookmarkStart w:id="587" w:name="Tc_R99FEtq7pUODcnqJq9nObg_9_18"/>
      <w:bookmarkStart w:id="588" w:name="Tc_cM-3Kz8o1E6wHz1rhwdGbQ_9_12"/>
      <w:bookmarkStart w:id="589" w:name="Tc_kKIEVBz9QUKCo6Q1lscDzw_9_9"/>
      <w:bookmarkStart w:id="590" w:name="Tc_sPypRwZ7Mkm7X51UDI01Jg_9_3"/>
      <w:bookmarkStart w:id="591" w:name="Tc_cYCsm7flmUOMmmigv4A72Q_9_0"/>
      <w:bookmarkStart w:id="592" w:name="Tc_nAG7YZOvuUKLbQ1sjd1SgA_8_27"/>
      <w:bookmarkStart w:id="593" w:name="Tc_iY9hbuw0-UWa36ewNvFi4Q_8_21"/>
      <w:bookmarkStart w:id="594" w:name="Tc_JikeSmtGL0Cpp1T3lJ2f5A_8_18"/>
      <w:bookmarkStart w:id="595" w:name="Tc_k8VLMSNyA02RCXAfIpa7NQ_8_12"/>
      <w:bookmarkStart w:id="596" w:name="Tc_Ug4z7Hirmkes9Egjo5PRbQ_8_9"/>
      <w:bookmarkStart w:id="597" w:name="Tc_i9th8fXA10qn8b3IWyhmFA_8_3"/>
      <w:bookmarkStart w:id="598" w:name="Tc_ijuZb_8Nx0WAmHdH2-HEjw_8_0"/>
      <w:bookmarkStart w:id="599" w:name="Tc_Yk3gPDl62kyShJ7XZYXHKw_7_30"/>
      <w:bookmarkStart w:id="600" w:name="Tc_krSnM8qj4E2yRRlpohh-kg_7_27"/>
      <w:bookmarkStart w:id="601" w:name="Tc_qko6ZjK_GUC2T_T6MZyCbg_7_24"/>
      <w:bookmarkStart w:id="602" w:name="Tc_CAmchVcqpkCAUdZ2JwkjZw_7_21"/>
      <w:bookmarkStart w:id="603" w:name="Tc_3pLORpvcXUuD3fQP6TvhSg_7_18"/>
      <w:bookmarkStart w:id="604" w:name="Tc_ahkbz8Hq2keKpRN2vECXiQ_7_15"/>
      <w:bookmarkStart w:id="605" w:name="Tc_amL3qDNbvUmk11gBNop6tA_7_12"/>
      <w:bookmarkStart w:id="606" w:name="Tc_F_KbEPA4Q0W4arf2yNdiCw_7_9"/>
      <w:bookmarkStart w:id="607" w:name="Tc_yZ7ep-Wj2Uu4m3cJBCtXrQ_7_6"/>
      <w:bookmarkStart w:id="608" w:name="Tc_Zg5BnK5b-Uq6EYbtgAQONw_7_0"/>
      <w:bookmarkStart w:id="609" w:name="Tc_kXHBMuC520inwiGNPJbdMA_6_21"/>
      <w:bookmarkStart w:id="610" w:name="Tc_ObauJ_ttdU6ouf4_jBKNJA_6_18"/>
      <w:bookmarkStart w:id="611" w:name="Tc_5p-EeX8sjk6mX8vo6lMm0A_6_12"/>
      <w:bookmarkStart w:id="612" w:name="Tc_VhFqx2sY0E-rEnjWTavI-A_6_9"/>
      <w:bookmarkStart w:id="613" w:name="Tc_ukP7JKMud0i8Mj9hzfwAxg_6_6"/>
      <w:bookmarkStart w:id="614" w:name="Tc_u6xcxjXVoU2k6g_zsHwcxw_6_3"/>
      <w:bookmarkStart w:id="615" w:name="Tc_CQKW4DJki0a4QHwgek1zeA_6_0"/>
      <w:bookmarkStart w:id="616" w:name="Tc_hcNPFFpJdkCxaxX5Z7oG5g_5_29"/>
      <w:bookmarkStart w:id="617" w:name="Tc_KYF-boGn1EiJpPGeuvNrzQ_5_26"/>
      <w:bookmarkStart w:id="618" w:name="Tc_fvoLHmK1KUe56uhbK1MvtQ_5_23"/>
      <w:bookmarkStart w:id="619" w:name="Tc_oYaXClAmME6EwO8U1bfDKw_5_20"/>
      <w:bookmarkStart w:id="620" w:name="Tc_RaQPFk8_Gkeuo7Q0B7_76A_5_17"/>
      <w:bookmarkStart w:id="621" w:name="Tc_6Vqc1JUJlEmYjPxn8J17Gw_5_14"/>
      <w:bookmarkStart w:id="622" w:name="Tc_qY61ut63e0SttCHcns2OIg_5_11"/>
      <w:bookmarkStart w:id="623" w:name="Tc_zZO3i-9AMUOx_ohn0ac2RQ_5_6"/>
      <w:bookmarkStart w:id="624" w:name="Tc_qJJkHnNC_kKs_eDi_qaPOg_5_5"/>
      <w:bookmarkStart w:id="625" w:name="Tc_GZnqZa1OV0aRGCR6cDMLTA_5_3"/>
      <w:bookmarkStart w:id="626" w:name="Tc_yrcHeuz9V0SSQl3x0zGbwg_5_0"/>
      <w:bookmarkStart w:id="627" w:name="Tc_f4Iaxyp6T0ah74ksFt7HQQ_4_29"/>
      <w:bookmarkStart w:id="628" w:name="Tc_eyczstnzOEeV-c2bfVR28g_4_26"/>
      <w:bookmarkStart w:id="629" w:name="Tc_4t3sW1Z13UW-umYcaBj7bA_4_23"/>
      <w:bookmarkStart w:id="630" w:name="Tc_VW1tVF2n0Euq0YT3XFvdpg_4_20"/>
      <w:bookmarkStart w:id="631" w:name="Tc_ChoiA3qdbkCjYSf1-nSWmw_4_17"/>
      <w:bookmarkStart w:id="632" w:name="Tc_7fJ-nlL-D02TYfgJ0uY52g_4_14"/>
      <w:bookmarkStart w:id="633" w:name="Tc_kH52pLpFckeJmbdDO7Ph4Q_4_11"/>
      <w:bookmarkStart w:id="634" w:name="Tc_j7I5FkaeI0ax-NNqw-0P3Q_4_9"/>
      <w:bookmarkStart w:id="635" w:name="Tc_8cnZV7ORy0GUdoVqmW03JA_4_5"/>
      <w:bookmarkStart w:id="636" w:name="Tc_oRUI1cXMG0mKXY9_jcPNXA_4_3"/>
      <w:bookmarkStart w:id="637" w:name="Tc_CSlXJ1-J0U2lNrSD71Dgnw_3_29"/>
      <w:bookmarkStart w:id="638" w:name="Tc_6aIJyr5K-0qy5IhCu4fKNg_3_26"/>
      <w:bookmarkStart w:id="639" w:name="Tc_zlboPLSs00WyxAsGvgAZYA_3_23"/>
      <w:bookmarkStart w:id="640" w:name="Tc_786h1wLykU6Eb-Pfecyu5g_3_20"/>
      <w:bookmarkStart w:id="641" w:name="Tc_Gb2b7L-Qs0urgz2gpDcbjQ_3_17"/>
      <w:bookmarkStart w:id="642" w:name="Tc_2aRBaxto0kSLG_FCzQQQ-Q_3_14"/>
      <w:bookmarkStart w:id="643" w:name="Tc_d9iuNZaD_0CoUYtsmri_Rg_3_9"/>
      <w:bookmarkStart w:id="644" w:name="Tc_uF8CD9Z3u0-WMgfbKemVEA_3_3"/>
      <w:bookmarkStart w:id="645" w:name="Tc_vHVfPvldfkaV0HbnUbJnWw_2_26"/>
      <w:bookmarkStart w:id="646" w:name="Tc_iQVCx6t0eEqAgDSceEw3DA_2_23"/>
      <w:bookmarkStart w:id="647" w:name="Tc__HVLtaLsdECMsWC7CKH0rQ_2_20"/>
      <w:bookmarkStart w:id="648" w:name="Tc_67Mvx25bXEeN6d3uAzh6xg_2_14"/>
      <w:bookmarkStart w:id="649" w:name="Tc_NRiDqLo070mo2W6nZTE1Fg_2_3"/>
      <w:bookmarkStart w:id="650" w:name="Tc_TG4n8pgWdkWJ_YEJRHpuiw_1_20"/>
      <w:bookmarkStart w:id="651" w:name="_f926ee1d_6f17_4e3c_b3b1_cd58758c1286"/>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tbl>
      <w:tblPr>
        <w:tblW w:w="12374" w:type="dxa"/>
        <w:jc w:val="left"/>
        <w:tblInd w:w="0" w:type="dxa"/>
        <w:tblLayout w:type="fixed"/>
        <w:tblCellMar>
          <w:top w:w="0" w:type="dxa"/>
          <w:left w:w="0" w:type="dxa"/>
          <w:bottom w:w="0" w:type="dxa"/>
          <w:right w:w="0" w:type="dxa"/>
        </w:tblCellMar>
      </w:tblPr>
      <w:tblGrid>
        <w:gridCol w:w="1171"/>
        <w:gridCol w:w="326"/>
        <w:gridCol w:w="326"/>
        <w:gridCol w:w="511"/>
        <w:gridCol w:w="326"/>
        <w:gridCol w:w="196"/>
        <w:gridCol w:w="436"/>
        <w:gridCol w:w="326"/>
        <w:gridCol w:w="109"/>
        <w:gridCol w:w="826"/>
        <w:gridCol w:w="326"/>
        <w:gridCol w:w="206"/>
        <w:gridCol w:w="365"/>
        <w:gridCol w:w="109"/>
        <w:gridCol w:w="196"/>
        <w:gridCol w:w="691"/>
        <w:gridCol w:w="326"/>
        <w:gridCol w:w="196"/>
        <w:gridCol w:w="751"/>
        <w:gridCol w:w="326"/>
        <w:gridCol w:w="252"/>
        <w:gridCol w:w="739"/>
        <w:gridCol w:w="326"/>
        <w:gridCol w:w="196"/>
        <w:gridCol w:w="571"/>
        <w:gridCol w:w="326"/>
        <w:gridCol w:w="216"/>
        <w:gridCol w:w="565"/>
        <w:gridCol w:w="326"/>
        <w:gridCol w:w="196"/>
        <w:gridCol w:w="616"/>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43585" cy="175260"/>
                      <wp:effectExtent l="0" t="0" r="0" b="0"/>
                      <wp:wrapNone/>
                      <wp:docPr id="22" name="Frame2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24485" cy="175260"/>
                      <wp:effectExtent l="0" t="0" r="0" b="0"/>
                      <wp:wrapNone/>
                      <wp:docPr id="25" name="Frame2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76860" cy="175260"/>
                      <wp:effectExtent l="0" t="0" r="0" b="0"/>
                      <wp:wrapNone/>
                      <wp:docPr id="28" name="Frame2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24510" cy="175260"/>
                      <wp:effectExtent l="0" t="0" r="0" b="0"/>
                      <wp:wrapNone/>
                      <wp:docPr id="31" name="Frame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31775" cy="175260"/>
                      <wp:effectExtent l="0" t="0" r="0" b="0"/>
                      <wp:wrapNone/>
                      <wp:docPr id="34" name="Frame34"/>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6"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8785" cy="175260"/>
                      <wp:effectExtent l="0" t="0" r="0" b="0"/>
                      <wp:wrapNone/>
                      <wp:docPr id="37" name="Frame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76885" cy="175260"/>
                      <wp:effectExtent l="0" t="0" r="0" b="0"/>
                      <wp:wrapNone/>
                      <wp:docPr id="40" name="Frame4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60020" cy="175260"/>
                      <wp:effectExtent l="0" t="0" r="0" b="0"/>
                      <wp:wrapNone/>
                      <wp:docPr id="42" name="Frame4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69265" cy="175260"/>
                      <wp:effectExtent l="0" t="0" r="0" b="0"/>
                      <wp:wrapNone/>
                      <wp:docPr id="43" name="Frame43"/>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62585" cy="175260"/>
                      <wp:effectExtent l="0" t="0" r="0" b="0"/>
                      <wp:wrapNone/>
                      <wp:docPr id="46" name="Frame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7160" cy="175260"/>
                      <wp:effectExtent l="0" t="0" r="0" b="0"/>
                      <wp:wrapNone/>
                      <wp:docPr id="48" name="Frame4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58775" cy="175260"/>
                      <wp:effectExtent l="0" t="0" r="0" b="0"/>
                      <wp:wrapNone/>
                      <wp:docPr id="49" name="Frame49"/>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91160" cy="175260"/>
                      <wp:effectExtent l="0" t="0" r="0" b="0"/>
                      <wp:wrapNone/>
                      <wp:docPr id="52" name="Frame5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9" w:type="dxa"/>
            <w:gridSpan w:val="4"/>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Series G Convertible</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Preferred stock</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paid- </w:t>
            </w:r>
          </w:p>
        </w:tc>
        <w:tc>
          <w:tcPr>
            <w:tcW w:w="32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26" w:type="dxa"/>
            <w:tcBorders/>
            <w:vAlign w:val="center"/>
          </w:tcPr>
          <w:p>
            <w:pPr>
              <w:pStyle w:val="TableContents"/>
              <w:bidi w:val="0"/>
              <w:spacing w:before="0" w:after="0"/>
              <w:ind w:left="0" w:right="0" w:hanging="0"/>
              <w:jc w:val="left"/>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    </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 capital</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loss</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26" w:type="dxa"/>
            <w:tcBorders/>
            <w:vAlign w:val="center"/>
          </w:tcPr>
          <w:p>
            <w:pPr>
              <w:pStyle w:val="TableContents"/>
              <w:bidi w:val="0"/>
              <w:spacing w:before="0" w:after="0"/>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5,261,024</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473,824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(472,706)</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7,742</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Series G Preferred Stock in private placement, net of 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accretion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(4,719)</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(4,588)</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5,261,024</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(477,425)</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(5,795)</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accretion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Accrual of Series G Preferred Stock and dividend redemption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(816)</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Deemed dividends on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Reclass of warrant liability upon warrant modification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2,658</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2,658</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net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(2,269)</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(2,052)</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5,261,024</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475,822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(479,694)</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(5,181)</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3,709</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TEMPORARY EQUITY AND STOCKHOLDERS’ EQUITY (DEFICIT)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52" w:name="Tc_uv6EmMHAF0iQA3wOUJOJVQ_16_23"/>
      <w:bookmarkStart w:id="653" w:name="Tc_-fSyIZJjH0yplPQibbprJg_16_20"/>
      <w:bookmarkStart w:id="654" w:name="Tc_4RlSTGlIYU2CD3LC6qsz1g_16_17"/>
      <w:bookmarkStart w:id="655" w:name="Tc_GvkiKGVcYEuxpUFzeruuUQ_16_14"/>
      <w:bookmarkStart w:id="656" w:name="Tc_nDIoNnuNykqn-Rpr4nfwXw_16_11"/>
      <w:bookmarkStart w:id="657" w:name="Tc_a76WCBIVtUqIxONXtgiLrQ_16_8"/>
      <w:bookmarkStart w:id="658" w:name="Tc_gZ4lew8yUkCouyWdPEkuvg_16_5"/>
      <w:bookmarkStart w:id="659" w:name="Tc_I7v1672ls0WvubHHMZZtWg_16_0"/>
      <w:bookmarkStart w:id="660" w:name="Tc_P-3xOIXrC0-gOIOVdcx_Wg_15_15"/>
      <w:bookmarkStart w:id="661" w:name="Tc_dsjqk_ojL0atCQ5k-BxCww_15_9"/>
      <w:bookmarkStart w:id="662" w:name="Tc_FyOUEG3CnUquDfgXM7qTZw_15_6"/>
      <w:bookmarkStart w:id="663" w:name="Tc_Nimsi71bmEyrtr49DnhOGg_15_3"/>
      <w:bookmarkStart w:id="664" w:name="Tc_2ErKJa-OpkiV7mCErl60qA_15_0"/>
      <w:bookmarkStart w:id="665" w:name="Tc_L-NBYWDMzEKWMm2LTyibWQ_14_12"/>
      <w:bookmarkStart w:id="666" w:name="Tc_7ihsz3sP7kaqeGibvHkZIw_14_9"/>
      <w:bookmarkStart w:id="667" w:name="Tc_UU2xUTNSjkKkEsAvHuKG8w_14_6"/>
      <w:bookmarkStart w:id="668" w:name="Tc__1DernSerEibo-FdYDzRCA_14_3"/>
      <w:bookmarkStart w:id="669" w:name="Tc_g5RqFRnEq0y9Sx_mMFN0ZQ_14_0"/>
      <w:bookmarkStart w:id="670" w:name="Tc_Q7hn7yb_4U-rdpue2Wa0KQ_13_15"/>
      <w:bookmarkStart w:id="671" w:name="Tc_hywr_vXsW0erpXfEVTQgVg_13_12"/>
      <w:bookmarkStart w:id="672" w:name="Tc_Q3JEAxAQdEmHt6Fl0WdV6g_13_6"/>
      <w:bookmarkStart w:id="673" w:name="Tc_KV375lfhekW5UhA6656E5Q_13_3"/>
      <w:bookmarkStart w:id="674" w:name="Tc_P778594uBkWDg0FbZVxqlg_13_0"/>
      <w:bookmarkStart w:id="675" w:name="Tc_hnlzY82V5kGYNiMNNW-bRg_12_15"/>
      <w:bookmarkStart w:id="676" w:name="Tc_9VLMLWB0hEOzzMb0CMk9Lw_12_12"/>
      <w:bookmarkStart w:id="677" w:name="Tc_1T9dj6bLmEi6TCf-4Uo8Zg_12_6"/>
      <w:bookmarkStart w:id="678" w:name="Tc_UGm3Jx86oEqaYviqdrhq4g_12_0"/>
      <w:bookmarkStart w:id="679" w:name="Tc_rPs2lWg35E2d2iaV7HCmYA_11_24"/>
      <w:bookmarkStart w:id="680" w:name="Tc_olGdF-eITkCFpUtbP-07GQ_11_21"/>
      <w:bookmarkStart w:id="681" w:name="Tc_5NEONiX9DEGNXkN3_jOYXg_11_18"/>
      <w:bookmarkStart w:id="682" w:name="Tc_H1nPm1Xls0-x7bZqBFTLCw_11_15"/>
      <w:bookmarkStart w:id="683" w:name="Tc_BkN9AHVgHk6xhbpl_dqcsg_11_12"/>
      <w:bookmarkStart w:id="684" w:name="Tc_x97BmDbsDkSZPhLJCJ-jkg_11_9"/>
      <w:bookmarkStart w:id="685" w:name="Tc_lcJW2s-z4EO0spW6uz6NdA_11_6"/>
      <w:bookmarkStart w:id="686" w:name="Tc_28v91OlUikmVNhUKEvRmrQ_11_0"/>
      <w:bookmarkStart w:id="687" w:name="Tc_HFaCwYg_6EuZGCTtE1S7aw_10_23"/>
      <w:bookmarkStart w:id="688" w:name="Tc_cVFfR52eUkCNTnu_asPKcQ_10_20"/>
      <w:bookmarkStart w:id="689" w:name="Tc_mm6fJ83FikOBmqgOqrPIhw_10_17"/>
      <w:bookmarkStart w:id="690" w:name="Tc_Yaihl2zjwkeUkalYa6Lvyw_10_14"/>
      <w:bookmarkStart w:id="691" w:name="Tc_8tbHNXrOAku4q9XfxMfBfQ_10_11"/>
      <w:bookmarkStart w:id="692" w:name="Tc_CpCJhcWz6kSgC6sPgP55Mg_10_8"/>
      <w:bookmarkStart w:id="693" w:name="Tc_WcPq-V4M5UeFp6Nj5Pmwug_10_5"/>
      <w:bookmarkStart w:id="694" w:name="Tc_12pHWeX5ukaLwrCaufL9Dg_10_0"/>
      <w:bookmarkStart w:id="695" w:name="Tc_EGazGCprHE-nyjzkZlcLgw_9_15"/>
      <w:bookmarkStart w:id="696" w:name="Tc_23ZEJ71YB0acUcQa2NtS5Q_9_9"/>
      <w:bookmarkStart w:id="697" w:name="Tc_RG_JNZDx2Uq9cQUOfUSnqA_9_6"/>
      <w:bookmarkStart w:id="698" w:name="Tc_d3gW8jT4SkC0o7j8sHk1rg_9_3"/>
      <w:bookmarkStart w:id="699" w:name="Tc_eZzGgHQSxUqT9JQiH6s3Mw_9_0"/>
      <w:bookmarkStart w:id="700" w:name="Tc__ismBWw2CkuD2OlBOuVhvw_8_12"/>
      <w:bookmarkStart w:id="701" w:name="Tc_H5EeAbpsR0CnVfbYjJYhtA_8_9"/>
      <w:bookmarkStart w:id="702" w:name="Tc_Sw4u-hgnn0qn2fJtLlGTaQ_8_6"/>
      <w:bookmarkStart w:id="703" w:name="Tc_b1EF4PDc90qJnfPH9ndqGw_8_3"/>
      <w:bookmarkStart w:id="704" w:name="Tc_1T2Zi9WD9E2_V3lR_vNCVA_8_0"/>
      <w:bookmarkStart w:id="705" w:name="Tc_y8VJE6C-iEelNufUa4X5lA_7_15"/>
      <w:bookmarkStart w:id="706" w:name="Tc_p0khMzkFr0qHMIekS34wnA_7_12"/>
      <w:bookmarkStart w:id="707" w:name="Tc_yNua9YFsfkimYfrinXTvsQ_7_6"/>
      <w:bookmarkStart w:id="708" w:name="Tc_4L6u3U4c70urXJ5S4Qb6Bg_7_3"/>
      <w:bookmarkStart w:id="709" w:name="Tc_ehBJYqgePECUYv1Gk8jSkA_7_0"/>
      <w:bookmarkStart w:id="710" w:name="Tc_ny022p9_fkWfZm7W5GD7BA_6_24"/>
      <w:bookmarkStart w:id="711" w:name="Tc__puueNRGd0O59BI5SQJLdw_6_21"/>
      <w:bookmarkStart w:id="712" w:name="Tc_vZGXr6U9fUSZryCXa-O_bQ_6_18"/>
      <w:bookmarkStart w:id="713" w:name="Tc_fDOoGWRcqEylNK_S7A6iJw_6_15"/>
      <w:bookmarkStart w:id="714" w:name="Tc_Z_UDiOnsPUWTrt2dIxUFRA_6_12"/>
      <w:bookmarkStart w:id="715" w:name="Tc_10CQedsUbk2Ane0CE5otTQ_6_9"/>
      <w:bookmarkStart w:id="716" w:name="Tc_OeAcQjCSC0Gj0b8aSERkHg_6_6"/>
      <w:bookmarkStart w:id="717" w:name="Tc_TYKbxaZQa0K5t--w_9SCxA_6_0"/>
      <w:bookmarkStart w:id="718" w:name="Tc_FkDt4ZuzoUujil3EA514Qw_5_23"/>
      <w:bookmarkStart w:id="719" w:name="Tc_A8tLOqGfJEytm8jjgG5P4g_5_20"/>
      <w:bookmarkStart w:id="720" w:name="Tc_1eM-qaBY5E2--aB-AiQ1NA_5_17"/>
      <w:bookmarkStart w:id="721" w:name="Tc_fCi9euYziUq-0ndpmIuYbw_5_14"/>
      <w:bookmarkStart w:id="722" w:name="Tc_6uIg-xKQcUKBiESAnfJc6A_5_11"/>
      <w:bookmarkStart w:id="723" w:name="Tc_WT-99HDiM0aRbeTUvqVc3w_5_8"/>
      <w:bookmarkStart w:id="724" w:name="Tc_Cpgjfj69hUKTw2S7yWPP1Q_5_5"/>
      <w:bookmarkStart w:id="725" w:name="Tc_XPYBwS9iD0CVv2h2P8TpEw_5_0"/>
      <w:bookmarkStart w:id="726" w:name="Tc_mfj1i8sxw0-SND_wuFx26w_4_23"/>
      <w:bookmarkStart w:id="727" w:name="Tc_pX8V9YC3aEimfX0GK35bDg_4_20"/>
      <w:bookmarkStart w:id="728" w:name="Tc_yMReLoD2Rkeoscn5Oaqg_Q_4_17"/>
      <w:bookmarkStart w:id="729" w:name="Tc_QOhKsiM6B0W6XYeuiTan8Q_4_14"/>
      <w:bookmarkStart w:id="730" w:name="Tc_Ky5iQmB2cUy__ppROdfEDQ_4_11"/>
      <w:bookmarkStart w:id="731" w:name="Tc_xeEHsjYkwUG6gQ8B00kVjg_4_8"/>
      <w:bookmarkStart w:id="732" w:name="Tc_e-VnfhS-qUGxOSrNLi9EkQ_4_5"/>
      <w:bookmarkStart w:id="733" w:name="Tc_kIg8idyHK0-3_RtyXf33hw_4_3"/>
      <w:bookmarkStart w:id="734" w:name="Tc_dJ7DbLFVDEmVd_kd019eDg_3_23"/>
      <w:bookmarkStart w:id="735" w:name="Tc_nM_bWE4AuEKV-kaor2hnuA_3_20"/>
      <w:bookmarkStart w:id="736" w:name="Tc_8xk2j3GseEuha0nUuz1gzA_3_17"/>
      <w:bookmarkStart w:id="737" w:name="Tc_KlEeJ6O9g02afJD6NxrtmQ_3_14"/>
      <w:bookmarkStart w:id="738" w:name="Tc_BOqLbWI7BE6aRnb4GH6Xkw_3_11"/>
      <w:bookmarkStart w:id="739" w:name="Tc_THBur_2TT0W12Uo7jouDXA_3_8"/>
      <w:bookmarkStart w:id="740" w:name="Tc_bPW70A7d4Uuk49t2Mr7j-w_3_3"/>
      <w:bookmarkStart w:id="741" w:name="Tc_Zj1TiDvZeUWMC9sA_56F0w_2_20"/>
      <w:bookmarkStart w:id="742" w:name="Tc_7jpjb07nN0yTycOU61Gjlw_2_17"/>
      <w:bookmarkStart w:id="743" w:name="Tc_nf88QhaC20mpZi6PEvWjnA_2_14"/>
      <w:bookmarkStart w:id="744" w:name="Tc_-ZRoAkIj506WF6P2JLgveQ_2_8"/>
      <w:bookmarkStart w:id="745" w:name="Tc_H7EN1PrMEkSZNNONL-q6wA_1_14"/>
      <w:bookmarkStart w:id="746" w:name="_7ab45e77_0619_41de_932a_503d29c89b2d"/>
      <w:bookmarkStart w:id="747" w:name="Tc_uv6EmMHAF0iQA3wOUJOJVQ_16_23"/>
      <w:bookmarkStart w:id="748" w:name="Tc_-fSyIZJjH0yplPQibbprJg_16_20"/>
      <w:bookmarkStart w:id="749" w:name="Tc_4RlSTGlIYU2CD3LC6qsz1g_16_17"/>
      <w:bookmarkStart w:id="750" w:name="Tc_GvkiKGVcYEuxpUFzeruuUQ_16_14"/>
      <w:bookmarkStart w:id="751" w:name="Tc_nDIoNnuNykqn-Rpr4nfwXw_16_11"/>
      <w:bookmarkStart w:id="752" w:name="Tc_a76WCBIVtUqIxONXtgiLrQ_16_8"/>
      <w:bookmarkStart w:id="753" w:name="Tc_gZ4lew8yUkCouyWdPEkuvg_16_5"/>
      <w:bookmarkStart w:id="754" w:name="Tc_I7v1672ls0WvubHHMZZtWg_16_0"/>
      <w:bookmarkStart w:id="755" w:name="Tc_P-3xOIXrC0-gOIOVdcx_Wg_15_15"/>
      <w:bookmarkStart w:id="756" w:name="Tc_dsjqk_ojL0atCQ5k-BxCww_15_9"/>
      <w:bookmarkStart w:id="757" w:name="Tc_FyOUEG3CnUquDfgXM7qTZw_15_6"/>
      <w:bookmarkStart w:id="758" w:name="Tc_Nimsi71bmEyrtr49DnhOGg_15_3"/>
      <w:bookmarkStart w:id="759" w:name="Tc_2ErKJa-OpkiV7mCErl60qA_15_0"/>
      <w:bookmarkStart w:id="760" w:name="Tc_L-NBYWDMzEKWMm2LTyibWQ_14_12"/>
      <w:bookmarkStart w:id="761" w:name="Tc_7ihsz3sP7kaqeGibvHkZIw_14_9"/>
      <w:bookmarkStart w:id="762" w:name="Tc_UU2xUTNSjkKkEsAvHuKG8w_14_6"/>
      <w:bookmarkStart w:id="763" w:name="Tc__1DernSerEibo-FdYDzRCA_14_3"/>
      <w:bookmarkStart w:id="764" w:name="Tc_g5RqFRnEq0y9Sx_mMFN0ZQ_14_0"/>
      <w:bookmarkStart w:id="765" w:name="Tc_Q7hn7yb_4U-rdpue2Wa0KQ_13_15"/>
      <w:bookmarkStart w:id="766" w:name="Tc_hywr_vXsW0erpXfEVTQgVg_13_12"/>
      <w:bookmarkStart w:id="767" w:name="Tc_Q3JEAxAQdEmHt6Fl0WdV6g_13_6"/>
      <w:bookmarkStart w:id="768" w:name="Tc_KV375lfhekW5UhA6656E5Q_13_3"/>
      <w:bookmarkStart w:id="769" w:name="Tc_P778594uBkWDg0FbZVxqlg_13_0"/>
      <w:bookmarkStart w:id="770" w:name="Tc_hnlzY82V5kGYNiMNNW-bRg_12_15"/>
      <w:bookmarkStart w:id="771" w:name="Tc_9VLMLWB0hEOzzMb0CMk9Lw_12_12"/>
      <w:bookmarkStart w:id="772" w:name="Tc_1T9dj6bLmEi6TCf-4Uo8Zg_12_6"/>
      <w:bookmarkStart w:id="773" w:name="Tc_UGm3Jx86oEqaYviqdrhq4g_12_0"/>
      <w:bookmarkStart w:id="774" w:name="Tc_rPs2lWg35E2d2iaV7HCmYA_11_24"/>
      <w:bookmarkStart w:id="775" w:name="Tc_olGdF-eITkCFpUtbP-07GQ_11_21"/>
      <w:bookmarkStart w:id="776" w:name="Tc_5NEONiX9DEGNXkN3_jOYXg_11_18"/>
      <w:bookmarkStart w:id="777" w:name="Tc_H1nPm1Xls0-x7bZqBFTLCw_11_15"/>
      <w:bookmarkStart w:id="778" w:name="Tc_BkN9AHVgHk6xhbpl_dqcsg_11_12"/>
      <w:bookmarkStart w:id="779" w:name="Tc_x97BmDbsDkSZPhLJCJ-jkg_11_9"/>
      <w:bookmarkStart w:id="780" w:name="Tc_lcJW2s-z4EO0spW6uz6NdA_11_6"/>
      <w:bookmarkStart w:id="781" w:name="Tc_28v91OlUikmVNhUKEvRmrQ_11_0"/>
      <w:bookmarkStart w:id="782" w:name="Tc_HFaCwYg_6EuZGCTtE1S7aw_10_23"/>
      <w:bookmarkStart w:id="783" w:name="Tc_cVFfR52eUkCNTnu_asPKcQ_10_20"/>
      <w:bookmarkStart w:id="784" w:name="Tc_mm6fJ83FikOBmqgOqrPIhw_10_17"/>
      <w:bookmarkStart w:id="785" w:name="Tc_Yaihl2zjwkeUkalYa6Lvyw_10_14"/>
      <w:bookmarkStart w:id="786" w:name="Tc_8tbHNXrOAku4q9XfxMfBfQ_10_11"/>
      <w:bookmarkStart w:id="787" w:name="Tc_CpCJhcWz6kSgC6sPgP55Mg_10_8"/>
      <w:bookmarkStart w:id="788" w:name="Tc_WcPq-V4M5UeFp6Nj5Pmwug_10_5"/>
      <w:bookmarkStart w:id="789" w:name="Tc_12pHWeX5ukaLwrCaufL9Dg_10_0"/>
      <w:bookmarkStart w:id="790" w:name="Tc_EGazGCprHE-nyjzkZlcLgw_9_15"/>
      <w:bookmarkStart w:id="791" w:name="Tc_23ZEJ71YB0acUcQa2NtS5Q_9_9"/>
      <w:bookmarkStart w:id="792" w:name="Tc_RG_JNZDx2Uq9cQUOfUSnqA_9_6"/>
      <w:bookmarkStart w:id="793" w:name="Tc_d3gW8jT4SkC0o7j8sHk1rg_9_3"/>
      <w:bookmarkStart w:id="794" w:name="Tc_eZzGgHQSxUqT9JQiH6s3Mw_9_0"/>
      <w:bookmarkStart w:id="795" w:name="Tc__ismBWw2CkuD2OlBOuVhvw_8_12"/>
      <w:bookmarkStart w:id="796" w:name="Tc_H5EeAbpsR0CnVfbYjJYhtA_8_9"/>
      <w:bookmarkStart w:id="797" w:name="Tc_Sw4u-hgnn0qn2fJtLlGTaQ_8_6"/>
      <w:bookmarkStart w:id="798" w:name="Tc_b1EF4PDc90qJnfPH9ndqGw_8_3"/>
      <w:bookmarkStart w:id="799" w:name="Tc_1T2Zi9WD9E2_V3lR_vNCVA_8_0"/>
      <w:bookmarkStart w:id="800" w:name="Tc_y8VJE6C-iEelNufUa4X5lA_7_15"/>
      <w:bookmarkStart w:id="801" w:name="Tc_p0khMzkFr0qHMIekS34wnA_7_12"/>
      <w:bookmarkStart w:id="802" w:name="Tc_yNua9YFsfkimYfrinXTvsQ_7_6"/>
      <w:bookmarkStart w:id="803" w:name="Tc_4L6u3U4c70urXJ5S4Qb6Bg_7_3"/>
      <w:bookmarkStart w:id="804" w:name="Tc_ehBJYqgePECUYv1Gk8jSkA_7_0"/>
      <w:bookmarkStart w:id="805" w:name="Tc_ny022p9_fkWfZm7W5GD7BA_6_24"/>
      <w:bookmarkStart w:id="806" w:name="Tc__puueNRGd0O59BI5SQJLdw_6_21"/>
      <w:bookmarkStart w:id="807" w:name="Tc_vZGXr6U9fUSZryCXa-O_bQ_6_18"/>
      <w:bookmarkStart w:id="808" w:name="Tc_fDOoGWRcqEylNK_S7A6iJw_6_15"/>
      <w:bookmarkStart w:id="809" w:name="Tc_Z_UDiOnsPUWTrt2dIxUFRA_6_12"/>
      <w:bookmarkStart w:id="810" w:name="Tc_10CQedsUbk2Ane0CE5otTQ_6_9"/>
      <w:bookmarkStart w:id="811" w:name="Tc_OeAcQjCSC0Gj0b8aSERkHg_6_6"/>
      <w:bookmarkStart w:id="812" w:name="Tc_TYKbxaZQa0K5t--w_9SCxA_6_0"/>
      <w:bookmarkStart w:id="813" w:name="Tc_FkDt4ZuzoUujil3EA514Qw_5_23"/>
      <w:bookmarkStart w:id="814" w:name="Tc_A8tLOqGfJEytm8jjgG5P4g_5_20"/>
      <w:bookmarkStart w:id="815" w:name="Tc_1eM-qaBY5E2--aB-AiQ1NA_5_17"/>
      <w:bookmarkStart w:id="816" w:name="Tc_fCi9euYziUq-0ndpmIuYbw_5_14"/>
      <w:bookmarkStart w:id="817" w:name="Tc_6uIg-xKQcUKBiESAnfJc6A_5_11"/>
      <w:bookmarkStart w:id="818" w:name="Tc_WT-99HDiM0aRbeTUvqVc3w_5_8"/>
      <w:bookmarkStart w:id="819" w:name="Tc_Cpgjfj69hUKTw2S7yWPP1Q_5_5"/>
      <w:bookmarkStart w:id="820" w:name="Tc_XPYBwS9iD0CVv2h2P8TpEw_5_0"/>
      <w:bookmarkStart w:id="821" w:name="Tc_mfj1i8sxw0-SND_wuFx26w_4_23"/>
      <w:bookmarkStart w:id="822" w:name="Tc_pX8V9YC3aEimfX0GK35bDg_4_20"/>
      <w:bookmarkStart w:id="823" w:name="Tc_yMReLoD2Rkeoscn5Oaqg_Q_4_17"/>
      <w:bookmarkStart w:id="824" w:name="Tc_QOhKsiM6B0W6XYeuiTan8Q_4_14"/>
      <w:bookmarkStart w:id="825" w:name="Tc_Ky5iQmB2cUy__ppROdfEDQ_4_11"/>
      <w:bookmarkStart w:id="826" w:name="Tc_xeEHsjYkwUG6gQ8B00kVjg_4_8"/>
      <w:bookmarkStart w:id="827" w:name="Tc_e-VnfhS-qUGxOSrNLi9EkQ_4_5"/>
      <w:bookmarkStart w:id="828" w:name="Tc_kIg8idyHK0-3_RtyXf33hw_4_3"/>
      <w:bookmarkStart w:id="829" w:name="Tc_dJ7DbLFVDEmVd_kd019eDg_3_23"/>
      <w:bookmarkStart w:id="830" w:name="Tc_nM_bWE4AuEKV-kaor2hnuA_3_20"/>
      <w:bookmarkStart w:id="831" w:name="Tc_8xk2j3GseEuha0nUuz1gzA_3_17"/>
      <w:bookmarkStart w:id="832" w:name="Tc_KlEeJ6O9g02afJD6NxrtmQ_3_14"/>
      <w:bookmarkStart w:id="833" w:name="Tc_BOqLbWI7BE6aRnb4GH6Xkw_3_11"/>
      <w:bookmarkStart w:id="834" w:name="Tc_THBur_2TT0W12Uo7jouDXA_3_8"/>
      <w:bookmarkStart w:id="835" w:name="Tc_bPW70A7d4Uuk49t2Mr7j-w_3_3"/>
      <w:bookmarkStart w:id="836" w:name="Tc_Zj1TiDvZeUWMC9sA_56F0w_2_20"/>
      <w:bookmarkStart w:id="837" w:name="Tc_7jpjb07nN0yTycOU61Gjlw_2_17"/>
      <w:bookmarkStart w:id="838" w:name="Tc_nf88QhaC20mpZi6PEvWjnA_2_14"/>
      <w:bookmarkStart w:id="839" w:name="Tc_-ZRoAkIj506WF6P2JLgveQ_2_8"/>
      <w:bookmarkStart w:id="840" w:name="Tc_H7EN1PrMEkSZNNONL-q6wA_1_14"/>
      <w:bookmarkStart w:id="841" w:name="_7ab45e77_0619_41de_932a_503d29c89b2d"/>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p>
    <w:tbl>
      <w:tblPr>
        <w:tblW w:w="10500" w:type="dxa"/>
        <w:jc w:val="left"/>
        <w:tblInd w:w="0" w:type="dxa"/>
        <w:tblLayout w:type="fixed"/>
        <w:tblCellMar>
          <w:top w:w="0" w:type="dxa"/>
          <w:left w:w="0" w:type="dxa"/>
          <w:bottom w:w="0" w:type="dxa"/>
          <w:right w:w="0" w:type="dxa"/>
        </w:tblCellMar>
      </w:tblPr>
      <w:tblGrid>
        <w:gridCol w:w="1081"/>
        <w:gridCol w:w="326"/>
        <w:gridCol w:w="326"/>
        <w:gridCol w:w="826"/>
        <w:gridCol w:w="326"/>
        <w:gridCol w:w="206"/>
        <w:gridCol w:w="365"/>
        <w:gridCol w:w="326"/>
        <w:gridCol w:w="196"/>
        <w:gridCol w:w="691"/>
        <w:gridCol w:w="326"/>
        <w:gridCol w:w="196"/>
        <w:gridCol w:w="751"/>
        <w:gridCol w:w="109"/>
        <w:gridCol w:w="252"/>
        <w:gridCol w:w="739"/>
        <w:gridCol w:w="326"/>
        <w:gridCol w:w="196"/>
        <w:gridCol w:w="601"/>
        <w:gridCol w:w="326"/>
        <w:gridCol w:w="216"/>
        <w:gridCol w:w="565"/>
        <w:gridCol w:w="326"/>
        <w:gridCol w:w="196"/>
        <w:gridCol w:w="70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86435" cy="175260"/>
                      <wp:effectExtent l="0" t="0" r="0" b="0"/>
                      <wp:wrapNone/>
                      <wp:docPr id="53" name="Frame5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24510" cy="175260"/>
                      <wp:effectExtent l="0" t="0" r="0" b="0"/>
                      <wp:wrapNone/>
                      <wp:docPr id="56" name="Frame5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0810" cy="175260"/>
                      <wp:effectExtent l="0" t="0" r="0" b="0"/>
                      <wp:wrapNone/>
                      <wp:docPr id="58" name="Frame5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31775" cy="175260"/>
                      <wp:effectExtent l="0" t="0" r="0" b="0"/>
                      <wp:wrapNone/>
                      <wp:docPr id="59" name="Frame59"/>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38785" cy="175260"/>
                      <wp:effectExtent l="0" t="0" r="0" b="0"/>
                      <wp:wrapNone/>
                      <wp:docPr id="62" name="Frame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4460" cy="175260"/>
                      <wp:effectExtent l="0" t="0" r="0" b="0"/>
                      <wp:wrapNone/>
                      <wp:docPr id="64" name="Frame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76885" cy="175260"/>
                      <wp:effectExtent l="0" t="0" r="0" b="0"/>
                      <wp:wrapNone/>
                      <wp:docPr id="65" name="Frame6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0020" cy="175260"/>
                      <wp:effectExtent l="0" t="0" r="0" b="0"/>
                      <wp:wrapNone/>
                      <wp:docPr id="67" name="Frame6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69265" cy="175260"/>
                      <wp:effectExtent l="0" t="0" r="0" b="0"/>
                      <wp:wrapNone/>
                      <wp:docPr id="68" name="Frame68"/>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70" name="Frame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81635" cy="175260"/>
                      <wp:effectExtent l="0" t="0" r="0" b="0"/>
                      <wp:wrapNone/>
                      <wp:docPr id="71" name="Frame7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7160" cy="175260"/>
                      <wp:effectExtent l="0" t="0" r="0" b="0"/>
                      <wp:wrapNone/>
                      <wp:docPr id="73" name="Frame7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58775" cy="175260"/>
                      <wp:effectExtent l="0" t="0" r="0" b="0"/>
                      <wp:wrapNone/>
                      <wp:docPr id="74" name="Frame74"/>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4460" cy="175260"/>
                      <wp:effectExtent l="0" t="0" r="0" b="0"/>
                      <wp:wrapNone/>
                      <wp:docPr id="76" name="Frame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48310" cy="175260"/>
                      <wp:effectExtent l="0" t="0" r="0" b="0"/>
                      <wp:wrapNone/>
                      <wp:docPr id="77" name="Frame7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center"/>
              <w:rPr/>
            </w:pPr>
            <w:r>
              <w:rPr/>
              <w:t>​</w:t>
            </w:r>
          </w:p>
        </w:tc>
        <w:tc>
          <w:tcPr>
            <w:tcW w:w="5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3"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color w:val="FF0000"/>
              </w:rPr>
            </w:pPr>
            <w:r>
              <w:rPr>
                <w:color w:val="FF0000"/>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paid- </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 capital</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loss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January 1, 2024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4,179,631</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470,737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(455,853)</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13,002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20,971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Issuance of restricted stock units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2,986</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(2,512)</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4,182,617</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470,996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(458,365)</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10,574</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8,191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18,765</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Issuance of restricted stock units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4,186,435</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471,281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(460,361)</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8,798</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17,228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42" w:name="_b9984941_69a9_471c_883d_00b222d75bdc"/>
      <w:bookmarkEnd w:id="842"/>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843" w:name="Tc_3-7JXUyDdUy6m6Mtqi_THw_52_6"/>
      <w:bookmarkStart w:id="844" w:name="Tc_iaDncBRCmk2wC_M1Sq21oA_52_0"/>
      <w:bookmarkStart w:id="845" w:name="Tc_ePc9yF9RvU6WIHqA3jyBZw_51_6"/>
      <w:bookmarkStart w:id="846" w:name="Tc_MjGqNFEaq0KZNh15e5OSmw_51_0"/>
      <w:bookmarkStart w:id="847" w:name="Tc_WKjk5cQ3tECfwLusCPrqjw_50_6"/>
      <w:bookmarkStart w:id="848" w:name="Tc_5M4d_bxOCE-eYDp9NW-gcA_50_0"/>
      <w:bookmarkStart w:id="849" w:name="Tc_g0m1CjPESU2-4hwDRWz2SA_49_6"/>
      <w:bookmarkStart w:id="850" w:name="Tc_6425XhF1CEOnahrhU8sD6g_49_0"/>
      <w:bookmarkStart w:id="851" w:name="Tc_Zjv85ViHq0CHKgISrLxeMQ_48_6"/>
      <w:bookmarkStart w:id="852" w:name="Tc_q8uWoSsuPkKiPdM7X5RhUA_48_0"/>
      <w:bookmarkStart w:id="853" w:name="Tc_5TyJpvAep0CJqPSxr2LMYA_47_6"/>
      <w:bookmarkStart w:id="854" w:name="Tc_9qBV2ms6FUaIwsDISSe9kg_47_0"/>
      <w:bookmarkStart w:id="855" w:name="Tc_mNEBoYb4vEuP7_XCXCGAkg_46_6"/>
      <w:bookmarkStart w:id="856" w:name="Tc_cvYyhrZYckuX3eBZDGum5A_46_0"/>
      <w:bookmarkStart w:id="857" w:name="Tc_W-6vq7603ECnryZywUZwBg_45_5"/>
      <w:bookmarkStart w:id="858" w:name="Tc_ws7KPOaB50GfSQDDSt_gOg_45_2"/>
      <w:bookmarkStart w:id="859" w:name="Tc_wuEbxvOjdkehxc32wX90Xg_45_0"/>
      <w:bookmarkStart w:id="860" w:name="Tc_ZY5tXW9uL0enSjlOxZd9iA_44_0"/>
      <w:bookmarkStart w:id="861" w:name="Tc_aiJgZg93sE-y6zdrkbsc8Q_43_5"/>
      <w:bookmarkStart w:id="862" w:name="Tc_kp5WztJoAU2yvWwTndzbsw_43_2"/>
      <w:bookmarkStart w:id="863" w:name="Tc_oxu995TyWk6OZxR-SuSPJQ_43_0"/>
      <w:bookmarkStart w:id="864" w:name="Tc_eR4s3Dv-nEO0It0O1GczbQ_42_0"/>
      <w:bookmarkStart w:id="865" w:name="Tc_otC2qa_9hkKOM7yfby52Fw_41_5"/>
      <w:bookmarkStart w:id="866" w:name="Tc_ZezvRelfd0WPCu_s1KjjSg_41_2"/>
      <w:bookmarkStart w:id="867" w:name="Tc_dLY_WqySHE67pYoF5X-9nA_41_0"/>
      <w:bookmarkStart w:id="868" w:name="Tc_1PuXdc7w4EmUVNBi7Mo_MA_40_0"/>
      <w:bookmarkStart w:id="869" w:name="Tc_SkXQFTD21EyFHwDWWRiJUA_39_0"/>
      <w:bookmarkStart w:id="870" w:name="Tc_x_YLQbRuMEmLNmxtF-OLfQ_38_0"/>
      <w:bookmarkStart w:id="871" w:name="Tc_aO-rnk_bDU6F2wm9a-Fu3w_37_0"/>
      <w:bookmarkStart w:id="872" w:name="Tc_blgxIxYPdkS9Za5F-KwHQA_36_6"/>
      <w:bookmarkStart w:id="873" w:name="Tc_uSmi0WRyrEuFiibC91Q6fQ_36_0"/>
      <w:bookmarkStart w:id="874" w:name="Tc_WSCcNbfgbkultfIxmUSXCA_35_6"/>
      <w:bookmarkStart w:id="875" w:name="Tc_inigDIFgqUi0w2lbdtjwtA_35_0"/>
      <w:bookmarkStart w:id="876" w:name="Tc_kIYZRsiY70i2vwqV9wN3lw_34_3"/>
      <w:bookmarkStart w:id="877" w:name="Tc_BqYdEO_0nkGSA01-1p5gQQ_34_0"/>
      <w:bookmarkStart w:id="878" w:name="Tc_WWH0L82k-0eO5zUQi_vrOA_33_0"/>
      <w:bookmarkStart w:id="879" w:name="Tc_jnbrLqS_f0WKCJShuiI9CQ_32_0"/>
      <w:bookmarkStart w:id="880" w:name="Tc_3FO1ePmItk2mmwAfakbMBA_31_3"/>
      <w:bookmarkStart w:id="881" w:name="Tc_nihXt-N0Z0qSg56nH3OTUg_31_0"/>
      <w:bookmarkStart w:id="882" w:name="Tc_RxnMfoDi90W3iGU-k5lP7A_30_0"/>
      <w:bookmarkStart w:id="883" w:name="Tc_g8UKw_Da8kGqC3TIO5q_cQ_29_0"/>
      <w:bookmarkStart w:id="884" w:name="Tc_mciA28mub0ijWEQL8sbxcw_28_0"/>
      <w:bookmarkStart w:id="885" w:name="Tc_vlEizvY09kiS8_yT3ltrhQ_27_0"/>
      <w:bookmarkStart w:id="886" w:name="Tc_XIJi_tMdZU6YYLFkEmrTyA_26_0"/>
      <w:bookmarkStart w:id="887" w:name="Tc_D_Cw7vFXskuc7iLYG5afNw_25_0"/>
      <w:bookmarkStart w:id="888" w:name="Tc_4LkR7djkp02MSLkMn3If1Q_24_0"/>
      <w:bookmarkStart w:id="889" w:name="Tc_tXbATLwxJUi-eaNnpSwQTw_23_0"/>
      <w:bookmarkStart w:id="890" w:name="Tc_5skoUGqEp0mj0GtV-ON8Xg_22_0"/>
      <w:bookmarkStart w:id="891" w:name="Tc_hKxUXMU7j0-uqWboiFwekQ_21_0"/>
      <w:bookmarkStart w:id="892" w:name="Tc_AdmwRxbZsECbxyHuwO58JA_20_0"/>
      <w:bookmarkStart w:id="893" w:name="Tc_Y-LPoOVv0ESnyRXX6iL_lA_19_0"/>
      <w:bookmarkStart w:id="894" w:name="Tc_rKiwrnFvfEm3NAwVZAL68g_18_6"/>
      <w:bookmarkStart w:id="895" w:name="Tc_sapSe_PTDk-x13uvUI0GYA_18_0"/>
      <w:bookmarkStart w:id="896" w:name="Tc_W-8BsNr1cEGEZtctdwscXA_17_6"/>
      <w:bookmarkStart w:id="897" w:name="Tc_S4OaA8iun0yKhXvzI7hj5Q_17_0"/>
      <w:bookmarkStart w:id="898" w:name="Tc_wMqLWr86akqN7sOPKzw93Q_16_6"/>
      <w:bookmarkStart w:id="899" w:name="Tc_B_tWe9dzGUqTTcGKzTcDSg_16_0"/>
      <w:bookmarkStart w:id="900" w:name="Tc_KPDXi0I9WUWZI19GaW54YA_15_0"/>
      <w:bookmarkStart w:id="901" w:name="Tc_ZakgU2wOek6TpG3M1nPRcA_14_0"/>
      <w:bookmarkStart w:id="902" w:name="Tc_WNNp01AE6Eq11db1jRjDBg_13_6"/>
      <w:bookmarkStart w:id="903" w:name="Tc_IHRo0EpG90uJl8IYR-zdvw_13_0"/>
      <w:bookmarkStart w:id="904" w:name="Tc_tHMpSMplGkG1AXV1cO92Ug_12_0"/>
      <w:bookmarkStart w:id="905" w:name="Tc_YoVwG5Lwek6xN6oJT8VdRA_11_0"/>
      <w:bookmarkStart w:id="906" w:name="Tc_0Wi59LmYJEiTsF2vSEElzw_10_0"/>
      <w:bookmarkStart w:id="907" w:name="Tc_pnQ0JRZQcE6fupb3U_DyZg_9_0"/>
      <w:bookmarkStart w:id="908" w:name="Tc_O-q6MAkES0KEXg5L1bpmOQ_8_3"/>
      <w:bookmarkStart w:id="909" w:name="Tc_9YdMRfOiZ0uoyPff1kQsiw_8_0"/>
      <w:bookmarkStart w:id="910" w:name="Tc_DVOC1gzaOUCAt4cM1UGe-w_7_3"/>
      <w:bookmarkStart w:id="911" w:name="Tc_iqbA3gCOgEqvXDwxLj4xIA_7_0"/>
      <w:bookmarkStart w:id="912" w:name="Tc_S3H97u-f2kqioT9xWvWkjA_6_0"/>
      <w:bookmarkStart w:id="913" w:name="Tc_wfZbR9dNWUiPiYeDshse6Q_5_0"/>
      <w:bookmarkStart w:id="914" w:name="Tc_qKQsp5V1Z06G_NedDbuLPg_4_5"/>
      <w:bookmarkStart w:id="915" w:name="Tc_Q5fC5rDO2UKF4OZ0uQhHAA_4_2"/>
      <w:bookmarkStart w:id="916" w:name="Tc_-jHnNXufNkGyJbxs6WDPMQ_4_0"/>
      <w:bookmarkStart w:id="917" w:name="Tc_UaKeyqFXQEmjKZM4FA2Bhw_3_0"/>
      <w:bookmarkStart w:id="918" w:name="Tc_zxuQ_Kov7kOQwt9iIeaANw_2_5"/>
      <w:bookmarkStart w:id="919" w:name="Tc_r2PEkJmRe0erfHuBrB_HUg_2_2"/>
      <w:bookmarkStart w:id="920" w:name="Tc__61URDjz9UewVwkRZEz-lA_1_2"/>
      <w:bookmarkStart w:id="921" w:name="_6ec89fd5_220b_46f1_bbb5_940bcca20957"/>
      <w:bookmarkStart w:id="922" w:name="Tc_3-7JXUyDdUy6m6Mtqi_THw_52_6"/>
      <w:bookmarkStart w:id="923" w:name="Tc_iaDncBRCmk2wC_M1Sq21oA_52_0"/>
      <w:bookmarkStart w:id="924" w:name="Tc_ePc9yF9RvU6WIHqA3jyBZw_51_6"/>
      <w:bookmarkStart w:id="925" w:name="Tc_MjGqNFEaq0KZNh15e5OSmw_51_0"/>
      <w:bookmarkStart w:id="926" w:name="Tc_WKjk5cQ3tECfwLusCPrqjw_50_6"/>
      <w:bookmarkStart w:id="927" w:name="Tc_5M4d_bxOCE-eYDp9NW-gcA_50_0"/>
      <w:bookmarkStart w:id="928" w:name="Tc_g0m1CjPESU2-4hwDRWz2SA_49_6"/>
      <w:bookmarkStart w:id="929" w:name="Tc_6425XhF1CEOnahrhU8sD6g_49_0"/>
      <w:bookmarkStart w:id="930" w:name="Tc_Zjv85ViHq0CHKgISrLxeMQ_48_6"/>
      <w:bookmarkStart w:id="931" w:name="Tc_q8uWoSsuPkKiPdM7X5RhUA_48_0"/>
      <w:bookmarkStart w:id="932" w:name="Tc_5TyJpvAep0CJqPSxr2LMYA_47_6"/>
      <w:bookmarkStart w:id="933" w:name="Tc_9qBV2ms6FUaIwsDISSe9kg_47_0"/>
      <w:bookmarkStart w:id="934" w:name="Tc_mNEBoYb4vEuP7_XCXCGAkg_46_6"/>
      <w:bookmarkStart w:id="935" w:name="Tc_cvYyhrZYckuX3eBZDGum5A_46_0"/>
      <w:bookmarkStart w:id="936" w:name="Tc_W-6vq7603ECnryZywUZwBg_45_5"/>
      <w:bookmarkStart w:id="937" w:name="Tc_ws7KPOaB50GfSQDDSt_gOg_45_2"/>
      <w:bookmarkStart w:id="938" w:name="Tc_wuEbxvOjdkehxc32wX90Xg_45_0"/>
      <w:bookmarkStart w:id="939" w:name="Tc_ZY5tXW9uL0enSjlOxZd9iA_44_0"/>
      <w:bookmarkStart w:id="940" w:name="Tc_aiJgZg93sE-y6zdrkbsc8Q_43_5"/>
      <w:bookmarkStart w:id="941" w:name="Tc_kp5WztJoAU2yvWwTndzbsw_43_2"/>
      <w:bookmarkStart w:id="942" w:name="Tc_oxu995TyWk6OZxR-SuSPJQ_43_0"/>
      <w:bookmarkStart w:id="943" w:name="Tc_eR4s3Dv-nEO0It0O1GczbQ_42_0"/>
      <w:bookmarkStart w:id="944" w:name="Tc_otC2qa_9hkKOM7yfby52Fw_41_5"/>
      <w:bookmarkStart w:id="945" w:name="Tc_ZezvRelfd0WPCu_s1KjjSg_41_2"/>
      <w:bookmarkStart w:id="946" w:name="Tc_dLY_WqySHE67pYoF5X-9nA_41_0"/>
      <w:bookmarkStart w:id="947" w:name="Tc_1PuXdc7w4EmUVNBi7Mo_MA_40_0"/>
      <w:bookmarkStart w:id="948" w:name="Tc_SkXQFTD21EyFHwDWWRiJUA_39_0"/>
      <w:bookmarkStart w:id="949" w:name="Tc_x_YLQbRuMEmLNmxtF-OLfQ_38_0"/>
      <w:bookmarkStart w:id="950" w:name="Tc_aO-rnk_bDU6F2wm9a-Fu3w_37_0"/>
      <w:bookmarkStart w:id="951" w:name="Tc_blgxIxYPdkS9Za5F-KwHQA_36_6"/>
      <w:bookmarkStart w:id="952" w:name="Tc_uSmi0WRyrEuFiibC91Q6fQ_36_0"/>
      <w:bookmarkStart w:id="953" w:name="Tc_WSCcNbfgbkultfIxmUSXCA_35_6"/>
      <w:bookmarkStart w:id="954" w:name="Tc_inigDIFgqUi0w2lbdtjwtA_35_0"/>
      <w:bookmarkStart w:id="955" w:name="Tc_kIYZRsiY70i2vwqV9wN3lw_34_3"/>
      <w:bookmarkStart w:id="956" w:name="Tc_BqYdEO_0nkGSA01-1p5gQQ_34_0"/>
      <w:bookmarkStart w:id="957" w:name="Tc_WWH0L82k-0eO5zUQi_vrOA_33_0"/>
      <w:bookmarkStart w:id="958" w:name="Tc_jnbrLqS_f0WKCJShuiI9CQ_32_0"/>
      <w:bookmarkStart w:id="959" w:name="Tc_3FO1ePmItk2mmwAfakbMBA_31_3"/>
      <w:bookmarkStart w:id="960" w:name="Tc_nihXt-N0Z0qSg56nH3OTUg_31_0"/>
      <w:bookmarkStart w:id="961" w:name="Tc_RxnMfoDi90W3iGU-k5lP7A_30_0"/>
      <w:bookmarkStart w:id="962" w:name="Tc_g8UKw_Da8kGqC3TIO5q_cQ_29_0"/>
      <w:bookmarkStart w:id="963" w:name="Tc_mciA28mub0ijWEQL8sbxcw_28_0"/>
      <w:bookmarkStart w:id="964" w:name="Tc_vlEizvY09kiS8_yT3ltrhQ_27_0"/>
      <w:bookmarkStart w:id="965" w:name="Tc_XIJi_tMdZU6YYLFkEmrTyA_26_0"/>
      <w:bookmarkStart w:id="966" w:name="Tc_D_Cw7vFXskuc7iLYG5afNw_25_0"/>
      <w:bookmarkStart w:id="967" w:name="Tc_4LkR7djkp02MSLkMn3If1Q_24_0"/>
      <w:bookmarkStart w:id="968" w:name="Tc_tXbATLwxJUi-eaNnpSwQTw_23_0"/>
      <w:bookmarkStart w:id="969" w:name="Tc_5skoUGqEp0mj0GtV-ON8Xg_22_0"/>
      <w:bookmarkStart w:id="970" w:name="Tc_hKxUXMU7j0-uqWboiFwekQ_21_0"/>
      <w:bookmarkStart w:id="971" w:name="Tc_AdmwRxbZsECbxyHuwO58JA_20_0"/>
      <w:bookmarkStart w:id="972" w:name="Tc_Y-LPoOVv0ESnyRXX6iL_lA_19_0"/>
      <w:bookmarkStart w:id="973" w:name="Tc_rKiwrnFvfEm3NAwVZAL68g_18_6"/>
      <w:bookmarkStart w:id="974" w:name="Tc_sapSe_PTDk-x13uvUI0GYA_18_0"/>
      <w:bookmarkStart w:id="975" w:name="Tc_W-8BsNr1cEGEZtctdwscXA_17_6"/>
      <w:bookmarkStart w:id="976" w:name="Tc_S4OaA8iun0yKhXvzI7hj5Q_17_0"/>
      <w:bookmarkStart w:id="977" w:name="Tc_wMqLWr86akqN7sOPKzw93Q_16_6"/>
      <w:bookmarkStart w:id="978" w:name="Tc_B_tWe9dzGUqTTcGKzTcDSg_16_0"/>
      <w:bookmarkStart w:id="979" w:name="Tc_KPDXi0I9WUWZI19GaW54YA_15_0"/>
      <w:bookmarkStart w:id="980" w:name="Tc_ZakgU2wOek6TpG3M1nPRcA_14_0"/>
      <w:bookmarkStart w:id="981" w:name="Tc_WNNp01AE6Eq11db1jRjDBg_13_6"/>
      <w:bookmarkStart w:id="982" w:name="Tc_IHRo0EpG90uJl8IYR-zdvw_13_0"/>
      <w:bookmarkStart w:id="983" w:name="Tc_tHMpSMplGkG1AXV1cO92Ug_12_0"/>
      <w:bookmarkStart w:id="984" w:name="Tc_YoVwG5Lwek6xN6oJT8VdRA_11_0"/>
      <w:bookmarkStart w:id="985" w:name="Tc_0Wi59LmYJEiTsF2vSEElzw_10_0"/>
      <w:bookmarkStart w:id="986" w:name="Tc_pnQ0JRZQcE6fupb3U_DyZg_9_0"/>
      <w:bookmarkStart w:id="987" w:name="Tc_O-q6MAkES0KEXg5L1bpmOQ_8_3"/>
      <w:bookmarkStart w:id="988" w:name="Tc_9YdMRfOiZ0uoyPff1kQsiw_8_0"/>
      <w:bookmarkStart w:id="989" w:name="Tc_DVOC1gzaOUCAt4cM1UGe-w_7_3"/>
      <w:bookmarkStart w:id="990" w:name="Tc_iqbA3gCOgEqvXDwxLj4xIA_7_0"/>
      <w:bookmarkStart w:id="991" w:name="Tc_S3H97u-f2kqioT9xWvWkjA_6_0"/>
      <w:bookmarkStart w:id="992" w:name="Tc_wfZbR9dNWUiPiYeDshse6Q_5_0"/>
      <w:bookmarkStart w:id="993" w:name="Tc_qKQsp5V1Z06G_NedDbuLPg_4_5"/>
      <w:bookmarkStart w:id="994" w:name="Tc_Q5fC5rDO2UKF4OZ0uQhHAA_4_2"/>
      <w:bookmarkStart w:id="995" w:name="Tc_-jHnNXufNkGyJbxs6WDPMQ_4_0"/>
      <w:bookmarkStart w:id="996" w:name="Tc_UaKeyqFXQEmjKZM4FA2Bhw_3_0"/>
      <w:bookmarkStart w:id="997" w:name="Tc_zxuQ_Kov7kOQwt9iIeaANw_2_5"/>
      <w:bookmarkStart w:id="998" w:name="Tc_r2PEkJmRe0erfHuBrB_HUg_2_2"/>
      <w:bookmarkStart w:id="999" w:name="Tc__61URDjz9UewVwkRZEz-lA_1_2"/>
      <w:bookmarkStart w:id="1000" w:name="_6ec89fd5_220b_46f1_bbb5_940bcca20957"/>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p>
    <w:tbl>
      <w:tblPr>
        <w:tblW w:w="9266" w:type="dxa"/>
        <w:jc w:val="left"/>
        <w:tblInd w:w="0" w:type="dxa"/>
        <w:tblLayout w:type="fixed"/>
        <w:tblCellMar>
          <w:top w:w="0" w:type="dxa"/>
          <w:left w:w="0" w:type="dxa"/>
          <w:bottom w:w="0" w:type="dxa"/>
          <w:right w:w="0" w:type="dxa"/>
        </w:tblCellMar>
      </w:tblPr>
      <w:tblGrid>
        <w:gridCol w:w="6826"/>
        <w:gridCol w:w="326"/>
        <w:gridCol w:w="229"/>
        <w:gridCol w:w="738"/>
        <w:gridCol w:w="127"/>
        <w:gridCol w:w="229"/>
        <w:gridCol w:w="791"/>
      </w:tblGrid>
      <w:tr>
        <w:trPr/>
        <w:tc>
          <w:tcPr>
            <w:tcW w:w="6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334510" cy="175260"/>
                      <wp:effectExtent l="0" t="0" r="0" b="0"/>
                      <wp:wrapNone/>
                      <wp:docPr id="78" name="Frame78"/>
                      <a:graphic xmlns:a="http://schemas.openxmlformats.org/drawingml/2006/main">
                        <a:graphicData uri="http://schemas.microsoft.com/office/word/2010/wordprocessingShape">
                          <wps:wsp>
                            <wps:cNvSpPr txBox="1"/>
                            <wps:spPr>
                              <a:xfrm>
                                <a:off x="0" y="0"/>
                                <a:ext cx="433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45415" cy="175260"/>
                      <wp:effectExtent l="0" t="0" r="0" b="0"/>
                      <wp:wrapNone/>
                      <wp:docPr id="80" name="Frame8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68630" cy="175260"/>
                      <wp:effectExtent l="0" t="0" r="0" b="0"/>
                      <wp:wrapNone/>
                      <wp:docPr id="81" name="Frame81"/>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80645" cy="175260"/>
                      <wp:effectExtent l="0" t="0" r="0" b="0"/>
                      <wp:wrapNone/>
                      <wp:docPr id="82" name="Frame82"/>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5415" cy="175260"/>
                      <wp:effectExtent l="0" t="0" r="0" b="0"/>
                      <wp:wrapNone/>
                      <wp:docPr id="83" name="Frame83"/>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02285" cy="175260"/>
                      <wp:effectExtent l="0" t="0" r="0" b="0"/>
                      <wp:wrapNone/>
                      <wp:docPr id="84" name="Frame84"/>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7" w:type="dxa"/>
            <w:tcBorders/>
            <w:vAlign w:val="center"/>
          </w:tcPr>
          <w:p>
            <w:pPr>
              <w:pStyle w:val="TableContents"/>
              <w:bidi w:val="0"/>
              <w:spacing w:before="0" w:after="1"/>
              <w:ind w:left="0" w:right="0" w:hanging="0"/>
              <w:jc w:val="center"/>
              <w:rPr/>
            </w:pPr>
            <w:r>
              <w:rPr/>
              <w:t>​</w:t>
            </w:r>
          </w:p>
        </w:tc>
        <w:tc>
          <w:tcPr>
            <w:tcW w:w="10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pPr>
            <w:r>
              <w:rPr/>
              <w:t>  </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  </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(6,640)</w:t>
            </w:r>
          </w:p>
        </w:tc>
        <w:tc>
          <w:tcPr>
            <w:tcW w:w="127"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(4,149)</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pPr>
            <w:r>
              <w:rPr/>
              <w:t>​</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353</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453</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Impairment of long-lived assets </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operating lease right-of-use assets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pPr>
            <w:r>
              <w:rPr/>
              <w:t>—</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remeasurement loss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998</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on lease termination</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operating lease right of use asset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490</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604</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682</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586</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on equity investment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derivative liability</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(3,215)</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on issuance of Series G Preferred Stock</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3,443</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Changes in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pPr>
            <w:r>
              <w:rPr/>
              <w:t>​</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decrease in inventory</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(increase) in 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278</w:t>
            </w:r>
          </w:p>
        </w:tc>
        <w:tc>
          <w:tcPr>
            <w:tcW w:w="127"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(696)</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increase in deferred revenue</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w:t>
            </w:r>
          </w:p>
        </w:tc>
        <w:tc>
          <w:tcPr>
            <w:tcW w:w="127"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in other assets, current and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(1,013)</w:t>
            </w:r>
          </w:p>
        </w:tc>
        <w:tc>
          <w:tcPr>
            <w:tcW w:w="127"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(454)</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 other liabilities, current and non-current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(1,287)</w:t>
            </w:r>
          </w:p>
        </w:tc>
        <w:tc>
          <w:tcPr>
            <w:tcW w:w="127"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(2,082)</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in 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1,549</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Net cash used in operating activities </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(6,564)</w:t>
            </w:r>
          </w:p>
        </w:tc>
        <w:tc>
          <w:tcPr>
            <w:tcW w:w="127" w:type="dxa"/>
            <w:tcBorders/>
            <w:vAlign w:val="center"/>
          </w:tcPr>
          <w:p>
            <w:pPr>
              <w:pStyle w:val="TableContents"/>
              <w:bidi w:val="0"/>
              <w:spacing w:before="0" w:after="1"/>
              <w:ind w:left="0" w:right="0" w:hanging="0"/>
              <w:jc w:val="righ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(4,125)</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pPr>
            <w:r>
              <w:rPr/>
              <w:t>  </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  </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property and equipment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(1,313)</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(644)</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 in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Sale of marketable securities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4,488</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1,988</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intangibles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investing activities</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3,091</w:t>
            </w:r>
          </w:p>
        </w:tc>
        <w:tc>
          <w:tcPr>
            <w:tcW w:w="127" w:type="dxa"/>
            <w:tcBorders/>
            <w:vAlign w:val="center"/>
          </w:tcPr>
          <w:p>
            <w:pPr>
              <w:pStyle w:val="TableContents"/>
              <w:bidi w:val="0"/>
              <w:spacing w:before="0" w:after="1"/>
              <w:ind w:left="0" w:right="0" w:hanging="0"/>
              <w:jc w:val="righ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1,181</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pPr>
            <w:r>
              <w:rPr/>
              <w:t>​</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option exercised</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pPr>
            <w:r>
              <w:rPr/>
              <w:t>—</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 of Series G Preferred Stock Dividends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registered offering, net of fees</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3,745</w:t>
            </w:r>
          </w:p>
        </w:tc>
        <w:tc>
          <w:tcPr>
            <w:tcW w:w="127" w:type="dxa"/>
            <w:tcBorders/>
            <w:vAlign w:val="center"/>
          </w:tcPr>
          <w:p>
            <w:pPr>
              <w:pStyle w:val="TableContents"/>
              <w:bidi w:val="0"/>
              <w:spacing w:before="0" w:after="1"/>
              <w:ind w:left="0" w:right="0" w:hanging="0"/>
              <w:jc w:val="righ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3,650</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127" w:type="dxa"/>
            <w:tcBorders/>
            <w:vAlign w:val="center"/>
          </w:tcPr>
          <w:p>
            <w:pPr>
              <w:pStyle w:val="TableContents"/>
              <w:bidi w:val="0"/>
              <w:spacing w:before="0" w:after="1"/>
              <w:ind w:left="0" w:right="0" w:hanging="0"/>
              <w:jc w:val="righ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(decrease) in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(3,018)</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beginning of the period</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5,301</w:t>
            </w:r>
          </w:p>
        </w:tc>
        <w:tc>
          <w:tcPr>
            <w:tcW w:w="127" w:type="dxa"/>
            <w:tcBorders/>
            <w:vAlign w:val="center"/>
          </w:tcPr>
          <w:p>
            <w:pPr>
              <w:pStyle w:val="TableContents"/>
              <w:bidi w:val="0"/>
              <w:spacing w:before="0" w:after="1"/>
              <w:ind w:left="0" w:right="0" w:hanging="0"/>
              <w:jc w:val="righ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9,188</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end of the period</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5,514</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6,170</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paid for</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left"/>
              <w:rPr/>
            </w:pPr>
            <w:r>
              <w:rPr/>
              <w:t>​</w:t>
            </w:r>
          </w:p>
        </w:tc>
        <w:tc>
          <w:tcPr>
            <w:tcW w:w="127"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Non-cash investing and financing transactions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pPr>
            <w:r>
              <w:rPr/>
              <w:t>​</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expenditures included in Accounts payable, 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Accrual of Series convertible preferred stock dividends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Series G convertible preferred stock to redemption value</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1,082</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Initial fair value of warrant liability</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5,873</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Initial fair value of derivative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1,315</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Series G convertible preferred stock redemption payable</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829</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 of warrant liability upon warrant modification</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2,658</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liability remeasurement due to modification</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w:t>
            </w:r>
          </w:p>
        </w:tc>
        <w:tc>
          <w:tcPr>
            <w:tcW w:w="127"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127"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01" w:name="_240f0730_5c64_4797_98d7_ac998155e7f9"/>
      <w:bookmarkEnd w:id="1001"/>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Business Overview and Going Concern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 (“XWELL” or the “Company”) is a global wellness organization dedicated to delivering restorative and health-focused services to travelers through its three reportable operating segments: XpresSpa®, XpresTest®, and Naples Wax Center®. XpresSpa operates spa service locations in major airports, offering massage, skincare, and travel products. XpresTest transitioned from providing COVID-19 testing to supporting public health efforts through bio-surveillance programs at international airports. 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 Naples Wax Center provides upscale hair removal and skincare services through its branded locations.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Substantial Doubt about the Company’s Ability to Continue as a Going Concern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accompanying unaudited condensed consolidated financial statements have been prepared assuming that the Company will continue as a going concern. The Company has suffered recurring losses and negative cash flows from operations and has insufficient liquidity to fund future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management has concluded that substantial doubt exists about the Company’s ability to continue as a going concern for at least one year from the date of issuance of these unaudited condensed consolidated financial statements. The unaudited condensed consolidated financial statements do not include any adjustments that might result from the outcome of this uncertainty.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significantly reduced operating and overhead expenses, while it continues to focus on returning to overall profitability. Management is implementing various strategic initiatives to reduce operating expenses, improve working capital and enhance cash flow. These include cost reduction efforts, capital spending controls, and exploration of additional financing options. The Company has concluded that they do not have sufficient available liquidity to fund its operations for at least one year for the issuance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Accounting and Reporting Policies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unaudited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2024, as amended. The consolidated balance sheet as of December 31, 2024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and six months ended June 30, 2025, are not necessarily indicative of the results that may be expected for the entire fiscal year or for any other interim period. All significant intercompany balances and transactions have been eliminated in consolidation.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Use of estimates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the accompanying unaudited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stock-based compensation, warrant liabilities, derivative liability, deferred tax assets and liabilities, income tax uncertainties, and other contingencies.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Preferred Stock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records shares of convertible preferred stock at their respective fair values on the dates of issuance, net of issuance costs. The Company concluded that the Company’s Series G Convertible Preferred Stock, par value $0.01 per share (“Series G Preferred Stock”), is more akin to a debt-type instrument than an equity-type instrument, therefore certain embedded features were deemed to not be clearly and closely related to the debt host instrument and were bifurcated as a derivative under ASC 815. The Company has applied the guidance in ASC 480-10-S99-3A, SEC Staff Announcement: Classification and Measurement of Redeemable Securities and has therefore classified the Series G convertible preferred stock as mezzanine equity as it redeemable in quarterly installments. The Company adjusts the carrying values of the convertible preferred stock by accreting the discount and accruing dividends to the state the convertible preferred stock at redemption value each reporting period.</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Derivative Financial Instruments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evaluates its financial instruments to determine if such instruments are derivatives or contain features that qualify as embedded derivatives in accordance with ASC 815, Derivatives and Hedging (“ASC 815”). For derivative financial instruments that are accounted for as assets or liabilities, the derivative instrument is initially recorded at its fair value on the grant date and is then re-valued at each reporting date, with changes in the fair value reported in the unaudited condensed consolidated statements of operations. The classification of derivative instruments, including whether such instruments should be recorded as assets, liabilities or as equity, is evaluated at the end of each reporting period. Derivative liabilities are classified in the condensed consolidated balance sheets as current or non-current based on whether or not net-cash settlement or conversion of the instrument could be required within 12 months of the unaudited condensed consolidated balance sheet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Warrants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warrants as either equity-classified or liability-classified instruments based on an assessment of the warrant’s specific terms and applicable authoritative guidance in ASC 480, Distinguishing Liabilities from Equity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unaudited condensed consolidated statements of operations and comprehensive loss (see Note 11).</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Modification of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applies the guidance in ASC 815-40 to account for warrants that are liability classified that are subsequently modified resulting in a reclassification to equity. The warrants are remeasured at fair value on the modification date, the change in fair value is recognized as a non-cash gain or loss on the unaudited condensed consolidated statements of operations, and the warrants are reclassified to additional paid-in capital.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Basic and Diluted Net Loss per Common Share </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computes basic and diluted net loss per share under the two-class method required for participating securities. The two-class method of computing earnings per share is an earnings allocation formula that determines earnings per share for common stock and any participating securities according to dividends declared (whether paid or unpaid) and participation rights in undistributed earnings. Basic and diluted net loss for common stock equivalents is computed by dividing the dividing net loss attributable to common stockholders by the weighted average number of shares of common stock outstanding for the period. Diluted net loss per share includes potentially dilutive securities outstanding for the period. Because the impact of these items is anti-dilutive during periods of net loss, there was no difference between the Company’s basic and diluted net loss per stock of Common Stock for the three and six months ended June 30, 2025 and 2024. See Note 3 Potentially Dilutive Securities.</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Distinguishing Liabilities from Equity</w:t>
      </w:r>
    </w:p>
    <w:p>
      <w:pPr>
        <w:pStyle w:val="TextBody"/>
        <w:shd w:fill="FFFFFF" w:val="clear"/>
        <w:bidi w:val="0"/>
        <w:spacing w:before="0" w:after="0"/>
        <w:ind w:left="0" w:right="0" w:hanging="0"/>
        <w:jc w:val="left"/>
        <w:rPr/>
      </w:pPr>
      <w:r>
        <w:rPr/>
        <w:t>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relies on the guidance provided by FASB ASC Topic 480, Distinguishing Liabilities from Equity (“ASC 480”), to classify certain redeemable and/or convertible instruments. The Company first determines whether a financial instrument should be classified as a liability. The Company will determine the liability classification if the financial instrument is mandatorily redeemable, or if the financial instrument, other than outstanding shares, embodies a conditional obligation that the Company must or may settle by issuing a variable number of its equity shares.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Once the Company determines that a financial instrument should not be classified as a liability, the Company determines whether the financial instrument should be presented between the liability section and the equity section of the consolidated balance sheet. The Company will determine temporary equity classification if the redemption of the financial instrument is outside the control of the Company (i.e. at the option of the holder). Otherwise, the Company accounts for the financial instrument as permanent equity.</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Reclassification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balances in the unaudited condensed consolidated financial statements for the three and six months ended June 30, 2024 have been reclassified to conform to the presentation in the unaudited condensed consolidated financial statements for the three and six months ended June 30, 2025. In the prior year, the Company separately disclosed salaries and benefits and in the current year the Company has reclassified these costs on the unaudited condensed consolidated statement of operations within general and administrative expenses. These reclassifications had no effect on the Company’s previously reported results of operations, changes in temporary and stockholders’ equity, or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02" w:name="Tc_ZmAWa73N9UKUy7zr_hfLvg_18_0"/>
      <w:bookmarkStart w:id="1003" w:name="Tc_9XiSjyw4vkukb6sy_p547Q_17_12"/>
      <w:bookmarkStart w:id="1004" w:name="Tc_UZ48ZwbiJUmn4gPYiWv6NA_17_6"/>
      <w:bookmarkStart w:id="1005" w:name="Tc_2gG5b73F3ki-I1YwpUDQtg_17_0"/>
      <w:bookmarkStart w:id="1006" w:name="Tc_38TLFXmAfkmsnIu8RPKxUg_16_12"/>
      <w:bookmarkStart w:id="1007" w:name="Tc_xVLNx-Gl_EesBLV_eBV7qg_16_6"/>
      <w:bookmarkStart w:id="1008" w:name="Tc_VJG1g1Rq6E2-SMYlA-PRyA_16_0"/>
      <w:bookmarkStart w:id="1009" w:name="Tc_2BJRvQFasEe2SIFqY69UgQ_15_0"/>
      <w:bookmarkStart w:id="1010" w:name="Tc_QV5WmF8Ih02CLeLB89npmQ_14_0"/>
      <w:bookmarkStart w:id="1011" w:name="Tc_-L8Flsu__0iypqKZSTwMgQ_13_0"/>
      <w:bookmarkStart w:id="1012" w:name="Tc_fxlzPHXRv0aZy7SpNg3Spw_11_11"/>
      <w:bookmarkStart w:id="1013" w:name="Tc_AFvqxyO6aEW3NCE8ig8iqQ_11_8"/>
      <w:bookmarkStart w:id="1014" w:name="Tc_71F0HxgeZUGo4lkC9cuJtg_11_5"/>
      <w:bookmarkStart w:id="1015" w:name="Tc_estqnLclN0Gr6KJJll8Htg_11_2"/>
      <w:bookmarkStart w:id="1016" w:name="Tc_zYAjUVQ9OUKN8tVItwC9Tw_11_0"/>
      <w:bookmarkStart w:id="1017" w:name="Tc_vHc3nqZ6hk-1Zp8c5IWWgw_10_0"/>
      <w:bookmarkStart w:id="1018" w:name="Tc_oAqie24Qik6uW6oGY1b78Q_9_0"/>
      <w:bookmarkStart w:id="1019" w:name="Tc_t3mWNuRxGUqzGHfy0X2jlw_8_11"/>
      <w:bookmarkStart w:id="1020" w:name="Tc_jZodX88moUaVl3_Yb1KMhQ_8_8"/>
      <w:bookmarkStart w:id="1021" w:name="Tc_gMsg2roPBkOCxO_BMyRtiA_8_5"/>
      <w:bookmarkStart w:id="1022" w:name="Tc_fC59QxVUiUuD14nG421AlA_8_2"/>
      <w:bookmarkStart w:id="1023" w:name="Tc_1brMSSc6RUW3pWlGgr4CeA_8_0"/>
      <w:bookmarkStart w:id="1024" w:name="Tc_OwN4H_YKaEq7lFGvSBqhDA_7_12"/>
      <w:bookmarkStart w:id="1025" w:name="Tc_Yrd9Nevqu0qvO874HQhdaA_7_6"/>
      <w:bookmarkStart w:id="1026" w:name="Tc_USPtQrtdy0avPXoEu0JXIQ_7_0"/>
      <w:bookmarkStart w:id="1027" w:name="Tc_rpjdfRmqC0eLidPVlVDLhg_6_12"/>
      <w:bookmarkStart w:id="1028" w:name="Tc_u31lnWW8tkmiKSSYVGe7ig_6_6"/>
      <w:bookmarkStart w:id="1029" w:name="Tc_szjBdj6qEkKtB6wm5Otzkg_6_0"/>
      <w:bookmarkStart w:id="1030" w:name="Tc_oP1oScXONU63mNHVbmotOg_5_11"/>
      <w:bookmarkStart w:id="1031" w:name="Tc_RVLTQXa4XE-RXdf8ObzrWw_5_8"/>
      <w:bookmarkStart w:id="1032" w:name="Tc_DIuLZgdTOUGjM4MjKfmcZQ_5_5"/>
      <w:bookmarkStart w:id="1033" w:name="Tc_tvLCkD4--0Oh9AenKVvFcA_5_2"/>
      <w:bookmarkStart w:id="1034" w:name="Tc_yigoDmCzC0qjWXsT3ToCLw_5_0"/>
      <w:bookmarkStart w:id="1035" w:name="Tc_qRLGqIYNz0qP7AykJKo8Qg_4_0"/>
      <w:bookmarkStart w:id="1036" w:name="Tc_TahNpJ8Ls0iGOWJrsWoSyQ_3_11"/>
      <w:bookmarkStart w:id="1037" w:name="Tc_SC0ZMAuaw0-ZV13i3Q6F4w_3_8"/>
      <w:bookmarkStart w:id="1038" w:name="Tc_gfc3ThRzM0O9hq0QbHVDcg_3_5"/>
      <w:bookmarkStart w:id="1039" w:name="Tc_E6JnRWcua0O7qc3d6fXDLg_3_2"/>
      <w:bookmarkStart w:id="1040" w:name="Tc_H_XxXoSIfE6UMH09m8UJMw_2_8"/>
      <w:bookmarkStart w:id="1041" w:name="Tc_0qS2p78cekuU95DfdUv38w_2_2"/>
      <w:bookmarkStart w:id="1042" w:name="Tc_UZ6nAIsTcEqPsHP3VVCJ7g_1_8"/>
      <w:bookmarkStart w:id="1043" w:name="Tc_KWSywxwa10GlXV26Fq04Uw_1_2"/>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r>
        <w:rPr>
          <w:rFonts w:ascii="Times New Roman;Times;serif" w:hAnsi="Times New Roman;Times;serif"/>
          <w:b/>
          <w:sz w:val="20"/>
        </w:rPr>
        <w:t>Note 3. Potentially Dilutive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the computation of basic and diluted net loss per share of Common Stock: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88"/>
        <w:gridCol w:w="326"/>
        <w:gridCol w:w="211"/>
        <w:gridCol w:w="931"/>
        <w:gridCol w:w="326"/>
        <w:gridCol w:w="211"/>
        <w:gridCol w:w="931"/>
        <w:gridCol w:w="326"/>
        <w:gridCol w:w="211"/>
        <w:gridCol w:w="931"/>
        <w:gridCol w:w="326"/>
        <w:gridCol w:w="211"/>
        <w:gridCol w:w="976"/>
      </w:tblGrid>
      <w:tr>
        <w:trPr/>
        <w:tc>
          <w:tcPr>
            <w:tcW w:w="4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722880" cy="175260"/>
                      <wp:effectExtent l="0" t="0" r="0" b="0"/>
                      <wp:wrapNone/>
                      <wp:docPr id="85" name="Frame85"/>
                      <a:graphic xmlns:a="http://schemas.openxmlformats.org/drawingml/2006/main">
                        <a:graphicData uri="http://schemas.microsoft.com/office/word/2010/wordprocessingShape">
                          <wps:wsp>
                            <wps:cNvSpPr txBox="1"/>
                            <wps:spPr>
                              <a:xfrm>
                                <a:off x="0" y="0"/>
                                <a:ext cx="272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91185" cy="175260"/>
                      <wp:effectExtent l="0" t="0" r="0" b="0"/>
                      <wp:wrapNone/>
                      <wp:docPr id="88" name="Frame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91185" cy="175260"/>
                      <wp:effectExtent l="0" t="0" r="0" b="0"/>
                      <wp:wrapNone/>
                      <wp:docPr id="91" name="Frame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91185" cy="175260"/>
                      <wp:effectExtent l="0" t="0" r="0" b="0"/>
                      <wp:wrapNone/>
                      <wp:docPr id="94" name="Frame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19760" cy="175260"/>
                      <wp:effectExtent l="0" t="0" r="0" b="0"/>
                      <wp:wrapNone/>
                      <wp:docPr id="97" name="Frame9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1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65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2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26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2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numerator:</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  </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XWELL, Inc.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(4,508)</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preferred stock dividends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preferred stock accretion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common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(4,508)</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denominator: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5,417,271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4,182,617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5,340,442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4,182,959</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loss per share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428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per share data presented above excludes from the calculation of diluted net loss, the following potentially dilutive securities, having an anti-dilutive impact, in case of 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  </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Both vested and unvested options to purchase an equal number of shares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944,554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415,388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944,554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415,388</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 to issue an equal number of shares of 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5,208</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and Series B warrants to purchase shares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5,347,594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5,347,594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G Convertible Preferred Stock on an as converted basis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2,406,417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2,406,417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number of potentially dilutive securities excluded from the calculation of loss per share attributable to common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8,728,565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420,596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8,728,565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420,596</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ASC 260, 495,679 RSUs that were fully vested on June 30, 2025 were included in basic and dilutive earnings per share as there were no remaining contingencies for these shares to be issued as of June 30, 2025.</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1044" w:name="Tc_C-86NuC80023ephmyvtVng_6_5"/>
      <w:bookmarkStart w:id="1045" w:name="Tc_ta51r9EEmEaiq30sDyRIhQ_6_2"/>
      <w:bookmarkStart w:id="1046" w:name="Tc_Qra5I_nppUm6G1h3Md6RTA_6_0"/>
      <w:bookmarkStart w:id="1047" w:name="Tc_x3Dme1gSjEOSQyQfQ-3BHA_5_0"/>
      <w:bookmarkStart w:id="1048" w:name="Tc_bHH1aaSQYkivT3qWFc6kJA_4_0"/>
      <w:bookmarkStart w:id="1049" w:name="Tc_ZUyXcFvJwUeWW4RPIxoyFQ_3_0"/>
      <w:bookmarkStart w:id="1050" w:name="Tc_z48cgYIxMUSmdgGAY71eJg_2_5"/>
      <w:bookmarkStart w:id="1051" w:name="Tc_pbF9an6PMkKpY7SqRLaATQ_2_2"/>
      <w:bookmarkStart w:id="1052" w:name="Tc_hSRq8aIUgU6KoUPxuw61MQ_2_0"/>
      <w:bookmarkStart w:id="1053" w:name="Tc_Jdp0SzbJz0yVnvMmJs_nEQ_1_5"/>
      <w:bookmarkStart w:id="1054" w:name="Tc_io6bDxNl10ynNPEwCPS1RA_1_2"/>
      <w:bookmarkEnd w:id="1044"/>
      <w:bookmarkEnd w:id="1045"/>
      <w:bookmarkEnd w:id="1046"/>
      <w:bookmarkEnd w:id="1047"/>
      <w:bookmarkEnd w:id="1048"/>
      <w:bookmarkEnd w:id="1049"/>
      <w:bookmarkEnd w:id="1050"/>
      <w:bookmarkEnd w:id="1051"/>
      <w:bookmarkEnd w:id="1052"/>
      <w:bookmarkEnd w:id="1053"/>
      <w:bookmarkEnd w:id="1054"/>
      <w:r>
        <w:rPr>
          <w:rFonts w:ascii="Times New Roman;Times;serif" w:hAnsi="Times New Roman;Times;serif"/>
          <w:b/>
          <w:sz w:val="20"/>
        </w:rPr>
        <w:t xml:space="preserve">Note 4. Cash, Cash Equivalents, and Restricted Cash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reconciliation of the Company’s cash and cash equivalents in the Unaudited Condensed Consolidated Balance Sheets to cash, cash equivalents and restricted cash in the Unaudited Condensed Consolidated Statements of Cash Flows as of June 30, 2025, and December 31, 2024 is as follows:</w:t>
      </w:r>
    </w:p>
    <w:p>
      <w:pPr>
        <w:pStyle w:val="TextBody"/>
        <w:bidi w:val="0"/>
        <w:spacing w:before="0" w:after="0"/>
        <w:ind w:left="0" w:right="0" w:hanging="0"/>
        <w:jc w:val="left"/>
        <w:rPr/>
      </w:pPr>
      <w:r>
        <w:rPr/>
        <w:t>​</w:t>
      </w:r>
    </w:p>
    <w:tbl>
      <w:tblPr>
        <w:tblW w:w="8890" w:type="dxa"/>
        <w:jc w:val="left"/>
        <w:tblInd w:w="0" w:type="dxa"/>
        <w:tblLayout w:type="fixed"/>
        <w:tblCellMar>
          <w:top w:w="0" w:type="dxa"/>
          <w:left w:w="0" w:type="dxa"/>
          <w:bottom w:w="0" w:type="dxa"/>
          <w:right w:w="0" w:type="dxa"/>
        </w:tblCellMar>
      </w:tblPr>
      <w:tblGrid>
        <w:gridCol w:w="5191"/>
        <w:gridCol w:w="326"/>
        <w:gridCol w:w="344"/>
        <w:gridCol w:w="932"/>
        <w:gridCol w:w="326"/>
        <w:gridCol w:w="421"/>
        <w:gridCol w:w="1350"/>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296285" cy="175260"/>
                      <wp:effectExtent l="0" t="0" r="0" b="0"/>
                      <wp:wrapNone/>
                      <wp:docPr id="98" name="Frame98"/>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8440" cy="175260"/>
                      <wp:effectExtent l="0" t="0" r="0" b="0"/>
                      <wp:wrapNone/>
                      <wp:docPr id="100" name="Frame100"/>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91820" cy="175260"/>
                      <wp:effectExtent l="0" t="0" r="0" b="0"/>
                      <wp:wrapNone/>
                      <wp:docPr id="101" name="Frame101"/>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67335" cy="175260"/>
                      <wp:effectExtent l="0" t="0" r="0" b="0"/>
                      <wp:wrapNone/>
                      <wp:docPr id="103" name="Frame10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57250" cy="175260"/>
                      <wp:effectExtent l="0" t="0" r="0" b="0"/>
                      <wp:wrapNone/>
                      <wp:docPr id="104" name="Frame104"/>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1"/>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denominated in United States dollars</w:t>
            </w:r>
          </w:p>
        </w:tc>
        <w:tc>
          <w:tcPr>
            <w:tcW w:w="32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2,741</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2,145</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denominated in currency other than United States dollars</w:t>
            </w:r>
          </w:p>
        </w:tc>
        <w:tc>
          <w:tcPr>
            <w:tcW w:w="32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2,186</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 </w:t>
            </w:r>
          </w:p>
        </w:tc>
        <w:tc>
          <w:tcPr>
            <w:tcW w:w="13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2,160</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and debit card receivables</w:t>
            </w:r>
          </w:p>
        </w:tc>
        <w:tc>
          <w:tcPr>
            <w:tcW w:w="326" w:type="dxa"/>
            <w:tcBorders/>
            <w:vAlign w:val="center"/>
          </w:tcPr>
          <w:p>
            <w:pPr>
              <w:pStyle w:val="TableContents"/>
              <w:bidi w:val="0"/>
              <w:spacing w:before="0" w:after="1"/>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5,514</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5,301</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places its cash and temporary cash investments with credit quality institutions. At times, such cash denominated in United States dollars may be in excess of the Federal Deposit Insurance Corporation (“FDIC”) insurance limit. If the Company were to distribute the amounts held overseas, the Company would need to follow an approval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distribution process as defined in its operating and partnership agreements, which may delay and/or reduce the availability of that cash to the Company.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55" w:name="Tc_IJP87Suai0-pChDfTY-k7Q_6_5"/>
      <w:bookmarkStart w:id="1056" w:name="Tc_H61eluBrs0aDuwL8eJMpZQ_6_2"/>
      <w:bookmarkStart w:id="1057" w:name="Tc_bfQaCIJpaE6e6fwAC8msKg_6_0"/>
      <w:bookmarkStart w:id="1058" w:name="Tc_oI-upkOQD0Gu-39_io8rHA_5_0"/>
      <w:bookmarkStart w:id="1059" w:name="Tc_xkpbhgBVDUGzL6wW63_UlQ_4_5"/>
      <w:bookmarkStart w:id="1060" w:name="Tc_dg3XTdS1dk2JnFh7J-VGCQ_4_2"/>
      <w:bookmarkStart w:id="1061" w:name="Tc_XPxrbrl1OkK7pnDafWI0YQ_4_0"/>
      <w:bookmarkStart w:id="1062" w:name="Tc_cd6SJxTXfUaJc8aSi2Werg_3_5"/>
      <w:bookmarkStart w:id="1063" w:name="Tc_VxpO2TBdYUmh9LTsJZOu3w_3_2"/>
      <w:bookmarkEnd w:id="1055"/>
      <w:bookmarkEnd w:id="1056"/>
      <w:bookmarkEnd w:id="1057"/>
      <w:bookmarkEnd w:id="1058"/>
      <w:bookmarkEnd w:id="1059"/>
      <w:bookmarkEnd w:id="1060"/>
      <w:bookmarkEnd w:id="1061"/>
      <w:bookmarkEnd w:id="1062"/>
      <w:bookmarkEnd w:id="1063"/>
      <w:r>
        <w:rPr>
          <w:rFonts w:ascii="Times New Roman;Times;serif" w:hAnsi="Times New Roman;Times;serif"/>
          <w:b/>
          <w:sz w:val="20"/>
        </w:rPr>
        <w:t>Note 5. Other 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2025, and December 31, 2024, other current assets consisted of the following:</w:t>
      </w:r>
    </w:p>
    <w:p>
      <w:pPr>
        <w:pStyle w:val="TextBody"/>
        <w:bidi w:val="0"/>
        <w:spacing w:before="0" w:after="0"/>
        <w:ind w:left="0" w:right="0" w:hanging="0"/>
        <w:jc w:val="left"/>
        <w:rPr/>
      </w:pPr>
      <w:r>
        <w:rPr/>
        <w:t>​</w:t>
      </w:r>
    </w:p>
    <w:tbl>
      <w:tblPr>
        <w:tblW w:w="5845" w:type="dxa"/>
        <w:jc w:val="left"/>
        <w:tblInd w:w="0" w:type="dxa"/>
        <w:tblLayout w:type="fixed"/>
        <w:tblCellMar>
          <w:top w:w="0" w:type="dxa"/>
          <w:left w:w="0" w:type="dxa"/>
          <w:bottom w:w="0" w:type="dxa"/>
          <w:right w:w="0" w:type="dxa"/>
        </w:tblCellMar>
      </w:tblPr>
      <w:tblGrid>
        <w:gridCol w:w="2146"/>
        <w:gridCol w:w="326"/>
        <w:gridCol w:w="344"/>
        <w:gridCol w:w="932"/>
        <w:gridCol w:w="326"/>
        <w:gridCol w:w="421"/>
        <w:gridCol w:w="1350"/>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62710" cy="175260"/>
                      <wp:effectExtent l="0" t="0" r="0" b="0"/>
                      <wp:wrapNone/>
                      <wp:docPr id="105" name="Frame105"/>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8440" cy="175260"/>
                      <wp:effectExtent l="0" t="0" r="0" b="0"/>
                      <wp:wrapNone/>
                      <wp:docPr id="107" name="Frame107"/>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91820" cy="175260"/>
                      <wp:effectExtent l="0" t="0" r="0" b="0"/>
                      <wp:wrapNone/>
                      <wp:docPr id="108" name="Frame108"/>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67335" cy="175260"/>
                      <wp:effectExtent l="0" t="0" r="0" b="0"/>
                      <wp:wrapNone/>
                      <wp:docPr id="110" name="Frame11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857250" cy="175260"/>
                      <wp:effectExtent l="0" t="0" r="0" b="0"/>
                      <wp:wrapNone/>
                      <wp:docPr id="111" name="Frame111"/>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373" w:type="dxa"/>
            <w:gridSpan w:val="5"/>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7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71" w:type="dxa"/>
            <w:gridSpan w:val="2"/>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0"/>
              <w:ind w:left="0" w:right="0" w:hanging="0"/>
              <w:jc w:val="center"/>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w:t>
            </w:r>
          </w:p>
        </w:tc>
        <w:tc>
          <w:tcPr>
            <w:tcW w:w="326"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1,246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064" w:name="Tc_oOrToq0kYUOjWYeogCoYCQ_8_2"/>
      <w:bookmarkStart w:id="1065" w:name="Tc_fG5bs5MLxkiniB9aNJcFwQ_8_0"/>
      <w:bookmarkStart w:id="1066" w:name="Tc_GX0tnHDz5U2Q6cLxiDteaw_7_0"/>
      <w:bookmarkStart w:id="1067" w:name="Tc_dL76Qh0HPkWqdFFLVVt09A_6_0"/>
      <w:bookmarkStart w:id="1068" w:name="Tc_LmSyRciB5UaXHSVmYXJL4A_5_0"/>
      <w:bookmarkStart w:id="1069" w:name="Tc_-8hSfu-31EqeiIUeANrQUw_4_0"/>
      <w:bookmarkStart w:id="1070" w:name="Tc_qZpp5DNVikGlu8EwxjVXbw_3_0"/>
      <w:bookmarkStart w:id="1071" w:name="Tc_9m2_sQKag0yAHqdl4H-P9w_2_2"/>
      <w:bookmarkStart w:id="1072" w:name="Tc_FRHEy4FF6EmhBttXWLILdQ_2_0"/>
      <w:bookmarkStart w:id="1073" w:name="Tc_luapfpkuJE6R-yvqNJVqSA_1_2"/>
      <w:bookmarkStart w:id="1074" w:name="Tc_anwXbcMoNkOIHkCczMhBpQ_1_0"/>
      <w:bookmarkStart w:id="1075" w:name="Tc_Lzj-QZsYYU2V0-AJfNRnVA_8_17"/>
      <w:bookmarkStart w:id="1076" w:name="Tc_AKrcIptDeUCKZk1MlNpGZA_8_14"/>
      <w:bookmarkStart w:id="1077" w:name="Tc_YZkrabAvX0O9KxsF5p3J9Q_8_11"/>
      <w:bookmarkStart w:id="1078" w:name="Tc_jUUIGk-cb0SKEzX48nhxhA_8_8"/>
      <w:bookmarkStart w:id="1079" w:name="Tc_Z9jVsU7PKUuPmyIZ6I2ZEA_8_5"/>
      <w:bookmarkStart w:id="1080" w:name="Tc_4xz86GQRsEaCeOONQF7XdQ_8_2"/>
      <w:bookmarkStart w:id="1081" w:name="Tc_LE-eTs9jP02y-5NxkNiTvA_8_0"/>
      <w:bookmarkStart w:id="1082" w:name="Tc_zZ4txijFfESSMTLoDE2YZQ_7_0"/>
      <w:bookmarkStart w:id="1083" w:name="Tc_SMGz_aC9PE-QK8jgA88ODA_6_0"/>
      <w:bookmarkStart w:id="1084" w:name="Tc_Y96P3R2-qk2jNQ-1M_dhyw_5_17"/>
      <w:bookmarkStart w:id="1085" w:name="Tc_fMvVtNdoeECN1D3XvqYlzQ_5_14"/>
      <w:bookmarkStart w:id="1086" w:name="Tc_FV_F38JwkU2r8tYYwjyQag_5_11"/>
      <w:bookmarkStart w:id="1087" w:name="Tc_EjeuLw83j06ZraMEub9EiQ_5_8"/>
      <w:bookmarkStart w:id="1088" w:name="Tc_7T4aRLljVEySCD16xQ_1ZA_5_5"/>
      <w:bookmarkStart w:id="1089" w:name="Tc_dlMWS0jQ3EyfRRtJ3Lu-gA_5_2"/>
      <w:bookmarkStart w:id="1090" w:name="Tc_P4JxjOuZdEOm3575ZjKdXQ_5_0"/>
      <w:bookmarkStart w:id="1091" w:name="Tc_Udhf5ZsDR06OLkHVFGq9Ow_4_17"/>
      <w:bookmarkStart w:id="1092" w:name="Tc_n5oul1yACEuqF5cBzyPPXA_4_14"/>
      <w:bookmarkStart w:id="1093" w:name="Tc_8ILcGZtYUUCuF5Di0ucvAQ_4_11"/>
      <w:bookmarkStart w:id="1094" w:name="Tc_FnIR9A8wMkirMcwMeqmK5A_4_8"/>
      <w:bookmarkStart w:id="1095" w:name="Tc_K0RHX8tq40ihDV2oQhs4gA_4_5"/>
      <w:bookmarkStart w:id="1096" w:name="Tc_xddMEvUzUU2ccCYeo25sdQ_4_2"/>
      <w:bookmarkStart w:id="1097" w:name="Tc_X03yfM9V7kuQiR_WsBPJtw_3_17"/>
      <w:bookmarkStart w:id="1098" w:name="Tc_43HoXlbsJkCP922yVooJkg_3_14"/>
      <w:bookmarkStart w:id="1099" w:name="Tc_SRQnYN95NUmT4bqTxNz8nw_3_11"/>
      <w:bookmarkStart w:id="1100" w:name="Tc_dwMgTpAwAEuktfHMgce1jg_3_8"/>
      <w:bookmarkStart w:id="1101" w:name="Tc_TOc42R_7F0KF8HRBxLc9cQ_3_5"/>
      <w:bookmarkStart w:id="1102" w:name="Tc_gHN9tVBkP0Gxc5toEUvpXA_3_2"/>
      <w:bookmarkStart w:id="1103" w:name="Tc_uRH7FA5AyECu6KxXySoTEQ_2_17"/>
      <w:bookmarkStart w:id="1104" w:name="Tc_t-Job2a9REaekPPXfIgSPw_2_11"/>
      <w:bookmarkStart w:id="1105" w:name="Tc_3U4xnJdTgEukRQyWNUs4Ow_2_8"/>
      <w:bookmarkStart w:id="1106" w:name="Tc_jMak6sHJ9kml6FeZ8xh0zw_2_2"/>
      <w:bookmarkStart w:id="1107" w:name="Tc_H0z8VhyoU0KGi6NJto9eew_1_11"/>
      <w:bookmarkStart w:id="1108" w:name="Tc_VHHUdkgu9k-DmaeBf8eTrg_1_2"/>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ascii="Times New Roman;Times;serif" w:hAnsi="Times New Roman;Times;serif"/>
          <w:b/>
          <w:sz w:val="20"/>
        </w:rPr>
        <w:t>Note 6. Intangible Assets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provides information regarding the Company’s intangible assets subject to amortization, which consist of the following:</w:t>
      </w:r>
    </w:p>
    <w:p>
      <w:pPr>
        <w:pStyle w:val="TextBody"/>
        <w:bidi w:val="0"/>
        <w:spacing w:before="0" w:after="0"/>
        <w:ind w:left="0" w:right="0" w:hanging="0"/>
        <w:jc w:val="left"/>
        <w:rPr/>
      </w:pPr>
      <w:r>
        <w:rPr/>
        <w:t>​</w:t>
      </w:r>
    </w:p>
    <w:tbl>
      <w:tblPr>
        <w:tblW w:w="10093" w:type="dxa"/>
        <w:jc w:val="left"/>
        <w:tblInd w:w="0" w:type="dxa"/>
        <w:tblLayout w:type="fixed"/>
        <w:tblCellMar>
          <w:top w:w="0" w:type="dxa"/>
          <w:left w:w="0" w:type="dxa"/>
          <w:bottom w:w="0" w:type="dxa"/>
          <w:right w:w="0" w:type="dxa"/>
        </w:tblCellMar>
      </w:tblPr>
      <w:tblGrid>
        <w:gridCol w:w="1996"/>
        <w:gridCol w:w="326"/>
        <w:gridCol w:w="243"/>
        <w:gridCol w:w="658"/>
        <w:gridCol w:w="326"/>
        <w:gridCol w:w="311"/>
        <w:gridCol w:w="935"/>
        <w:gridCol w:w="326"/>
        <w:gridCol w:w="300"/>
        <w:gridCol w:w="601"/>
        <w:gridCol w:w="326"/>
        <w:gridCol w:w="243"/>
        <w:gridCol w:w="658"/>
        <w:gridCol w:w="326"/>
        <w:gridCol w:w="311"/>
        <w:gridCol w:w="935"/>
        <w:gridCol w:w="326"/>
        <w:gridCol w:w="225"/>
        <w:gridCol w:w="72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67460" cy="175260"/>
                      <wp:effectExtent l="0" t="0" r="0" b="0"/>
                      <wp:wrapNone/>
                      <wp:docPr id="112" name="Frame112"/>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54305" cy="175260"/>
                      <wp:effectExtent l="0" t="0" r="0" b="0"/>
                      <wp:wrapNone/>
                      <wp:docPr id="114" name="Frame114"/>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17830" cy="175260"/>
                      <wp:effectExtent l="0" t="0" r="0" b="0"/>
                      <wp:wrapNone/>
                      <wp:docPr id="115" name="Frame115"/>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97485" cy="175260"/>
                      <wp:effectExtent l="0" t="0" r="0" b="0"/>
                      <wp:wrapNone/>
                      <wp:docPr id="117" name="Frame117"/>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93725" cy="175260"/>
                      <wp:effectExtent l="0" t="0" r="0" b="0"/>
                      <wp:wrapNone/>
                      <wp:docPr id="118" name="Frame118"/>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90500" cy="175260"/>
                      <wp:effectExtent l="0" t="0" r="0" b="0"/>
                      <wp:wrapNone/>
                      <wp:docPr id="120" name="Frame120"/>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81635" cy="175260"/>
                      <wp:effectExtent l="0" t="0" r="0" b="0"/>
                      <wp:wrapNone/>
                      <wp:docPr id="121" name="Frame12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4305" cy="175260"/>
                      <wp:effectExtent l="0" t="0" r="0" b="0"/>
                      <wp:wrapNone/>
                      <wp:docPr id="123" name="Frame123"/>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17830" cy="175260"/>
                      <wp:effectExtent l="0" t="0" r="0" b="0"/>
                      <wp:wrapNone/>
                      <wp:docPr id="124" name="Frame124"/>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97485" cy="175260"/>
                      <wp:effectExtent l="0" t="0" r="0" b="0"/>
                      <wp:wrapNone/>
                      <wp:docPr id="126" name="Frame126"/>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93725" cy="175260"/>
                      <wp:effectExtent l="0" t="0" r="0" b="0"/>
                      <wp:wrapNone/>
                      <wp:docPr id="127" name="Frame127"/>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2875" cy="175260"/>
                      <wp:effectExtent l="0" t="0" r="0" b="0"/>
                      <wp:wrapNone/>
                      <wp:docPr id="129" name="Frame12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57835" cy="175260"/>
                      <wp:effectExtent l="0" t="0" r="0" b="0"/>
                      <wp:wrapNone/>
                      <wp:docPr id="130" name="Frame13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0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1"/>
              <w:ind w:left="0" w:right="0" w:hanging="0"/>
              <w:jc w:val="center"/>
              <w:rPr/>
            </w:pPr>
            <w:r>
              <w:rPr/>
              <w:t>​</w:t>
            </w:r>
          </w:p>
        </w:tc>
        <w:tc>
          <w:tcPr>
            <w:tcW w:w="374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1"/>
              <w:ind w:left="0" w:right="0" w:hanging="0"/>
              <w:jc w:val="center"/>
              <w:rPr/>
            </w:pPr>
            <w:r>
              <w:rPr/>
              <w:t>​</w:t>
            </w:r>
          </w:p>
        </w:tc>
        <w:tc>
          <w:tcPr>
            <w:tcW w:w="311" w:type="dxa"/>
            <w:tcBorders/>
            <w:vAlign w:val="center"/>
          </w:tcPr>
          <w:p>
            <w:pPr>
              <w:pStyle w:val="TableContents"/>
              <w:bidi w:val="0"/>
              <w:spacing w:before="0" w:after="1"/>
              <w:ind w:left="0" w:right="0" w:hanging="0"/>
              <w:jc w:val="center"/>
              <w:rPr/>
            </w:pPr>
            <w:r>
              <w:rPr/>
              <w:t>​</w:t>
            </w:r>
          </w:p>
        </w:tc>
        <w:tc>
          <w:tcPr>
            <w:tcW w:w="9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1"/>
              <w:ind w:left="0" w:right="0" w:hanging="0"/>
              <w:jc w:val="center"/>
              <w:rPr/>
            </w:pPr>
            <w:r>
              <w:rPr/>
              <w:t>​</w:t>
            </w:r>
          </w:p>
        </w:tc>
        <w:tc>
          <w:tcPr>
            <w:tcW w:w="311" w:type="dxa"/>
            <w:tcBorders/>
            <w:vAlign w:val="center"/>
          </w:tcPr>
          <w:p>
            <w:pPr>
              <w:pStyle w:val="TableContents"/>
              <w:bidi w:val="0"/>
              <w:spacing w:before="0" w:after="1"/>
              <w:ind w:left="0" w:right="0" w:hanging="0"/>
              <w:jc w:val="center"/>
              <w:rPr/>
            </w:pPr>
            <w:r>
              <w:rPr/>
              <w:t>​</w:t>
            </w:r>
          </w:p>
        </w:tc>
        <w:tc>
          <w:tcPr>
            <w:tcW w:w="9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1"/>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2,583</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2,583</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(2,302)</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3,795</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(2,925)</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3,795</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(2,772)</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1,023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intangible assets are amortized over their expected useful lives. The Company recorded amortization expense of $77 and $78 during the three months ended June 30, 2025 and 2024, respectively, and $153 and $159 during the six months ended June 30, 2025 and 2024,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intangible assets balance as of June 30, 2025, the estimated amortization expense for the remainder of the calendar year and each of the succeeding calendar years is as follows:</w:t>
      </w:r>
    </w:p>
    <w:p>
      <w:pPr>
        <w:pStyle w:val="TextBody"/>
        <w:bidi w:val="0"/>
        <w:spacing w:before="0" w:after="0"/>
        <w:ind w:left="0" w:right="0" w:hanging="0"/>
        <w:jc w:val="left"/>
        <w:rPr/>
      </w:pPr>
      <w:r>
        <w:rPr/>
        <w:t>​</w:t>
      </w:r>
    </w:p>
    <w:tbl>
      <w:tblPr>
        <w:tblW w:w="4468" w:type="dxa"/>
        <w:jc w:val="left"/>
        <w:tblInd w:w="0" w:type="dxa"/>
        <w:tblLayout w:type="fixed"/>
        <w:tblCellMar>
          <w:top w:w="0" w:type="dxa"/>
          <w:left w:w="0" w:type="dxa"/>
          <w:bottom w:w="0" w:type="dxa"/>
          <w:right w:w="0" w:type="dxa"/>
        </w:tblCellMar>
      </w:tblPr>
      <w:tblGrid>
        <w:gridCol w:w="3316"/>
        <w:gridCol w:w="326"/>
        <w:gridCol w:w="236"/>
        <w:gridCol w:w="590"/>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05660" cy="175260"/>
                      <wp:effectExtent l="0" t="0" r="0" b="0"/>
                      <wp:wrapNone/>
                      <wp:docPr id="131" name="Frame131"/>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49860" cy="175260"/>
                      <wp:effectExtent l="0" t="0" r="0" b="0"/>
                      <wp:wrapNone/>
                      <wp:docPr id="133" name="Frame133"/>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74650" cy="175260"/>
                      <wp:effectExtent l="0" t="0" r="0" b="0"/>
                      <wp:wrapNone/>
                      <wp:docPr id="134" name="Frame134"/>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vAlign w:val="center"/>
          </w:tcPr>
          <w:p>
            <w:pPr>
              <w:pStyle w:val="TableContents"/>
              <w:bidi w:val="0"/>
              <w:spacing w:before="0" w:after="1"/>
              <w:ind w:left="0" w:right="0" w:hanging="0"/>
              <w:jc w:val="center"/>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2025</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5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5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5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870</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09" w:name="Tc_kpy0LVE7wE6Tt5UsSSi8Qg_9_5"/>
      <w:bookmarkStart w:id="1110" w:name="Tc_jyGsaKT_hUegntcsgaSjDw_9_2"/>
      <w:bookmarkStart w:id="1111" w:name="Tc_P5EAcxvjQUKVYvDJbUY1lA_9_0"/>
      <w:bookmarkStart w:id="1112" w:name="Tc_ZFwU_tRN-kmjDQ-IyW0ggA_8_0"/>
      <w:bookmarkStart w:id="1113" w:name="Tc_JM8jdQXl3UiuaEjO7MUNjQ_7_0"/>
      <w:bookmarkStart w:id="1114" w:name="Tc_x6PCoT6YO0ajMGjen7fxNA_6_0"/>
      <w:bookmarkStart w:id="1115" w:name="Tc_jFLn6jrJ9kKnUtzIAWjM2w_5_0"/>
      <w:bookmarkStart w:id="1116" w:name="Tc_FMgd4KskxkipByt_rqTD1A_4_0"/>
      <w:bookmarkStart w:id="1117" w:name="Tc__Gi1-ATtLE-Ugn5Aq3wRTw_3_5"/>
      <w:bookmarkStart w:id="1118" w:name="Tc_86SrF-2qbE6Dsisvo-wJlQ_3_2"/>
      <w:bookmarkStart w:id="1119" w:name="Tc_i1pusXz3EEeXjz4InjueUw_3_0"/>
      <w:bookmarkStart w:id="1120" w:name="Tc_zIh1YQhj0Eq6oqq_QGv4bg_2_5"/>
      <w:bookmarkStart w:id="1121" w:name="Tc_M073nusvyUajBoYn58oULQ_2_2"/>
      <w:bookmarkEnd w:id="1109"/>
      <w:bookmarkEnd w:id="1110"/>
      <w:bookmarkEnd w:id="1111"/>
      <w:bookmarkEnd w:id="1112"/>
      <w:bookmarkEnd w:id="1113"/>
      <w:bookmarkEnd w:id="1114"/>
      <w:bookmarkEnd w:id="1115"/>
      <w:bookmarkEnd w:id="1116"/>
      <w:bookmarkEnd w:id="1117"/>
      <w:bookmarkEnd w:id="1118"/>
      <w:bookmarkEnd w:id="1119"/>
      <w:bookmarkEnd w:id="1120"/>
      <w:bookmarkEnd w:id="1121"/>
      <w:r>
        <w:rPr>
          <w:rFonts w:ascii="Times New Roman;Times;serif" w:hAnsi="Times New Roman;Times;serif"/>
          <w:b/>
          <w:sz w:val="20"/>
        </w:rPr>
        <w:t>Note 7. Accrued expenses and other current liabilities</w:t>
      </w:r>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As of June 30, 2025, and December 31, 2024, accrued expenses and other current liabilities consisted of the following:</w:t>
      </w:r>
    </w:p>
    <w:p>
      <w:pPr>
        <w:pStyle w:val="TextBody"/>
        <w:bidi w:val="0"/>
        <w:spacing w:before="0" w:after="0"/>
        <w:ind w:left="0" w:right="0" w:hanging="0"/>
        <w:jc w:val="left"/>
        <w:rPr/>
      </w:pPr>
      <w:r>
        <w:rPr/>
        <w:t>​</w:t>
      </w:r>
    </w:p>
    <w:tbl>
      <w:tblPr>
        <w:tblW w:w="7960" w:type="dxa"/>
        <w:jc w:val="left"/>
        <w:tblInd w:w="0" w:type="dxa"/>
        <w:tblLayout w:type="fixed"/>
        <w:tblCellMar>
          <w:top w:w="0" w:type="dxa"/>
          <w:left w:w="0" w:type="dxa"/>
          <w:bottom w:w="0" w:type="dxa"/>
          <w:right w:w="0" w:type="dxa"/>
        </w:tblCellMar>
      </w:tblPr>
      <w:tblGrid>
        <w:gridCol w:w="4261"/>
        <w:gridCol w:w="326"/>
        <w:gridCol w:w="344"/>
        <w:gridCol w:w="932"/>
        <w:gridCol w:w="326"/>
        <w:gridCol w:w="421"/>
        <w:gridCol w:w="1350"/>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705735" cy="175260"/>
                      <wp:effectExtent l="0" t="0" r="0" b="0"/>
                      <wp:wrapNone/>
                      <wp:docPr id="135" name="Frame135"/>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8440" cy="175260"/>
                      <wp:effectExtent l="0" t="0" r="0" b="0"/>
                      <wp:wrapNone/>
                      <wp:docPr id="137" name="Frame137"/>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91820" cy="175260"/>
                      <wp:effectExtent l="0" t="0" r="0" b="0"/>
                      <wp:wrapNone/>
                      <wp:docPr id="138" name="Frame138"/>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67335" cy="175260"/>
                      <wp:effectExtent l="0" t="0" r="0" b="0"/>
                      <wp:wrapNone/>
                      <wp:docPr id="140" name="Frame14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857250" cy="175260"/>
                      <wp:effectExtent l="0" t="0" r="0" b="0"/>
                      <wp:wrapNone/>
                      <wp:docPr id="141" name="Frame141"/>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44"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1"/>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Tax-related liabilities</w:t>
            </w:r>
          </w:p>
        </w:tc>
        <w:tc>
          <w:tcPr>
            <w:tcW w:w="32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 </w:t>
            </w:r>
          </w:p>
        </w:tc>
        <w:tc>
          <w:tcPr>
            <w:tcW w:w="13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area maintenance accruals</w:t>
            </w:r>
          </w:p>
        </w:tc>
        <w:tc>
          <w:tcPr>
            <w:tcW w:w="32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 Accruals</w:t>
            </w:r>
          </w:p>
        </w:tc>
        <w:tc>
          <w:tcPr>
            <w:tcW w:w="32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Gift certificates</w:t>
            </w:r>
          </w:p>
        </w:tc>
        <w:tc>
          <w:tcPr>
            <w:tcW w:w="32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pPr>
            <w:r>
              <w:rPr/>
              <w:t> </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 </w:t>
            </w:r>
          </w:p>
        </w:tc>
        <w:tc>
          <w:tcPr>
            <w:tcW w:w="13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miscellaneous accruals</w:t>
            </w:r>
          </w:p>
        </w:tc>
        <w:tc>
          <w:tcPr>
            <w:tcW w:w="326" w:type="dxa"/>
            <w:tcBorders/>
            <w:vAlign w:val="center"/>
          </w:tcPr>
          <w:p>
            <w:pPr>
              <w:pStyle w:val="TableContents"/>
              <w:bidi w:val="0"/>
              <w:spacing w:before="0" w:after="1"/>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26" w:type="dxa"/>
            <w:tcBorders/>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3,572</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4,088</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22" w:name="Tc_zyEF6LAOIkisPeHFSp3LeQ_2_4"/>
      <w:bookmarkStart w:id="1123" w:name="Tc_9J9bPoNPgUivIi6hDXBAZA_2_0"/>
      <w:bookmarkStart w:id="1124" w:name="Tc_H0nmt-EClU--94Yw5oJtPg_1_4"/>
      <w:bookmarkStart w:id="1125" w:name="Tc_G9IQbazfIEKxrcCDi30eUw_1_0"/>
      <w:bookmarkStart w:id="1126" w:name="Tc_FF4RI_uLQkuc_5oxriZ1cg_10_2"/>
      <w:bookmarkStart w:id="1127" w:name="Tc_I2cCl_bOQ0-TKYj0rLb3Dg_10_0"/>
      <w:bookmarkStart w:id="1128" w:name="Tc_ECL8ONxz-USPmpoIybDv-g_9_0"/>
      <w:bookmarkStart w:id="1129" w:name="Tc_980sVI-1B0ecrV3T3BmwhQ_8_0"/>
      <w:bookmarkStart w:id="1130" w:name="Tc_8dalEtfKt0KdD1UJ-_ei6Q_7_0"/>
      <w:bookmarkStart w:id="1131" w:name="Tc_A6xZmOInLUSQ4VdnEEU0mA_6_0"/>
      <w:bookmarkStart w:id="1132" w:name="Tc_k_AR38Amj0aMqH4rJfmNpQ_5_0"/>
      <w:bookmarkStart w:id="1133" w:name="Tc_bw4ltLxmdk-LX4AtsWL70w_4_0"/>
      <w:bookmarkStart w:id="1134" w:name="Tc_-9B5pboA-UWBZH5vTdH9ZA_3_0"/>
      <w:bookmarkStart w:id="1135" w:name="Tc_ubRvmMvDZkuvUAvbBLob0g_2_2"/>
      <w:bookmarkStart w:id="1136" w:name="Tc_OMD04ZUMXEG3_DABAOrcLw_2_0"/>
      <w:bookmarkStart w:id="1137" w:name="Tc_KHJfvC-CPku9xTkf5e0c0w_1_2"/>
      <w:bookmarkStart w:id="1138" w:name="Tc_sA0c6NRDGUyS53pmy6fepA_1_0"/>
      <w:bookmarkStart w:id="1139" w:name="Tc_cZP1JDBgD0m5omCC_8FOdw_5_6"/>
      <w:bookmarkStart w:id="1140" w:name="Tc_YtEEiFbHPEOlEEVYq0rlYA_5_5"/>
      <w:bookmarkStart w:id="1141" w:name="Tc_x2nfOTHOcU68a5sJ-etq8w_5_2"/>
      <w:bookmarkStart w:id="1142" w:name="Tc_B4XRIDOwTUKWK_MkWVncMQ_5_0"/>
      <w:bookmarkStart w:id="1143" w:name="Tc_Gpmwuimp10qbJnnVM_1bKg_4_5"/>
      <w:bookmarkStart w:id="1144" w:name="Tc_vmI-MMFliU2GAX3f7U5idQ_4_2"/>
      <w:bookmarkStart w:id="1145" w:name="Tc_IEoSr081Kke_Ot7Q9w1pBg_4_0"/>
      <w:bookmarkStart w:id="1146" w:name="Tc_GDbvj1l5MU69w-uyz8pzJA_3_0"/>
      <w:bookmarkStart w:id="1147" w:name="Tc_kfgvu6S_tUG4wG7gV12eyA_2_5"/>
      <w:bookmarkStart w:id="1148" w:name="Tc_vS7sFiOoSE259aAPX8DlBQ_2_2"/>
      <w:bookmarkStart w:id="1149" w:name="Tc_mFyeDsV6MEizub2kZkwI5g_1_2"/>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r>
        <w:rPr>
          <w:rFonts w:ascii="Times New Roman;Times;serif" w:hAnsi="Times New Roman;Times;serif"/>
          <w:b/>
          <w:sz w:val="20"/>
        </w:rPr>
        <w:t>Note 8. 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2025, there was an increase to the lease term for the XpresSpa Las Vegas Airport lease, which has been accounted for as a lease modification. The operating lease right-of-use asset and liability were remeasured at the modification date, resulting in an increase to both balances of $0.08 million.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activity in the Company’s current and long-term operating lease liabilities for the six months ended June 30, 2025 and 2024:</w:t>
      </w:r>
    </w:p>
    <w:p>
      <w:pPr>
        <w:pStyle w:val="TextBody"/>
        <w:bidi w:val="0"/>
        <w:spacing w:before="0" w:after="0"/>
        <w:ind w:left="0" w:right="0" w:hanging="0"/>
        <w:jc w:val="left"/>
        <w:rPr/>
      </w:pPr>
      <w:r>
        <w:rPr/>
        <w:t>​</w:t>
      </w:r>
    </w:p>
    <w:tbl>
      <w:tblPr>
        <w:tblW w:w="9611" w:type="dxa"/>
        <w:jc w:val="left"/>
        <w:tblInd w:w="0" w:type="dxa"/>
        <w:tblLayout w:type="fixed"/>
        <w:tblCellMar>
          <w:top w:w="0" w:type="dxa"/>
          <w:left w:w="0" w:type="dxa"/>
          <w:bottom w:w="0" w:type="dxa"/>
          <w:right w:w="0" w:type="dxa"/>
        </w:tblCellMar>
      </w:tblPr>
      <w:tblGrid>
        <w:gridCol w:w="6871"/>
        <w:gridCol w:w="326"/>
        <w:gridCol w:w="234"/>
        <w:gridCol w:w="767"/>
        <w:gridCol w:w="362"/>
        <w:gridCol w:w="234"/>
        <w:gridCol w:w="817"/>
      </w:tblGrid>
      <w:tr>
        <w:trPr/>
        <w:tc>
          <w:tcPr>
            <w:tcW w:w="6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63085" cy="175260"/>
                      <wp:effectExtent l="0" t="0" r="0" b="0"/>
                      <wp:wrapNone/>
                      <wp:docPr id="142" name="Frame142"/>
                      <a:graphic xmlns:a="http://schemas.openxmlformats.org/drawingml/2006/main">
                        <a:graphicData uri="http://schemas.microsoft.com/office/word/2010/wordprocessingShape">
                          <wps:wsp>
                            <wps:cNvSpPr txBox="1"/>
                            <wps:spPr>
                              <a:xfrm>
                                <a:off x="0" y="0"/>
                                <a:ext cx="436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8590" cy="175260"/>
                      <wp:effectExtent l="0" t="0" r="0" b="0"/>
                      <wp:wrapNone/>
                      <wp:docPr id="144" name="Frame14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87045" cy="175260"/>
                      <wp:effectExtent l="0" t="0" r="0" b="0"/>
                      <wp:wrapNone/>
                      <wp:docPr id="145" name="Frame145"/>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29870" cy="175260"/>
                      <wp:effectExtent l="0" t="0" r="0" b="0"/>
                      <wp:wrapNone/>
                      <wp:docPr id="146" name="Frame146"/>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48590" cy="175260"/>
                      <wp:effectExtent l="0" t="0" r="0" b="0"/>
                      <wp:wrapNone/>
                      <wp:docPr id="147" name="Frame147"/>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18795" cy="175260"/>
                      <wp:effectExtent l="0" t="0" r="0" b="0"/>
                      <wp:wrapNone/>
                      <wp:docPr id="148" name="Frame148"/>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6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2"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6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left"/>
              <w:rPr/>
            </w:pPr>
            <w:r>
              <w:rPr/>
              <w:t>​</w:t>
            </w:r>
          </w:p>
        </w:tc>
      </w:tr>
      <w:tr>
        <w:trPr/>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w:t>
            </w:r>
          </w:p>
        </w:tc>
        <w:tc>
          <w:tcPr>
            <w:tcW w:w="362"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w:t>
            </w:r>
          </w:p>
        </w:tc>
      </w:tr>
      <w:tr>
        <w:trPr/>
        <w:tc>
          <w:tcPr>
            <w:tcW w:w="6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Leased assets obtained in exchange for new and modified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62"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2025, operating leases contain the following future minimum commitments:</w:t>
      </w:r>
    </w:p>
    <w:p>
      <w:pPr>
        <w:pStyle w:val="TextBody"/>
        <w:bidi w:val="0"/>
        <w:spacing w:before="0" w:after="0"/>
        <w:ind w:left="0" w:right="0" w:hanging="0"/>
        <w:jc w:val="left"/>
        <w:rPr/>
      </w:pPr>
      <w:r>
        <w:rPr/>
        <w:t>​</w:t>
      </w:r>
    </w:p>
    <w:tbl>
      <w:tblPr>
        <w:tblW w:w="5594" w:type="dxa"/>
        <w:jc w:val="left"/>
        <w:tblInd w:w="0" w:type="dxa"/>
        <w:tblLayout w:type="fixed"/>
        <w:tblCellMar>
          <w:top w:w="0" w:type="dxa"/>
          <w:left w:w="0" w:type="dxa"/>
          <w:bottom w:w="0" w:type="dxa"/>
          <w:right w:w="0" w:type="dxa"/>
        </w:tblCellMar>
      </w:tblPr>
      <w:tblGrid>
        <w:gridCol w:w="4321"/>
        <w:gridCol w:w="326"/>
        <w:gridCol w:w="211"/>
        <w:gridCol w:w="73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743835" cy="175260"/>
                      <wp:effectExtent l="0" t="0" r="0" b="0"/>
                      <wp:wrapNone/>
                      <wp:docPr id="149" name="Frame149"/>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67360" cy="175260"/>
                      <wp:effectExtent l="0" t="0" r="0" b="0"/>
                      <wp:wrapNone/>
                      <wp:docPr id="152" name="Frame15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1,568</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future lease payments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 expense at incremental borrowing rate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present value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9,985</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Other assumptions and pertinent information related to the Company’s accounting for operating leases are:</w:t>
      </w:r>
    </w:p>
    <w:p>
      <w:pPr>
        <w:pStyle w:val="TextBody"/>
        <w:bidi w:val="0"/>
        <w:spacing w:before="0" w:after="0"/>
        <w:ind w:left="0" w:right="0" w:hanging="0"/>
        <w:jc w:val="left"/>
        <w:rPr/>
      </w:pPr>
      <w:r>
        <w:rPr/>
        <w:t>​</w:t>
      </w:r>
    </w:p>
    <w:tbl>
      <w:tblPr>
        <w:tblW w:w="8838" w:type="dxa"/>
        <w:jc w:val="left"/>
        <w:tblInd w:w="0" w:type="dxa"/>
        <w:tblLayout w:type="fixed"/>
        <w:tblCellMar>
          <w:top w:w="0" w:type="dxa"/>
          <w:left w:w="0" w:type="dxa"/>
          <w:bottom w:w="0" w:type="dxa"/>
          <w:right w:w="0" w:type="dxa"/>
        </w:tblCellMar>
      </w:tblPr>
      <w:tblGrid>
        <w:gridCol w:w="7546"/>
        <w:gridCol w:w="146"/>
        <w:gridCol w:w="109"/>
        <w:gridCol w:w="466"/>
        <w:gridCol w:w="571"/>
      </w:tblGrid>
      <w:tr>
        <w:trPr/>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791710" cy="175260"/>
                      <wp:effectExtent l="0" t="0" r="0" b="0"/>
                      <wp:wrapNone/>
                      <wp:docPr id="153" name="Frame153"/>
                      <a:graphic xmlns:a="http://schemas.openxmlformats.org/drawingml/2006/main">
                        <a:graphicData uri="http://schemas.microsoft.com/office/word/2010/wordprocessingShape">
                          <wps:wsp>
                            <wps:cNvSpPr txBox="1"/>
                            <wps:spPr>
                              <a:xfrm>
                                <a:off x="0" y="0"/>
                                <a:ext cx="479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92710" cy="175260"/>
                      <wp:effectExtent l="0" t="0" r="0" b="0"/>
                      <wp:wrapNone/>
                      <wp:docPr id="154" name="Frame1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95910" cy="175260"/>
                      <wp:effectExtent l="0" t="0" r="0" b="0"/>
                      <wp:wrapNone/>
                      <wp:docPr id="156" name="Frame15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62585" cy="175260"/>
                      <wp:effectExtent l="0" t="0" r="0" b="0"/>
                      <wp:wrapNone/>
                      <wp:docPr id="157" name="Frame1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1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 used to determine present value of operating lease liability:</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paid for minimum annual rental obligations during the three and six months ended June 30, 2025, was $624 and $1,240, respectively. Cash paid for minimum annual rental obligations during the three and six months ended June 30, 2024, was $319 and $769,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Variable lease payments calculated monthly as a percentage of product and services revenue, were $344 and $341 for the three months ended June 30, 2025, and 2024, respectively, and $664 and $700 for the six months ended June 30, 2025, and 2024,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50" w:name="Tc_822A8XEt-ECUPwhYgOeeUw_5_5"/>
      <w:bookmarkStart w:id="1151" w:name="Tc_7PTDwDVzO0KobyhjtlB6lQ_5_2"/>
      <w:bookmarkStart w:id="1152" w:name="Tc_M5bC7DtgY0qcKNUp9p1NXg_5_0"/>
      <w:bookmarkStart w:id="1153" w:name="Tc_zrqJNNtUhEqRa2kONYAplQ_4_0"/>
      <w:bookmarkStart w:id="1154" w:name="Tc_f92Z9ju5I0SnvgSoeXjcsw_3_0"/>
      <w:bookmarkStart w:id="1155" w:name="Tc_GsaS5tHeiEG1eebzE6htGg_2_5"/>
      <w:bookmarkStart w:id="1156" w:name="Tc_w7DrYJ2txU-c3AwST3WhEA_2_2"/>
      <w:bookmarkStart w:id="1157" w:name="Tc_qgc_pT2sSU67CdTfqlQ14w_2_0"/>
      <w:bookmarkStart w:id="1158" w:name="Tc_LxTo37TBZkuQk703NPGJIQ_1_5"/>
      <w:bookmarkStart w:id="1159" w:name="Tc_cUQA8p32-UGSQmrw0p1nEQ_1_2"/>
      <w:bookmarkEnd w:id="1150"/>
      <w:bookmarkEnd w:id="1151"/>
      <w:bookmarkEnd w:id="1152"/>
      <w:bookmarkEnd w:id="1153"/>
      <w:bookmarkEnd w:id="1154"/>
      <w:bookmarkEnd w:id="1155"/>
      <w:bookmarkEnd w:id="1156"/>
      <w:bookmarkEnd w:id="1157"/>
      <w:bookmarkEnd w:id="1158"/>
      <w:bookmarkEnd w:id="1159"/>
      <w:r>
        <w:rPr>
          <w:rFonts w:ascii="Times New Roman;Times;serif" w:hAnsi="Times New Roman;Times;serif"/>
          <w:b/>
          <w:sz w:val="20"/>
        </w:rPr>
        <w:t>Note 9. Other Assets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As of June 30, 2025 and December 31, 2024, assets consisted of the following:</w:t>
      </w:r>
    </w:p>
    <w:p>
      <w:pPr>
        <w:pStyle w:val="TextBody"/>
        <w:bidi w:val="0"/>
        <w:spacing w:before="0" w:after="0"/>
        <w:ind w:left="0" w:right="0" w:hanging="0"/>
        <w:jc w:val="left"/>
        <w:rPr/>
      </w:pPr>
      <w:r>
        <w:rPr/>
        <w:t>​</w:t>
      </w:r>
    </w:p>
    <w:tbl>
      <w:tblPr>
        <w:tblW w:w="5395" w:type="dxa"/>
        <w:jc w:val="left"/>
        <w:tblInd w:w="0" w:type="dxa"/>
        <w:tblLayout w:type="fixed"/>
        <w:tblCellMar>
          <w:top w:w="0" w:type="dxa"/>
          <w:left w:w="0" w:type="dxa"/>
          <w:bottom w:w="0" w:type="dxa"/>
          <w:right w:w="0" w:type="dxa"/>
        </w:tblCellMar>
      </w:tblPr>
      <w:tblGrid>
        <w:gridCol w:w="1696"/>
        <w:gridCol w:w="326"/>
        <w:gridCol w:w="344"/>
        <w:gridCol w:w="932"/>
        <w:gridCol w:w="326"/>
        <w:gridCol w:w="421"/>
        <w:gridCol w:w="1350"/>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076960" cy="175260"/>
                      <wp:effectExtent l="0" t="0" r="0" b="0"/>
                      <wp:wrapNone/>
                      <wp:docPr id="158" name="Frame158"/>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8440" cy="175260"/>
                      <wp:effectExtent l="0" t="0" r="0" b="0"/>
                      <wp:wrapNone/>
                      <wp:docPr id="160" name="Frame160"/>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91820" cy="175260"/>
                      <wp:effectExtent l="0" t="0" r="0" b="0"/>
                      <wp:wrapNone/>
                      <wp:docPr id="161" name="Frame161"/>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67335" cy="175260"/>
                      <wp:effectExtent l="0" t="0" r="0" b="0"/>
                      <wp:wrapNone/>
                      <wp:docPr id="163" name="Frame16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857250" cy="175260"/>
                      <wp:effectExtent l="0" t="0" r="0" b="0"/>
                      <wp:wrapNone/>
                      <wp:docPr id="164" name="Frame164"/>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deposits</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 </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60" w:name="Tc_8EevTG9yO06W7OcjWeW_EQ_7_6"/>
      <w:bookmarkStart w:id="1161" w:name="Tc_s96S5pNym0akPI2xw-eMlQ_7_0"/>
      <w:bookmarkStart w:id="1162" w:name="Tc_9Nu6Afmym06QVbFf2_Xidw_6_6"/>
      <w:bookmarkStart w:id="1163" w:name="Tc_9hN80WLnLkGS61gy173-wg_6_3"/>
      <w:bookmarkStart w:id="1164" w:name="Tc_q24kHQYYukq5jTO3K2a73Q_6_0"/>
      <w:bookmarkStart w:id="1165" w:name="Tc_XVlduwQk3EaK2667Lu2V3Q_5_6"/>
      <w:bookmarkStart w:id="1166" w:name="Tc_L6oPU_CXEkmR-2rQDIsXig_5_3"/>
      <w:bookmarkStart w:id="1167" w:name="Tc_5WYMrYTpYEiptsMhOxpsxg_5_0"/>
      <w:bookmarkStart w:id="1168" w:name="Tc_PmtngcGVTECTpC_feojljQ_4_6"/>
      <w:bookmarkStart w:id="1169" w:name="Tc_WXDk46kf3kWFzLcgUV-IpQ_4_0"/>
      <w:bookmarkStart w:id="1170" w:name="Tc_CvNu9g_Ni0SicJq78FLNEw_3_3"/>
      <w:bookmarkStart w:id="1171" w:name="Tc_vWuYYSbUl0aACWNUwajV0w_3_2"/>
      <w:bookmarkStart w:id="1172" w:name="Tc_bN_P0aNrk0CmzFywRmxXmg_3_0"/>
      <w:bookmarkStart w:id="1173" w:name="Tc_09UgEHEVvE69Nwkg-puoYw_2_3"/>
      <w:bookmarkStart w:id="1174" w:name="Tc_oOugC5u_uEGCGD8krku4yg_2_2"/>
      <w:bookmarkStart w:id="1175" w:name="Tc_RVMp1sKWmUezPhBl5yfKew_2_0"/>
      <w:bookmarkStart w:id="1176" w:name="Tc_BZYqu4RUG0mNGbcfk2SUvQ_1_5"/>
      <w:bookmarkStart w:id="1177" w:name="Tc_PDKf1hOMdUm7BO4H3hAMew_1_2"/>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r>
        <w:rPr>
          <w:rFonts w:ascii="Times New Roman;Times;serif" w:hAnsi="Times New Roman;Times;serif"/>
          <w:b/>
          <w:sz w:val="20"/>
        </w:rPr>
        <w:t>Note 10. Stock-based Compensation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2025, and 2024, there was $0 and $50, respectively of unrecognized stock-based compensation related to the XpresTest Plan.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variables were used as inputs in the model:</w:t>
      </w:r>
    </w:p>
    <w:p>
      <w:pPr>
        <w:pStyle w:val="TextBody"/>
        <w:bidi w:val="0"/>
        <w:spacing w:before="0" w:after="0"/>
        <w:ind w:left="0" w:right="0" w:hanging="0"/>
        <w:jc w:val="left"/>
        <w:rPr/>
      </w:pPr>
      <w:r>
        <w:rPr/>
        <w:t>​</w:t>
      </w:r>
    </w:p>
    <w:tbl>
      <w:tblPr>
        <w:tblW w:w="8367" w:type="dxa"/>
        <w:jc w:val="left"/>
        <w:tblInd w:w="0" w:type="dxa"/>
        <w:tblLayout w:type="fixed"/>
        <w:tblCellMar>
          <w:top w:w="0" w:type="dxa"/>
          <w:left w:w="0" w:type="dxa"/>
          <w:bottom w:w="0" w:type="dxa"/>
          <w:right w:w="0" w:type="dxa"/>
        </w:tblCellMar>
      </w:tblPr>
      <w:tblGrid>
        <w:gridCol w:w="5281"/>
        <w:gridCol w:w="326"/>
        <w:gridCol w:w="211"/>
        <w:gridCol w:w="976"/>
        <w:gridCol w:w="326"/>
        <w:gridCol w:w="676"/>
        <w:gridCol w:w="571"/>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353435" cy="175260"/>
                      <wp:effectExtent l="0" t="0" r="0" b="0"/>
                      <wp:wrapNone/>
                      <wp:docPr id="165" name="Frame165"/>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19760" cy="175260"/>
                      <wp:effectExtent l="0" t="0" r="0" b="0"/>
                      <wp:wrapNone/>
                      <wp:docPr id="168" name="Frame16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70" name="Frame1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62585" cy="175260"/>
                      <wp:effectExtent l="0" t="0" r="0" b="0"/>
                      <wp:wrapNone/>
                      <wp:docPr id="171" name="Frame1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57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 of the Company’s Common Stock on the grant date: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0.97 - 1.52</w:t>
            </w:r>
          </w:p>
        </w:tc>
        <w:tc>
          <w:tcPr>
            <w:tcW w:w="32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0.97 - 1.52</w:t>
            </w:r>
          </w:p>
        </w:tc>
        <w:tc>
          <w:tcPr>
            <w:tcW w:w="32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57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121.04</w:t>
            </w:r>
          </w:p>
        </w:tc>
        <w:tc>
          <w:tcPr>
            <w:tcW w:w="32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121.04</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average risk-free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4.13 - 4.47</w:t>
            </w:r>
          </w:p>
        </w:tc>
        <w:tc>
          <w:tcPr>
            <w:tcW w:w="32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32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stock-based compensation for the three and six months ended June 30, 2025, was $599 and $682, respectively. Total stock-based compensation for the three and six months ended June 30, 2024, was $304 and $586 respectively. All stock-based compensation for the three and six months ended June 30, 2025 and June 30, 2024 is presented on the unaudited condensed consolidated Statements of Operations and Comprehensive Loss within general and administrative expense.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178" w:name="Tc_CPfF_6zWA0yXSZWOZdXq0g_12_13"/>
      <w:bookmarkStart w:id="1179" w:name="Tc_5KlF5inA-0i1vPAAn_NaNA_12_9"/>
      <w:bookmarkStart w:id="1180" w:name="Tc_k8xMHTKnIECOfwlkkQ8vcw_12_2"/>
      <w:bookmarkStart w:id="1181" w:name="Tc_HKde7DNGkk2D1EYpFc7ISA_12_0"/>
      <w:bookmarkStart w:id="1182" w:name="Tc_2MGEgi00sUey7yPkPSbPrw_11_13"/>
      <w:bookmarkStart w:id="1183" w:name="Tc_NPRqZmCoIE6IoyawwsMi9A_11_9"/>
      <w:bookmarkStart w:id="1184" w:name="Tc_3FPPvOZSA0uwQcPXR3tjKg_11_4"/>
      <w:bookmarkStart w:id="1185" w:name="Tc_M_3VLNt1OkuoWXJZ9jz2Uw_11_0"/>
      <w:bookmarkStart w:id="1186" w:name="Tc_eFr0PBVRf0Os0_nmmtWWGg_10_5"/>
      <w:bookmarkStart w:id="1187" w:name="Tc_IxTKCPUBSEu_RQcgvn93oA_10_2"/>
      <w:bookmarkStart w:id="1188" w:name="Tc_dtOV8QqykES-eku_CF8zoQ_10_0"/>
      <w:bookmarkStart w:id="1189" w:name="Tc_OmMCvLK1pUeeqnKILicLuQ_9_5"/>
      <w:bookmarkStart w:id="1190" w:name="Tc_FGFV9VFwaE6MChn1SZ5hVw_9_2"/>
      <w:bookmarkStart w:id="1191" w:name="Tc_6Gs2e_sXNEqvWD2xRkIsZQ_9_0"/>
      <w:bookmarkStart w:id="1192" w:name="Tc_pyaPp31-rEy1aggPHzHgCA_8_10"/>
      <w:bookmarkStart w:id="1193" w:name="Tc_TZUq034nmE2UvdwBqLOD9A_8_7"/>
      <w:bookmarkStart w:id="1194" w:name="Tc_v4h5trHQP0-My4SlIlaQmA_8_0"/>
      <w:bookmarkStart w:id="1195" w:name="Tc_MQxCBpPw7UCGACc25JPonA_7_0"/>
      <w:bookmarkStart w:id="1196" w:name="Tc_dxBo3PGpMkGnTHygJ9paOQ_6_13"/>
      <w:bookmarkStart w:id="1197" w:name="Tc_ONYQ51RRg0WKtD3FmAd1iw_6_9"/>
      <w:bookmarkStart w:id="1198" w:name="Tc_xRRHdBtu606RABl0pWW5pA_6_4"/>
      <w:bookmarkStart w:id="1199" w:name="Tc_8nkMzNeKbkOMeI-ZQZ49jw_6_0"/>
      <w:bookmarkStart w:id="1200" w:name="Tc_Z8sYiwbxRUWnSzfwdAbJhQ_5_12"/>
      <w:bookmarkStart w:id="1201" w:name="Tc_TWRlisWUTUS0TjpBj5raYw_5_9"/>
      <w:bookmarkStart w:id="1202" w:name="Tc_RtERDRDh60iSyfnOeKXL4g_5_7"/>
      <w:bookmarkStart w:id="1203" w:name="Tc_sgnpzM7CskO5D03AbPv-6w_5_4"/>
      <w:bookmarkStart w:id="1204" w:name="Tc_TjZQ5OiPkECJrm89aL5GQA_5_2"/>
      <w:bookmarkStart w:id="1205" w:name="Tc_7HRnjgp9xEae_NqUmiR9_w_4_12"/>
      <w:bookmarkStart w:id="1206" w:name="Tc_dzWn1ksIa0O9QfGlZm25QA_4_9"/>
      <w:bookmarkStart w:id="1207" w:name="Tc_497HXVQTdECiQQrzDuW5kg_4_7"/>
      <w:bookmarkStart w:id="1208" w:name="Tc_-J9j-IrRiUmNCMJdef5cAQ_4_4"/>
      <w:bookmarkStart w:id="1209" w:name="Tc_BNTbEgFAwE-B-NDsj6rasw_4_2"/>
      <w:bookmarkStart w:id="1210" w:name="Tc_8efp0K5MhEuFJnQPSGB1xQ_3_12"/>
      <w:bookmarkStart w:id="1211" w:name="Tc_cX_lHlOaqUylh8jHQt1y8g_3_9"/>
      <w:bookmarkStart w:id="1212" w:name="Tc_ImN4TK13B06_clUeQcdCMA_3_4"/>
      <w:bookmarkStart w:id="1213" w:name="Tc_5SAA-tIeGE6eKYCfPXHsxg_2_13"/>
      <w:bookmarkStart w:id="1214" w:name="Tc_kHkZ9hc3SEG8g4ExaEmWmg_2_9"/>
      <w:bookmarkStart w:id="1215" w:name="Tc_Jpz3Vf88a0myELNfc5f6wQ_2_4"/>
      <w:bookmarkStart w:id="1216" w:name="Tc_4n-ghKwQd06fzR3m0xrsnw_1_7"/>
      <w:bookmarkStart w:id="1217" w:name="Tc_XGJehHm8Jky5IgjDcVJ-8g_1_2"/>
      <w:bookmarkStart w:id="1218" w:name="_da6d14cb_d9e2_4155_8575_0dfe082ad06c"/>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r>
        <w:rPr>
          <w:rFonts w:ascii="Times New Roman;Times;serif" w:hAnsi="Times New Roman;Times;serif"/>
          <w:sz w:val="20"/>
        </w:rPr>
        <w:t>The following tables summarize information about stock options and RSU activity for the six months ended June 30, 2025:</w:t>
      </w:r>
    </w:p>
    <w:p>
      <w:pPr>
        <w:pStyle w:val="TextBody"/>
        <w:bidi w:val="0"/>
        <w:spacing w:before="0" w:after="0"/>
        <w:ind w:left="0" w:right="0" w:hanging="0"/>
        <w:jc w:val="both"/>
        <w:rPr/>
      </w:pPr>
      <w:r>
        <w:rPr/>
        <w:t>​</w:t>
      </w:r>
    </w:p>
    <w:tbl>
      <w:tblPr>
        <w:tblW w:w="9575" w:type="dxa"/>
        <w:jc w:val="left"/>
        <w:tblInd w:w="0" w:type="dxa"/>
        <w:tblLayout w:type="fixed"/>
        <w:tblCellMar>
          <w:top w:w="0" w:type="dxa"/>
          <w:left w:w="0" w:type="dxa"/>
          <w:bottom w:w="0" w:type="dxa"/>
          <w:right w:w="0" w:type="dxa"/>
        </w:tblCellMar>
      </w:tblPr>
      <w:tblGrid>
        <w:gridCol w:w="3166"/>
        <w:gridCol w:w="326"/>
        <w:gridCol w:w="901"/>
        <w:gridCol w:w="326"/>
        <w:gridCol w:w="303"/>
        <w:gridCol w:w="673"/>
        <w:gridCol w:w="326"/>
        <w:gridCol w:w="901"/>
        <w:gridCol w:w="326"/>
        <w:gridCol w:w="247"/>
        <w:gridCol w:w="669"/>
        <w:gridCol w:w="326"/>
        <w:gridCol w:w="109"/>
        <w:gridCol w:w="97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10410" cy="175260"/>
                      <wp:effectExtent l="0" t="0" r="0" b="0"/>
                      <wp:wrapNone/>
                      <wp:docPr id="172" name="Frame172"/>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72135" cy="175260"/>
                      <wp:effectExtent l="0" t="0" r="0" b="0"/>
                      <wp:wrapNone/>
                      <wp:docPr id="174" name="Frame17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92405" cy="175260"/>
                      <wp:effectExtent l="0" t="0" r="0" b="0"/>
                      <wp:wrapNone/>
                      <wp:docPr id="176" name="Frame17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27355" cy="175260"/>
                      <wp:effectExtent l="0" t="0" r="0" b="0"/>
                      <wp:wrapNone/>
                      <wp:docPr id="177" name="Frame17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72135" cy="175260"/>
                      <wp:effectExtent l="0" t="0" r="0" b="0"/>
                      <wp:wrapNone/>
                      <wp:docPr id="179" name="Frame17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56845" cy="175260"/>
                      <wp:effectExtent l="0" t="0" r="0" b="0"/>
                      <wp:wrapNone/>
                      <wp:docPr id="181" name="Frame18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24815" cy="175260"/>
                      <wp:effectExtent l="0" t="0" r="0" b="0"/>
                      <wp:wrapNone/>
                      <wp:docPr id="182" name="Frame182"/>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19760" cy="175260"/>
                      <wp:effectExtent l="0" t="0" r="0" b="0"/>
                      <wp:wrapNone/>
                      <wp:docPr id="185" name="Frame18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vAlign w:val="center"/>
          </w:tcPr>
          <w:p>
            <w:pPr>
              <w:pStyle w:val="TableContents"/>
              <w:bidi w:val="0"/>
              <w:spacing w:before="0" w:after="0"/>
              <w:ind w:left="0" w:right="0" w:hanging="0"/>
              <w:jc w:val="center"/>
              <w:rPr/>
            </w:pPr>
            <w:r>
              <w:rPr/>
              <w:t>​</w:t>
            </w:r>
          </w:p>
        </w:tc>
        <w:tc>
          <w:tcPr>
            <w:tcW w:w="355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 options</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0"/>
              <w:ind w:left="0" w:right="0" w:hanging="0"/>
              <w:jc w:val="center"/>
              <w:rPr/>
            </w:pPr>
            <w:r>
              <w:rPr/>
              <w:t>​</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grant date</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326" w:type="dxa"/>
            <w:tcBorders/>
            <w:vAlign w:val="center"/>
          </w:tcPr>
          <w:p>
            <w:pPr>
              <w:pStyle w:val="TableContents"/>
              <w:bidi w:val="0"/>
              <w:spacing w:before="0" w:after="0"/>
              <w:ind w:left="0" w:right="0" w:hanging="0"/>
              <w:jc w:val="center"/>
              <w:rPr/>
            </w:pPr>
            <w:r>
              <w:rPr/>
              <w:t>​</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options</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26" w:type="dxa"/>
            <w:tcBorders/>
            <w:vAlign w:val="center"/>
          </w:tcPr>
          <w:p>
            <w:pPr>
              <w:pStyle w:val="TableContents"/>
              <w:bidi w:val="0"/>
              <w:spacing w:before="0" w:after="0"/>
              <w:ind w:left="0" w:right="0" w:hanging="0"/>
              <w:jc w:val="center"/>
              <w:rPr/>
            </w:pPr>
            <w:r>
              <w:rPr/>
              <w:t>​</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term</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539,799</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7.63 years</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495,679</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581,038</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Exercised/Vested</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(495,679)</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29.18</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(175,926)</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18.95</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June 30, 2025</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944,554</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9.24 years</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right"/>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249,324</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9.24 years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Unrecognized stock-based payment cost related to non-vested stock options as of June 30, 2025 was $567, vesting over the next 3.82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stock-based payment cost related to non-vested RSUs as of June 30, 2025 was $30.</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 Private Placement</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Private Placement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14, 2025, XWELL, Inc. (the “Company”) entered into a Securities Purchase Agreement (the “Purchase Agreement”) with certain accredited investors (the “Investors”), pursuant to which it agreed to sell to the Investors (i) an aggregate of 4,000 shares of the Company’s newly-designated Series G Convertible Preferred Stock, with a par value of $0.01 per share and a stated value of $1,000 per share, initially convertible into up to 2,673,797 shares of the Company’s common stock, par value $0.01 per share (the “Common Stock”) at a conversion price of $1.496 per share (the “Preferred Stock”), (ii) Series A warrants to acquire up to an aggregate of 2,673,797 shares of Common Stock (the “Series A Warrants”) at an exercise price of $1.496 per share, and (iii) Series B warrants to acquire up to an aggregate of 2,673,797 shares of Common Stock (the “Series B Warrants,” and collectively with the Series A Warrants, the “Warrants”) at an exercise price of $1.7952 per share (collectively, the “Private Placement”).</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closing of the Private Placement occurred on January 14, 2025 (the “Closing Date”). The Private Placement unit described above had a purchase price of $1,000 per unit and aggregate gross proceeds from the Private Placement were $4 million. The Company expects to use the net proceeds from the Private Placement for general corporate purposes.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engaged GP Nurmenkari Inc. (the “Placement Agent”) to act as the placement agent in connection with the Private Placement. Pursuant to an Engagement Letter with the Placement Agent, the Company paid to the Placement Agent a cash fee equal to 2% of gross proceeds of the Private Placement.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 costs totaling approximately $255 were incurred related to the Private Placement consisting of cash expenses for placement agent fees, legal fees, and accounting costs related to the financing. These cost were proportionately allocated to the Series G Convertible Preferred Stock and the Warrants based on the allocated gross proceeds of the instruments. Accordingly, none of the transaction costs were allocated against the carrying value of the Preferred Stock and the total of approximately $255 of transaction costs were immediately expensed related to the Warrants which are accounted for as liabilities in accordance with ASC 815,which is included as a component of loss on issuance of Series G Preferred Stock on the condensed consolidated statement of operations. Net proceeds from the Private Placement totaled $3,745.</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January 2025 Private Placement of Preferred Shares and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private placement consummated on January 14, 2025, the Company and the investors entered into a Registration Rights Agreement (the “Registration Rights Agreement”), pursuant to which the Company is required to file a resale registration statement (the “Registration Statement”) with the SEC and to have such Registration Statement declared effective by the Effectiveness Deadline (as defined in the Registration Rights Agreement). The Company is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 The Registration Statement was filed on February 7, 2025. Following a series of waivers and amendments to the Registration Rights Agreement to extend the effectiveness date of the Registration Statement by and between the Company and the investors, the Registration Statement was declared effective on June 30, 2025.</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Pursuant to the Registration Rights Agreement, the Company shall pay to each holder of Registrable Securities (as defined in the Registration Rights Agreement) relating to such Registration Statement an amount in cash equal to 2%</w:t>
      </w:r>
      <w:r>
        <w:rPr>
          <w:rFonts w:ascii="Times New Roman;Times;serif" w:hAnsi="Times New Roman;Times;serif"/>
          <w:sz w:val="24"/>
        </w:rPr>
        <w:t xml:space="preserve"> </w:t>
      </w:r>
      <w:r>
        <w:rPr>
          <w:rFonts w:ascii="Times New Roman;Times;serif" w:hAnsi="Times New Roman;Times;serif"/>
          <w:sz w:val="20"/>
        </w:rPr>
        <w:t>of such investor’s respective purchase price (as defined in the Securities Purchase Agreement) on the closing date (1) on the date of such filing failure, effectiveness failure, maintenance failure, or current public information failure, as applicable, and (2) on every 30</w:t>
      </w:r>
      <w:r>
        <w:rPr>
          <w:rFonts w:ascii="Times New Roman;Times;serif" w:hAnsi="Times New Roman;Times;serif"/>
          <w:sz w:val="24"/>
        </w:rPr>
        <w:t xml:space="preserve"> </w:t>
      </w:r>
      <w:r>
        <w:rPr>
          <w:rFonts w:ascii="Times New Roman;Times;serif" w:hAnsi="Times New Roman;Times;serif"/>
          <w:sz w:val="20"/>
        </w:rPr>
        <w:t>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prorated for periods totaling less than 30</w:t>
      </w:r>
      <w:r>
        <w:rPr>
          <w:rFonts w:ascii="Times New Roman;Times;serif" w:hAnsi="Times New Roman;Times;serif"/>
          <w:sz w:val="24"/>
        </w:rPr>
        <w:t xml:space="preserve"> </w:t>
      </w:r>
      <w:r>
        <w:rPr>
          <w:rFonts w:ascii="Times New Roman;Times;serif" w:hAnsi="Times New Roman;Times;serif"/>
          <w:sz w:val="20"/>
        </w:rPr>
        <w:t>days) (such payments to which a holder of Registrable Securities shall be entitled pursuant to the Registration Rights Agreement, the “Registration Delay Payments”).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30</w:t>
      </w:r>
      <w:r>
        <w:rPr>
          <w:rFonts w:ascii="Times New Roman;Times;serif" w:hAnsi="Times New Roman;Times;serif"/>
          <w:sz w:val="24"/>
        </w:rPr>
        <w:t xml:space="preserve"> </w:t>
      </w:r>
      <w:r>
        <w:rPr>
          <w:rFonts w:ascii="Times New Roman;Times;serif" w:hAnsi="Times New Roman;Times;serif"/>
          <w:sz w:val="20"/>
        </w:rPr>
        <w:t>day anniversary of such event or failure, then such Registration Delay Payment shall be made on the third business day after such cure. In the event the Company fails to make Registration Delay Payments in a timely manner in accordance with the foregoing, such Registration Delay Payments shall bear interest at the rate of one and 1.5%</w:t>
      </w:r>
      <w:r>
        <w:rPr>
          <w:rFonts w:ascii="Times New Roman;Times;serif" w:hAnsi="Times New Roman;Times;serif"/>
          <w:sz w:val="24"/>
        </w:rPr>
        <w:t xml:space="preserve"> </w:t>
      </w:r>
      <w:r>
        <w:rPr>
          <w:rFonts w:ascii="Times New Roman;Times;serif" w:hAnsi="Times New Roman;Times;serif"/>
          <w:sz w:val="20"/>
        </w:rPr>
        <w:t>per month (prorated for partial months) until paid in full.</w:t>
      </w:r>
      <w:r>
        <w:rPr>
          <w:rFonts w:ascii="Times New Roman;Times;serif" w:hAnsi="Times New Roman;Times;serif"/>
          <w:sz w:val="24"/>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Series G Convertible Preferred Stock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terms of the Preferred Stock are as set forth in the form of Certificate of Designations (the “Certificate of Designations”). The Preferred Stock are convertible into shares of Common Stock (the “Conversion Shares”) at the election of the holder at any time at an initial conversion price of $1.496 per share (the “Conversion Price”). The Conversion Price is subject to customary adjustments for stock dividends, stock splits, reclassifications, stock combinations and the like (subject to certain exceptions). The Company is required to redeem the Preferred Stock in six (6) equal quarterly installments, commencing on July 1, 2025. The amortization payments due upon such redemption are payable, at the Company’s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lower of (i) $0.167 and (ii) 20% of the “Minimum Price” (as defined in Rule 5635 of the Rule of the Nasdaq Stock Market) (the “Floor Price”), and in each case subject to adjustment for stock splits, stock dividends, stock combinations, recapitalizations or other similar events.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holders of the Preferred Stock are entitled to dividends of 8% per annum, compounded each calendar quarter, which are payable in arrears monthly in cash or shares of Common Stock at the Company’s option, in accordance with the terms of the Certificate of Designations. Upon the occurrence and during the continuance of a Triggering Event (as defined in the Certificate of Designations), the Preferred Stock accrue dividends at the rate of 15% per annum. Upon conversion or redemption, the holders of the Preferred Stock are also entitled to receive a dividend make-whole payment, assuming for calculation purposes that the stated value of such Preferred Stock remained outstanding through and including the one-year anniversary of the applicable date of conversion. The Company is required to maintain unrestricted cash and cash equivalents on hand in an amount equal to at least 200% of the sum of the stated value, accrued dividends, dividend make-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whole payments payable, and any other required amounts payable pursuant to the Certificate of Designations for all outstanding shares of Preferred Stock. The holders of the Preferred Stock are entitled to vote with holders of the Common Stock on as as-converted basis, with the number of votes to which each holder of Preferred Stock is entitled to be calculated assuming a conversion price of $1.36 per share, which was the Minimum Price (as defined in Rule 5635 of the Rules of the Nasdaq Stock Market) applicable immediately before the execution and delivery of the Purchase Agreement, subject to certain beneficial ownership limitations as set forth in the Certificate of Designations.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Notwithstanding the foregoing, the Company’s ability to settle conversions and make amortization and dividend make-whole payments using shares of Common Stock is subject to certain limitations set forth in the Certificate of Designations, including a limit on the number of shares that may be issued until the time, if any, that the Company has obtained the Stockholder Approval. Further, the Certificate of Designations contains a certain beneficial ownership limitation after giving effect to the issuance of shares of Common Stock issuable upon conversion of the Preferred Stock or as part of any amortization payment or dividend make-whole payment under the Certificate of Designations.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Certificate of Designations includes certain Triggering Events, including, among other things, the Company’s failure to pay any amounts due to the holders of the Preferred Stock when due. In connection with a Triggering Event, each holder of Preferred Stock will be able to require the Company to redeem in cash any or all of the holder’s Preferred Stock at a premium set forth in the Certificate of Designations.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Preferred Shares were determined to be more akin to a debt-like host than an equity-like host. The Company identified the following embedded features that are not clearly and closely related to the debt host instrument: 1) certain contingent redemption options and 2) variable share-settled conversions, and 3) certain contingent penalty features. These features were bundled together, assigned probabilities of being affected and measured at fair value. Subsequent changes in fair value of these features are recognized in the Consolidated Statement of Operations. The Company estimated the $1,315 fair value of the bifurcated embedded derivative at issuance using a Monte Carlo simulation, with the following inputs: the fair value of the Company’s common stock of $1.37 on the issuance date, estimated equity volatility of 86.0%, the time to maturity of 2.0 years, a discounted market interest rate of 6.4%, a risk-free rate of 4.28%, dividend rate of 8.0%, a penalty dividend rate of 15.0%, and probability of default of 9.9%. The fair value of the bifurcated derivative liability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discount to the fair value is included as a reduction to the carrying value of the Series G Preferred Shares. During six months ended June 30, 2025, the Company recorded a total discount of $4,000 upon issuance of the Series G Preferred Shares, which was comprised of the issuance date fair value of the associated embedded derivative of $1,315 and the remaining $2,685 of gross proceeds after allocation to the derivative liability which represents the portion of the Warrant liability allocated to the discount. It was deemed probable that the Series G Preferred Shares will become redeemable, the Company recognized accretion of $583 and $1,082 related to the Series G Preferred Shares for the three and six months ended June 30, 2025, respectively, pursuant to ASC 480-10-S99-3A utilizing the effective interest method, which is included as a deduction from net loss attributable to common stockholders in the condensed consolidated statement of operations. As the fair value of the liabilities required to be subsequently measured at fair value exceeded the net proceeds received, the Company recognized the excess of the fair value over the net proceeds received as a component of the loss upon issuance of preferred stock of $3,188 which is included in other income (expense) in the unaudited condensed consolidated statement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2025, the Company recorded a gain of $421 and $279, respectively, related to the change in fair value of the derivative liability which is recorded in other income (expense) on the unaudited condensed consolidated statements of operations. The Company estimated the $1,036 fair value of the bifurcated embedded derivative at June 30, 2025 using a Monte Carlo simulation model, with the following inputs: the fair value of the Company’s common stock of $0.92 on the valuation date, estimated equity volatility of 86%, the time to maturity of 1.54 years, a discounted market interest rate of 5.3%, a risk-free rate of 3.76%, dividend rate of 8.0%, a penalty dividend rate of 15.0%, and probability of default of 9.9%.</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June 30, 2025, the Company has notified the investors of its intention to redeem the upcoming installment due in cash and recorded a liability of $829 representing the cash payable to investors which includes $667 of the stated value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Series G Preferred Shares, $55 of accrued dividends payable of dividends, and $107 of cash premiums which was recognized as a deemed dividend.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2025, the Company recognized a total of $189 of preferred dividends consisting of $81 of preferred dividends at the stated dividend rate, and $108 of cash premiums recognized as deemed dividends. During the six months ended June 30, 2025, the Company recognized a total of $257 of preferred dividends consisting of $149 of preferred dividends at the stated dividend rate, and $108 of cash premium recognized as a deemed dividend.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Private Placement, the Company issued (i) the Series A Warrants to acquire up to an aggregate of 2,673,797 shares of Common Stock at an exercise price of $1.496 per share, and (ii) the Series B Warrants to acquire up to an aggregate of 2,673,797 shares of Common Stock at an exercise price of $1.7952 per share.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On January 14, 2025 The Company assessed the Warrants under ASC 815 and determined that the Warrants will be classified </w:t>
      </w:r>
      <w:r>
        <w:rPr>
          <w:rFonts w:ascii="Times New Roman;Times;serif" w:hAnsi="Times New Roman;Times;serif"/>
          <w:sz w:val="20"/>
        </w:rPr>
        <w:t>as</w:t>
      </w:r>
      <w:r>
        <w:rPr>
          <w:rFonts w:ascii="Times New Roman;Times;serif" w:hAnsi="Times New Roman;Times;serif"/>
          <w:sz w:val="20"/>
          <w:shd w:fill="FFFFFF" w:val="clear"/>
        </w:rPr>
        <w:t xml:space="preserve"> liabilities</w:t>
      </w:r>
      <w:r>
        <w:rPr>
          <w:rFonts w:ascii="Times New Roman;Times;serif" w:hAnsi="Times New Roman;Times;serif"/>
          <w:sz w:val="20"/>
        </w:rPr>
        <w:t xml:space="preserve"> as they do not meet the requirements to be considered indexed to the Company’s own stock, due to the presence of certain Stockholder Approval-related provisions in the Warrants which potentially adjust the settlement value in conjunction with the Stockholder Approval event. Additionally, the Warrants include a provision related to certain tender or exchange offers which further preclude the Warrants from being accounted for as equity. As such, the Company recorded the Warrants as a liability at fair value with subsequent changes in fair value recognized in earnings. </w:t>
      </w:r>
      <w:r>
        <w:rPr>
          <w:rFonts w:ascii="Times New Roman;Times;serif" w:hAnsi="Times New Roman;Times;serif"/>
          <w:sz w:val="20"/>
          <w:shd w:fill="FFFFFF" w:val="clear"/>
        </w:rPr>
        <w:t>The Company utilized the Black Scholes Model to calculate the value of the Warrants issued on issuance. The fair value of the Warrants of approximately $5.9 million was estimated at January 14, 2025 utilizing the Black Scholes Model using the following weighted average assumptions: the fair value of the Company’s common stock per share of $1.37; remaining term of 5 years; equity volatility of 114.0%; and a risk-free interest rate of 4.49%.</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May 16, 2025, the Company entered into an omnibus amendment (the “Warrant Amendment”) with each of the holders of the Series A Warrants and Series B Warrants. The Warrant Amendment makes certain adjustments to the definition of a “Fundamental Transaction” in each of the Warrants, as described in the Warrant Amendment, including changing the scope of the definition applicable to tender or exchange offers that the Company makes, allows one or more Subject Entities (as defined in the Warrant Agreement) to make, or allows the Company to be subject to, to require such a tender or exchange offer to represent more than 50% of the outstanding voting power of the Company. Further, the Warrant Amendment modifies certain terms of the Warrants relating to the rights of the holders in the event of a Fundamental Transaction (as defined in each of the Series A Warrants and Series B Warrants, and as each amended by the Warrant Amendment) that is not within the Company’s control, including that upon a Fundamental Transaction not being approved by the Company’s Board of Directors, the holders of the Warrants shall only be entitled to receive from the Company or any successor entity the same type or form of consideration (and in the same proportion), at the Black Scholes Value (as defined in each of the Series A Warrants and Series B Warrants and as each amended by the Warrant Amendment, as described below) of the unexercised portion of such Warrants, that is being offered and paid to the holders of the Company’s Common Stock. In addition, the Amendment revises the definition of Black Scholes Value related to the volatility input which is now an expected volatility equal to the 30 day volatility obtained from the “HVT” function on Bloomberg (determined utilizing a 365 day annualization factor) as of the trading day immediately following the earliest to occur of (1) the public disclosure of the applicable Fundamental Transaction and (2) the date of a holder’s request. The Warrant Amendment resulted in the reclassification of the Warrants as equity, rather than liability, as upon reassessment, the Company concluded that the Warrants now met the requirements to be considered indexed to the Company’s own stock and eligible for equity classification under ASC 815-40. The Company utilized the Black Scholes Model to calculate the value of the Warrants on the modification date. The fair value of the Warrants of approximately $2.7 million was estimated at May 16, 2025 utilizing the Black Scholes Model using the following weighted average assumptions: the fair value of the Company’s common stock per share of $0.91; remaining term of 4.67 years; equity volatility of 82.0%; and a risk-free interest rate of 3.97%. This information is presented in further detail in Note 16. On May 16, 2025, the $2.7 million fair value of the warrants was reclassified to additional paid-in-capital (APIC) on the unaudited condensed consolidated statements of changes in temporary equity and stockholders’ equity and will not require remeasurement moving forward.</w:t>
      </w:r>
    </w:p>
    <w:p>
      <w:pPr>
        <w:pStyle w:val="TextBody"/>
        <w:bidi w:val="0"/>
        <w:spacing w:before="0" w:after="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219" w:name="Tc_GZbedJP-qUSIMDfVSsmH6Q_5_7"/>
      <w:bookmarkStart w:id="1220" w:name="Tc_fRSydQzJakSDkT5XRxkPkg_5_4"/>
      <w:bookmarkStart w:id="1221" w:name="Tc_GoXeUOT22UCAqf7nqeuLMQ_5_0"/>
      <w:bookmarkStart w:id="1222" w:name="Tc_dlolWe5e10yLHBliKNuVJg_4_8"/>
      <w:bookmarkStart w:id="1223" w:name="Tc_0yTzXszox0KrlBlkUg4H_A_4_7"/>
      <w:bookmarkStart w:id="1224" w:name="Tc_QW03VcCCaESdx3TODRsZvw_4_4"/>
      <w:bookmarkStart w:id="1225" w:name="Tc_surEu2fk5EuS8VVi-DPp9A_4_0"/>
      <w:bookmarkStart w:id="1226" w:name="Tc_dWUNp_NUYEmhP-_xbbkO2Q_3_8"/>
      <w:bookmarkStart w:id="1227" w:name="Tc_KxCkKW6Yt0KY9U50VsLFMg_3_7"/>
      <w:bookmarkStart w:id="1228" w:name="Tc_CBGvHMN-XEqFsl0i9K_UtA_3_5"/>
      <w:bookmarkStart w:id="1229" w:name="Tc_lPirtYHEx0-QmdQFcY3g0w_3_4"/>
      <w:bookmarkStart w:id="1230" w:name="Tc_gTCVKCZy40OzEJgAK89_5Q_3_2"/>
      <w:bookmarkStart w:id="1231" w:name="Tc_WjqwBXwkV060rrGOdcxChw_3_0"/>
      <w:bookmarkStart w:id="1232" w:name="Tc_4v76TjBDyEuQ5ByRT1nlWQ_2_7"/>
      <w:bookmarkStart w:id="1233" w:name="Tc_vOaJ_iyG6kyDnXFnkU4zoA_2_4"/>
      <w:bookmarkStart w:id="1234" w:name="Tc_Zqd7hz3F6ku5v3k9QynyHQ_2_2"/>
      <w:bookmarkStart w:id="1235" w:name="Tc_xh4ZUBwlNEmk3SGGRKAuYQ_1_7"/>
      <w:bookmarkStart w:id="1236" w:name="Tc_hmcNX0keKkGSz9pMB0wGLw_1_4"/>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r>
        <w:rPr>
          <w:rFonts w:ascii="Times New Roman;Times;serif" w:hAnsi="Times New Roman;Times;serif"/>
          <w:sz w:val="20"/>
        </w:rPr>
        <w:t xml:space="preserve">During the three and six months ended June 30, 2025, the Company recorded a gain of approximately $625 and $3,215, respectively, related to the change in fair value of the warrant liability which is recorded in other income (expense) on the unaudited condensed consolidated statements of operations.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represents the activity related to the Company’s warrants during the six months ended June 30, 2025:</w:t>
      </w:r>
    </w:p>
    <w:p>
      <w:pPr>
        <w:pStyle w:val="TextBody"/>
        <w:bidi w:val="0"/>
        <w:spacing w:before="0" w:after="0"/>
        <w:ind w:left="0" w:right="0" w:hanging="0"/>
        <w:jc w:val="left"/>
        <w:rPr/>
      </w:pPr>
      <w:r>
        <w:rPr/>
        <w:t>​</w:t>
      </w:r>
    </w:p>
    <w:tbl>
      <w:tblPr>
        <w:tblW w:w="8001" w:type="dxa"/>
        <w:jc w:val="left"/>
        <w:tblInd w:w="0" w:type="dxa"/>
        <w:tblLayout w:type="fixed"/>
        <w:tblCellMar>
          <w:top w:w="0" w:type="dxa"/>
          <w:left w:w="0" w:type="dxa"/>
          <w:bottom w:w="0" w:type="dxa"/>
          <w:right w:w="0" w:type="dxa"/>
        </w:tblCellMar>
      </w:tblPr>
      <w:tblGrid>
        <w:gridCol w:w="1696"/>
        <w:gridCol w:w="326"/>
        <w:gridCol w:w="1471"/>
        <w:gridCol w:w="326"/>
        <w:gridCol w:w="514"/>
        <w:gridCol w:w="1137"/>
        <w:gridCol w:w="326"/>
        <w:gridCol w:w="642"/>
        <w:gridCol w:w="1563"/>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076960" cy="175260"/>
                      <wp:effectExtent l="0" t="0" r="0" b="0"/>
                      <wp:wrapNone/>
                      <wp:docPr id="186" name="Frame186"/>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934085" cy="175260"/>
                      <wp:effectExtent l="0" t="0" r="0" b="0"/>
                      <wp:wrapNone/>
                      <wp:docPr id="188" name="Frame188"/>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26390" cy="175260"/>
                      <wp:effectExtent l="0" t="0" r="0" b="0"/>
                      <wp:wrapNone/>
                      <wp:docPr id="190" name="Frame190"/>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21995" cy="175260"/>
                      <wp:effectExtent l="0" t="0" r="0" b="0"/>
                      <wp:wrapNone/>
                      <wp:docPr id="191" name="Frame191"/>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07670" cy="175260"/>
                      <wp:effectExtent l="0" t="0" r="0" b="0"/>
                      <wp:wrapNone/>
                      <wp:docPr id="193" name="Frame193"/>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92505" cy="175260"/>
                      <wp:effectExtent l="0" t="0" r="0" b="0"/>
                      <wp:wrapNone/>
                      <wp:docPr id="194" name="Frame194"/>
                      <a:graphic xmlns:a="http://schemas.openxmlformats.org/drawingml/2006/main">
                        <a:graphicData uri="http://schemas.microsoft.com/office/word/2010/wordprocessingShape">
                          <wps:wsp>
                            <wps:cNvSpPr txBox="1"/>
                            <wps:spPr>
                              <a:xfrm>
                                <a:off x="0" y="0"/>
                                <a:ext cx="992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5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 average</w:t>
            </w:r>
          </w:p>
        </w:tc>
        <w:tc>
          <w:tcPr>
            <w:tcW w:w="326" w:type="dxa"/>
            <w:tcBorders/>
            <w:vAlign w:val="center"/>
          </w:tcPr>
          <w:p>
            <w:pPr>
              <w:pStyle w:val="TableContents"/>
              <w:bidi w:val="0"/>
              <w:spacing w:before="0" w:after="0"/>
              <w:ind w:left="0" w:right="0" w:hanging="0"/>
              <w:jc w:val="center"/>
              <w:rPr/>
            </w:pPr>
            <w:r>
              <w:rPr/>
              <w:t>    </w:t>
            </w:r>
          </w:p>
        </w:tc>
        <w:tc>
          <w:tcPr>
            <w:tcW w:w="22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of Warrants</w:t>
            </w:r>
          </w:p>
        </w:tc>
        <w:tc>
          <w:tcPr>
            <w:tcW w:w="326" w:type="dxa"/>
            <w:tcBorders/>
            <w:vAlign w:val="center"/>
          </w:tcPr>
          <w:p>
            <w:pPr>
              <w:pStyle w:val="TableContents"/>
              <w:bidi w:val="0"/>
              <w:spacing w:before="0" w:after="0"/>
              <w:ind w:left="0" w:right="0" w:hanging="0"/>
              <w:jc w:val="center"/>
              <w:rPr/>
            </w:pPr>
            <w:r>
              <w:rPr/>
              <w:t>​</w:t>
            </w:r>
          </w:p>
        </w:tc>
        <w:tc>
          <w:tcPr>
            <w:tcW w:w="16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 price*</w:t>
            </w:r>
          </w:p>
        </w:tc>
        <w:tc>
          <w:tcPr>
            <w:tcW w:w="326" w:type="dxa"/>
            <w:tcBorders/>
            <w:vAlign w:val="center"/>
          </w:tcPr>
          <w:p>
            <w:pPr>
              <w:pStyle w:val="TableContents"/>
              <w:bidi w:val="0"/>
              <w:spacing w:before="0" w:after="0"/>
              <w:ind w:left="0" w:right="0" w:hanging="0"/>
              <w:jc w:val="center"/>
              <w:rPr/>
            </w:pPr>
            <w:r>
              <w:rPr/>
              <w:t>​</w:t>
            </w:r>
          </w:p>
        </w:tc>
        <w:tc>
          <w:tcPr>
            <w:tcW w:w="2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contractual term (years)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3" w:type="dxa"/>
            <w:tcBorders/>
            <w:shd w:fill="CCEEFF" w:val="clear"/>
            <w:vAlign w:val="center"/>
          </w:tcPr>
          <w:p>
            <w:pPr>
              <w:pStyle w:val="TableContents"/>
              <w:bidi w:val="0"/>
              <w:spacing w:before="0" w:after="0"/>
              <w:ind w:left="0" w:right="0" w:hanging="0"/>
              <w:jc w:val="center"/>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5,347,594</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3" w:type="dxa"/>
            <w:tcBorders/>
            <w:vAlign w:val="center"/>
          </w:tcPr>
          <w:p>
            <w:pPr>
              <w:pStyle w:val="TableContents"/>
              <w:bidi w:val="0"/>
              <w:spacing w:before="0" w:after="0"/>
              <w:ind w:left="0" w:right="0" w:hanging="0"/>
              <w:jc w:val="center"/>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14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5,347,594</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3"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outstanding warrants were exercisable as of June 30, 2025 with an intrinsic value of $0.</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12. Commitments and Contingencies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of the Company’s outstanding legal matters include speculative claims for substantial or indeterminate amounts of damages. The Company regularly evaluates developments in its legal matters that could affect the amount of any potential liability and adjusts as appropriate. A significant judgment is required to determine both the likelihood of there being any potential liability and the estimated amount of a loss related to the Company’s legal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expenses legal fees in the period in which they are incurred.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XpresSpa Holdings, LLC (“XpresSpa”) v. Cordial Endeavor Concessions of Atlanta, LLC (“Cordial”), et al., Arbitration Case No. 2126399.</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subsidiary, XpressSpa Holdings, LLC, is party to an arbitration proceeding (the “Arbitration”) which was requested by the City of Atlanta relating to agreements by and between Cordial and XpresSpa for the operation of the XpresSpa locations in Hartsfield - 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dispute arises out of the alleged breaches of contract between the parties as well as other alleged improper conduct relating to the agreements. The Arbitration has recently commenced, and a scheduling order was issued by the Arbitrator on May 12, 2025. An arbitration hearing is scheduled to take place in March 2026.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substantive proceedings have taken place and there have been no substantive rulings.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Arrangements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16, 2025, the Company entered into a sales and marketing agreement with a vendor that obligates the Company to make payments totaling $662 thousand over the next three years.</w:t>
      </w:r>
    </w:p>
    <w:p>
      <w:pPr>
        <w:pStyle w:val="TextBody"/>
        <w:bidi w:val="0"/>
        <w:spacing w:before="100" w:after="100"/>
        <w:ind w:left="0" w:right="0" w:hanging="0"/>
        <w:jc w:val="left"/>
        <w:rPr/>
      </w:pPr>
      <w:r>
        <w:rPr/>
        <w:t>​</w:t>
      </w:r>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claims under which the Company incurs greater liabilities than the Company currently anticipates, could materially adversely affect the Company’s business, financial condition, results of operations and 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event that an action is brought against the Company or one of its subsidiaries, the Company will investigate the allegation and vigorously defend itself.</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237" w:name="Tc__sZScFqzSUq1cZA_DuoKzQ_10_14"/>
      <w:bookmarkStart w:id="1238" w:name="Tc_fw9hklo2D0eyxGqG9ZFYpA_10_11"/>
      <w:bookmarkStart w:id="1239" w:name="Tc_1WZCnGBgeEeIXBcnl5ht8A_10_8"/>
      <w:bookmarkStart w:id="1240" w:name="Tc_wOlWMk1GBUqkvOhSGfP75Q_10_5"/>
      <w:bookmarkStart w:id="1241" w:name="Tc_rG5GfMWG2kC4L1Y-re-0Kw_10_2"/>
      <w:bookmarkStart w:id="1242" w:name="Tc_fK8iPqMp20e_cENcPPj_Jw_10_0"/>
      <w:bookmarkStart w:id="1243" w:name="Tc_q2yh3D1kd0mCoOKjt7iQ6w_9_14"/>
      <w:bookmarkStart w:id="1244" w:name="Tc_Ay-DpfjMpEuaD4Rq38tcNA_9_12"/>
      <w:bookmarkStart w:id="1245" w:name="Tc_16uUgmDsBkWFUfJf8BZyNQ_9_11"/>
      <w:bookmarkStart w:id="1246" w:name="Tc_Iq-B-gT-ME6LSRK8VVVI8Q_9_8"/>
      <w:bookmarkStart w:id="1247" w:name="Tc_jUycIFrScUCTHyKtcIybog_9_5"/>
      <w:bookmarkStart w:id="1248" w:name="Tc_NG6SgpA0REGXacyjypJiMA_9_2"/>
      <w:bookmarkStart w:id="1249" w:name="Tc_Nrqhir9phUuPlrXuQ7BjJw_9_0"/>
      <w:bookmarkStart w:id="1250" w:name="Tc_sm3bjAVXCkOVNzdc0zDtPA_8_14"/>
      <w:bookmarkStart w:id="1251" w:name="Tc_NhA_gZZ4YUu1BffiPEH7vQ_8_11"/>
      <w:bookmarkStart w:id="1252" w:name="Tc_0xJQCCBSq0-IVV8IY4dzJQ_8_8"/>
      <w:bookmarkStart w:id="1253" w:name="Tc_Cxow8RMpH0GeRv7qHiXxYw_8_5"/>
      <w:bookmarkStart w:id="1254" w:name="Tc_ykpnoPv7NUqgYnH92KZSSA_8_2"/>
      <w:bookmarkStart w:id="1255" w:name="Tc_BQxHmov33k-UoTJgsNaJ9A_7_2"/>
      <w:bookmarkStart w:id="1256" w:name="Tc_4PQIPuC8rkioMIWu4qOxkw_4_14"/>
      <w:bookmarkStart w:id="1257" w:name="Tc_xMQ8hyQf3U-zrHjUUL8fjw_4_11"/>
      <w:bookmarkStart w:id="1258" w:name="Tc_XvwEMKmK7U-XUfXW3PtjJA_4_8"/>
      <w:bookmarkStart w:id="1259" w:name="Tc_7k8x_CjAJE2XsPrrpF_R1A_4_5"/>
      <w:bookmarkStart w:id="1260" w:name="Tc_mg0Km7Uq2EOuUk53jFZHdQ_4_2"/>
      <w:bookmarkStart w:id="1261" w:name="Tc_CrXAZBeIfEWcFBHo6BlWoA_4_0"/>
      <w:bookmarkStart w:id="1262" w:name="Tc_GJuW6epxGEuEOfeaVxfhrg_3_14"/>
      <w:bookmarkStart w:id="1263" w:name="Tc_lr6Nh7NnP0Kglv39G_b6Lw_3_12"/>
      <w:bookmarkStart w:id="1264" w:name="Tc_vVDqGw9zYUifHdAVSgggpQ_3_11"/>
      <w:bookmarkStart w:id="1265" w:name="Tc_Eoybe9NUYU6fDGUrIG2c_Q_3_8"/>
      <w:bookmarkStart w:id="1266" w:name="Tc_eH0tpi9ZzkqwSIFOqNdECQ_3_5"/>
      <w:bookmarkStart w:id="1267" w:name="Tc_7ArfoDP95USC4qmJmlw4iQ_3_2"/>
      <w:bookmarkStart w:id="1268" w:name="Tc_aoeV7RcX8kKvxNUf9D64eQ_3_0"/>
      <w:bookmarkStart w:id="1269" w:name="Tc_LcUEUkWNFEqlf-75HWsxTw_2_14"/>
      <w:bookmarkStart w:id="1270" w:name="Tc_AGTixwdHqEumDXdk90_MDg_2_11"/>
      <w:bookmarkStart w:id="1271" w:name="Tc_Tm69ynb-PEeslxaYG7J2ZQ_2_8"/>
      <w:bookmarkStart w:id="1272" w:name="Tc_S6tzWKX8qEqMgCxYTvzexA_2_5"/>
      <w:bookmarkStart w:id="1273" w:name="Tc_XBuhNGrW70mHPX4X13BhNQ_2_2"/>
      <w:bookmarkStart w:id="1274" w:name="Tc_Y_ziMR831UuffEXuEpILuw_1_2"/>
      <w:bookmarkStart w:id="1275" w:name="_556a9525_296f_407e_8697_f457d4c61786"/>
      <w:bookmarkStart w:id="1276" w:name="Tc_ycU06APNJk-30mFwso1HVg_10_14"/>
      <w:bookmarkStart w:id="1277" w:name="Tc_eGtwmlBPJEWJmcO5gVmyHw_10_11"/>
      <w:bookmarkStart w:id="1278" w:name="Tc_o0Ck_WAaFUWIHagaNsCwiQ_10_8"/>
      <w:bookmarkStart w:id="1279" w:name="Tc_s944bV2bwUWXV2mV0fc9lw_10_5"/>
      <w:bookmarkStart w:id="1280" w:name="Tc_Amr20vw3pUq59lMHWpBD4g_10_2"/>
      <w:bookmarkStart w:id="1281" w:name="Tc_S9kntBipWUyCWGoxaSugGA_10_0"/>
      <w:bookmarkStart w:id="1282" w:name="Tc_BikAF24EPEyeemPDMSAlIA_9_14"/>
      <w:bookmarkStart w:id="1283" w:name="Tc_zGJDBN2WM0eIIfRaDqU3yw_9_12"/>
      <w:bookmarkStart w:id="1284" w:name="Tc_p7CLnqoJcEiFIy-jChLWxQ_9_11"/>
      <w:bookmarkStart w:id="1285" w:name="Tc_G5IjX1-P6kipjLqGYAhfXA_9_8"/>
      <w:bookmarkStart w:id="1286" w:name="Tc_cNQr7Hfs6EKvCsis14BS2w_9_5"/>
      <w:bookmarkStart w:id="1287" w:name="Tc_3ZvGghxtrUG5QIwP3cj73Q_9_2"/>
      <w:bookmarkStart w:id="1288" w:name="Tc_JII_Wu0sBUC0FWno7tXTCw_9_0"/>
      <w:bookmarkStart w:id="1289" w:name="Tc_q7KwtDBSNkegnZf76fxQmw_8_14"/>
      <w:bookmarkStart w:id="1290" w:name="Tc_QSJBt3IfgUKAehrMvekJ6g_8_11"/>
      <w:bookmarkStart w:id="1291" w:name="Tc_zctesP29JEW7KGdOQeQsMg_8_8"/>
      <w:bookmarkStart w:id="1292" w:name="Tc_SX7HAiJQDUaP6GSPdTdK2A_8_5"/>
      <w:bookmarkStart w:id="1293" w:name="Tc__YjCAK47MkylcNL0bwf71g_8_2"/>
      <w:bookmarkStart w:id="1294" w:name="Tc_wb2-XbM95kq5-aIGLkk7Fg_7_2"/>
      <w:bookmarkStart w:id="1295" w:name="Tc_tm10kMV7s06uqhLDk0S4Gw_4_14"/>
      <w:bookmarkStart w:id="1296" w:name="Tc_aDuRqJ5BpUKJc_GPZZXNbQ_4_11"/>
      <w:bookmarkStart w:id="1297" w:name="Tc_m13QaNw50ECxP0tYI6sd7w_4_8"/>
      <w:bookmarkStart w:id="1298" w:name="Tc_2fFn5JFTSESdzfiqH9pAaA_4_5"/>
      <w:bookmarkStart w:id="1299" w:name="Tc_ASAZVYezEUi4ooaZuwjRLA_4_2"/>
      <w:bookmarkStart w:id="1300" w:name="Tc_4GdJiyA-d0ixAiELDltazg_4_0"/>
      <w:bookmarkStart w:id="1301" w:name="Tc_OQSc8SNNP0eNSEeCsaQvmw_3_14"/>
      <w:bookmarkStart w:id="1302" w:name="Tc_sGAZhEXfQ0yqiZowLe5G1g_3_12"/>
      <w:bookmarkStart w:id="1303" w:name="Tc_XONbSlfhrUObrX3wKg2oTA_3_11"/>
      <w:bookmarkStart w:id="1304" w:name="Tc_SwPr_9hHMk-hJZoaEHEyYQ_3_8"/>
      <w:bookmarkStart w:id="1305" w:name="Tc_5cLa3SnPxk-aQPRpfjR2WQ_3_5"/>
      <w:bookmarkStart w:id="1306" w:name="Tc_I0ArmOwxrUa-sagD2rfbqQ_3_2"/>
      <w:bookmarkStart w:id="1307" w:name="Tc_uqFaZth4w0qk0d2aGm2pdg_3_0"/>
      <w:bookmarkStart w:id="1308" w:name="Tc_PPXDiLCRekydRaEm5nfeag_2_14"/>
      <w:bookmarkStart w:id="1309" w:name="Tc_I8fc-E0TM02tN1y5eWZXFw_2_11"/>
      <w:bookmarkStart w:id="1310" w:name="Tc_1Gkz0WXHD0KGGZr-b_uB1g_2_8"/>
      <w:bookmarkStart w:id="1311" w:name="Tc_yyCv1hNxkEOZ7t2LwqjaAw_2_5"/>
      <w:bookmarkStart w:id="1312" w:name="Tc_7wKW1YGhbE-fp9I61pCBng_2_2"/>
      <w:bookmarkStart w:id="1313" w:name="Tc_AYSJLArPv0uC6X8aL2lLlw_1_2"/>
      <w:bookmarkStart w:id="1314" w:name="_5d3362f9_2eca_4b70_be50_27188020b0ee"/>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r>
        <w:rPr>
          <w:rFonts w:ascii="Times New Roman;Times;serif" w:hAnsi="Times New Roman;Times;serif"/>
          <w:b/>
          <w:sz w:val="20"/>
        </w:rPr>
        <w:t>Note 13. 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first quarter of 2025, the decision was made to convert the final remaining Treat location at JFK International Airport in New York City to an XWELL location. Treat has been aggregated with XpresSpa in the segment tables below and the presentation has been revised for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CODM evaluates performance and allocates resources for all of its reportable segments based on segment revenues and operating income.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CODM uses segment revenues and segment operating income, to allocate resources (including employees, property, and financial or capital resources) for each segment predominantly in the annual budget and forecasting process. The CODM considers budget-to-actual variances on a monthly basis using the segment revenues and segment operating income when making decisions about allocating capital and personnel to the segments. The CODM also uses the segment revenues and operating income to assess the performance for each segment by comparing the results and return on assets of each segment with one another and in the compensation of certain employees. Expenses that can be specifically identified with a segment have been included as deductions in determining operating income. The Company separately presents the costs associated with certain corporate functions as Corporate and Other, primarily consisting of unallocated operating expenses including costs that were not specific to a particular segment but are general to the group, expenses incurred for insurance, legal fees, public company administrative costs, and other similar corporate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information about reported segments for the three and six months ended June 30, 2025 and 2024:</w:t>
      </w:r>
    </w:p>
    <w:p>
      <w:pPr>
        <w:pStyle w:val="TextBody"/>
        <w:bidi w:val="0"/>
        <w:spacing w:before="0" w:after="0"/>
        <w:ind w:left="0" w:right="0" w:hanging="0"/>
        <w:jc w:val="left"/>
        <w:rPr/>
      </w:pPr>
      <w:r>
        <w:rPr/>
        <w:t>​</w:t>
      </w:r>
    </w:p>
    <w:tbl>
      <w:tblPr>
        <w:tblW w:w="9499" w:type="dxa"/>
        <w:jc w:val="left"/>
        <w:tblInd w:w="0" w:type="dxa"/>
        <w:tblLayout w:type="fixed"/>
        <w:tblCellMar>
          <w:top w:w="0" w:type="dxa"/>
          <w:left w:w="0" w:type="dxa"/>
          <w:bottom w:w="0" w:type="dxa"/>
          <w:right w:w="0" w:type="dxa"/>
        </w:tblCellMar>
      </w:tblPr>
      <w:tblGrid>
        <w:gridCol w:w="2071"/>
        <w:gridCol w:w="326"/>
        <w:gridCol w:w="229"/>
        <w:gridCol w:w="691"/>
        <w:gridCol w:w="326"/>
        <w:gridCol w:w="259"/>
        <w:gridCol w:w="702"/>
        <w:gridCol w:w="326"/>
        <w:gridCol w:w="315"/>
        <w:gridCol w:w="810"/>
        <w:gridCol w:w="326"/>
        <w:gridCol w:w="461"/>
        <w:gridCol w:w="1384"/>
        <w:gridCol w:w="326"/>
        <w:gridCol w:w="211"/>
        <w:gridCol w:w="73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15085" cy="175260"/>
                      <wp:effectExtent l="0" t="0" r="0" b="0"/>
                      <wp:wrapNone/>
                      <wp:docPr id="195" name="Frame195"/>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5415" cy="175260"/>
                      <wp:effectExtent l="0" t="0" r="0" b="0"/>
                      <wp:wrapNone/>
                      <wp:docPr id="197" name="Frame197"/>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38785" cy="175260"/>
                      <wp:effectExtent l="0" t="0" r="0" b="0"/>
                      <wp:wrapNone/>
                      <wp:docPr id="198" name="Frame1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64465" cy="175260"/>
                      <wp:effectExtent l="0" t="0" r="0" b="0"/>
                      <wp:wrapNone/>
                      <wp:docPr id="200" name="Frame20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45770" cy="175260"/>
                      <wp:effectExtent l="0" t="0" r="0" b="0"/>
                      <wp:wrapNone/>
                      <wp:docPr id="201" name="Frame201"/>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0025" cy="175260"/>
                      <wp:effectExtent l="0" t="0" r="0" b="0"/>
                      <wp:wrapNone/>
                      <wp:docPr id="203" name="Frame203"/>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14350" cy="175260"/>
                      <wp:effectExtent l="0" t="0" r="0" b="0"/>
                      <wp:wrapNone/>
                      <wp:docPr id="204" name="Frame204"/>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92735" cy="175260"/>
                      <wp:effectExtent l="0" t="0" r="0" b="0"/>
                      <wp:wrapNone/>
                      <wp:docPr id="206" name="Frame206"/>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878840" cy="175260"/>
                      <wp:effectExtent l="0" t="0" r="0" b="0"/>
                      <wp:wrapNone/>
                      <wp:docPr id="207" name="Frame207"/>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67360" cy="175260"/>
                      <wp:effectExtent l="0" t="0" r="0" b="0"/>
                      <wp:wrapNone/>
                      <wp:docPr id="210" name="Frame21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10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2025</w: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1"/>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4,886</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2,156</w:t>
            </w:r>
          </w:p>
        </w:tc>
        <w:tc>
          <w:tcPr>
            <w:tcW w:w="326" w:type="dxa"/>
            <w:tcBorders/>
            <w:shd w:fill="CCEEFF" w:val="clear"/>
            <w:vAlign w:val="center"/>
          </w:tcPr>
          <w:p>
            <w:pPr>
              <w:pStyle w:val="TableContents"/>
              <w:bidi w:val="0"/>
              <w:spacing w:before="0" w:after="1"/>
              <w:ind w:left="0" w:right="0" w:hanging="0"/>
              <w:jc w:val="left"/>
              <w:rPr/>
            </w:pPr>
            <w:r>
              <w:rPr/>
              <w:t> </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w:t>
            </w:r>
          </w:p>
        </w:tc>
        <w:tc>
          <w:tcPr>
            <w:tcW w:w="326" w:type="dxa"/>
            <w:tcBorders/>
            <w:shd w:fill="CCEEFF" w:val="clear"/>
            <w:vAlign w:val="center"/>
          </w:tcPr>
          <w:p>
            <w:pPr>
              <w:pStyle w:val="TableContents"/>
              <w:bidi w:val="0"/>
              <w:spacing w:before="0" w:after="1"/>
              <w:ind w:left="0" w:right="0" w:hanging="0"/>
              <w:jc w:val="right"/>
              <w:rPr/>
            </w:pPr>
            <w:r>
              <w:rPr/>
              <w:t>​</w:t>
            </w:r>
          </w:p>
        </w:tc>
        <w:tc>
          <w:tcPr>
            <w:tcW w:w="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7,689</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(loss)/income</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vAlign w:val="center"/>
          </w:tcPr>
          <w:p>
            <w:pPr>
              <w:pStyle w:val="TableContents"/>
              <w:bidi w:val="0"/>
              <w:spacing w:before="0" w:after="1"/>
              <w:ind w:left="0" w:right="0" w:hanging="0"/>
              <w:jc w:val="right"/>
              <w:rPr/>
            </w:pPr>
            <w:r>
              <w:rPr/>
              <w:t>​</w:t>
            </w:r>
          </w:p>
        </w:tc>
        <w:tc>
          <w:tcPr>
            <w:tcW w:w="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(2,692)</w: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13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13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10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2024</w: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1"/>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3,842</w:t>
            </w:r>
          </w:p>
        </w:tc>
        <w:tc>
          <w:tcPr>
            <w:tcW w:w="326" w:type="dxa"/>
            <w:tcBorders/>
            <w:shd w:fill="CCEEFF" w:val="clear"/>
            <w:vAlign w:val="center"/>
          </w:tcPr>
          <w:p>
            <w:pPr>
              <w:pStyle w:val="TableContents"/>
              <w:bidi w:val="0"/>
              <w:spacing w:before="0" w:after="1"/>
              <w:ind w:left="0" w:right="0" w:hanging="0"/>
              <w:jc w:val="left"/>
              <w:rPr/>
            </w:pPr>
            <w:r>
              <w:rPr/>
              <w:t> </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326"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9,282</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(loss)/income</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(1,444)</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w:t>
            </w:r>
          </w:p>
        </w:tc>
      </w:tr>
    </w:tbl>
    <w:p>
      <w:pPr>
        <w:pStyle w:val="TextBody"/>
        <w:bidi w:val="0"/>
        <w:spacing w:before="0" w:after="240"/>
        <w:ind w:left="0" w:right="0" w:hanging="0"/>
        <w:jc w:val="both"/>
        <w:rPr/>
      </w:pPr>
      <w:r>
        <w:rPr/>
        <w:t>​</w:t>
      </w:r>
    </w:p>
    <w:tbl>
      <w:tblPr>
        <w:tblW w:w="9499" w:type="dxa"/>
        <w:jc w:val="left"/>
        <w:tblInd w:w="0" w:type="dxa"/>
        <w:tblLayout w:type="fixed"/>
        <w:tblCellMar>
          <w:top w:w="0" w:type="dxa"/>
          <w:left w:w="0" w:type="dxa"/>
          <w:bottom w:w="0" w:type="dxa"/>
          <w:right w:w="0" w:type="dxa"/>
        </w:tblCellMar>
      </w:tblPr>
      <w:tblGrid>
        <w:gridCol w:w="2071"/>
        <w:gridCol w:w="326"/>
        <w:gridCol w:w="229"/>
        <w:gridCol w:w="691"/>
        <w:gridCol w:w="326"/>
        <w:gridCol w:w="259"/>
        <w:gridCol w:w="702"/>
        <w:gridCol w:w="326"/>
        <w:gridCol w:w="303"/>
        <w:gridCol w:w="822"/>
        <w:gridCol w:w="326"/>
        <w:gridCol w:w="461"/>
        <w:gridCol w:w="1384"/>
        <w:gridCol w:w="326"/>
        <w:gridCol w:w="211"/>
        <w:gridCol w:w="73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15085" cy="175260"/>
                      <wp:effectExtent l="0" t="0" r="0" b="0"/>
                      <wp:wrapNone/>
                      <wp:docPr id="211" name="Frame21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45415" cy="175260"/>
                      <wp:effectExtent l="0" t="0" r="0" b="0"/>
                      <wp:wrapNone/>
                      <wp:docPr id="213" name="Frame213"/>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38785" cy="175260"/>
                      <wp:effectExtent l="0" t="0" r="0" b="0"/>
                      <wp:wrapNone/>
                      <wp:docPr id="214" name="Frame2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4465" cy="175260"/>
                      <wp:effectExtent l="0" t="0" r="0" b="0"/>
                      <wp:wrapNone/>
                      <wp:docPr id="216" name="Frame216"/>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45770" cy="175260"/>
                      <wp:effectExtent l="0" t="0" r="0" b="0"/>
                      <wp:wrapNone/>
                      <wp:docPr id="217" name="Frame217"/>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92405" cy="175260"/>
                      <wp:effectExtent l="0" t="0" r="0" b="0"/>
                      <wp:wrapNone/>
                      <wp:docPr id="219" name="Frame21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21970" cy="175260"/>
                      <wp:effectExtent l="0" t="0" r="0" b="0"/>
                      <wp:wrapNone/>
                      <wp:docPr id="220" name="Frame220"/>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92735" cy="175260"/>
                      <wp:effectExtent l="0" t="0" r="0" b="0"/>
                      <wp:wrapNone/>
                      <wp:docPr id="222" name="Frame222"/>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878840" cy="175260"/>
                      <wp:effectExtent l="0" t="0" r="0" b="0"/>
                      <wp:wrapNone/>
                      <wp:docPr id="223" name="Frame223"/>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67360" cy="175260"/>
                      <wp:effectExtent l="0" t="0" r="0" b="0"/>
                      <wp:wrapNone/>
                      <wp:docPr id="226" name="Frame22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0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2025</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9,180</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shd w:fill="CCEEFF" w:val="clear"/>
            <w:vAlign w:val="center"/>
          </w:tcPr>
          <w:p>
            <w:pPr>
              <w:pStyle w:val="TableContents"/>
              <w:bidi w:val="0"/>
              <w:spacing w:before="0" w:after="0"/>
              <w:ind w:left="0" w:right="0" w:hanging="0"/>
              <w:jc w:val="right"/>
              <w:rPr/>
            </w:pPr>
            <w:r>
              <w:rPr/>
              <w:t>​</w:t>
            </w:r>
          </w:p>
        </w:tc>
        <w:tc>
          <w:tcPr>
            <w:tcW w:w="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14,712</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(loss)/income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26" w:type="dxa"/>
            <w:tcBorders/>
            <w:vAlign w:val="center"/>
          </w:tcPr>
          <w:p>
            <w:pPr>
              <w:pStyle w:val="TableContents"/>
              <w:bidi w:val="0"/>
              <w:spacing w:before="0" w:after="0"/>
              <w:ind w:left="0" w:right="0" w:hanging="0"/>
              <w:jc w:val="right"/>
              <w:rPr/>
            </w:pPr>
            <w:r>
              <w:rPr/>
              <w:t>​</w:t>
            </w:r>
          </w:p>
        </w:tc>
        <w:tc>
          <w:tcPr>
            <w:tcW w:w="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(5,850)</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0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2024</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9,358</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7,485</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18,008</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(loss)/income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315" w:name="Tc_XUdT2DcQXEC2XdUGxEoLgA_27_14"/>
      <w:bookmarkStart w:id="1316" w:name="Tc_u5U5zx8wF06r52MWzlp4nQ_27_11"/>
      <w:bookmarkStart w:id="1317" w:name="Tc_slxRFltYj0CYf0I8STCNZA_27_8"/>
      <w:bookmarkStart w:id="1318" w:name="Tc_PsAVdHG4Fk6l8NFzc0kyPA_27_5"/>
      <w:bookmarkStart w:id="1319" w:name="Tc_JnA14R0xY02t4mtp9eyivw_27_2"/>
      <w:bookmarkStart w:id="1320" w:name="Tc_tj0Od8WqVUiU7NRzYHO1Tg_27_0"/>
      <w:bookmarkStart w:id="1321" w:name="Tc_6o8IJ5mEyE6racrf2kLRwQ_26_0"/>
      <w:bookmarkStart w:id="1322" w:name="Tc_1zsaG2rWeUmV_zRzaR-Odg_25_0"/>
      <w:bookmarkStart w:id="1323" w:name="Tc_RYmRH5QW4kKCsaBf-MrTKQ_24_12"/>
      <w:bookmarkStart w:id="1324" w:name="Tc_CR17zqiBFUamFsSs3n3sDA_24_9"/>
      <w:bookmarkStart w:id="1325" w:name="Tc_zS_ctBKM9EiIsk8kMQJ15Q_24_6"/>
      <w:bookmarkStart w:id="1326" w:name="Tc_1ZZq-Ogu_U22lPSxdHe-Hg_24_0"/>
      <w:bookmarkStart w:id="1327" w:name="Tc_DAnvwihe90-sa6VqM0CJsw_23_0"/>
      <w:bookmarkStart w:id="1328" w:name="Tc_jiynEoxb6EuDui0Is-bTQg_22_12"/>
      <w:bookmarkStart w:id="1329" w:name="Tc_D81bbLwc3kSMwmycNPPO1A_22_0"/>
      <w:bookmarkStart w:id="1330" w:name="Tc_4Kd7emRPakWAN0BWFk1G4A_21_12"/>
      <w:bookmarkStart w:id="1331" w:name="Tc_VRLIxGcff0Cf_nxeaLcNVw_21_0"/>
      <w:bookmarkStart w:id="1332" w:name="Tc_8H_noeFq9EqFTtKPzMow3A_20_12"/>
      <w:bookmarkStart w:id="1333" w:name="Tc_dXKGqUB5DUmGoeiUYuXWDA_20_0"/>
      <w:bookmarkStart w:id="1334" w:name="Tc_ePyb06Wkc0KdgO8AQru_-w_19_12"/>
      <w:bookmarkStart w:id="1335" w:name="Tc_KeHZNVmFekii1uFydqMqxw_19_0"/>
      <w:bookmarkStart w:id="1336" w:name="Tc_lu1FoIzS30eJbHBYp0npyg_18_0"/>
      <w:bookmarkStart w:id="1337" w:name="Tc_jlmMc_0FyEWWMPZL2Mrh8w_17_14"/>
      <w:bookmarkStart w:id="1338" w:name="Tc_JktVRX3LiEWl9T3tV0Biyw_17_12"/>
      <w:bookmarkStart w:id="1339" w:name="Tc_2YvWvsLfxUCfNofI2lXNww_17_11"/>
      <w:bookmarkStart w:id="1340" w:name="Tc_oZUW8vH6YUW3AIdpQAjQdQ_17_8"/>
      <w:bookmarkStart w:id="1341" w:name="Tc_ekdfFeS2TUmUd4a84M2uug_17_5"/>
      <w:bookmarkStart w:id="1342" w:name="Tc_9D0cdi_iTk6kAbMA7jkHpQ_17_2"/>
      <w:bookmarkStart w:id="1343" w:name="Tc_WlNZR0K1pke0B0xbdj1luw_17_0"/>
      <w:bookmarkStart w:id="1344" w:name="Tc_lU_dWTiCikeYyfk7uen9Ig_16_14"/>
      <w:bookmarkStart w:id="1345" w:name="Tc_CNU50K2bYkOkJRVrEcOIAw_16_11"/>
      <w:bookmarkStart w:id="1346" w:name="Tc_GA16f8IOUU6VWBtnfdmzDQ_16_8"/>
      <w:bookmarkStart w:id="1347" w:name="Tc_fwawIqZJK0SJgtqkzvJbFA_16_5"/>
      <w:bookmarkStart w:id="1348" w:name="Tc_GUK0dylJKU6MOCXj-SQpTA_16_2"/>
      <w:bookmarkStart w:id="1349" w:name="Tc_5SmMAT9h20eBnjuMu3ezMw_15_2"/>
      <w:bookmarkStart w:id="1350" w:name="Tc_UBy4_wW1IkivbkgaQrYzCg_12_14"/>
      <w:bookmarkStart w:id="1351" w:name="Tc_kVbPBmitSEm8jkqRzi2qmg_12_11"/>
      <w:bookmarkStart w:id="1352" w:name="Tc_nRmjrtKkAE2rDeOLber7rg_12_8"/>
      <w:bookmarkStart w:id="1353" w:name="Tc_Da0oXhz1H0ecV5jxRVRXng_12_5"/>
      <w:bookmarkStart w:id="1354" w:name="Tc_NH8d0h8rDU66QE5BUjn1OQ_12_2"/>
      <w:bookmarkStart w:id="1355" w:name="Tc_rAc4He8SmkKZqHVjUlOgiQ_12_0"/>
      <w:bookmarkStart w:id="1356" w:name="Tc_Q_elju02I0GB_-zAHyhdLQ_11_0"/>
      <w:bookmarkStart w:id="1357" w:name="Tc_ROCNrxjgVUe8SQN7GOjcBg_10_0"/>
      <w:bookmarkStart w:id="1358" w:name="Tc_0xyci5XWrUOvMHRuxFKhvg_9_0"/>
      <w:bookmarkStart w:id="1359" w:name="Tc_5USyfUFih0OXLUKI8i7F8A_8_12"/>
      <w:bookmarkStart w:id="1360" w:name="Tc_WE8DW2irVEqqVOAqmAi4Kg_8_0"/>
      <w:bookmarkStart w:id="1361" w:name="Tc_cjmOHMv2Ekyj2ZLe0a5k7A_7_12"/>
      <w:bookmarkStart w:id="1362" w:name="Tc_LWskHV8H10KbTUT5bzjihw_7_0"/>
      <w:bookmarkStart w:id="1363" w:name="Tc_T4G6Pn6OCkmcFjPd8FGElg_6_12"/>
      <w:bookmarkStart w:id="1364" w:name="Tc_5xG9TSngcUmrcbDgs9HG1A_6_6"/>
      <w:bookmarkStart w:id="1365" w:name="Tc_pmNYkkQicUiVF8LczvvYhA_6_0"/>
      <w:bookmarkStart w:id="1366" w:name="Tc_jNvfNcil6k-qudTcJe1jzA_5_12"/>
      <w:bookmarkStart w:id="1367" w:name="Tc_BmvFRMB6kUykNEB9w20UuQ_5_0"/>
      <w:bookmarkStart w:id="1368" w:name="Tc_SRf_r7AWUEmye5VuAYv1yA_4_0"/>
      <w:bookmarkStart w:id="1369" w:name="Tc_Z5DK5G23j0meb1zCosU5AQ_3_14"/>
      <w:bookmarkStart w:id="1370" w:name="Tc_hvR-6X9NJ0yVmVnXt95dQQ_3_12"/>
      <w:bookmarkStart w:id="1371" w:name="Tc_293yHVPq1EGxU_2tptxlwQ_3_11"/>
      <w:bookmarkStart w:id="1372" w:name="Tc_UtHEqjcvlU29ACevw5qLLA_3_8"/>
      <w:bookmarkStart w:id="1373" w:name="Tc_qFIOnQuJ8USm8oiwyoqQyw_3_5"/>
      <w:bookmarkStart w:id="1374" w:name="Tc_IPWqJ--UUEO421auiIhmrg_3_2"/>
      <w:bookmarkStart w:id="1375" w:name="Tc_5k9bqqOow0qVzwdDxT7UoA_3_0"/>
      <w:bookmarkStart w:id="1376" w:name="Tc_sU1bOlGyH0avIoKaJEKYZA_2_14"/>
      <w:bookmarkStart w:id="1377" w:name="Tc_idgu0FuLwkmu75aHNvtu8Q_2_11"/>
      <w:bookmarkStart w:id="1378" w:name="Tc_PhIvBAqRtk-ISNZ5s2JbsA_2_8"/>
      <w:bookmarkStart w:id="1379" w:name="Tc_LVFGrIp62EGhdjGYFNPvkg_2_5"/>
      <w:bookmarkStart w:id="1380" w:name="Tc_kyfJQuUQSU2tUIWYOzu1Mg_2_2"/>
      <w:bookmarkStart w:id="1381" w:name="Tc_qlf5JdsjDUyorUh8tU6ykA_1_2"/>
      <w:bookmarkStart w:id="1382" w:name="_f7d2bd80_99aa_4b15_ab5f_338e3ea0154f"/>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r>
        <w:rPr>
          <w:rFonts w:ascii="Times New Roman;Times;serif" w:hAnsi="Times New Roman;Times;serif"/>
          <w:sz w:val="20"/>
        </w:rPr>
        <w:t>A reconciliation of total segment revenues to total unaudited condensed consolidated revenue and of total segment operating (loss) income to total consolidated (loss) income, for the three and six months ended June 30, 2025 and 2024, is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32"/>
        <w:gridCol w:w="326"/>
        <w:gridCol w:w="229"/>
        <w:gridCol w:w="690"/>
        <w:gridCol w:w="326"/>
        <w:gridCol w:w="259"/>
        <w:gridCol w:w="702"/>
        <w:gridCol w:w="326"/>
        <w:gridCol w:w="295"/>
        <w:gridCol w:w="747"/>
        <w:gridCol w:w="326"/>
        <w:gridCol w:w="420"/>
        <w:gridCol w:w="1262"/>
        <w:gridCol w:w="326"/>
        <w:gridCol w:w="211"/>
        <w:gridCol w:w="728"/>
      </w:tblGrid>
      <w:tr>
        <w:trPr/>
        <w:tc>
          <w:tcPr>
            <w:tcW w:w="3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925320" cy="175260"/>
                      <wp:effectExtent l="0" t="0" r="0" b="0"/>
                      <wp:wrapNone/>
                      <wp:docPr id="227" name="Frame227"/>
                      <a:graphic xmlns:a="http://schemas.openxmlformats.org/drawingml/2006/main">
                        <a:graphicData uri="http://schemas.microsoft.com/office/word/2010/wordprocessingShape">
                          <wps:wsp>
                            <wps:cNvSpPr txBox="1"/>
                            <wps:spPr>
                              <a:xfrm>
                                <a:off x="0" y="0"/>
                                <a:ext cx="1925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45415" cy="175260"/>
                      <wp:effectExtent l="0" t="0" r="0" b="0"/>
                      <wp:wrapNone/>
                      <wp:docPr id="229" name="Frame229"/>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8150" cy="175260"/>
                      <wp:effectExtent l="0" t="0" r="0" b="0"/>
                      <wp:wrapNone/>
                      <wp:docPr id="230" name="Frame23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64465" cy="175260"/>
                      <wp:effectExtent l="0" t="0" r="0" b="0"/>
                      <wp:wrapNone/>
                      <wp:docPr id="232" name="Frame232"/>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45770" cy="175260"/>
                      <wp:effectExtent l="0" t="0" r="0" b="0"/>
                      <wp:wrapNone/>
                      <wp:docPr id="233" name="Frame233"/>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87325" cy="175260"/>
                      <wp:effectExtent l="0" t="0" r="0" b="0"/>
                      <wp:wrapNone/>
                      <wp:docPr id="235" name="Frame235"/>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74345" cy="175260"/>
                      <wp:effectExtent l="0" t="0" r="0" b="0"/>
                      <wp:wrapNone/>
                      <wp:docPr id="236" name="Frame236"/>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66700" cy="175260"/>
                      <wp:effectExtent l="0" t="0" r="0" b="0"/>
                      <wp:wrapNone/>
                      <wp:docPr id="238" name="Frame238"/>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801370" cy="175260"/>
                      <wp:effectExtent l="0" t="0" r="0" b="0"/>
                      <wp:wrapNone/>
                      <wp:docPr id="239" name="Frame239"/>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62280" cy="175260"/>
                      <wp:effectExtent l="0" t="0" r="0" b="0"/>
                      <wp:wrapNone/>
                      <wp:docPr id="242" name="Frame242"/>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4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2025</w:t>
            </w:r>
          </w:p>
        </w:tc>
      </w:tr>
      <w:tr>
        <w:trPr/>
        <w:tc>
          <w:tcPr>
            <w:tcW w:w="3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6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4,886</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w:t>
            </w:r>
          </w:p>
        </w:tc>
        <w:tc>
          <w:tcPr>
            <w:tcW w:w="326" w:type="dxa"/>
            <w:tcBorders/>
            <w:shd w:fill="CCEEFF" w:val="clear"/>
            <w:vAlign w:val="center"/>
          </w:tcPr>
          <w:p>
            <w:pPr>
              <w:pStyle w:val="TableContents"/>
              <w:bidi w:val="0"/>
              <w:spacing w:before="0" w:after="0"/>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326"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Aptos Narrow" w:hAnsi="Aptos Narrow"/>
                <w:sz w:val="20"/>
              </w:rPr>
            </w:pPr>
            <w:r>
              <w:rPr>
                <w:rFonts w:ascii="Aptos Narrow" w:hAnsi="Aptos Narrow"/>
                <w:sz w:val="20"/>
              </w:rPr>
              <w:t>344</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3,912</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shd w:fill="CCEEFF" w:val="clear"/>
            <w:vAlign w:val="center"/>
          </w:tcPr>
          <w:p>
            <w:pPr>
              <w:pStyle w:val="TableContents"/>
              <w:bidi w:val="0"/>
              <w:spacing w:before="0" w:after="0"/>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4,280</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(loss) income</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26" w:type="dxa"/>
            <w:tcBorders/>
            <w:vAlign w:val="center"/>
          </w:tcPr>
          <w:p>
            <w:pPr>
              <w:pStyle w:val="TableContents"/>
              <w:bidi w:val="0"/>
              <w:spacing w:before="0" w:after="0"/>
              <w:ind w:left="0" w:right="0" w:hanging="0"/>
              <w:jc w:val="righ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326" w:type="dxa"/>
            <w:tcBorders/>
            <w:vAlign w:val="center"/>
          </w:tcPr>
          <w:p>
            <w:pPr>
              <w:pStyle w:val="TableContents"/>
              <w:bidi w:val="0"/>
              <w:spacing w:before="0" w:after="0"/>
              <w:ind w:left="0" w:right="0" w:hanging="0"/>
              <w:jc w:val="righ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vAlign w:val="center"/>
          </w:tcPr>
          <w:p>
            <w:pPr>
              <w:pStyle w:val="TableContents"/>
              <w:bidi w:val="0"/>
              <w:spacing w:before="0" w:after="0"/>
              <w:ind w:left="0" w:right="0" w:hanging="0"/>
              <w:jc w:val="righ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3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588" w:type="dxa"/>
            <w:gridSpan w:val="2"/>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r>
      <w:tr>
        <w:trPr/>
        <w:tc>
          <w:tcPr>
            <w:tcW w:w="3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r>
      <w:tr>
        <w:trPr/>
        <w:tc>
          <w:tcPr>
            <w:tcW w:w="3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4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2024</w:t>
            </w:r>
          </w:p>
        </w:tc>
      </w:tr>
      <w:tr>
        <w:trPr/>
        <w:tc>
          <w:tcPr>
            <w:tcW w:w="3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6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4,923</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3,842</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9,282</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4,660</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 net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pPr>
            <w:r>
              <w:rPr/>
              <w:t>​</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4,725</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(loss) income</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w:t>
            </w:r>
          </w:p>
        </w:tc>
        <w:tc>
          <w:tcPr>
            <w:tcW w:w="326" w:type="dxa"/>
            <w:tcBorders/>
            <w:shd w:fill="CCEEFF" w:val="clear"/>
            <w:vAlign w:val="center"/>
          </w:tcPr>
          <w:p>
            <w:pPr>
              <w:pStyle w:val="TableContents"/>
              <w:bidi w:val="0"/>
              <w:spacing w:before="0" w:after="0"/>
              <w:ind w:left="0" w:right="0" w:hanging="0"/>
              <w:jc w:val="righ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1383" w:name="Tc_RoVlMafhp0edifbc5LmG6g_9_15"/>
      <w:bookmarkStart w:id="1384" w:name="Tc_2M8tF2KTXECNICHo_Cx3ew_9_14"/>
      <w:bookmarkStart w:id="1385" w:name="Tc_XZmnyPAQj0eSyyBK4b_03w_9_12"/>
      <w:bookmarkStart w:id="1386" w:name="Tc_EDnVPfnrAUm5vY6k0tonVA_9_11"/>
      <w:bookmarkStart w:id="1387" w:name="Tc_P6JTKWHlGEyK-Hj0KC1QpQ_9_9"/>
      <w:bookmarkStart w:id="1388" w:name="Tc_eygL0TCTN0KJUQzPos-KlQ_9_8"/>
      <w:bookmarkStart w:id="1389" w:name="Tc_w2Bx4p3GqEaDWiOGxOYscg_9_6"/>
      <w:bookmarkStart w:id="1390" w:name="Tc_HD2E6CX0r0GUtg0__Yt-wg_9_5"/>
      <w:bookmarkStart w:id="1391" w:name="Tc_Sdz64lRdq0i-HMeZyRGSmg_9_3"/>
      <w:bookmarkStart w:id="1392" w:name="Tc_SIoDBSR5LUqfMOjqXJUiVw_9_2"/>
      <w:bookmarkStart w:id="1393" w:name="Tc_DXU1Dc_aEEig4SIn47ckQg_9_0"/>
      <w:bookmarkStart w:id="1394" w:name="Tc_84xOT5qlYUe00B-iwaSJ0Q_8_14"/>
      <w:bookmarkStart w:id="1395" w:name="Tc_OIspSbNDlU-wijl-MMe64Q_8_12"/>
      <w:bookmarkStart w:id="1396" w:name="Tc_VrRFmTiMtkGlHpFP8jNqFQ_8_11"/>
      <w:bookmarkStart w:id="1397" w:name="Tc_5lhHJk70nECPPVz0ly9nAQ_8_9"/>
      <w:bookmarkStart w:id="1398" w:name="Tc_lfrrsjOV00q4C6SCpYtv1A_8_8"/>
      <w:bookmarkStart w:id="1399" w:name="Tc_XsSi2j3zBkCOcLXT9gXY_A_8_5"/>
      <w:bookmarkStart w:id="1400" w:name="Tc_IbY7URNDMU6MAVXRkWb-EQ_8_2"/>
      <w:bookmarkStart w:id="1401" w:name="Tc_5REVw0gZ-kifC9PfUpr3ng_8_0"/>
      <w:bookmarkStart w:id="1402" w:name="Tc_KqIktxXg0U-Ypcu0DqTPWw_7_14"/>
      <w:bookmarkStart w:id="1403" w:name="Tc_jRb5lN3nJ0abINQwIqgr8w_7_11"/>
      <w:bookmarkStart w:id="1404" w:name="Tc_tbU39yBxiUu7U8m65DO5XQ_7_8"/>
      <w:bookmarkStart w:id="1405" w:name="Tc_gH0uoGnw-0iseX7819kKLg_7_5"/>
      <w:bookmarkStart w:id="1406" w:name="Tc_XkEF8APFZU6TgNxuQsacQg_7_2"/>
      <w:bookmarkStart w:id="1407" w:name="Tc_sjF1dfszfEC_lEQ-SRxWIA_6_2"/>
      <w:bookmarkStart w:id="1408" w:name="Tc_yIZnJGkT90mzzbUUaObZfw_3_14"/>
      <w:bookmarkStart w:id="1409" w:name="Tc_W46Qh2t3EEmvrK1qi92lIw_3_11"/>
      <w:bookmarkStart w:id="1410" w:name="Tc__1y-DZO2G0S0MFhZt8OLpg_3_9"/>
      <w:bookmarkStart w:id="1411" w:name="Tc_CeL9CWJLzkmsUZNcwGxIRQ_3_8"/>
      <w:bookmarkStart w:id="1412" w:name="Tc_Yw5AVnA76UymMa7v1d0c4Q_3_6"/>
      <w:bookmarkStart w:id="1413" w:name="Tc_skp-ybkTy0euLJXlCBqONw_3_5"/>
      <w:bookmarkStart w:id="1414" w:name="Tc_zuewdrVVk0WkhdO7w5Y9cg_3_2"/>
      <w:bookmarkStart w:id="1415" w:name="Tc_pU2rKYDmBEaqx1CGHmh_2g_3_0"/>
      <w:bookmarkStart w:id="1416" w:name="Tc_sOaUY2s-8UuSjQqUOtgWPg_2_14"/>
      <w:bookmarkStart w:id="1417" w:name="Tc_OUAiNQMsFEqERaCLQGiBEQ_2_11"/>
      <w:bookmarkStart w:id="1418" w:name="Tc__kMTrUq4nU2BxlbImTjSOQ_2_8"/>
      <w:bookmarkStart w:id="1419" w:name="Tc_G6Q7mxJ9jEW8jo8owBjzWw_2_5"/>
      <w:bookmarkStart w:id="1420" w:name="Tc_to25w5eRC0-OXg95O_mO9w_2_2"/>
      <w:bookmarkStart w:id="1421" w:name="Tc_z8fhzBSctkuhB27e45QK6Q_1_2"/>
      <w:bookmarkStart w:id="1422" w:name="_39a6a5da_ebb2_4c7b_8d76_9d849eeb9159"/>
      <w:bookmarkStart w:id="1423" w:name="Tc_cPdTF8KHikqqs6G-5LaysA_28_14"/>
      <w:bookmarkStart w:id="1424" w:name="Tc_oogMuSZErkac5vhYrSbLzw_28_11"/>
      <w:bookmarkStart w:id="1425" w:name="Tc_pqWeyl3KIUGHHsZ6WbMLWQ_28_8"/>
      <w:bookmarkStart w:id="1426" w:name="Tc_HMK3PUKk20aeVnnpb9TfRg_28_5"/>
      <w:bookmarkStart w:id="1427" w:name="Tc_4DS-Oa4DykmdY80DEljO1A_28_2"/>
      <w:bookmarkStart w:id="1428" w:name="Tc_5IxWk23XvkOFXE12U4F8dw_28_0"/>
      <w:bookmarkStart w:id="1429" w:name="Tc_Us0xGE2Od0G--Gl0wRMuKg_27_0"/>
      <w:bookmarkStart w:id="1430" w:name="Tc_S2cn5fZkIk2gny_vFUxQ7A_26_0"/>
      <w:bookmarkStart w:id="1431" w:name="Tc_gjLHXqaklk2XRYgulY4DMA_25_12"/>
      <w:bookmarkStart w:id="1432" w:name="Tc_MJsZL5UdBUKqzZGwl5GBjQ_25_9"/>
      <w:bookmarkStart w:id="1433" w:name="Tc_vpqr86zp3kqL2wLTA56QZA_25_6"/>
      <w:bookmarkStart w:id="1434" w:name="Tc_zMN0-Gxe5UiVOnB8Yqy-mg_25_0"/>
      <w:bookmarkStart w:id="1435" w:name="Tc_zsGfOei2ck-5T64F0L2Vpw_24_12"/>
      <w:bookmarkStart w:id="1436" w:name="Tc_HH84M0Rd20u6oSeQXv4ODA_24_9"/>
      <w:bookmarkStart w:id="1437" w:name="Tc_xF5aAEXDLU2hw_d6qOqrMw_24_6"/>
      <w:bookmarkStart w:id="1438" w:name="Tc_8hKPR0WCg0GFO9lMZdI3jA_24_0"/>
      <w:bookmarkStart w:id="1439" w:name="Tc_eFftU1bbX0SOi49X3L9A2g_23_0"/>
      <w:bookmarkStart w:id="1440" w:name="Tc_xUm794hZ8UW0e2EUvANSNQ_22_12"/>
      <w:bookmarkStart w:id="1441" w:name="Tc_UVdTDSVp9Eioc91-y8pkug_22_0"/>
      <w:bookmarkStart w:id="1442" w:name="Tc_e7xuPVrGhkmybgR355boMg_21_12"/>
      <w:bookmarkStart w:id="1443" w:name="Tc_XQ7jpTvGqEK2nz3_KOuN8w_21_0"/>
      <w:bookmarkStart w:id="1444" w:name="Tc_UThKMdOLYkOaL6htjFUh-Q_20_12"/>
      <w:bookmarkStart w:id="1445" w:name="Tc_ouDw2fb1LEWT1leNIWKvug_20_0"/>
      <w:bookmarkStart w:id="1446" w:name="Tc_EOwisRu_ZU6T-PU-I58NRg_19_12"/>
      <w:bookmarkStart w:id="1447" w:name="Tc_buxjsUBmnUCp8gvYCLTl6g_19_0"/>
      <w:bookmarkStart w:id="1448" w:name="Tc_d_giwszRvk22N7QNOIHVIg_18_0"/>
      <w:bookmarkStart w:id="1449" w:name="Tc_XhbjkvEU9kySZXqCp9vUDA_17_14"/>
      <w:bookmarkStart w:id="1450" w:name="Tc_1tvRGNfFwUWYPZhOz_FPoQ_17_12"/>
      <w:bookmarkStart w:id="1451" w:name="Tc_8FnCV9BKkUaQThK4zw-zjg_17_11"/>
      <w:bookmarkStart w:id="1452" w:name="Tc_dL2FSaoVFEOf_P6716aQ8Q_17_8"/>
      <w:bookmarkStart w:id="1453" w:name="Tc_Qawp3BzJmEiZsArGUTimdw_17_5"/>
      <w:bookmarkStart w:id="1454" w:name="Tc_CTpBuBq01kqmibrwOCZcMw_17_2"/>
      <w:bookmarkStart w:id="1455" w:name="Tc_O0HNq1IgnUuKMOS5XMHcpQ_17_0"/>
      <w:bookmarkStart w:id="1456" w:name="Tc_KG-OcTrLSkG36qnE0g_f1Q_16_14"/>
      <w:bookmarkStart w:id="1457" w:name="Tc_0sLYNdzEn02jJSL6s61U3g_16_11"/>
      <w:bookmarkStart w:id="1458" w:name="Tc_rxn_FT3b4Eu5ytRBgTNRCA_16_8"/>
      <w:bookmarkStart w:id="1459" w:name="Tc_v7XqHgPBtEOeRRlH2GOiHg_16_5"/>
      <w:bookmarkStart w:id="1460" w:name="Tc_FzLhBzvhYUGcGxsbw8R30w_16_2"/>
      <w:bookmarkStart w:id="1461" w:name="Tc_GDV6zKdv3U64FoMiiDdF_w_15_2"/>
      <w:bookmarkStart w:id="1462" w:name="Tc_fnCdwyllRE2fyOVV4zTzlw_12_14"/>
      <w:bookmarkStart w:id="1463" w:name="Tc_W5peePI7xEuDyJIZQTfICg_12_11"/>
      <w:bookmarkStart w:id="1464" w:name="Tc_ODaC-ck3nkCSRDF29ZbF9Q_12_8"/>
      <w:bookmarkStart w:id="1465" w:name="Tc_YN45DavD5kOM0AsGMYjSOg_12_5"/>
      <w:bookmarkStart w:id="1466" w:name="Tc_um_S3QsZcE691sGZRfKImg_12_2"/>
      <w:bookmarkStart w:id="1467" w:name="Tc_PABmZzV6RUWCpaJ-R7L3cQ_12_0"/>
      <w:bookmarkStart w:id="1468" w:name="Tc_AjhVOrwBXkSf_RxISqouwQ_11_0"/>
      <w:bookmarkStart w:id="1469" w:name="Tc_dA5K9cjRQUW6q5EhMOfqOg_10_0"/>
      <w:bookmarkStart w:id="1470" w:name="Tc_FylGsCIh80attAB-Bzq-7g_9_0"/>
      <w:bookmarkStart w:id="1471" w:name="Tc_GzNBUwNuxE6FhkVooxg3CQ_8_12"/>
      <w:bookmarkStart w:id="1472" w:name="Tc_e31w7hmDakaRXk1aje-qhg_8_0"/>
      <w:bookmarkStart w:id="1473" w:name="Tc_hB0p0Jq--UeTUmM2sfyW8w_7_12"/>
      <w:bookmarkStart w:id="1474" w:name="Tc_9rFrixQr80qvQY3hZPkkXg_7_0"/>
      <w:bookmarkStart w:id="1475" w:name="Tc_cN26Q_wt30qI2oCQwgiaOg_6_12"/>
      <w:bookmarkStart w:id="1476" w:name="Tc_OmuSsnMY_0WCFDRFvlMPtQ_6_6"/>
      <w:bookmarkStart w:id="1477" w:name="Tc_k0Xzn02YqUqG6JXOam-x6w_6_0"/>
      <w:bookmarkStart w:id="1478" w:name="Tc_CN7d9msoPUOgrworOT4PwA_5_12"/>
      <w:bookmarkStart w:id="1479" w:name="Tc_lkQ8RWFPGk-4rVsn8JegEA_5_0"/>
      <w:bookmarkStart w:id="1480" w:name="Tc_S2mHxAg3q0apRau4oLU2Iw_4_0"/>
      <w:bookmarkStart w:id="1481" w:name="Tc_ef85ayboEkGrAy-h81ts6g_3_14"/>
      <w:bookmarkStart w:id="1482" w:name="Tc_4Znqppxiz0OknS3NItYOGA_3_12"/>
      <w:bookmarkStart w:id="1483" w:name="Tc_VIbMSbdhJEmlAhrYVCkFqw_3_11"/>
      <w:bookmarkStart w:id="1484" w:name="Tc_rgQeHLDlokCtCIFsPyUVEQ_3_8"/>
      <w:bookmarkStart w:id="1485" w:name="Tc_G2cGrmbr6kW3DgCMTfkMiQ_3_5"/>
      <w:bookmarkStart w:id="1486" w:name="Tc_8RUrqOXPD0-XPPHACZSBvw_3_2"/>
      <w:bookmarkStart w:id="1487" w:name="Tc_2CP-3mMEP0e-v1hxxkAFhg_3_0"/>
      <w:bookmarkStart w:id="1488" w:name="Tc_c_HnwSpp_kubAoiqMdQC0g_2_14"/>
      <w:bookmarkStart w:id="1489" w:name="Tc_A6_OEC1Q3kCCcOR9cTSHOQ_2_11"/>
      <w:bookmarkStart w:id="1490" w:name="Tc_o-Mi5Ddf5kCRmjP18pSpgQ_2_8"/>
      <w:bookmarkStart w:id="1491" w:name="Tc_chfy3aITFU6c-kF-Cq5B_g_2_5"/>
      <w:bookmarkStart w:id="1492" w:name="Tc_8I7WAFCucUaS9wlRRGm3Sw_2_2"/>
      <w:bookmarkStart w:id="1493" w:name="Tc_lTsDuZ7kIE-QIPOfPrvhrw_1_2"/>
      <w:bookmarkStart w:id="1494" w:name="_86fb0521_17d2_401c_8b09_bc919e0b7a6e"/>
      <w:bookmarkStart w:id="1495" w:name="Tc_RoVlMafhp0edifbc5LmG6g_9_15"/>
      <w:bookmarkStart w:id="1496" w:name="Tc_2M8tF2KTXECNICHo_Cx3ew_9_14"/>
      <w:bookmarkStart w:id="1497" w:name="Tc_XZmnyPAQj0eSyyBK4b_03w_9_12"/>
      <w:bookmarkStart w:id="1498" w:name="Tc_EDnVPfnrAUm5vY6k0tonVA_9_11"/>
      <w:bookmarkStart w:id="1499" w:name="Tc_P6JTKWHlGEyK-Hj0KC1QpQ_9_9"/>
      <w:bookmarkStart w:id="1500" w:name="Tc_eygL0TCTN0KJUQzPos-KlQ_9_8"/>
      <w:bookmarkStart w:id="1501" w:name="Tc_w2Bx4p3GqEaDWiOGxOYscg_9_6"/>
      <w:bookmarkStart w:id="1502" w:name="Tc_HD2E6CX0r0GUtg0__Yt-wg_9_5"/>
      <w:bookmarkStart w:id="1503" w:name="Tc_Sdz64lRdq0i-HMeZyRGSmg_9_3"/>
      <w:bookmarkStart w:id="1504" w:name="Tc_SIoDBSR5LUqfMOjqXJUiVw_9_2"/>
      <w:bookmarkStart w:id="1505" w:name="Tc_DXU1Dc_aEEig4SIn47ckQg_9_0"/>
      <w:bookmarkStart w:id="1506" w:name="Tc_84xOT5qlYUe00B-iwaSJ0Q_8_14"/>
      <w:bookmarkStart w:id="1507" w:name="Tc_OIspSbNDlU-wijl-MMe64Q_8_12"/>
      <w:bookmarkStart w:id="1508" w:name="Tc_VrRFmTiMtkGlHpFP8jNqFQ_8_11"/>
      <w:bookmarkStart w:id="1509" w:name="Tc_5lhHJk70nECPPVz0ly9nAQ_8_9"/>
      <w:bookmarkStart w:id="1510" w:name="Tc_lfrrsjOV00q4C6SCpYtv1A_8_8"/>
      <w:bookmarkStart w:id="1511" w:name="Tc_XsSi2j3zBkCOcLXT9gXY_A_8_5"/>
      <w:bookmarkStart w:id="1512" w:name="Tc_IbY7URNDMU6MAVXRkWb-EQ_8_2"/>
      <w:bookmarkStart w:id="1513" w:name="Tc_5REVw0gZ-kifC9PfUpr3ng_8_0"/>
      <w:bookmarkStart w:id="1514" w:name="Tc_KqIktxXg0U-Ypcu0DqTPWw_7_14"/>
      <w:bookmarkStart w:id="1515" w:name="Tc_jRb5lN3nJ0abINQwIqgr8w_7_11"/>
      <w:bookmarkStart w:id="1516" w:name="Tc_tbU39yBxiUu7U8m65DO5XQ_7_8"/>
      <w:bookmarkStart w:id="1517" w:name="Tc_gH0uoGnw-0iseX7819kKLg_7_5"/>
      <w:bookmarkStart w:id="1518" w:name="Tc_XkEF8APFZU6TgNxuQsacQg_7_2"/>
      <w:bookmarkStart w:id="1519" w:name="Tc_sjF1dfszfEC_lEQ-SRxWIA_6_2"/>
      <w:bookmarkStart w:id="1520" w:name="Tc_yIZnJGkT90mzzbUUaObZfw_3_14"/>
      <w:bookmarkStart w:id="1521" w:name="Tc_W46Qh2t3EEmvrK1qi92lIw_3_11"/>
      <w:bookmarkStart w:id="1522" w:name="Tc__1y-DZO2G0S0MFhZt8OLpg_3_9"/>
      <w:bookmarkStart w:id="1523" w:name="Tc_CeL9CWJLzkmsUZNcwGxIRQ_3_8"/>
      <w:bookmarkStart w:id="1524" w:name="Tc_Yw5AVnA76UymMa7v1d0c4Q_3_6"/>
      <w:bookmarkStart w:id="1525" w:name="Tc_skp-ybkTy0euLJXlCBqONw_3_5"/>
      <w:bookmarkStart w:id="1526" w:name="Tc_zuewdrVVk0WkhdO7w5Y9cg_3_2"/>
      <w:bookmarkStart w:id="1527" w:name="Tc_pU2rKYDmBEaqx1CGHmh_2g_3_0"/>
      <w:bookmarkStart w:id="1528" w:name="Tc_sOaUY2s-8UuSjQqUOtgWPg_2_14"/>
      <w:bookmarkStart w:id="1529" w:name="Tc_OUAiNQMsFEqERaCLQGiBEQ_2_11"/>
      <w:bookmarkStart w:id="1530" w:name="Tc__kMTrUq4nU2BxlbImTjSOQ_2_8"/>
      <w:bookmarkStart w:id="1531" w:name="Tc_G6Q7mxJ9jEW8jo8owBjzWw_2_5"/>
      <w:bookmarkStart w:id="1532" w:name="Tc_to25w5eRC0-OXg95O_mO9w_2_2"/>
      <w:bookmarkStart w:id="1533" w:name="Tc_z8fhzBSctkuhB27e45QK6Q_1_2"/>
      <w:bookmarkStart w:id="1534" w:name="_39a6a5da_ebb2_4c7b_8d76_9d849eeb9159"/>
      <w:bookmarkStart w:id="1535" w:name="Tc_cPdTF8KHikqqs6G-5LaysA_28_14"/>
      <w:bookmarkStart w:id="1536" w:name="Tc_oogMuSZErkac5vhYrSbLzw_28_11"/>
      <w:bookmarkStart w:id="1537" w:name="Tc_pqWeyl3KIUGHHsZ6WbMLWQ_28_8"/>
      <w:bookmarkStart w:id="1538" w:name="Tc_HMK3PUKk20aeVnnpb9TfRg_28_5"/>
      <w:bookmarkStart w:id="1539" w:name="Tc_4DS-Oa4DykmdY80DEljO1A_28_2"/>
      <w:bookmarkStart w:id="1540" w:name="Tc_5IxWk23XvkOFXE12U4F8dw_28_0"/>
      <w:bookmarkStart w:id="1541" w:name="Tc_Us0xGE2Od0G--Gl0wRMuKg_27_0"/>
      <w:bookmarkStart w:id="1542" w:name="Tc_S2cn5fZkIk2gny_vFUxQ7A_26_0"/>
      <w:bookmarkStart w:id="1543" w:name="Tc_gjLHXqaklk2XRYgulY4DMA_25_12"/>
      <w:bookmarkStart w:id="1544" w:name="Tc_MJsZL5UdBUKqzZGwl5GBjQ_25_9"/>
      <w:bookmarkStart w:id="1545" w:name="Tc_vpqr86zp3kqL2wLTA56QZA_25_6"/>
      <w:bookmarkStart w:id="1546" w:name="Tc_zMN0-Gxe5UiVOnB8Yqy-mg_25_0"/>
      <w:bookmarkStart w:id="1547" w:name="Tc_zsGfOei2ck-5T64F0L2Vpw_24_12"/>
      <w:bookmarkStart w:id="1548" w:name="Tc_HH84M0Rd20u6oSeQXv4ODA_24_9"/>
      <w:bookmarkStart w:id="1549" w:name="Tc_xF5aAEXDLU2hw_d6qOqrMw_24_6"/>
      <w:bookmarkStart w:id="1550" w:name="Tc_8hKPR0WCg0GFO9lMZdI3jA_24_0"/>
      <w:bookmarkStart w:id="1551" w:name="Tc_eFftU1bbX0SOi49X3L9A2g_23_0"/>
      <w:bookmarkStart w:id="1552" w:name="Tc_xUm794hZ8UW0e2EUvANSNQ_22_12"/>
      <w:bookmarkStart w:id="1553" w:name="Tc_UVdTDSVp9Eioc91-y8pkug_22_0"/>
      <w:bookmarkStart w:id="1554" w:name="Tc_e7xuPVrGhkmybgR355boMg_21_12"/>
      <w:bookmarkStart w:id="1555" w:name="Tc_XQ7jpTvGqEK2nz3_KOuN8w_21_0"/>
      <w:bookmarkStart w:id="1556" w:name="Tc_UThKMdOLYkOaL6htjFUh-Q_20_12"/>
      <w:bookmarkStart w:id="1557" w:name="Tc_ouDw2fb1LEWT1leNIWKvug_20_0"/>
      <w:bookmarkStart w:id="1558" w:name="Tc_EOwisRu_ZU6T-PU-I58NRg_19_12"/>
      <w:bookmarkStart w:id="1559" w:name="Tc_buxjsUBmnUCp8gvYCLTl6g_19_0"/>
      <w:bookmarkStart w:id="1560" w:name="Tc_d_giwszRvk22N7QNOIHVIg_18_0"/>
      <w:bookmarkStart w:id="1561" w:name="Tc_XhbjkvEU9kySZXqCp9vUDA_17_14"/>
      <w:bookmarkStart w:id="1562" w:name="Tc_1tvRGNfFwUWYPZhOz_FPoQ_17_12"/>
      <w:bookmarkStart w:id="1563" w:name="Tc_8FnCV9BKkUaQThK4zw-zjg_17_11"/>
      <w:bookmarkStart w:id="1564" w:name="Tc_dL2FSaoVFEOf_P6716aQ8Q_17_8"/>
      <w:bookmarkStart w:id="1565" w:name="Tc_Qawp3BzJmEiZsArGUTimdw_17_5"/>
      <w:bookmarkStart w:id="1566" w:name="Tc_CTpBuBq01kqmibrwOCZcMw_17_2"/>
      <w:bookmarkStart w:id="1567" w:name="Tc_O0HNq1IgnUuKMOS5XMHcpQ_17_0"/>
      <w:bookmarkStart w:id="1568" w:name="Tc_KG-OcTrLSkG36qnE0g_f1Q_16_14"/>
      <w:bookmarkStart w:id="1569" w:name="Tc_0sLYNdzEn02jJSL6s61U3g_16_11"/>
      <w:bookmarkStart w:id="1570" w:name="Tc_rxn_FT3b4Eu5ytRBgTNRCA_16_8"/>
      <w:bookmarkStart w:id="1571" w:name="Tc_v7XqHgPBtEOeRRlH2GOiHg_16_5"/>
      <w:bookmarkStart w:id="1572" w:name="Tc_FzLhBzvhYUGcGxsbw8R30w_16_2"/>
      <w:bookmarkStart w:id="1573" w:name="Tc_GDV6zKdv3U64FoMiiDdF_w_15_2"/>
      <w:bookmarkStart w:id="1574" w:name="Tc_fnCdwyllRE2fyOVV4zTzlw_12_14"/>
      <w:bookmarkStart w:id="1575" w:name="Tc_W5peePI7xEuDyJIZQTfICg_12_11"/>
      <w:bookmarkStart w:id="1576" w:name="Tc_ODaC-ck3nkCSRDF29ZbF9Q_12_8"/>
      <w:bookmarkStart w:id="1577" w:name="Tc_YN45DavD5kOM0AsGMYjSOg_12_5"/>
      <w:bookmarkStart w:id="1578" w:name="Tc_um_S3QsZcE691sGZRfKImg_12_2"/>
      <w:bookmarkStart w:id="1579" w:name="Tc_PABmZzV6RUWCpaJ-R7L3cQ_12_0"/>
      <w:bookmarkStart w:id="1580" w:name="Tc_AjhVOrwBXkSf_RxISqouwQ_11_0"/>
      <w:bookmarkStart w:id="1581" w:name="Tc_dA5K9cjRQUW6q5EhMOfqOg_10_0"/>
      <w:bookmarkStart w:id="1582" w:name="Tc_FylGsCIh80attAB-Bzq-7g_9_0"/>
      <w:bookmarkStart w:id="1583" w:name="Tc_GzNBUwNuxE6FhkVooxg3CQ_8_12"/>
      <w:bookmarkStart w:id="1584" w:name="Tc_e31w7hmDakaRXk1aje-qhg_8_0"/>
      <w:bookmarkStart w:id="1585" w:name="Tc_hB0p0Jq--UeTUmM2sfyW8w_7_12"/>
      <w:bookmarkStart w:id="1586" w:name="Tc_9rFrixQr80qvQY3hZPkkXg_7_0"/>
      <w:bookmarkStart w:id="1587" w:name="Tc_cN26Q_wt30qI2oCQwgiaOg_6_12"/>
      <w:bookmarkStart w:id="1588" w:name="Tc_OmuSsnMY_0WCFDRFvlMPtQ_6_6"/>
      <w:bookmarkStart w:id="1589" w:name="Tc_k0Xzn02YqUqG6JXOam-x6w_6_0"/>
      <w:bookmarkStart w:id="1590" w:name="Tc_CN7d9msoPUOgrworOT4PwA_5_12"/>
      <w:bookmarkStart w:id="1591" w:name="Tc_lkQ8RWFPGk-4rVsn8JegEA_5_0"/>
      <w:bookmarkStart w:id="1592" w:name="Tc_S2mHxAg3q0apRau4oLU2Iw_4_0"/>
      <w:bookmarkStart w:id="1593" w:name="Tc_ef85ayboEkGrAy-h81ts6g_3_14"/>
      <w:bookmarkStart w:id="1594" w:name="Tc_4Znqppxiz0OknS3NItYOGA_3_12"/>
      <w:bookmarkStart w:id="1595" w:name="Tc_VIbMSbdhJEmlAhrYVCkFqw_3_11"/>
      <w:bookmarkStart w:id="1596" w:name="Tc_rgQeHLDlokCtCIFsPyUVEQ_3_8"/>
      <w:bookmarkStart w:id="1597" w:name="Tc_G2cGrmbr6kW3DgCMTfkMiQ_3_5"/>
      <w:bookmarkStart w:id="1598" w:name="Tc_8RUrqOXPD0-XPPHACZSBvw_3_2"/>
      <w:bookmarkStart w:id="1599" w:name="Tc_2CP-3mMEP0e-v1hxxkAFhg_3_0"/>
      <w:bookmarkStart w:id="1600" w:name="Tc_c_HnwSpp_kubAoiqMdQC0g_2_14"/>
      <w:bookmarkStart w:id="1601" w:name="Tc_A6_OEC1Q3kCCcOR9cTSHOQ_2_11"/>
      <w:bookmarkStart w:id="1602" w:name="Tc_o-Mi5Ddf5kCRmjP18pSpgQ_2_8"/>
      <w:bookmarkStart w:id="1603" w:name="Tc_chfy3aITFU6c-kF-Cq5B_g_2_5"/>
      <w:bookmarkStart w:id="1604" w:name="Tc_8I7WAFCucUaS9wlRRGm3Sw_2_2"/>
      <w:bookmarkStart w:id="1605" w:name="Tc_lTsDuZ7kIE-QIPOfPrvhrw_1_2"/>
      <w:bookmarkStart w:id="1606" w:name="_86fb0521_17d2_401c_8b09_bc919e0b7a6e"/>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p>
    <w:tbl>
      <w:tblPr>
        <w:tblW w:w="10205" w:type="dxa"/>
        <w:jc w:val="left"/>
        <w:tblInd w:w="0" w:type="dxa"/>
        <w:tblLayout w:type="fixed"/>
        <w:tblCellMar>
          <w:top w:w="0" w:type="dxa"/>
          <w:left w:w="0" w:type="dxa"/>
          <w:bottom w:w="0" w:type="dxa"/>
          <w:right w:w="0" w:type="dxa"/>
        </w:tblCellMar>
      </w:tblPr>
      <w:tblGrid>
        <w:gridCol w:w="3015"/>
        <w:gridCol w:w="326"/>
        <w:gridCol w:w="229"/>
        <w:gridCol w:w="690"/>
        <w:gridCol w:w="326"/>
        <w:gridCol w:w="259"/>
        <w:gridCol w:w="702"/>
        <w:gridCol w:w="326"/>
        <w:gridCol w:w="284"/>
        <w:gridCol w:w="772"/>
        <w:gridCol w:w="326"/>
        <w:gridCol w:w="419"/>
        <w:gridCol w:w="1258"/>
        <w:gridCol w:w="326"/>
        <w:gridCol w:w="211"/>
        <w:gridCol w:w="736"/>
      </w:tblGrid>
      <w:tr>
        <w:trPr/>
        <w:tc>
          <w:tcPr>
            <w:tcW w:w="3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914525" cy="175260"/>
                      <wp:effectExtent l="0" t="0" r="0" b="0"/>
                      <wp:wrapNone/>
                      <wp:docPr id="243" name="Frame243"/>
                      <a:graphic xmlns:a="http://schemas.openxmlformats.org/drawingml/2006/main">
                        <a:graphicData uri="http://schemas.microsoft.com/office/word/2010/wordprocessingShape">
                          <wps:wsp>
                            <wps:cNvSpPr txBox="1"/>
                            <wps:spPr>
                              <a:xfrm>
                                <a:off x="0" y="0"/>
                                <a:ext cx="191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45415" cy="175260"/>
                      <wp:effectExtent l="0" t="0" r="0" b="0"/>
                      <wp:wrapNone/>
                      <wp:docPr id="245" name="Frame24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38150" cy="175260"/>
                      <wp:effectExtent l="0" t="0" r="0" b="0"/>
                      <wp:wrapNone/>
                      <wp:docPr id="246" name="Frame246"/>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64465" cy="175260"/>
                      <wp:effectExtent l="0" t="0" r="0" b="0"/>
                      <wp:wrapNone/>
                      <wp:docPr id="248" name="Frame24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45770" cy="175260"/>
                      <wp:effectExtent l="0" t="0" r="0" b="0"/>
                      <wp:wrapNone/>
                      <wp:docPr id="249" name="Frame249"/>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80340" cy="175260"/>
                      <wp:effectExtent l="0" t="0" r="0" b="0"/>
                      <wp:wrapNone/>
                      <wp:docPr id="251" name="Frame251"/>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90220" cy="175260"/>
                      <wp:effectExtent l="0" t="0" r="0" b="0"/>
                      <wp:wrapNone/>
                      <wp:docPr id="252" name="Frame252"/>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66065" cy="175260"/>
                      <wp:effectExtent l="0" t="0" r="0" b="0"/>
                      <wp:wrapNone/>
                      <wp:docPr id="254" name="Frame254"/>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798830" cy="175260"/>
                      <wp:effectExtent l="0" t="0" r="0" b="0"/>
                      <wp:wrapNone/>
                      <wp:docPr id="255" name="Frame255"/>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67360" cy="175260"/>
                      <wp:effectExtent l="0" t="0" r="0" b="0"/>
                      <wp:wrapNone/>
                      <wp:docPr id="258" name="Frame25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6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2025</w:t>
            </w:r>
          </w:p>
        </w:tc>
      </w:tr>
      <w:tr>
        <w:trPr/>
        <w:tc>
          <w:tcPr>
            <w:tcW w:w="30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9,180</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w:t>
            </w:r>
          </w:p>
        </w:tc>
        <w:tc>
          <w:tcPr>
            <w:tcW w:w="326" w:type="dxa"/>
            <w:tcBorders/>
            <w:shd w:fill="CCEEFF" w:val="clear"/>
            <w:vAlign w:val="center"/>
          </w:tcPr>
          <w:p>
            <w:pPr>
              <w:pStyle w:val="TableContents"/>
              <w:bidi w:val="0"/>
              <w:spacing w:before="0" w:after="0"/>
              <w:ind w:left="0" w:right="0" w:hanging="0"/>
              <w:jc w:val="righ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shd w:fill="CCEEFF" w:val="clear"/>
            <w:vAlign w:val="center"/>
          </w:tcPr>
          <w:p>
            <w:pPr>
              <w:pStyle w:val="TableContents"/>
              <w:bidi w:val="0"/>
              <w:spacing w:before="0" w:after="0"/>
              <w:ind w:left="0" w:right="0" w:hanging="0"/>
              <w:jc w:val="right"/>
              <w:rPr/>
            </w:pPr>
            <w:r>
              <w:rPr/>
              <w:t>​</w:t>
            </w:r>
          </w:p>
        </w:tc>
        <w:tc>
          <w:tcPr>
            <w:tcW w:w="4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14,712</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8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19"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4,743</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w:t>
            </w:r>
          </w:p>
        </w:tc>
        <w:tc>
          <w:tcPr>
            <w:tcW w:w="326" w:type="dxa"/>
            <w:tcBorders/>
            <w:shd w:fill="CCEEFF" w:val="clear"/>
            <w:vAlign w:val="center"/>
          </w:tcPr>
          <w:p>
            <w:pPr>
              <w:pStyle w:val="TableContents"/>
              <w:bidi w:val="0"/>
              <w:spacing w:before="0" w:after="0"/>
              <w:ind w:left="0" w:right="0" w:hanging="0"/>
              <w:jc w:val="righ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26" w:type="dxa"/>
            <w:tcBorders/>
            <w:shd w:fill="CCEEFF" w:val="clear"/>
            <w:vAlign w:val="center"/>
          </w:tcPr>
          <w:p>
            <w:pPr>
              <w:pStyle w:val="TableContents"/>
              <w:bidi w:val="0"/>
              <w:spacing w:before="0" w:after="0"/>
              <w:ind w:left="0" w:right="0" w:hanging="0"/>
              <w:jc w:val="right"/>
              <w:rPr/>
            </w:pPr>
            <w:r>
              <w:rPr/>
              <w:t>​</w:t>
            </w:r>
          </w:p>
        </w:tc>
        <w:tc>
          <w:tcPr>
            <w:tcW w:w="419" w:type="dxa"/>
            <w:tcBorders/>
            <w:shd w:fill="CCEEFF" w:val="clear"/>
            <w:vAlign w:val="center"/>
          </w:tcPr>
          <w:p>
            <w:pPr>
              <w:pStyle w:val="TableContents"/>
              <w:bidi w:val="0"/>
              <w:spacing w:before="0" w:after="0"/>
              <w:ind w:left="0" w:right="0" w:hanging="0"/>
              <w:jc w:val="left"/>
              <w:rPr/>
            </w:pPr>
            <w:r>
              <w:rPr/>
              <w:t>​</w:t>
            </w:r>
          </w:p>
        </w:tc>
        <w:tc>
          <w:tcPr>
            <w:tcW w:w="12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7,879</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8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right"/>
              <w:rPr/>
            </w:pPr>
            <w:r>
              <w:rPr/>
              <w:t>​</w:t>
            </w:r>
          </w:p>
        </w:tc>
        <w:tc>
          <w:tcPr>
            <w:tcW w:w="419"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righ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shd w:fill="CCEEFF" w:val="clear"/>
            <w:vAlign w:val="center"/>
          </w:tcPr>
          <w:p>
            <w:pPr>
              <w:pStyle w:val="TableContents"/>
              <w:bidi w:val="0"/>
              <w:spacing w:before="0" w:after="0"/>
              <w:ind w:left="0" w:right="0" w:hanging="0"/>
              <w:jc w:val="right"/>
              <w:rPr/>
            </w:pPr>
            <w:r>
              <w:rPr/>
              <w:t>​</w:t>
            </w:r>
          </w:p>
        </w:tc>
        <w:tc>
          <w:tcPr>
            <w:tcW w:w="419" w:type="dxa"/>
            <w:tcBorders/>
            <w:shd w:fill="CCEEFF" w:val="clear"/>
            <w:vAlign w:val="center"/>
          </w:tcPr>
          <w:p>
            <w:pPr>
              <w:pStyle w:val="TableContents"/>
              <w:bidi w:val="0"/>
              <w:spacing w:before="0" w:after="0"/>
              <w:ind w:left="0" w:right="0" w:hanging="0"/>
              <w:jc w:val="left"/>
              <w:rPr/>
            </w:pPr>
            <w:r>
              <w:rPr/>
              <w:t>​</w:t>
            </w:r>
          </w:p>
        </w:tc>
        <w:tc>
          <w:tcPr>
            <w:tcW w:w="12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right"/>
              <w:rPr/>
            </w:pPr>
            <w:r>
              <w:rPr/>
              <w:t>​</w:t>
            </w:r>
          </w:p>
        </w:tc>
        <w:tc>
          <w:tcPr>
            <w:tcW w:w="28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vAlign w:val="center"/>
          </w:tcPr>
          <w:p>
            <w:pPr>
              <w:pStyle w:val="TableContents"/>
              <w:bidi w:val="0"/>
              <w:spacing w:before="0" w:after="0"/>
              <w:ind w:left="0" w:right="0" w:hanging="0"/>
              <w:jc w:val="right"/>
              <w:rPr/>
            </w:pPr>
            <w:r>
              <w:rPr/>
              <w:t>​</w:t>
            </w:r>
          </w:p>
        </w:tc>
        <w:tc>
          <w:tcPr>
            <w:tcW w:w="419"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righ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shd w:fill="CCEEFF" w:val="clear"/>
            <w:vAlign w:val="center"/>
          </w:tcPr>
          <w:p>
            <w:pPr>
              <w:pStyle w:val="TableContents"/>
              <w:bidi w:val="0"/>
              <w:spacing w:before="0" w:after="0"/>
              <w:ind w:left="0" w:right="0" w:hanging="0"/>
              <w:jc w:val="right"/>
              <w:rPr/>
            </w:pPr>
            <w:r>
              <w:rPr/>
              <w:t>​</w:t>
            </w:r>
          </w:p>
        </w:tc>
        <w:tc>
          <w:tcPr>
            <w:tcW w:w="419" w:type="dxa"/>
            <w:tcBorders/>
            <w:shd w:fill="CCEEFF" w:val="clear"/>
            <w:vAlign w:val="center"/>
          </w:tcPr>
          <w:p>
            <w:pPr>
              <w:pStyle w:val="TableContents"/>
              <w:bidi w:val="0"/>
              <w:spacing w:before="0" w:after="0"/>
              <w:ind w:left="0" w:right="0" w:hanging="0"/>
              <w:jc w:val="left"/>
              <w:rPr/>
            </w:pPr>
            <w:r>
              <w:rPr/>
              <w:t>​</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8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19"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26" w:type="dxa"/>
            <w:tcBorders/>
            <w:shd w:fill="CCEEFF" w:val="clear"/>
            <w:vAlign w:val="center"/>
          </w:tcPr>
          <w:p>
            <w:pPr>
              <w:pStyle w:val="TableContents"/>
              <w:bidi w:val="0"/>
              <w:spacing w:before="0" w:after="0"/>
              <w:ind w:left="0" w:right="0" w:hanging="0"/>
              <w:jc w:val="righ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26" w:type="dxa"/>
            <w:tcBorders/>
            <w:shd w:fill="CCEEFF" w:val="clear"/>
            <w:vAlign w:val="center"/>
          </w:tcPr>
          <w:p>
            <w:pPr>
              <w:pStyle w:val="TableContents"/>
              <w:bidi w:val="0"/>
              <w:spacing w:before="0" w:after="0"/>
              <w:ind w:left="0" w:right="0" w:hanging="0"/>
              <w:jc w:val="right"/>
              <w:rPr/>
            </w:pPr>
            <w:r>
              <w:rPr/>
              <w:t>​</w:t>
            </w:r>
          </w:p>
        </w:tc>
        <w:tc>
          <w:tcPr>
            <w:tcW w:w="4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8,591</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(loss) income</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c>
          <w:tcPr>
            <w:tcW w:w="326" w:type="dxa"/>
            <w:tcBorders/>
            <w:vAlign w:val="center"/>
          </w:tcPr>
          <w:p>
            <w:pPr>
              <w:pStyle w:val="TableContents"/>
              <w:bidi w:val="0"/>
              <w:spacing w:before="0" w:after="0"/>
              <w:ind w:left="0" w:right="0" w:hanging="0"/>
              <w:jc w:val="righ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w:t>
            </w:r>
          </w:p>
        </w:tc>
        <w:tc>
          <w:tcPr>
            <w:tcW w:w="326" w:type="dxa"/>
            <w:tcBorders/>
            <w:vAlign w:val="center"/>
          </w:tcPr>
          <w:p>
            <w:pPr>
              <w:pStyle w:val="TableContents"/>
              <w:bidi w:val="0"/>
              <w:spacing w:before="0" w:after="0"/>
              <w:ind w:left="0" w:right="0" w:hanging="0"/>
              <w:jc w:val="righ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26" w:type="dxa"/>
            <w:tcBorders/>
            <w:vAlign w:val="center"/>
          </w:tcPr>
          <w:p>
            <w:pPr>
              <w:pStyle w:val="TableContents"/>
              <w:bidi w:val="0"/>
              <w:spacing w:before="0" w:after="0"/>
              <w:ind w:left="0" w:right="0" w:hanging="0"/>
              <w:jc w:val="right"/>
              <w:rPr/>
            </w:pPr>
            <w:r>
              <w:rPr/>
              <w:t>​</w:t>
            </w:r>
          </w:p>
        </w:tc>
        <w:tc>
          <w:tcPr>
            <w:tcW w:w="4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(5,850)</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30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584" w:type="dxa"/>
            <w:gridSpan w:val="2"/>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0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0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6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2024</w:t>
            </w:r>
          </w:p>
        </w:tc>
      </w:tr>
      <w:tr>
        <w:trPr/>
        <w:tc>
          <w:tcPr>
            <w:tcW w:w="30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9,358</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7,485</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shd w:fill="CCEEFF" w:val="clear"/>
            <w:vAlign w:val="center"/>
          </w:tcPr>
          <w:p>
            <w:pPr>
              <w:pStyle w:val="TableContents"/>
              <w:bidi w:val="0"/>
              <w:spacing w:before="0" w:after="0"/>
              <w:ind w:left="0" w:right="0" w:hanging="0"/>
              <w:jc w:val="left"/>
              <w:rPr/>
            </w:pPr>
            <w:r>
              <w:rPr/>
              <w:t>​</w:t>
            </w:r>
          </w:p>
        </w:tc>
        <w:tc>
          <w:tcPr>
            <w:tcW w:w="4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18,008</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4,940</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326" w:type="dxa"/>
            <w:tcBorders/>
            <w:shd w:fill="CCEEFF" w:val="clear"/>
            <w:vAlign w:val="center"/>
          </w:tcPr>
          <w:p>
            <w:pPr>
              <w:pStyle w:val="TableContents"/>
              <w:bidi w:val="0"/>
              <w:spacing w:before="0" w:after="0"/>
              <w:ind w:left="0" w:right="0" w:hanging="0"/>
              <w:jc w:val="left"/>
              <w:rPr/>
            </w:pPr>
            <w:r>
              <w:rPr/>
              <w:t>​</w:t>
            </w:r>
          </w:p>
        </w:tc>
        <w:tc>
          <w:tcPr>
            <w:tcW w:w="419" w:type="dxa"/>
            <w:tcBorders/>
            <w:shd w:fill="CCEEFF" w:val="clear"/>
            <w:vAlign w:val="center"/>
          </w:tcPr>
          <w:p>
            <w:pPr>
              <w:pStyle w:val="TableContents"/>
              <w:bidi w:val="0"/>
              <w:spacing w:before="0" w:after="0"/>
              <w:ind w:left="0" w:right="0" w:hanging="0"/>
              <w:jc w:val="left"/>
              <w:rPr/>
            </w:pPr>
            <w:r>
              <w:rPr/>
              <w:t>​</w:t>
            </w:r>
          </w:p>
        </w:tc>
        <w:tc>
          <w:tcPr>
            <w:tcW w:w="12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8,809</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0"/>
              <w:ind w:left="0" w:right="0" w:hanging="0"/>
              <w:jc w:val="left"/>
              <w:rPr/>
            </w:pPr>
            <w:r>
              <w:rPr/>
              <w:t>​</w:t>
            </w:r>
          </w:p>
        </w:tc>
        <w:tc>
          <w:tcPr>
            <w:tcW w:w="419" w:type="dxa"/>
            <w:tcBorders/>
            <w:shd w:fill="CCEEFF" w:val="clear"/>
            <w:vAlign w:val="center"/>
          </w:tcPr>
          <w:p>
            <w:pPr>
              <w:pStyle w:val="TableContents"/>
              <w:bidi w:val="0"/>
              <w:spacing w:before="0" w:after="0"/>
              <w:ind w:left="0" w:right="0" w:hanging="0"/>
              <w:jc w:val="left"/>
              <w:rPr/>
            </w:pPr>
            <w:r>
              <w:rPr/>
              <w:t>​</w:t>
            </w:r>
          </w:p>
        </w:tc>
        <w:tc>
          <w:tcPr>
            <w:tcW w:w="12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419" w:type="dxa"/>
            <w:tcBorders/>
            <w:shd w:fill="CCEEFF" w:val="clear"/>
            <w:vAlign w:val="center"/>
          </w:tcPr>
          <w:p>
            <w:pPr>
              <w:pStyle w:val="TableContents"/>
              <w:bidi w:val="0"/>
              <w:spacing w:before="0" w:after="0"/>
              <w:ind w:left="0" w:right="0" w:hanging="0"/>
              <w:jc w:val="left"/>
              <w:rPr/>
            </w:pPr>
            <w:r>
              <w:rPr/>
              <w:t>​</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9" w:type="dxa"/>
            <w:tcBorders/>
            <w:shd w:fill="CCEEFF" w:val="clear"/>
            <w:vAlign w:val="center"/>
          </w:tcPr>
          <w:p>
            <w:pPr>
              <w:pStyle w:val="TableContents"/>
              <w:bidi w:val="0"/>
              <w:spacing w:before="0" w:after="0"/>
              <w:ind w:left="0" w:right="0" w:hanging="0"/>
              <w:jc w:val="left"/>
              <w:rPr/>
            </w:pPr>
            <w:r>
              <w:rPr/>
              <w:t>​</w:t>
            </w:r>
          </w:p>
        </w:tc>
        <w:tc>
          <w:tcPr>
            <w:tcW w:w="12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4,919</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shd w:fill="CCEEFF" w:val="clear"/>
            <w:vAlign w:val="center"/>
          </w:tcPr>
          <w:p>
            <w:pPr>
              <w:pStyle w:val="TableContents"/>
              <w:bidi w:val="0"/>
              <w:spacing w:before="0" w:after="0"/>
              <w:ind w:left="0" w:right="0" w:hanging="0"/>
              <w:jc w:val="left"/>
              <w:rPr/>
            </w:pPr>
            <w:r>
              <w:rPr/>
              <w:t>​</w:t>
            </w:r>
          </w:p>
        </w:tc>
        <w:tc>
          <w:tcPr>
            <w:tcW w:w="4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8,891</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(loss) income</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w:t>
            </w:r>
          </w:p>
        </w:tc>
        <w:tc>
          <w:tcPr>
            <w:tcW w:w="326" w:type="dxa"/>
            <w:tcBorders/>
            <w:vAlign w:val="center"/>
          </w:tcPr>
          <w:p>
            <w:pPr>
              <w:pStyle w:val="TableContents"/>
              <w:bidi w:val="0"/>
              <w:spacing w:before="0" w:after="0"/>
              <w:ind w:left="0" w:right="0" w:hanging="0"/>
              <w:jc w:val="righ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c>
          <w:tcPr>
            <w:tcW w:w="326" w:type="dxa"/>
            <w:tcBorders/>
            <w:vAlign w:val="center"/>
          </w:tcPr>
          <w:p>
            <w:pPr>
              <w:pStyle w:val="TableContents"/>
              <w:bidi w:val="0"/>
              <w:spacing w:before="0" w:after="0"/>
              <w:ind w:left="0" w:right="0" w:hanging="0"/>
              <w:jc w:val="righ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right"/>
              <w:rPr/>
            </w:pPr>
            <w:r>
              <w:rPr/>
              <w:t>​</w:t>
            </w:r>
          </w:p>
        </w:tc>
        <w:tc>
          <w:tcPr>
            <w:tcW w:w="4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(4,271)</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8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significant expense amounts align with the expenses that the CODM is regularly provided with to assess performance and allocate resources.</w:t>
            </w:r>
          </w:p>
        </w:tc>
      </w:tr>
    </w:tbl>
    <w:tbl>
      <w:tblPr>
        <w:tblW w:w="4382" w:type="dxa"/>
        <w:jc w:val="left"/>
        <w:tblInd w:w="0" w:type="dxa"/>
        <w:tblLayout w:type="fixed"/>
        <w:tblCellMar>
          <w:top w:w="0" w:type="dxa"/>
          <w:left w:w="0" w:type="dxa"/>
          <w:bottom w:w="0" w:type="dxa"/>
          <w:right w:w="0" w:type="dxa"/>
        </w:tblCellMar>
      </w:tblPr>
      <w:tblGrid>
        <w:gridCol w:w="346"/>
        <w:gridCol w:w="4036"/>
      </w:tblGrid>
      <w:tr>
        <w:trPr/>
        <w:tc>
          <w:tcPr>
            <w:tcW w:w="3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403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For all segments, SGA consists of the following:</w:t>
            </w:r>
          </w:p>
        </w:tc>
      </w:tr>
    </w:tbl>
    <w:p>
      <w:pPr>
        <w:pStyle w:val="TextBody"/>
        <w:pBdr/>
        <w:bidi w:val="0"/>
        <w:spacing w:before="0" w:after="24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Salaries &amp; Benefits, Rent &amp; Utilities, Office Supplies &amp; Shipping, Travel &amp; Entertainment, IT &amp; Telecom, Repairs &amp; Maintenance, Accounting, Legal, Franchise/Property Tax, Management/DBE Fees, Advertising &amp; Marketing, Insurance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Significant Items</w:t>
      </w:r>
    </w:p>
    <w:p>
      <w:pPr>
        <w:pStyle w:val="TextBody"/>
        <w:bidi w:val="0"/>
        <w:spacing w:before="0" w:after="0"/>
        <w:ind w:left="0" w:right="0" w:hanging="0"/>
        <w:jc w:val="left"/>
        <w:rPr/>
      </w:pPr>
      <w:r>
        <w:rPr/>
        <w:t>​</w:t>
      </w:r>
    </w:p>
    <w:tbl>
      <w:tblPr>
        <w:tblW w:w="9435" w:type="dxa"/>
        <w:jc w:val="left"/>
        <w:tblInd w:w="0" w:type="dxa"/>
        <w:tblLayout w:type="fixed"/>
        <w:tblCellMar>
          <w:top w:w="0" w:type="dxa"/>
          <w:left w:w="0" w:type="dxa"/>
          <w:bottom w:w="0" w:type="dxa"/>
          <w:right w:w="0" w:type="dxa"/>
        </w:tblCellMar>
      </w:tblPr>
      <w:tblGrid>
        <w:gridCol w:w="2281"/>
        <w:gridCol w:w="326"/>
        <w:gridCol w:w="305"/>
        <w:gridCol w:w="611"/>
        <w:gridCol w:w="326"/>
        <w:gridCol w:w="364"/>
        <w:gridCol w:w="597"/>
        <w:gridCol w:w="326"/>
        <w:gridCol w:w="426"/>
        <w:gridCol w:w="699"/>
        <w:gridCol w:w="326"/>
        <w:gridCol w:w="614"/>
        <w:gridCol w:w="1231"/>
        <w:gridCol w:w="326"/>
        <w:gridCol w:w="211"/>
        <w:gridCol w:w="466"/>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448435" cy="175260"/>
                      <wp:effectExtent l="0" t="0" r="0" b="0"/>
                      <wp:wrapNone/>
                      <wp:docPr id="259" name="Frame259"/>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93675" cy="175260"/>
                      <wp:effectExtent l="0" t="0" r="0" b="0"/>
                      <wp:wrapNone/>
                      <wp:docPr id="261" name="Frame26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87985" cy="175260"/>
                      <wp:effectExtent l="0" t="0" r="0" b="0"/>
                      <wp:wrapNone/>
                      <wp:docPr id="262" name="Frame262"/>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31140" cy="175260"/>
                      <wp:effectExtent l="0" t="0" r="0" b="0"/>
                      <wp:wrapNone/>
                      <wp:docPr id="264" name="Frame264"/>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79095" cy="175260"/>
                      <wp:effectExtent l="0" t="0" r="0" b="0"/>
                      <wp:wrapNone/>
                      <wp:docPr id="265" name="Frame265"/>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70510" cy="175260"/>
                      <wp:effectExtent l="0" t="0" r="0" b="0"/>
                      <wp:wrapNone/>
                      <wp:docPr id="267" name="Frame267"/>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43865" cy="175260"/>
                      <wp:effectExtent l="0" t="0" r="0" b="0"/>
                      <wp:wrapNone/>
                      <wp:docPr id="268" name="Frame268"/>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89890" cy="175260"/>
                      <wp:effectExtent l="0" t="0" r="0" b="0"/>
                      <wp:wrapNone/>
                      <wp:docPr id="270" name="Frame270"/>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81685" cy="175260"/>
                      <wp:effectExtent l="0" t="0" r="0" b="0"/>
                      <wp:wrapNone/>
                      <wp:docPr id="271" name="Frame27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95910" cy="175260"/>
                      <wp:effectExtent l="0" t="0" r="0" b="0"/>
                      <wp:wrapNone/>
                      <wp:docPr id="274" name="Frame27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28"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2025</w: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1"/>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1"/>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w: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14"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14"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28"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2024</w: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1"/>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1"/>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1607" w:name="Tc_gcR3OS25oEiJ4XpL0xjruQ_4_5"/>
      <w:bookmarkStart w:id="1608" w:name="Tc_NBnP6I-ChUaierv0TC7PRQ_4_2"/>
      <w:bookmarkStart w:id="1609" w:name="Tc_u9WJktzNMEuf7vOg_vvchA_4_0"/>
      <w:bookmarkStart w:id="1610" w:name="Tc_QskNLHlVnEq5GEP2cknZDw_3_0"/>
      <w:bookmarkStart w:id="1611" w:name="Tc_44cr4OnvQ0av50s73MJf-w_2_5"/>
      <w:bookmarkStart w:id="1612" w:name="Tc_vlw9t3P8PUuIyVhVhCgpHg_2_2"/>
      <w:bookmarkStart w:id="1613" w:name="Tc_mVZH4Ca9zEWbrRDTIEkWFQ_2_0"/>
      <w:bookmarkStart w:id="1614" w:name="Tc_8YB-o90Tx06il-TITnGHTQ_1_5"/>
      <w:bookmarkStart w:id="1615" w:name="Tc_3G_-IxyFmkKCnaAxe2WN8A_1_2"/>
      <w:bookmarkStart w:id="1616" w:name="Tc_DFjvPGG3Ikmyaoy8uFI4kg_1_0"/>
      <w:bookmarkStart w:id="1617" w:name="_95120c1e_118c_4e54_8842_8e7305454786"/>
      <w:bookmarkStart w:id="1618" w:name="Tc_4Ceh8t0WKUaIbvUaeSONFQ_7_5"/>
      <w:bookmarkStart w:id="1619" w:name="Tc_19pWTUX74UiM1mnwm63u0A_7_2"/>
      <w:bookmarkStart w:id="1620" w:name="Tc_Nvqy8If68UW4fDqlFP7H9A_7_0"/>
      <w:bookmarkStart w:id="1621" w:name="Tc_-GsWjL_V4UaxyT-Tu9-gyQ_6_0"/>
      <w:bookmarkStart w:id="1622" w:name="Tc_iMggxdYqzE6_p7K5cki_iQ_5_5"/>
      <w:bookmarkStart w:id="1623" w:name="Tc_JM8ex6szyUSDWXnTaUxXIw_5_2"/>
      <w:bookmarkStart w:id="1624" w:name="Tc_H2kWa0YJtkOJwBQlGllQeg_5_0"/>
      <w:bookmarkStart w:id="1625" w:name="Tc_9Kglq_bxq0aiCKyIt27UGQ_4_0"/>
      <w:bookmarkStart w:id="1626" w:name="Tc_B11x4Xz-FE-vfpSoP5JHfg_3_5"/>
      <w:bookmarkStart w:id="1627" w:name="Tc_SeKApcyqBk2DheN4VTSJXg_3_2"/>
      <w:bookmarkStart w:id="1628" w:name="Tc_ES07YhZ1YUWL21Pkr7cEHw_2_2"/>
      <w:bookmarkStart w:id="1629" w:name="Tc_33HdO-ZB8EO4tGf0c_6Ktw_1_2"/>
      <w:bookmarkStart w:id="1630" w:name="_7a2b9461_279f_4daf_aeb7_855f3a1166e3"/>
      <w:bookmarkStart w:id="1631" w:name="Tc_DyZUBasS8EC6tWwTZS5aOA_7_5"/>
      <w:bookmarkStart w:id="1632" w:name="Tc_n4UZXamss0Gt0ZhHNiyqeA_7_2"/>
      <w:bookmarkStart w:id="1633" w:name="Tc_1ls_mRpSjU-10pESCF8gpA_7_0"/>
      <w:bookmarkStart w:id="1634" w:name="Tc_wK_gp6OmC0S-fH53TfOIEQ_6_0"/>
      <w:bookmarkStart w:id="1635" w:name="Tc_9HTjdtvEakSh8h2SLEHQmw_5_5"/>
      <w:bookmarkStart w:id="1636" w:name="Tc_afbOgRTgX0yCTml-MufXpg_5_2"/>
      <w:bookmarkStart w:id="1637" w:name="Tc_lAveTGqZr0epQD-H-9vb3Q_5_0"/>
      <w:bookmarkStart w:id="1638" w:name="Tc_q5LNQ_tdYEyY4d1kLchm4A_4_0"/>
      <w:bookmarkStart w:id="1639" w:name="Tc_fHmQ_ECNrEKRiiafytxqqg_3_5"/>
      <w:bookmarkStart w:id="1640" w:name="Tc_x_dryR2drEycURsMJFe9ZA_3_2"/>
      <w:bookmarkStart w:id="1641" w:name="Tc_mQCxQFfeYE6CsBT3d6jKag_2_2"/>
      <w:bookmarkStart w:id="1642" w:name="Tc_L2oECaUR4U-C3aGj_nWzTw_1_2"/>
      <w:bookmarkStart w:id="1643" w:name="_5d2058c0_5948_4e3a_a4bf_3807b973ad57"/>
      <w:bookmarkStart w:id="1644" w:name="Tc_Dvi4-s6UWUmCAgRxjROE7Q_10_14"/>
      <w:bookmarkStart w:id="1645" w:name="Tc_bOhOk9Psl0-bQCvCHtm7Zg_10_11"/>
      <w:bookmarkStart w:id="1646" w:name="Tc_z7xhONqg_UOX3olPMuj6yQ_10_8"/>
      <w:bookmarkStart w:id="1647" w:name="Tc_RnBojtcoKEeU4KWSi5U47A_10_5"/>
      <w:bookmarkStart w:id="1648" w:name="Tc_3EULSQ7uzE-XFDlPITtNKw_10_2"/>
      <w:bookmarkStart w:id="1649" w:name="Tc_LNuWUavaaUGoMAVRFaNE2g_10_0"/>
      <w:bookmarkStart w:id="1650" w:name="Tc_07OiBvFZx0y5gW7yjRU5kA_9_14"/>
      <w:bookmarkStart w:id="1651" w:name="Tc_AkuYf3FWV0ue0QWATKxwWA_9_11"/>
      <w:bookmarkStart w:id="1652" w:name="Tc_2g5NiH3UYEypBmDDe5WcMg_9_8"/>
      <w:bookmarkStart w:id="1653" w:name="Tc_doXce9X4Ckyhv5yikxVv9g_9_5"/>
      <w:bookmarkStart w:id="1654" w:name="Tc_oIWhkx8B6UWhHdNubYVtXA_9_2"/>
      <w:bookmarkStart w:id="1655" w:name="Tc_7oDtLM0mkEGGRPwNynl1Zw_9_0"/>
      <w:bookmarkStart w:id="1656" w:name="Tc_XWbeBRib1UCEBbKLvRqLCQ_8_14"/>
      <w:bookmarkStart w:id="1657" w:name="Tc_q3fPMVl6hkCBbLs-FLhizg_8_11"/>
      <w:bookmarkStart w:id="1658" w:name="Tc_LzeDO5kcyUaklO8z53hyqQ_8_8"/>
      <w:bookmarkStart w:id="1659" w:name="Tc_2QUeedxcbUKNjOZUbADG8A_8_5"/>
      <w:bookmarkStart w:id="1660" w:name="Tc_l2RfCIA7s0uFX-Hp1QucTA_8_2"/>
      <w:bookmarkStart w:id="1661" w:name="Tc_P7K1wzqut0iTNsPGgdWZ_Q_7_2"/>
      <w:bookmarkStart w:id="1662" w:name="Tc_vxtu3-xv9kqYfnsyXJSgsw_4_14"/>
      <w:bookmarkStart w:id="1663" w:name="Tc_KJ2Mae0fc02RiymzHQYZgA_4_11"/>
      <w:bookmarkStart w:id="1664" w:name="Tc_Bz3A4FS6XUC7x0XLjgt-HA_4_8"/>
      <w:bookmarkStart w:id="1665" w:name="Tc_R0AFi9zxjUu-10OHs62x8Q_4_5"/>
      <w:bookmarkStart w:id="1666" w:name="Tc_QiQqo2Gwz06Jj7odJBoucw_4_2"/>
      <w:bookmarkStart w:id="1667" w:name="Tc_t_umVmCex0OiqglakFxgNA_4_0"/>
      <w:bookmarkStart w:id="1668" w:name="Tc_vBtHh9qW8EOwHZTcxrd4fQ_3_14"/>
      <w:bookmarkStart w:id="1669" w:name="Tc_fVifSjC4nEWjKGhudX0BaQ_3_11"/>
      <w:bookmarkStart w:id="1670" w:name="Tc_YcO44JocrESTwuJfchDsxg_3_8"/>
      <w:bookmarkStart w:id="1671" w:name="Tc_W-4JJECgZU6KqrGIQx03PQ_3_6"/>
      <w:bookmarkStart w:id="1672" w:name="Tc_rmFGCRlybEyJK-Uaz2dYug_3_5"/>
      <w:bookmarkStart w:id="1673" w:name="Tc_yu8sHZL7lUWsrYb2GeNtzg_3_2"/>
      <w:bookmarkStart w:id="1674" w:name="Tc_yd-0DsxrRkue2KEu_2KVOw_3_0"/>
      <w:bookmarkStart w:id="1675" w:name="Tc_DL1SVctMxE28U8wXFTOY3Q_2_14"/>
      <w:bookmarkStart w:id="1676" w:name="Tc_znf6l9JQh0i_N0yDTWnqRA_2_11"/>
      <w:bookmarkStart w:id="1677" w:name="Tc_oPZnS3k4O0WIeOtN0H8H_w_2_8"/>
      <w:bookmarkStart w:id="1678" w:name="Tc_NJsXFT4a7EacgXdRaiZCSA_2_5"/>
      <w:bookmarkStart w:id="1679" w:name="Tc_dpnISXNfeEOLsbszrE_6sQ_2_2"/>
      <w:bookmarkStart w:id="1680" w:name="Tc_bG_7C45gdE60xW6i7kRUwg_1_2"/>
      <w:bookmarkStart w:id="1681" w:name="_3430a0cf_00e0_4fc3_88d8_34cd1b523a8b"/>
      <w:bookmarkStart w:id="1682" w:name="Tc_Mdq-SFui80qeuvEOYAp8Ag_9_14"/>
      <w:bookmarkStart w:id="1683" w:name="Tc_Ff-GXJvEmUKVB9X5Yi2F4A_9_12"/>
      <w:bookmarkStart w:id="1684" w:name="Tc_q3nbFUT9LEuBIuUqq9lN8Q_9_11"/>
      <w:bookmarkStart w:id="1685" w:name="Tc_bfBYCipLokWHWyLUDn4vYA_9_9"/>
      <w:bookmarkStart w:id="1686" w:name="Tc_3FYFZ5TA2EaNBRsLgj_J9A_9_8"/>
      <w:bookmarkStart w:id="1687" w:name="Tc_fRqpnliBz0aResmP_yKA7w_9_6"/>
      <w:bookmarkStart w:id="1688" w:name="Tc_Q12IkTL4Hk-JcSIJ2pCLag_9_5"/>
      <w:bookmarkStart w:id="1689" w:name="Tc_L9Zkwm9cxEOpjLfprCPzzQ_9_2"/>
      <w:bookmarkStart w:id="1690" w:name="Tc_B9UHJUxFI0WuBmZlC7L72A_9_0"/>
      <w:bookmarkStart w:id="1691" w:name="Tc_iHJxZAqFAUito7GzlaI8MQ_8_14"/>
      <w:bookmarkStart w:id="1692" w:name="Tc_vr8DvaAT1kOx4yqKt10Z7w_8_12"/>
      <w:bookmarkStart w:id="1693" w:name="Tc_zMgHgltvnk6MJBZw8Co4sQ_8_11"/>
      <w:bookmarkStart w:id="1694" w:name="Tc_V3dEOIsEVEmh1OOoefnrAA_8_9"/>
      <w:bookmarkStart w:id="1695" w:name="Tc_i2pTQe-n-E2RbEeXU9ofAQ_8_8"/>
      <w:bookmarkStart w:id="1696" w:name="Tc_k8Ytw8FMAUuZlFYmNSFptQ_8_5"/>
      <w:bookmarkStart w:id="1697" w:name="Tc_52DGXgfq5EuaFkHTGy5xVQ_8_2"/>
      <w:bookmarkStart w:id="1698" w:name="Tc_AcoJYvTnwUWHS-vGDqQbvA_8_0"/>
      <w:bookmarkStart w:id="1699" w:name="Tc_2G259PBYfEyLDWtebSWNUQ_7_14"/>
      <w:bookmarkStart w:id="1700" w:name="Tc_WFV--O6HdE-jdux6EDlYpA_7_11"/>
      <w:bookmarkStart w:id="1701" w:name="Tc_qs4_XFfGdEKqyqETL1fxTw_7_8"/>
      <w:bookmarkStart w:id="1702" w:name="Tc_fmKk5WXz20iUAnSKSTn7mw_7_5"/>
      <w:bookmarkStart w:id="1703" w:name="Tc_JRrKjMM_z0Smi0htIhf-bw_7_2"/>
      <w:bookmarkStart w:id="1704" w:name="Tc_pRYzfD7hfkqZcSIU7vQ0VA_6_2"/>
      <w:bookmarkStart w:id="1705" w:name="Tc_lojE6sJ7m0mGHpaEFfZ__g_3_14"/>
      <w:bookmarkStart w:id="1706" w:name="Tc_tGa1l2ejV0eoY32FbT_gQg_3_11"/>
      <w:bookmarkStart w:id="1707" w:name="Tc_t18Vrx8rc06QT8866WXjwA_3_9"/>
      <w:bookmarkStart w:id="1708" w:name="Tc_pcS60fNHJUO5S5XbJv4m5g_3_8"/>
      <w:bookmarkStart w:id="1709" w:name="Tc_q1BiVgqflkSLatv6KSvveg_3_5"/>
      <w:bookmarkStart w:id="1710" w:name="Tc__c_qHu6N2E2cGpwI_WOc2A_3_2"/>
      <w:bookmarkStart w:id="1711" w:name="Tc_A-UR-hHLcUOZxXMWRudZNQ_3_0"/>
      <w:bookmarkStart w:id="1712" w:name="Tc_66BzZEs0akqwsvQamijOjw_2_14"/>
      <w:bookmarkStart w:id="1713" w:name="Tc_ZYpAz2Y1-UmDakXfDxJMHw_2_11"/>
      <w:bookmarkStart w:id="1714" w:name="Tc_doP8tO6-p0GfU2aBlb-PkQ_2_8"/>
      <w:bookmarkStart w:id="1715" w:name="Tc_R8ixz-FAhE-xCs9xILbemA_2_5"/>
      <w:bookmarkStart w:id="1716" w:name="Tc_-x2TYF7bs0aDH0QURxWNwA_2_2"/>
      <w:bookmarkStart w:id="1717" w:name="Tc_4RC3Ah1bTUGIg9x0uu3oCA_1_2"/>
      <w:bookmarkStart w:id="1718" w:name="_7d352f8a_fe26_44c6_baa1_18470fc62dd8"/>
      <w:bookmarkStart w:id="1719" w:name="Tc_gcR3OS25oEiJ4XpL0xjruQ_4_5"/>
      <w:bookmarkStart w:id="1720" w:name="Tc_NBnP6I-ChUaierv0TC7PRQ_4_2"/>
      <w:bookmarkStart w:id="1721" w:name="Tc_u9WJktzNMEuf7vOg_vvchA_4_0"/>
      <w:bookmarkStart w:id="1722" w:name="Tc_QskNLHlVnEq5GEP2cknZDw_3_0"/>
      <w:bookmarkStart w:id="1723" w:name="Tc_44cr4OnvQ0av50s73MJf-w_2_5"/>
      <w:bookmarkStart w:id="1724" w:name="Tc_vlw9t3P8PUuIyVhVhCgpHg_2_2"/>
      <w:bookmarkStart w:id="1725" w:name="Tc_mVZH4Ca9zEWbrRDTIEkWFQ_2_0"/>
      <w:bookmarkStart w:id="1726" w:name="Tc_8YB-o90Tx06il-TITnGHTQ_1_5"/>
      <w:bookmarkStart w:id="1727" w:name="Tc_3G_-IxyFmkKCnaAxe2WN8A_1_2"/>
      <w:bookmarkStart w:id="1728" w:name="Tc_DFjvPGG3Ikmyaoy8uFI4kg_1_0"/>
      <w:bookmarkStart w:id="1729" w:name="_95120c1e_118c_4e54_8842_8e7305454786"/>
      <w:bookmarkStart w:id="1730" w:name="Tc_4Ceh8t0WKUaIbvUaeSONFQ_7_5"/>
      <w:bookmarkStart w:id="1731" w:name="Tc_19pWTUX74UiM1mnwm63u0A_7_2"/>
      <w:bookmarkStart w:id="1732" w:name="Tc_Nvqy8If68UW4fDqlFP7H9A_7_0"/>
      <w:bookmarkStart w:id="1733" w:name="Tc_-GsWjL_V4UaxyT-Tu9-gyQ_6_0"/>
      <w:bookmarkStart w:id="1734" w:name="Tc_iMggxdYqzE6_p7K5cki_iQ_5_5"/>
      <w:bookmarkStart w:id="1735" w:name="Tc_JM8ex6szyUSDWXnTaUxXIw_5_2"/>
      <w:bookmarkStart w:id="1736" w:name="Tc_H2kWa0YJtkOJwBQlGllQeg_5_0"/>
      <w:bookmarkStart w:id="1737" w:name="Tc_9Kglq_bxq0aiCKyIt27UGQ_4_0"/>
      <w:bookmarkStart w:id="1738" w:name="Tc_B11x4Xz-FE-vfpSoP5JHfg_3_5"/>
      <w:bookmarkStart w:id="1739" w:name="Tc_SeKApcyqBk2DheN4VTSJXg_3_2"/>
      <w:bookmarkStart w:id="1740" w:name="Tc_ES07YhZ1YUWL21Pkr7cEHw_2_2"/>
      <w:bookmarkStart w:id="1741" w:name="Tc_33HdO-ZB8EO4tGf0c_6Ktw_1_2"/>
      <w:bookmarkStart w:id="1742" w:name="_7a2b9461_279f_4daf_aeb7_855f3a1166e3"/>
      <w:bookmarkStart w:id="1743" w:name="Tc_DyZUBasS8EC6tWwTZS5aOA_7_5"/>
      <w:bookmarkStart w:id="1744" w:name="Tc_n4UZXamss0Gt0ZhHNiyqeA_7_2"/>
      <w:bookmarkStart w:id="1745" w:name="Tc_1ls_mRpSjU-10pESCF8gpA_7_0"/>
      <w:bookmarkStart w:id="1746" w:name="Tc_wK_gp6OmC0S-fH53TfOIEQ_6_0"/>
      <w:bookmarkStart w:id="1747" w:name="Tc_9HTjdtvEakSh8h2SLEHQmw_5_5"/>
      <w:bookmarkStart w:id="1748" w:name="Tc_afbOgRTgX0yCTml-MufXpg_5_2"/>
      <w:bookmarkStart w:id="1749" w:name="Tc_lAveTGqZr0epQD-H-9vb3Q_5_0"/>
      <w:bookmarkStart w:id="1750" w:name="Tc_q5LNQ_tdYEyY4d1kLchm4A_4_0"/>
      <w:bookmarkStart w:id="1751" w:name="Tc_fHmQ_ECNrEKRiiafytxqqg_3_5"/>
      <w:bookmarkStart w:id="1752" w:name="Tc_x_dryR2drEycURsMJFe9ZA_3_2"/>
      <w:bookmarkStart w:id="1753" w:name="Tc_mQCxQFfeYE6CsBT3d6jKag_2_2"/>
      <w:bookmarkStart w:id="1754" w:name="Tc_L2oECaUR4U-C3aGj_nWzTw_1_2"/>
      <w:bookmarkStart w:id="1755" w:name="_5d2058c0_5948_4e3a_a4bf_3807b973ad57"/>
      <w:bookmarkStart w:id="1756" w:name="Tc_Dvi4-s6UWUmCAgRxjROE7Q_10_14"/>
      <w:bookmarkStart w:id="1757" w:name="Tc_bOhOk9Psl0-bQCvCHtm7Zg_10_11"/>
      <w:bookmarkStart w:id="1758" w:name="Tc_z7xhONqg_UOX3olPMuj6yQ_10_8"/>
      <w:bookmarkStart w:id="1759" w:name="Tc_RnBojtcoKEeU4KWSi5U47A_10_5"/>
      <w:bookmarkStart w:id="1760" w:name="Tc_3EULSQ7uzE-XFDlPITtNKw_10_2"/>
      <w:bookmarkStart w:id="1761" w:name="Tc_LNuWUavaaUGoMAVRFaNE2g_10_0"/>
      <w:bookmarkStart w:id="1762" w:name="Tc_07OiBvFZx0y5gW7yjRU5kA_9_14"/>
      <w:bookmarkStart w:id="1763" w:name="Tc_AkuYf3FWV0ue0QWATKxwWA_9_11"/>
      <w:bookmarkStart w:id="1764" w:name="Tc_2g5NiH3UYEypBmDDe5WcMg_9_8"/>
      <w:bookmarkStart w:id="1765" w:name="Tc_doXce9X4Ckyhv5yikxVv9g_9_5"/>
      <w:bookmarkStart w:id="1766" w:name="Tc_oIWhkx8B6UWhHdNubYVtXA_9_2"/>
      <w:bookmarkStart w:id="1767" w:name="Tc_7oDtLM0mkEGGRPwNynl1Zw_9_0"/>
      <w:bookmarkStart w:id="1768" w:name="Tc_XWbeBRib1UCEBbKLvRqLCQ_8_14"/>
      <w:bookmarkStart w:id="1769" w:name="Tc_q3fPMVl6hkCBbLs-FLhizg_8_11"/>
      <w:bookmarkStart w:id="1770" w:name="Tc_LzeDO5kcyUaklO8z53hyqQ_8_8"/>
      <w:bookmarkStart w:id="1771" w:name="Tc_2QUeedxcbUKNjOZUbADG8A_8_5"/>
      <w:bookmarkStart w:id="1772" w:name="Tc_l2RfCIA7s0uFX-Hp1QucTA_8_2"/>
      <w:bookmarkStart w:id="1773" w:name="Tc_P7K1wzqut0iTNsPGgdWZ_Q_7_2"/>
      <w:bookmarkStart w:id="1774" w:name="Tc_vxtu3-xv9kqYfnsyXJSgsw_4_14"/>
      <w:bookmarkStart w:id="1775" w:name="Tc_KJ2Mae0fc02RiymzHQYZgA_4_11"/>
      <w:bookmarkStart w:id="1776" w:name="Tc_Bz3A4FS6XUC7x0XLjgt-HA_4_8"/>
      <w:bookmarkStart w:id="1777" w:name="Tc_R0AFi9zxjUu-10OHs62x8Q_4_5"/>
      <w:bookmarkStart w:id="1778" w:name="Tc_QiQqo2Gwz06Jj7odJBoucw_4_2"/>
      <w:bookmarkStart w:id="1779" w:name="Tc_t_umVmCex0OiqglakFxgNA_4_0"/>
      <w:bookmarkStart w:id="1780" w:name="Tc_vBtHh9qW8EOwHZTcxrd4fQ_3_14"/>
      <w:bookmarkStart w:id="1781" w:name="Tc_fVifSjC4nEWjKGhudX0BaQ_3_11"/>
      <w:bookmarkStart w:id="1782" w:name="Tc_YcO44JocrESTwuJfchDsxg_3_8"/>
      <w:bookmarkStart w:id="1783" w:name="Tc_W-4JJECgZU6KqrGIQx03PQ_3_6"/>
      <w:bookmarkStart w:id="1784" w:name="Tc_rmFGCRlybEyJK-Uaz2dYug_3_5"/>
      <w:bookmarkStart w:id="1785" w:name="Tc_yu8sHZL7lUWsrYb2GeNtzg_3_2"/>
      <w:bookmarkStart w:id="1786" w:name="Tc_yd-0DsxrRkue2KEu_2KVOw_3_0"/>
      <w:bookmarkStart w:id="1787" w:name="Tc_DL1SVctMxE28U8wXFTOY3Q_2_14"/>
      <w:bookmarkStart w:id="1788" w:name="Tc_znf6l9JQh0i_N0yDTWnqRA_2_11"/>
      <w:bookmarkStart w:id="1789" w:name="Tc_oPZnS3k4O0WIeOtN0H8H_w_2_8"/>
      <w:bookmarkStart w:id="1790" w:name="Tc_NJsXFT4a7EacgXdRaiZCSA_2_5"/>
      <w:bookmarkStart w:id="1791" w:name="Tc_dpnISXNfeEOLsbszrE_6sQ_2_2"/>
      <w:bookmarkStart w:id="1792" w:name="Tc_bG_7C45gdE60xW6i7kRUwg_1_2"/>
      <w:bookmarkStart w:id="1793" w:name="_3430a0cf_00e0_4fc3_88d8_34cd1b523a8b"/>
      <w:bookmarkStart w:id="1794" w:name="Tc_Mdq-SFui80qeuvEOYAp8Ag_9_14"/>
      <w:bookmarkStart w:id="1795" w:name="Tc_Ff-GXJvEmUKVB9X5Yi2F4A_9_12"/>
      <w:bookmarkStart w:id="1796" w:name="Tc_q3nbFUT9LEuBIuUqq9lN8Q_9_11"/>
      <w:bookmarkStart w:id="1797" w:name="Tc_bfBYCipLokWHWyLUDn4vYA_9_9"/>
      <w:bookmarkStart w:id="1798" w:name="Tc_3FYFZ5TA2EaNBRsLgj_J9A_9_8"/>
      <w:bookmarkStart w:id="1799" w:name="Tc_fRqpnliBz0aResmP_yKA7w_9_6"/>
      <w:bookmarkStart w:id="1800" w:name="Tc_Q12IkTL4Hk-JcSIJ2pCLag_9_5"/>
      <w:bookmarkStart w:id="1801" w:name="Tc_L9Zkwm9cxEOpjLfprCPzzQ_9_2"/>
      <w:bookmarkStart w:id="1802" w:name="Tc_B9UHJUxFI0WuBmZlC7L72A_9_0"/>
      <w:bookmarkStart w:id="1803" w:name="Tc_iHJxZAqFAUito7GzlaI8MQ_8_14"/>
      <w:bookmarkStart w:id="1804" w:name="Tc_vr8DvaAT1kOx4yqKt10Z7w_8_12"/>
      <w:bookmarkStart w:id="1805" w:name="Tc_zMgHgltvnk6MJBZw8Co4sQ_8_11"/>
      <w:bookmarkStart w:id="1806" w:name="Tc_V3dEOIsEVEmh1OOoefnrAA_8_9"/>
      <w:bookmarkStart w:id="1807" w:name="Tc_i2pTQe-n-E2RbEeXU9ofAQ_8_8"/>
      <w:bookmarkStart w:id="1808" w:name="Tc_k8Ytw8FMAUuZlFYmNSFptQ_8_5"/>
      <w:bookmarkStart w:id="1809" w:name="Tc_52DGXgfq5EuaFkHTGy5xVQ_8_2"/>
      <w:bookmarkStart w:id="1810" w:name="Tc_AcoJYvTnwUWHS-vGDqQbvA_8_0"/>
      <w:bookmarkStart w:id="1811" w:name="Tc_2G259PBYfEyLDWtebSWNUQ_7_14"/>
      <w:bookmarkStart w:id="1812" w:name="Tc_WFV--O6HdE-jdux6EDlYpA_7_11"/>
      <w:bookmarkStart w:id="1813" w:name="Tc_qs4_XFfGdEKqyqETL1fxTw_7_8"/>
      <w:bookmarkStart w:id="1814" w:name="Tc_fmKk5WXz20iUAnSKSTn7mw_7_5"/>
      <w:bookmarkStart w:id="1815" w:name="Tc_JRrKjMM_z0Smi0htIhf-bw_7_2"/>
      <w:bookmarkStart w:id="1816" w:name="Tc_pRYzfD7hfkqZcSIU7vQ0VA_6_2"/>
      <w:bookmarkStart w:id="1817" w:name="Tc_lojE6sJ7m0mGHpaEFfZ__g_3_14"/>
      <w:bookmarkStart w:id="1818" w:name="Tc_tGa1l2ejV0eoY32FbT_gQg_3_11"/>
      <w:bookmarkStart w:id="1819" w:name="Tc_t18Vrx8rc06QT8866WXjwA_3_9"/>
      <w:bookmarkStart w:id="1820" w:name="Tc_pcS60fNHJUO5S5XbJv4m5g_3_8"/>
      <w:bookmarkStart w:id="1821" w:name="Tc_q1BiVgqflkSLatv6KSvveg_3_5"/>
      <w:bookmarkStart w:id="1822" w:name="Tc__c_qHu6N2E2cGpwI_WOc2A_3_2"/>
      <w:bookmarkStart w:id="1823" w:name="Tc_A-UR-hHLcUOZxXMWRudZNQ_3_0"/>
      <w:bookmarkStart w:id="1824" w:name="Tc_66BzZEs0akqwsvQamijOjw_2_14"/>
      <w:bookmarkStart w:id="1825" w:name="Tc_ZYpAz2Y1-UmDakXfDxJMHw_2_11"/>
      <w:bookmarkStart w:id="1826" w:name="Tc_doP8tO6-p0GfU2aBlb-PkQ_2_8"/>
      <w:bookmarkStart w:id="1827" w:name="Tc_R8ixz-FAhE-xCs9xILbemA_2_5"/>
      <w:bookmarkStart w:id="1828" w:name="Tc_-x2TYF7bs0aDH0QURxWNwA_2_2"/>
      <w:bookmarkStart w:id="1829" w:name="Tc_4RC3Ah1bTUGIg9x0uu3oCA_1_2"/>
      <w:bookmarkStart w:id="1830" w:name="_7d352f8a_fe26_44c6_baa1_18470fc62dd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p>
    <w:tbl>
      <w:tblPr>
        <w:tblW w:w="9495" w:type="dxa"/>
        <w:jc w:val="left"/>
        <w:tblInd w:w="0" w:type="dxa"/>
        <w:tblLayout w:type="fixed"/>
        <w:tblCellMar>
          <w:top w:w="0" w:type="dxa"/>
          <w:left w:w="0" w:type="dxa"/>
          <w:bottom w:w="0" w:type="dxa"/>
          <w:right w:w="0" w:type="dxa"/>
        </w:tblCellMar>
      </w:tblPr>
      <w:tblGrid>
        <w:gridCol w:w="2281"/>
        <w:gridCol w:w="326"/>
        <w:gridCol w:w="305"/>
        <w:gridCol w:w="611"/>
        <w:gridCol w:w="326"/>
        <w:gridCol w:w="364"/>
        <w:gridCol w:w="597"/>
        <w:gridCol w:w="326"/>
        <w:gridCol w:w="426"/>
        <w:gridCol w:w="699"/>
        <w:gridCol w:w="326"/>
        <w:gridCol w:w="614"/>
        <w:gridCol w:w="1231"/>
        <w:gridCol w:w="326"/>
        <w:gridCol w:w="211"/>
        <w:gridCol w:w="526"/>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448435" cy="175260"/>
                      <wp:effectExtent l="0" t="0" r="0" b="0"/>
                      <wp:wrapNone/>
                      <wp:docPr id="275" name="Frame275"/>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93675" cy="175260"/>
                      <wp:effectExtent l="0" t="0" r="0" b="0"/>
                      <wp:wrapNone/>
                      <wp:docPr id="277" name="Frame277"/>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87985" cy="175260"/>
                      <wp:effectExtent l="0" t="0" r="0" b="0"/>
                      <wp:wrapNone/>
                      <wp:docPr id="278" name="Frame278"/>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31140" cy="175260"/>
                      <wp:effectExtent l="0" t="0" r="0" b="0"/>
                      <wp:wrapNone/>
                      <wp:docPr id="280" name="Frame280"/>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79095" cy="175260"/>
                      <wp:effectExtent l="0" t="0" r="0" b="0"/>
                      <wp:wrapNone/>
                      <wp:docPr id="281" name="Frame281"/>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70510" cy="175260"/>
                      <wp:effectExtent l="0" t="0" r="0" b="0"/>
                      <wp:wrapNone/>
                      <wp:docPr id="283" name="Frame283"/>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43865" cy="175260"/>
                      <wp:effectExtent l="0" t="0" r="0" b="0"/>
                      <wp:wrapNone/>
                      <wp:docPr id="284" name="Frame284"/>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89890" cy="175260"/>
                      <wp:effectExtent l="0" t="0" r="0" b="0"/>
                      <wp:wrapNone/>
                      <wp:docPr id="286" name="Frame286"/>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781685" cy="175260"/>
                      <wp:effectExtent l="0" t="0" r="0" b="0"/>
                      <wp:wrapNone/>
                      <wp:docPr id="287" name="Frame28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34010" cy="175260"/>
                      <wp:effectExtent l="0" t="0" r="0" b="0"/>
                      <wp:wrapNone/>
                      <wp:docPr id="290" name="Frame29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2025</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2024</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652</w:t>
            </w:r>
          </w:p>
        </w:tc>
      </w:tr>
    </w:tbl>
    <w:p>
      <w:pPr>
        <w:pStyle w:val="TextBody"/>
        <w:bidi w:val="0"/>
        <w:spacing w:before="0" w:after="0"/>
        <w:ind w:left="0" w:right="0" w:hanging="0"/>
        <w:jc w:val="left"/>
        <w:rPr/>
      </w:pPr>
      <w:r>
        <w:rPr/>
        <w:t>​</w:t>
      </w:r>
    </w:p>
    <w:tbl>
      <w:tblPr>
        <w:tblW w:w="9285" w:type="dxa"/>
        <w:jc w:val="left"/>
        <w:tblInd w:w="0" w:type="dxa"/>
        <w:tblLayout w:type="fixed"/>
        <w:tblCellMar>
          <w:top w:w="0" w:type="dxa"/>
          <w:left w:w="0" w:type="dxa"/>
          <w:bottom w:w="0" w:type="dxa"/>
          <w:right w:w="0" w:type="dxa"/>
        </w:tblCellMar>
      </w:tblPr>
      <w:tblGrid>
        <w:gridCol w:w="1816"/>
        <w:gridCol w:w="326"/>
        <w:gridCol w:w="247"/>
        <w:gridCol w:w="669"/>
        <w:gridCol w:w="326"/>
        <w:gridCol w:w="259"/>
        <w:gridCol w:w="702"/>
        <w:gridCol w:w="326"/>
        <w:gridCol w:w="303"/>
        <w:gridCol w:w="822"/>
        <w:gridCol w:w="326"/>
        <w:gridCol w:w="497"/>
        <w:gridCol w:w="1348"/>
        <w:gridCol w:w="326"/>
        <w:gridCol w:w="211"/>
        <w:gridCol w:w="781"/>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153160" cy="175260"/>
                      <wp:effectExtent l="0" t="0" r="0" b="0"/>
                      <wp:wrapNone/>
                      <wp:docPr id="291" name="Frame291"/>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56845" cy="175260"/>
                      <wp:effectExtent l="0" t="0" r="0" b="0"/>
                      <wp:wrapNone/>
                      <wp:docPr id="293" name="Frame293"/>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24815" cy="175260"/>
                      <wp:effectExtent l="0" t="0" r="0" b="0"/>
                      <wp:wrapNone/>
                      <wp:docPr id="294" name="Frame294"/>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64465" cy="175260"/>
                      <wp:effectExtent l="0" t="0" r="0" b="0"/>
                      <wp:wrapNone/>
                      <wp:docPr id="296" name="Frame296"/>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45770" cy="175260"/>
                      <wp:effectExtent l="0" t="0" r="0" b="0"/>
                      <wp:wrapNone/>
                      <wp:docPr id="297" name="Frame297"/>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92405" cy="175260"/>
                      <wp:effectExtent l="0" t="0" r="0" b="0"/>
                      <wp:wrapNone/>
                      <wp:docPr id="299" name="Frame29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21970" cy="175260"/>
                      <wp:effectExtent l="0" t="0" r="0" b="0"/>
                      <wp:wrapNone/>
                      <wp:docPr id="300" name="Frame300"/>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15595" cy="175260"/>
                      <wp:effectExtent l="0" t="0" r="0" b="0"/>
                      <wp:wrapNone/>
                      <wp:docPr id="302" name="Frame302"/>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855980" cy="175260"/>
                      <wp:effectExtent l="0" t="0" r="0" b="0"/>
                      <wp:wrapNone/>
                      <wp:docPr id="303" name="Frame303"/>
                      <a:graphic xmlns:a="http://schemas.openxmlformats.org/drawingml/2006/main">
                        <a:graphicData uri="http://schemas.microsoft.com/office/word/2010/wordprocessingShape">
                          <wps:wsp>
                            <wps:cNvSpPr txBox="1"/>
                            <wps:spPr>
                              <a:xfrm>
                                <a:off x="0" y="0"/>
                                <a:ext cx="855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95935" cy="175260"/>
                      <wp:effectExtent l="0" t="0" r="0" b="0"/>
                      <wp:wrapNone/>
                      <wp:docPr id="306" name="Frame3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9,519</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6,321</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22,445</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3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3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8,545</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6,216</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25,352</w:t>
            </w:r>
          </w:p>
        </w:tc>
      </w:tr>
    </w:tbl>
    <w:p>
      <w:pPr>
        <w:pStyle w:val="TextBody"/>
        <w:bidi w:val="0"/>
        <w:spacing w:before="0" w:after="0"/>
        <w:ind w:left="0" w:right="0" w:hanging="0"/>
        <w:jc w:val="left"/>
        <w:rPr/>
      </w:pPr>
      <w:r>
        <w:rPr/>
        <w:t>​</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Company currently operates in two geographical regions: United States and all other countries, which include Netherlands, Turkey and United Arab Emirates. The following table represents the geographical revenue, and total long-lived asset information. There were no concentrations of geographical revenue and long-lived assets related to any single foreign country that were material to the Company’s unaudited condensed consolidated financial statements. Long-lived assets include property and equipment and right of use lease assets.</w:t>
      </w:r>
    </w:p>
    <w:p>
      <w:pPr>
        <w:pStyle w:val="TextBody"/>
        <w:bidi w:val="0"/>
        <w:spacing w:before="0" w:after="0"/>
        <w:ind w:left="0" w:right="0" w:hanging="0"/>
        <w:jc w:val="left"/>
        <w:rPr/>
      </w:pPr>
      <w:r>
        <w:rPr/>
        <w:t>​</w:t>
      </w:r>
    </w:p>
    <w:tbl>
      <w:tblPr>
        <w:tblW w:w="4167" w:type="dxa"/>
        <w:jc w:val="left"/>
        <w:tblInd w:w="0" w:type="dxa"/>
        <w:tblLayout w:type="fixed"/>
        <w:tblCellMar>
          <w:top w:w="0" w:type="dxa"/>
          <w:left w:w="0" w:type="dxa"/>
          <w:bottom w:w="0" w:type="dxa"/>
          <w:right w:w="0" w:type="dxa"/>
        </w:tblCellMar>
      </w:tblPr>
      <w:tblGrid>
        <w:gridCol w:w="1636"/>
        <w:gridCol w:w="326"/>
        <w:gridCol w:w="211"/>
        <w:gridCol w:w="676"/>
        <w:gridCol w:w="326"/>
        <w:gridCol w:w="211"/>
        <w:gridCol w:w="781"/>
      </w:tblGrid>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29260" cy="175260"/>
                      <wp:effectExtent l="0" t="0" r="0" b="0"/>
                      <wp:wrapNone/>
                      <wp:docPr id="309" name="Frame3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95935" cy="175260"/>
                      <wp:effectExtent l="0" t="0" r="0" b="0"/>
                      <wp:wrapNone/>
                      <wp:docPr id="312" name="Frame3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15,113</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18,008</w:t>
            </w:r>
          </w:p>
        </w:tc>
      </w:tr>
    </w:tbl>
    <w:p>
      <w:pPr>
        <w:pStyle w:val="TextBody"/>
        <w:bidi w:val="0"/>
        <w:spacing w:before="0" w:after="0"/>
        <w:ind w:left="0" w:right="0" w:hanging="0"/>
        <w:jc w:val="left"/>
        <w:rPr/>
      </w:pPr>
      <w:r>
        <w:rPr/>
        <w:t>​</w:t>
      </w:r>
    </w:p>
    <w:tbl>
      <w:tblPr>
        <w:tblW w:w="3957" w:type="dxa"/>
        <w:jc w:val="left"/>
        <w:tblInd w:w="0" w:type="dxa"/>
        <w:tblLayout w:type="fixed"/>
        <w:tblCellMar>
          <w:top w:w="0" w:type="dxa"/>
          <w:left w:w="0" w:type="dxa"/>
          <w:bottom w:w="0" w:type="dxa"/>
          <w:right w:w="0" w:type="dxa"/>
        </w:tblCellMar>
      </w:tblPr>
      <w:tblGrid>
        <w:gridCol w:w="1636"/>
        <w:gridCol w:w="326"/>
        <w:gridCol w:w="211"/>
        <w:gridCol w:w="571"/>
        <w:gridCol w:w="326"/>
        <w:gridCol w:w="211"/>
        <w:gridCol w:w="676"/>
      </w:tblGrid>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62585" cy="175260"/>
                      <wp:effectExtent l="0" t="0" r="0" b="0"/>
                      <wp:wrapNone/>
                      <wp:docPr id="315" name="Frame3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29260" cy="175260"/>
                      <wp:effectExtent l="0" t="0" r="0" b="0"/>
                      <wp:wrapNone/>
                      <wp:docPr id="318" name="Frame3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7,765</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9,282</w:t>
            </w:r>
          </w:p>
        </w:tc>
      </w:tr>
    </w:tbl>
    <w:p>
      <w:pPr>
        <w:pStyle w:val="TextBody"/>
        <w:bidi w:val="0"/>
        <w:spacing w:before="0" w:after="0"/>
        <w:ind w:left="0" w:right="0" w:hanging="0"/>
        <w:jc w:val="left"/>
        <w:rPr/>
      </w:pPr>
      <w:r>
        <w:rPr/>
        <w:t>​</w:t>
      </w:r>
    </w:p>
    <w:tbl>
      <w:tblPr>
        <w:tblW w:w="5708" w:type="dxa"/>
        <w:jc w:val="left"/>
        <w:tblInd w:w="0" w:type="dxa"/>
        <w:tblLayout w:type="fixed"/>
        <w:tblCellMar>
          <w:top w:w="0" w:type="dxa"/>
          <w:left w:w="0" w:type="dxa"/>
          <w:bottom w:w="0" w:type="dxa"/>
          <w:right w:w="0" w:type="dxa"/>
        </w:tblCellMar>
      </w:tblPr>
      <w:tblGrid>
        <w:gridCol w:w="2011"/>
        <w:gridCol w:w="326"/>
        <w:gridCol w:w="344"/>
        <w:gridCol w:w="931"/>
        <w:gridCol w:w="326"/>
        <w:gridCol w:w="420"/>
        <w:gridCol w:w="1350"/>
      </w:tblGrid>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8440" cy="175260"/>
                      <wp:effectExtent l="0" t="0" r="0" b="0"/>
                      <wp:wrapNone/>
                      <wp:docPr id="320" name="Frame320"/>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91185" cy="175260"/>
                      <wp:effectExtent l="0" t="0" r="0" b="0"/>
                      <wp:wrapNone/>
                      <wp:docPr id="321" name="Frame3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66700" cy="175260"/>
                      <wp:effectExtent l="0" t="0" r="0" b="0"/>
                      <wp:wrapNone/>
                      <wp:docPr id="323" name="Frame323"/>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857250" cy="175260"/>
                      <wp:effectExtent l="0" t="0" r="0" b="0"/>
                      <wp:wrapNone/>
                      <wp:docPr id="324" name="Frame324"/>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Long-lived assets</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5,139</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3,289</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326"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5,934</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31" w:name="Tc_Pu9fba7TBEysjNsYbJ7uLA_5_5"/>
      <w:bookmarkStart w:id="1832" w:name="Tc_fhThLLW2Rkuo-MAS2HuCnA_5_2"/>
      <w:bookmarkStart w:id="1833" w:name="Tc_r-TVhnSNzUOQ1GnMaNeXZw_5_0"/>
      <w:bookmarkStart w:id="1834" w:name="Tc_26xzu0_Sqk6Jc7cU-kqPbQ_4_0"/>
      <w:bookmarkStart w:id="1835" w:name="Tc_rmd1x4gbCkWdXMSOPYWGwQ_3_0"/>
      <w:bookmarkStart w:id="1836" w:name="Tc_9mw7KyB5vkqBVdbwmNCLtg_2_5"/>
      <w:bookmarkStart w:id="1837" w:name="Tc_3HapbixDh0uZPALh4jv0UQ_2_2"/>
      <w:bookmarkStart w:id="1838" w:name="Tc_mhxD8o8YR0Cv7oz2hXYLTQ_2_0"/>
      <w:bookmarkStart w:id="1839" w:name="Tc_MQHSvgsZzU-c7k0pHsqapg_1_5"/>
      <w:bookmarkStart w:id="1840" w:name="Tc_ZheKfoOcLE-7EeaEpCdDnA_1_2"/>
      <w:bookmarkStart w:id="1841" w:name="Tc_2_ceqmS_5EmpD395ww2Tfw_6_5"/>
      <w:bookmarkStart w:id="1842" w:name="Tc_BCeBdyzfK0ygVvE5O0Aclw_6_2"/>
      <w:bookmarkStart w:id="1843" w:name="Tc_b4gpBq2_sUaSRdWoayJUmw_6_0"/>
      <w:bookmarkStart w:id="1844" w:name="Tc_sdki9rYy3EWC8k_yZ-kEOg_5_0"/>
      <w:bookmarkStart w:id="1845" w:name="Tc_eHRKWn11tkOz6FTiIcv2pQ_4_5"/>
      <w:bookmarkStart w:id="1846" w:name="Tc_OWD5z6Ffy0OZLvW7fHNN6g_4_2"/>
      <w:bookmarkStart w:id="1847" w:name="Tc_o2x4RgzHs0-JtPeTgbi5gQ_4_0"/>
      <w:bookmarkStart w:id="1848" w:name="Tc_yZypSgB-JUigE8bZhzQplA_3_5"/>
      <w:bookmarkStart w:id="1849" w:name="Tc_8BCvhbWzjkyw0s5EjpogZA_3_2"/>
      <w:bookmarkStart w:id="1850" w:name="Tc_srn06vjtzUGp2xbSf4I9wQ_2_2"/>
      <w:bookmarkStart w:id="1851" w:name="Tc_HpPHgNhhg0y8jbN0zWs8MQ_1_2"/>
      <w:bookmarkStart w:id="1852" w:name="_cef87ce9_3263_4a32_9b93_52ff5dd3f28b"/>
      <w:bookmarkStart w:id="1853" w:name="Tc_f-QDVCXiN0irhEQwTv1Qzg_6_5"/>
      <w:bookmarkStart w:id="1854" w:name="Tc_zRzcjHuGTkSGpLu801dGZQ_6_2"/>
      <w:bookmarkStart w:id="1855" w:name="Tc_mz8_g09IBUKmjg1MhGa4bg_6_0"/>
      <w:bookmarkStart w:id="1856" w:name="Tc_FLEFSW9BmEuwOmMs5wqOTQ_5_0"/>
      <w:bookmarkStart w:id="1857" w:name="Tc_7y55V6WWj0WwkuFHVc6bgw_4_5"/>
      <w:bookmarkStart w:id="1858" w:name="Tc_WOWfTsbZVkaI_YHZN2z4Aw_4_2"/>
      <w:bookmarkStart w:id="1859" w:name="Tc_1boOanuIdkWe3DOh_xEKSg_4_0"/>
      <w:bookmarkStart w:id="1860" w:name="Tc_V19mwX1ZvE6LXgFBrdQEuQ_3_5"/>
      <w:bookmarkStart w:id="1861" w:name="Tc_0luRHNZWNUmeiXX_uamAaQ_3_2"/>
      <w:bookmarkStart w:id="1862" w:name="Tc_u_w-Gkj_xE2CPTnEVgWbiA_2_2"/>
      <w:bookmarkStart w:id="1863" w:name="Tc_kd5tgBIkIkur8bp9UXFgDQ_1_2"/>
      <w:bookmarkStart w:id="1864" w:name="_c5f64492_1e36_4ab7_a0ea_d0b9a9baace6"/>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r>
        <w:rPr>
          <w:rFonts w:ascii="Times New Roman;Times;serif" w:hAnsi="Times New Roman;Times;serif"/>
          <w:b/>
          <w:sz w:val="20"/>
        </w:rPr>
        <w:t>Note 14.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about disaggregated revenue from contracts with customers by the nature of products and services provided (in thousands): </w:t>
      </w:r>
    </w:p>
    <w:tbl>
      <w:tblPr>
        <w:tblW w:w="4512" w:type="dxa"/>
        <w:jc w:val="left"/>
        <w:tblInd w:w="0" w:type="dxa"/>
        <w:tblLayout w:type="fixed"/>
        <w:tblCellMar>
          <w:top w:w="0" w:type="dxa"/>
          <w:left w:w="0" w:type="dxa"/>
          <w:bottom w:w="0" w:type="dxa"/>
          <w:right w:w="0" w:type="dxa"/>
        </w:tblCellMar>
      </w:tblPr>
      <w:tblGrid>
        <w:gridCol w:w="1981"/>
        <w:gridCol w:w="326"/>
        <w:gridCol w:w="211"/>
        <w:gridCol w:w="676"/>
        <w:gridCol w:w="326"/>
        <w:gridCol w:w="211"/>
        <w:gridCol w:w="78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257935" cy="175260"/>
                      <wp:effectExtent l="0" t="0" r="0" b="0"/>
                      <wp:wrapNone/>
                      <wp:docPr id="325" name="Frame325"/>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29260" cy="175260"/>
                      <wp:effectExtent l="0" t="0" r="0" b="0"/>
                      <wp:wrapNone/>
                      <wp:docPr id="328" name="Frame3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95935" cy="175260"/>
                      <wp:effectExtent l="0" t="0" r="0" b="0"/>
                      <wp:wrapNone/>
                      <wp:docPr id="331" name="Frame3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10,523</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over time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7,485</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18,008</w:t>
            </w:r>
          </w:p>
        </w:tc>
      </w:tr>
    </w:tbl>
    <w:p>
      <w:pPr>
        <w:pStyle w:val="TextBody"/>
        <w:bidi w:val="0"/>
        <w:spacing w:before="0" w:after="0"/>
        <w:ind w:left="0" w:right="0" w:hanging="0"/>
        <w:jc w:val="left"/>
        <w:rPr/>
      </w:pPr>
      <w:r>
        <w:rPr/>
        <w:t>​</w:t>
      </w:r>
    </w:p>
    <w:tbl>
      <w:tblPr>
        <w:tblW w:w="4302" w:type="dxa"/>
        <w:jc w:val="left"/>
        <w:tblInd w:w="0" w:type="dxa"/>
        <w:tblLayout w:type="fixed"/>
        <w:tblCellMar>
          <w:top w:w="0" w:type="dxa"/>
          <w:left w:w="0" w:type="dxa"/>
          <w:bottom w:w="0" w:type="dxa"/>
          <w:right w:w="0" w:type="dxa"/>
        </w:tblCellMar>
      </w:tblPr>
      <w:tblGrid>
        <w:gridCol w:w="1981"/>
        <w:gridCol w:w="326"/>
        <w:gridCol w:w="211"/>
        <w:gridCol w:w="571"/>
        <w:gridCol w:w="326"/>
        <w:gridCol w:w="211"/>
        <w:gridCol w:w="67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257935" cy="175260"/>
                      <wp:effectExtent l="0" t="0" r="0" b="0"/>
                      <wp:wrapNone/>
                      <wp:docPr id="332" name="Frame332"/>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62585" cy="175260"/>
                      <wp:effectExtent l="0" t="0" r="0" b="0"/>
                      <wp:wrapNone/>
                      <wp:docPr id="335" name="Frame3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29260" cy="175260"/>
                      <wp:effectExtent l="0" t="0" r="0" b="0"/>
                      <wp:wrapNone/>
                      <wp:docPr id="338" name="Frame3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5,440</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over time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3,842</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9,282</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2025, the unrecognized committed amount of the Ginkgo/BioWorks contract is $5,210.</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 contract costs related to the periods presented.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Contract liabilities are classified as deferred revenue in the unaudited condensed consolidated balance sheets. The activity in deferred revenue for the six months ended June 30, 2025, and for the year ended December 31, 2024,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572"/>
        <w:gridCol w:w="326"/>
        <w:gridCol w:w="337"/>
        <w:gridCol w:w="912"/>
        <w:gridCol w:w="326"/>
        <w:gridCol w:w="410"/>
        <w:gridCol w:w="1322"/>
      </w:tblGrid>
      <w:tr>
        <w:trPr/>
        <w:tc>
          <w:tcPr>
            <w:tcW w:w="6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173220" cy="175260"/>
                      <wp:effectExtent l="0" t="0" r="0" b="0"/>
                      <wp:wrapNone/>
                      <wp:docPr id="339" name="Frame339"/>
                      <a:graphic xmlns:a="http://schemas.openxmlformats.org/drawingml/2006/main">
                        <a:graphicData uri="http://schemas.microsoft.com/office/word/2010/wordprocessingShape">
                          <wps:wsp>
                            <wps:cNvSpPr txBox="1"/>
                            <wps:spPr>
                              <a:xfrm>
                                <a:off x="0" y="0"/>
                                <a:ext cx="417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3995" cy="175260"/>
                      <wp:effectExtent l="0" t="0" r="0" b="0"/>
                      <wp:wrapNone/>
                      <wp:docPr id="341" name="Frame34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79120" cy="175260"/>
                      <wp:effectExtent l="0" t="0" r="0" b="0"/>
                      <wp:wrapNone/>
                      <wp:docPr id="342" name="Frame342"/>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60350" cy="175260"/>
                      <wp:effectExtent l="0" t="0" r="0" b="0"/>
                      <wp:wrapNone/>
                      <wp:docPr id="344" name="Frame344"/>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839470" cy="175260"/>
                      <wp:effectExtent l="0" t="0" r="0" b="0"/>
                      <wp:wrapNone/>
                      <wp:docPr id="345" name="Frame345"/>
                      <a:graphic xmlns:a="http://schemas.openxmlformats.org/drawingml/2006/main">
                        <a:graphicData uri="http://schemas.microsoft.com/office/word/2010/wordprocessingShape">
                          <wps:wsp>
                            <wps:cNvSpPr txBox="1"/>
                            <wps:spPr>
                              <a:xfrm>
                                <a:off x="0" y="0"/>
                                <a:ext cx="839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left"/>
              <w:rPr/>
            </w:pPr>
            <w:r>
              <w:rPr/>
              <w:t>    </w:t>
            </w:r>
          </w:p>
        </w:tc>
        <w:tc>
          <w:tcPr>
            <w:tcW w:w="1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65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the period contract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c>
          <w:tcPr>
            <w:tcW w:w="326"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r>
      <w:tr>
        <w:trPr/>
        <w:tc>
          <w:tcPr>
            <w:tcW w:w="6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from the contract liabilities included in the beginning balance</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26"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13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65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due cash received net of amounts recognized revenue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bidi w:val="0"/>
              <w:spacing w:before="0" w:after="0"/>
              <w:ind w:left="0" w:right="0" w:hanging="0"/>
              <w:jc w:val="left"/>
              <w:rPr/>
            </w:pPr>
            <w:r>
              <w:rPr/>
              <w:t>​</w:t>
            </w:r>
          </w:p>
        </w:tc>
        <w:tc>
          <w:tcPr>
            <w:tcW w:w="4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r>
      <w:tr>
        <w:trPr/>
        <w:tc>
          <w:tcPr>
            <w:tcW w:w="6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period contract liability</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326" w:type="dxa"/>
            <w:tcBorders/>
            <w:vAlign w:val="center"/>
          </w:tcPr>
          <w:p>
            <w:pPr>
              <w:pStyle w:val="TableContents"/>
              <w:bidi w:val="0"/>
              <w:spacing w:before="0" w:after="0"/>
              <w:ind w:left="0" w:right="0" w:hanging="0"/>
              <w:jc w:val="left"/>
              <w:rPr/>
            </w:pPr>
            <w:r>
              <w:rPr/>
              <w:t>​</w:t>
            </w:r>
          </w:p>
        </w:tc>
        <w:tc>
          <w:tcPr>
            <w:tcW w:w="4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1,143</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the $1,143 outstanding as of December 31, 2024, $272 and $488 have been recognized as revenue for the three and six months ended June 30,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Company applies the right-to-invoice practical expedient for its Priority Pass and HyperPointe revenue streams and recognizes revenue in the amount it is entitled to invoice when that amount corresponds directly with the value of the performance to date. For the Company’s XpresTest business unit, there are no portions of unfulfilled performance obligations, because the Company’s efforts towards satisfying each of the performance obligations are expended evenly throughout the period of performance. For the Company’s HyperPointe business unit, Advanced services are distinct performance obligations that are satisfied over time with revenue recognized as services are delivered. Revenues billed in advance are treated as deferred revenue, which was $92 and $181 as of June 30, 2025, and December 31, 2024, respectively. Naples Wax Center offers prepaid wax packages that are either unlimited for one year or a set number of services. When the packages are purchased, the sales are recorded as deferred revenue, which was $831 and $956 as of June 30, 2025 and December 31, 2024, respectively. As services related to prepaid packages are used, revenue is recognized as income.</w:t>
      </w:r>
    </w:p>
    <w:p>
      <w:pPr>
        <w:pStyle w:val="TextBody"/>
        <w:bidi w:val="0"/>
        <w:spacing w:before="0" w:after="240"/>
        <w:ind w:left="0" w:right="0" w:hanging="0"/>
        <w:jc w:val="both"/>
        <w:rPr>
          <w:rFonts w:ascii="Times New Roman;Times;serif" w:hAnsi="Times New Roman;Times;serif"/>
          <w:b/>
          <w:sz w:val="20"/>
        </w:rPr>
      </w:pPr>
      <w:bookmarkStart w:id="1865" w:name="Tc_zWTtF4ZdNkmVBFKF25iNEA_8_5"/>
      <w:bookmarkStart w:id="1866" w:name="Tc_0rrJ4rX1UEOpjXLJG5LpmA_8_2"/>
      <w:bookmarkStart w:id="1867" w:name="Tc_oETv64lM9066dKMh4VVlTQ_8_0"/>
      <w:bookmarkStart w:id="1868" w:name="Tc_mE8q8e0dAUq9ufrd0lOH0A_7_0"/>
      <w:bookmarkStart w:id="1869" w:name="Tc_ZZS9J2rCM0iW1CVc8WeBAQ_5_8"/>
      <w:bookmarkStart w:id="1870" w:name="Tc_RuHOzXMaukGWhUrZTLTY_w_5_0"/>
      <w:bookmarkStart w:id="1871" w:name="Tc_LZuvIINWkUSuQs3dMnNdow_4_8"/>
      <w:bookmarkStart w:id="1872" w:name="Tc_SVNsyg9QW0a1OXmwmhFlQg_4_0"/>
      <w:bookmarkStart w:id="1873" w:name="Tc_29w6dEXwl02U7etWkBsqaA_3_8"/>
      <w:bookmarkStart w:id="1874" w:name="Tc_ohvwmgGOykiCxatV6ZsenQ_3_5"/>
      <w:bookmarkStart w:id="1875" w:name="Tc_AyE4aTtyw0mpq6br5x-4ZA_3_2"/>
      <w:bookmarkStart w:id="1876" w:name="Tc_VjxSbNW6FUeAlz79fGr6bg_3_0"/>
      <w:bookmarkStart w:id="1877" w:name="Tc_W1AyrVALf0-s16Af47_J1Q_2_8"/>
      <w:bookmarkStart w:id="1878" w:name="Tc_Ne46imHhZkSEc9ukDusn1A_2_5"/>
      <w:bookmarkStart w:id="1879" w:name="Tc_vpls-YDeN0ClGygyNTMpzw_2_2"/>
      <w:bookmarkStart w:id="1880" w:name="Tc_lTnLUzVEOUWQUG6xQJmzoA_1_5"/>
      <w:bookmarkStart w:id="1881" w:name="Tc_7dN5rR3zDUuljHswpL-qKQ_1_2"/>
      <w:bookmarkStart w:id="1882" w:name="_d6c14dda_e0c3_4176_ad85_01b9943764f3"/>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r>
        <w:rPr>
          <w:rFonts w:ascii="Times New Roman;Times;serif" w:hAnsi="Times New Roman;Times;serif"/>
          <w:b/>
          <w:sz w:val="20"/>
        </w:rPr>
        <w:t>Note 15. Property and Equipment,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are comprised of the following (in thousands):</w:t>
      </w:r>
    </w:p>
    <w:tbl>
      <w:tblPr>
        <w:tblW w:w="7687" w:type="dxa"/>
        <w:jc w:val="left"/>
        <w:tblInd w:w="0" w:type="dxa"/>
        <w:tblLayout w:type="fixed"/>
        <w:tblCellMar>
          <w:top w:w="0" w:type="dxa"/>
          <w:left w:w="0" w:type="dxa"/>
          <w:bottom w:w="0" w:type="dxa"/>
          <w:right w:w="0" w:type="dxa"/>
        </w:tblCellMar>
      </w:tblPr>
      <w:tblGrid>
        <w:gridCol w:w="2896"/>
        <w:gridCol w:w="326"/>
        <w:gridCol w:w="211"/>
        <w:gridCol w:w="691"/>
        <w:gridCol w:w="326"/>
        <w:gridCol w:w="326"/>
        <w:gridCol w:w="979"/>
        <w:gridCol w:w="326"/>
        <w:gridCol w:w="16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838960" cy="175260"/>
                      <wp:effectExtent l="0" t="0" r="0" b="0"/>
                      <wp:wrapNone/>
                      <wp:docPr id="346" name="Frame346"/>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38785" cy="175260"/>
                      <wp:effectExtent l="0" t="0" r="0" b="0"/>
                      <wp:wrapNone/>
                      <wp:docPr id="349" name="Frame3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21665" cy="175260"/>
                      <wp:effectExtent l="0" t="0" r="0" b="0"/>
                      <wp:wrapNone/>
                      <wp:docPr id="352" name="Frame352"/>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019810" cy="175260"/>
                      <wp:effectExtent l="0" t="0" r="0" b="0"/>
                      <wp:wrapNone/>
                      <wp:docPr id="354" name="Frame354"/>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December 31, </w:t>
            </w:r>
          </w:p>
        </w:tc>
        <w:tc>
          <w:tcPr>
            <w:tcW w:w="326" w:type="dxa"/>
            <w:tcBorders/>
            <w:vAlign w:val="center"/>
          </w:tcPr>
          <w:p>
            <w:pPr>
              <w:pStyle w:val="TableContents"/>
              <w:bidi w:val="0"/>
              <w:spacing w:before="0" w:after="0"/>
              <w:ind w:left="0" w:right="0" w:hanging="0"/>
              <w:jc w:val="center"/>
              <w:rPr/>
            </w:pPr>
            <w:r>
              <w:rPr/>
              <w:t>​</w:t>
            </w:r>
          </w:p>
        </w:tc>
        <w:tc>
          <w:tcPr>
            <w:tcW w:w="1606"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center"/>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Useful Life</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4,566</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5-8 years</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 years</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Maximum 5 years</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6,975</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5,647</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c>
          <w:tcPr>
            <w:tcW w:w="32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expense was $110 and $200 for the three and six months ended June 30, 2025, respectively. Depreciation expense was $150 and $294 for the three and six months ended June 30, 2024,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16. 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Level 1: </w:t>
      </w:r>
      <w:r>
        <w:rPr>
          <w:rFonts w:ascii="Times New Roman;Times;serif" w:hAnsi="Times New Roman;Times;serif"/>
          <w:sz w:val="20"/>
        </w:rPr>
        <w:t>Inputs are quoted prices (unadjusted) for identical assets or liabilities in active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Level 2: </w:t>
      </w:r>
      <w:r>
        <w:rPr>
          <w:rFonts w:ascii="Times New Roman;Times;serif" w:hAnsi="Times New Roman;Times;serif"/>
          <w:sz w:val="20"/>
        </w:rPr>
        <w:t>Pricing inputs are other than quoted prices in active markets included in Level 1, which are either directly or indirectly observable as of the reported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Level 3: </w:t>
      </w:r>
      <w:r>
        <w:rPr>
          <w:rFonts w:ascii="Times New Roman;Times;serif" w:hAnsi="Times New Roman;Times;serif"/>
          <w:sz w:val="20"/>
        </w:rPr>
        <w:t>Unobservable inputs, that are supported by little or no market activity and are developed based on the best information available in the circumstances. For example, inputs derived through extrapolation or interpolation that cannot be corroborated by observable market data.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the placement in the fair value hierarchy of the Company’s assets and liabilities measured at fair value on a recurring and nonrecurring basis as of June 30, 2025 and December 31, 2024. Assets and liabilities that are measured at fair value on a nonrecurring basis relate primarily to tangible property and equipment, right-of-use assets, and other intangible assets, which are remeasured when the derived fair value is below carrying value in the consolidated balance sheets. Recoverability is based on estimated undiscounted cash flows or other relevant observable/unobservable measures. For these assets, the Company does not periodically adjust carrying value to fair value except in the event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883" w:name="Tc_wKWrQo7hHUCPqMagU-v4TQ_30_11"/>
      <w:bookmarkStart w:id="1884" w:name="Tc_cNRNKcIMqk2jCIk0y9poyg_30_9"/>
      <w:bookmarkStart w:id="1885" w:name="Tc_0-m9BL-6xU6ld5tlQsE5uA_30_8"/>
      <w:bookmarkStart w:id="1886" w:name="Tc_JRjynlfQz0KHzmglIOj80g_30_6"/>
      <w:bookmarkStart w:id="1887" w:name="Tc_SXxdMv_UmE-dqTV26J6FPA_30_5"/>
      <w:bookmarkStart w:id="1888" w:name="Tc_X-oYBUDBkU-hPsVFS4FbMQ_30_2"/>
      <w:bookmarkStart w:id="1889" w:name="Tc_v5e9cNBcx0u9JPCwDC1pbw_30_0"/>
      <w:bookmarkStart w:id="1890" w:name="Tc_bzWJ8JZNCk2QMacfdO3emg_29_9"/>
      <w:bookmarkStart w:id="1891" w:name="Tc_14m5niHs50-2S-ipe5Us3w_29_6"/>
      <w:bookmarkStart w:id="1892" w:name="Tc_4GcJdncA00mVLd7F5tDubw_29_0"/>
      <w:bookmarkStart w:id="1893" w:name="Tc_x64YQM4lWUimPhzibB7Xng_28_11"/>
      <w:bookmarkStart w:id="1894" w:name="Tc_YJ4Oz5hzqU65Mt_e9dAf_Q_28_9"/>
      <w:bookmarkStart w:id="1895" w:name="Tc_E083R92vEkeSxiNyIjaUew_28_8"/>
      <w:bookmarkStart w:id="1896" w:name="Tc_SunCFIk6jki2TuK1v7bE6A_28_6"/>
      <w:bookmarkStart w:id="1897" w:name="Tc_upROyBAgXkqMgitBUwf4IQ_28_5"/>
      <w:bookmarkStart w:id="1898" w:name="Tc_Rf2kXnMLxU6bLBDg3iDE5Q_28_2"/>
      <w:bookmarkStart w:id="1899" w:name="Tc_oZbcypQ8mEyRHj3TtyXFpg_28_0"/>
      <w:bookmarkStart w:id="1900" w:name="Tc_DA8TxzGL1ESP9ss9dn0ikg_27_0"/>
      <w:bookmarkStart w:id="1901" w:name="Tc_5VCQPzOq806fDaDfhkGEsQ_26_12"/>
      <w:bookmarkStart w:id="1902" w:name="Tc_5zocc7FhgEinwu_hd-YKiQ_26_11"/>
      <w:bookmarkStart w:id="1903" w:name="Tc_C1tMFV8kHkSF3q1vsywb1g_26_8"/>
      <w:bookmarkStart w:id="1904" w:name="Tc_RxpLhPWCuU2ClC--OgrIVg_26_5"/>
      <w:bookmarkStart w:id="1905" w:name="Tc_GZjV11bCiUqsDej0BqMyTw_26_2"/>
      <w:bookmarkStart w:id="1906" w:name="Tc_6-13CdbhT02zBV2aaeY0nQ_26_0"/>
      <w:bookmarkStart w:id="1907" w:name="Tc_X0i_s0tPN0ejBhfv4pM_SA_25_12"/>
      <w:bookmarkStart w:id="1908" w:name="Tc_3PfkaRIRvkOuULIoKUebYg_25_9"/>
      <w:bookmarkStart w:id="1909" w:name="Tc_QRfC6lfoCUy2eULKqcY1vA_25_6"/>
      <w:bookmarkStart w:id="1910" w:name="Tc_rX4lue4IJkCViS8leT89UA_25_3"/>
      <w:bookmarkStart w:id="1911" w:name="Tc_1HBgjXDZm0eIh5KAM1hilg_25_0"/>
      <w:bookmarkStart w:id="1912" w:name="Tc__F8kR5wKn0ilVimisKAi1g_24_12"/>
      <w:bookmarkStart w:id="1913" w:name="Tc_GPcPM4cSZ0OGHkIpYt85Eg_24_9"/>
      <w:bookmarkStart w:id="1914" w:name="Tc_vPsnDW-xFESzv7peE8hLBA_24_6"/>
      <w:bookmarkStart w:id="1915" w:name="Tc_dqk7-D3H4kWsgpoRVFmxwg_24_3"/>
      <w:bookmarkStart w:id="1916" w:name="Tc_jOzIOtPot0eTkPmaYbZcAA_24_0"/>
      <w:bookmarkStart w:id="1917" w:name="Tc_p8DenvkNnU2ttiyQEmUwXw_23_0"/>
      <w:bookmarkStart w:id="1918" w:name="Tc_DJ2mAsxvhEmpPqwMjxDDdg_22_12"/>
      <w:bookmarkStart w:id="1919" w:name="Tc_xZaFpvb1mUesRd6Ho44nvw_22_0"/>
      <w:bookmarkStart w:id="1920" w:name="Tc_4KI4DiUez0evJK8lJVNy8A_21_12"/>
      <w:bookmarkStart w:id="1921" w:name="Tc_W21x3eQoA0WIfyWNUVIKjQ_21_9"/>
      <w:bookmarkStart w:id="1922" w:name="Tc_r-c4WR0Tpkify-LNZbpmxg_21_0"/>
      <w:bookmarkStart w:id="1923" w:name="Tc_PA1JwzNR-UyI0hiGggVdOg_20_12"/>
      <w:bookmarkStart w:id="1924" w:name="Tc_kA43ZTYZsUSrbyNA1ab8Hg_20_11"/>
      <w:bookmarkStart w:id="1925" w:name="Tc_KJgXMym_PES9gyvnnIMWsA_20_8"/>
      <w:bookmarkStart w:id="1926" w:name="Tc_ApTOfCYSGEqDS63Kqbj5lQ_20_6"/>
      <w:bookmarkStart w:id="1927" w:name="Tc_SQwkr7GeoEG5EY9gnodofQ_20_5"/>
      <w:bookmarkStart w:id="1928" w:name="Tc_4H9N28RjhUSjpmc2cQU1zQ_20_2"/>
      <w:bookmarkStart w:id="1929" w:name="Tc_uksCkPJom0q0w2VSG0KHmQ_20_0"/>
      <w:bookmarkStart w:id="1930" w:name="Tc_PrdnBcUhoE6RJ00zvQMB8w_19_0"/>
      <w:bookmarkStart w:id="1931" w:name="Tc_9fV_JiVOhUK-ibYDSk7T0w_18_0"/>
      <w:bookmarkStart w:id="1932" w:name="Tc_Ar5wCmtJlkeAbQ5AOyWlZg_17_0"/>
      <w:bookmarkStart w:id="1933" w:name="Tc_P11YyUw0NEW2WqzNho_7Sg_15_11"/>
      <w:bookmarkStart w:id="1934" w:name="Tc_2_3_MjMNBUCXUgReMlGkaw_15_8"/>
      <w:bookmarkStart w:id="1935" w:name="Tc_34CT9E4TVkWIKpmAHoV9pg_15_5"/>
      <w:bookmarkStart w:id="1936" w:name="Tc_wMEpCHFxsUCLN79ul_Mwng_15_2"/>
      <w:bookmarkStart w:id="1937" w:name="Tc_qGnfH5hNGkycpsdVJO4Zpg_15_0"/>
      <w:bookmarkStart w:id="1938" w:name="Tc_RXQRlexl7Ey4LoqYjJEsXA_14_9"/>
      <w:bookmarkStart w:id="1939" w:name="Tc_fLLnXtgaFUOqC5HHo9ZJPg_14_6"/>
      <w:bookmarkStart w:id="1940" w:name="Tc_VGWeUhJz6EGHtxxWXi6Ykg_14_0"/>
      <w:bookmarkStart w:id="1941" w:name="Tc_Da5bS5AwGE-2ugdqMX_T8g_13_9"/>
      <w:bookmarkStart w:id="1942" w:name="Tc_ZxmoFQEDbUiFHY57oKR4vw_13_6"/>
      <w:bookmarkStart w:id="1943" w:name="Tc_7IO1-TRemUGSZgdgIXdqIw_13_0"/>
      <w:bookmarkStart w:id="1944" w:name="Tc_FyiAsC6Vfkqehe71y4f-Jg_12_0"/>
      <w:bookmarkStart w:id="1945" w:name="Tc_0zuxiIZsFUiGpXPPZs-21g_11_12"/>
      <w:bookmarkStart w:id="1946" w:name="Tc_qGW0RKf55Uq2aLuC1xFsUA_11_0"/>
      <w:bookmarkStart w:id="1947" w:name="Tc_hE4zVfw6TU2zVjLmiTrA5w_10_12"/>
      <w:bookmarkStart w:id="1948" w:name="Tc_ybmgaAl7o0muxq_wS096Tw_10_9"/>
      <w:bookmarkStart w:id="1949" w:name="Tc_zJNUehTRWUqKbKvogwnI2g_10_0"/>
      <w:bookmarkStart w:id="1950" w:name="Tc_jttzRKiW_0eqWCRSlK_T9w_9_12"/>
      <w:bookmarkStart w:id="1951" w:name="Tc_F6MxsWKDtkqdofDEKmFESQ_9_11"/>
      <w:bookmarkStart w:id="1952" w:name="Tc_rhEprZ_UIUifaOKSVb5CXg_9_8"/>
      <w:bookmarkStart w:id="1953" w:name="Tc_Cz2lU4ZoHUiu04-OpWSMnQ_9_6"/>
      <w:bookmarkStart w:id="1954" w:name="Tc_g-bQrjspU0Wz8qiwXb7yJQ_9_5"/>
      <w:bookmarkStart w:id="1955" w:name="Tc_GUpXISgBOkq1DTrzbFOlIw_9_2"/>
      <w:bookmarkStart w:id="1956" w:name="Tc_hdPy2uchLEiEkX5IXPVQiA_9_0"/>
      <w:bookmarkStart w:id="1957" w:name="Tc_YLjm1CMi-kKxlKDn-_HByA_8_0"/>
      <w:bookmarkStart w:id="1958" w:name="Tc_RpWVDHON7kuKZdigso_gRw_7_0"/>
      <w:bookmarkStart w:id="1959" w:name="Tc_g5Rv4NYPEkW2qXhrAoRQvg_6_0"/>
      <w:bookmarkStart w:id="1960" w:name="Tc_3yU9ONCDGE2vOY0K9MhkUw_5_11"/>
      <w:bookmarkStart w:id="1961" w:name="Tc_nWMWQhdB0kSoEP1ZhKu8vw_5_8"/>
      <w:bookmarkStart w:id="1962" w:name="Tc_nTXlUhYx3E26eR1ZWD4fZA_5_5"/>
      <w:bookmarkStart w:id="1963" w:name="Tc_CFNhRj4KN0aPwXv3Y2xx-g_5_2"/>
      <w:bookmarkStart w:id="1964" w:name="Tc_39gjesZXNkuO8ws33CKEhA_4_11"/>
      <w:bookmarkStart w:id="1965" w:name="Tc_pgNwqmeym0C51fYyagtZUQ_4_8"/>
      <w:bookmarkStart w:id="1966" w:name="Tc_gWNHXjY6YEKZbS7n8aUvjg_4_5"/>
      <w:bookmarkStart w:id="1967" w:name="Tc_EzweIvl4PUe2pZ64wm88PA_3_11"/>
      <w:bookmarkStart w:id="1968" w:name="Tc_TPeNaPCrN0SlV6ZJcoo2kQ_3_8"/>
      <w:bookmarkStart w:id="1969" w:name="Tc_Cr-0thH7mkurpaNcas4bag_3_5"/>
      <w:bookmarkStart w:id="1970" w:name="Tc_r3uVa53DFUm9dtlOfZfeNA_2_5"/>
      <w:bookmarkStart w:id="1971" w:name="Tc_aZk1tn_pfEGFZjZN_AZ1uA_1_5"/>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r>
        <w:rPr>
          <w:rFonts w:ascii="Times New Roman;Times;serif" w:hAnsi="Times New Roman;Times;serif"/>
          <w:sz w:val="20"/>
        </w:rPr>
        <w:t>impairment. If it is determined that impairment has occurred, the carrying value of the asset is reduced to fair value and the difference is included in Impairment of long-lived assets and Impairment of operating lease right-of-use assets on the condensed consolidated statements of operations and comprehensive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measurements discussed herein are based upon certain market assumptions and pertinent information available to management as of and during the six months ended June 30, 2025. The carrying amounts of cash equivalents, accounts receivable, and accounts payable approximated their fair values as of June 30, 2025 due to their short-term nature. The fair value of the bifurcated embedded derivative related to the convertible preferred stock was estimated using a Monte Carlo simulation model, which uses as inputs the fair value of our common stock and estimates for the equity volatility of our common stock, the time to maturity of the convertible preferred stock, the risk-free interest rate for a period that approximates the time to maturity, dividend rate, a penalty dividend rate, and our probability of default. The fair value of the warrant liability was estimated using the Black Scholes Model which uses as inputs the following weighted average assumptions: dividend yield, expected term in years; equity volatility; and risk-free interest rate.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60"/>
        <w:gridCol w:w="326"/>
        <w:gridCol w:w="214"/>
        <w:gridCol w:w="582"/>
        <w:gridCol w:w="326"/>
        <w:gridCol w:w="400"/>
        <w:gridCol w:w="1086"/>
        <w:gridCol w:w="474"/>
        <w:gridCol w:w="573"/>
        <w:gridCol w:w="943"/>
        <w:gridCol w:w="474"/>
        <w:gridCol w:w="341"/>
        <w:gridCol w:w="1106"/>
      </w:tblGrid>
      <w:tr>
        <w:trPr/>
        <w:tc>
          <w:tcPr>
            <w:tcW w:w="3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33600" cy="175260"/>
                      <wp:effectExtent l="0" t="0" r="0" b="0"/>
                      <wp:wrapNone/>
                      <wp:docPr id="355" name="Frame355"/>
                      <a:graphic xmlns:a="http://schemas.openxmlformats.org/drawingml/2006/main">
                        <a:graphicData uri="http://schemas.microsoft.com/office/word/2010/wordprocessingShape">
                          <wps:wsp>
                            <wps:cNvSpPr txBox="1"/>
                            <wps:spPr>
                              <a:xfrm>
                                <a:off x="0" y="0"/>
                                <a:ext cx="2133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5890" cy="175260"/>
                      <wp:effectExtent l="0" t="0" r="0" b="0"/>
                      <wp:wrapNone/>
                      <wp:docPr id="357" name="Frame35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69570" cy="175260"/>
                      <wp:effectExtent l="0" t="0" r="0" b="0"/>
                      <wp:wrapNone/>
                      <wp:docPr id="358" name="Frame358"/>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54000" cy="175260"/>
                      <wp:effectExtent l="0" t="0" r="0" b="0"/>
                      <wp:wrapNone/>
                      <wp:docPr id="360" name="Frame360"/>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89610" cy="175260"/>
                      <wp:effectExtent l="0" t="0" r="0" b="0"/>
                      <wp:wrapNone/>
                      <wp:docPr id="361" name="Frame361"/>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00990" cy="175260"/>
                      <wp:effectExtent l="0" t="0" r="0" b="0"/>
                      <wp:wrapNone/>
                      <wp:docPr id="362" name="Frame362"/>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63855" cy="175260"/>
                      <wp:effectExtent l="0" t="0" r="0" b="0"/>
                      <wp:wrapNone/>
                      <wp:docPr id="363" name="Frame363"/>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98805" cy="175260"/>
                      <wp:effectExtent l="0" t="0" r="0" b="0"/>
                      <wp:wrapNone/>
                      <wp:docPr id="364" name="Frame364"/>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00990" cy="175260"/>
                      <wp:effectExtent l="0" t="0" r="0" b="0"/>
                      <wp:wrapNone/>
                      <wp:docPr id="365" name="Frame365"/>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6535" cy="175260"/>
                      <wp:effectExtent l="0" t="0" r="0" b="0"/>
                      <wp:wrapNone/>
                      <wp:docPr id="366" name="Frame366"/>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702310" cy="175260"/>
                      <wp:effectExtent l="0" t="0" r="0" b="0"/>
                      <wp:wrapNone/>
                      <wp:docPr id="367" name="Frame367"/>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3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measurement at reporting date using</w:t>
            </w:r>
          </w:p>
        </w:tc>
      </w:tr>
      <w:tr>
        <w:trPr/>
        <w:tc>
          <w:tcPr>
            <w:tcW w:w="33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Quoted prices in</w:t>
            </w:r>
          </w:p>
        </w:tc>
        <w:tc>
          <w:tcPr>
            <w:tcW w:w="474" w:type="dxa"/>
            <w:tcBorders/>
            <w:vAlign w:val="center"/>
          </w:tcPr>
          <w:p>
            <w:pPr>
              <w:pStyle w:val="TableContents"/>
              <w:bidi w:val="0"/>
              <w:spacing w:before="0" w:after="0"/>
              <w:ind w:left="0" w:right="0" w:hanging="0"/>
              <w:jc w:val="center"/>
              <w:rPr/>
            </w:pPr>
            <w:r>
              <w:rPr/>
              <w:t>    </w:t>
            </w:r>
          </w:p>
        </w:tc>
        <w:tc>
          <w:tcPr>
            <w:tcW w:w="573" w:type="dxa"/>
            <w:tcBorders/>
            <w:vAlign w:val="center"/>
          </w:tcPr>
          <w:p>
            <w:pPr>
              <w:pStyle w:val="TableContents"/>
              <w:bidi w:val="0"/>
              <w:spacing w:before="0" w:after="0"/>
              <w:ind w:left="0" w:right="0" w:hanging="0"/>
              <w:jc w:val="center"/>
              <w:rPr/>
            </w:pPr>
            <w:r>
              <w:rPr/>
              <w:t>​</w:t>
            </w:r>
          </w:p>
        </w:tc>
        <w:tc>
          <w:tcPr>
            <w:tcW w:w="943" w:type="dxa"/>
            <w:tcBorders/>
            <w:vAlign w:val="center"/>
          </w:tcPr>
          <w:p>
            <w:pPr>
              <w:pStyle w:val="TableContents"/>
              <w:bidi w:val="0"/>
              <w:spacing w:before="0" w:after="0"/>
              <w:ind w:left="0" w:right="0" w:hanging="0"/>
              <w:jc w:val="center"/>
              <w:rPr/>
            </w:pPr>
            <w:r>
              <w:rPr/>
              <w:t>​</w:t>
            </w:r>
          </w:p>
        </w:tc>
        <w:tc>
          <w:tcPr>
            <w:tcW w:w="474" w:type="dxa"/>
            <w:tcBorders/>
            <w:vAlign w:val="center"/>
          </w:tcPr>
          <w:p>
            <w:pPr>
              <w:pStyle w:val="TableContents"/>
              <w:bidi w:val="0"/>
              <w:spacing w:before="0" w:after="0"/>
              <w:ind w:left="0" w:right="0" w:hanging="0"/>
              <w:jc w:val="center"/>
              <w:rPr/>
            </w:pPr>
            <w:r>
              <w:rPr/>
              <w:t>    </w:t>
            </w:r>
          </w:p>
        </w:tc>
        <w:tc>
          <w:tcPr>
            <w:tcW w:w="341" w:type="dxa"/>
            <w:tcBorders/>
            <w:vAlign w:val="center"/>
          </w:tcPr>
          <w:p>
            <w:pPr>
              <w:pStyle w:val="TableContents"/>
              <w:bidi w:val="0"/>
              <w:spacing w:before="0" w:after="0"/>
              <w:ind w:left="0" w:right="0" w:hanging="0"/>
              <w:jc w:val="center"/>
              <w:rPr/>
            </w:pPr>
            <w:r>
              <w:rPr/>
              <w:t>​</w:t>
            </w:r>
          </w:p>
        </w:tc>
        <w:tc>
          <w:tcPr>
            <w:tcW w:w="1106" w:type="dxa"/>
            <w:tcBorders/>
            <w:vAlign w:val="center"/>
          </w:tcPr>
          <w:p>
            <w:pPr>
              <w:pStyle w:val="TableContents"/>
              <w:bidi w:val="0"/>
              <w:spacing w:before="0" w:after="0"/>
              <w:ind w:left="0" w:right="0" w:hanging="0"/>
              <w:jc w:val="center"/>
              <w:rPr/>
            </w:pPr>
            <w:r>
              <w:rPr/>
              <w:t>​</w:t>
            </w:r>
          </w:p>
        </w:tc>
      </w:tr>
      <w:tr>
        <w:trPr/>
        <w:tc>
          <w:tcPr>
            <w:tcW w:w="33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active markets</w:t>
            </w:r>
          </w:p>
        </w:tc>
        <w:tc>
          <w:tcPr>
            <w:tcW w:w="474"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other</w:t>
            </w:r>
          </w:p>
        </w:tc>
        <w:tc>
          <w:tcPr>
            <w:tcW w:w="474" w:type="dxa"/>
            <w:tcBorders/>
            <w:vAlign w:val="center"/>
          </w:tcPr>
          <w:p>
            <w:pPr>
              <w:pStyle w:val="TableContents"/>
              <w:bidi w:val="0"/>
              <w:spacing w:before="0" w:after="0"/>
              <w:ind w:left="0" w:right="0" w:hanging="0"/>
              <w:jc w:val="center"/>
              <w:rPr/>
            </w:pPr>
            <w:r>
              <w:rPr/>
              <w:t>​</w:t>
            </w:r>
          </w:p>
        </w:tc>
        <w:tc>
          <w:tcPr>
            <w:tcW w:w="14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w:t>
            </w:r>
          </w:p>
        </w:tc>
      </w:tr>
      <w:tr>
        <w:trPr/>
        <w:tc>
          <w:tcPr>
            <w:tcW w:w="33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identical</w:t>
            </w:r>
          </w:p>
        </w:tc>
        <w:tc>
          <w:tcPr>
            <w:tcW w:w="474"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observable</w:t>
            </w:r>
          </w:p>
        </w:tc>
        <w:tc>
          <w:tcPr>
            <w:tcW w:w="474" w:type="dxa"/>
            <w:tcBorders/>
            <w:vAlign w:val="center"/>
          </w:tcPr>
          <w:p>
            <w:pPr>
              <w:pStyle w:val="TableContents"/>
              <w:bidi w:val="0"/>
              <w:spacing w:before="0" w:after="0"/>
              <w:ind w:left="0" w:right="0" w:hanging="0"/>
              <w:jc w:val="center"/>
              <w:rPr/>
            </w:pPr>
            <w:r>
              <w:rPr/>
              <w:t>​</w:t>
            </w:r>
          </w:p>
        </w:tc>
        <w:tc>
          <w:tcPr>
            <w:tcW w:w="14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unobservable</w:t>
            </w:r>
          </w:p>
        </w:tc>
      </w:tr>
      <w:tr>
        <w:trPr/>
        <w:tc>
          <w:tcPr>
            <w:tcW w:w="33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w:t>
            </w:r>
          </w:p>
        </w:tc>
        <w:tc>
          <w:tcPr>
            <w:tcW w:w="326" w:type="dxa"/>
            <w:tcBorders/>
            <w:vAlign w:val="center"/>
          </w:tcPr>
          <w:p>
            <w:pPr>
              <w:pStyle w:val="TableContents"/>
              <w:bidi w:val="0"/>
              <w:spacing w:before="0" w:after="0"/>
              <w:ind w:left="0" w:right="0" w:hanging="0"/>
              <w:jc w:val="center"/>
              <w:rPr/>
            </w:pPr>
            <w:r>
              <w:rPr/>
              <w:t>​</w:t>
            </w:r>
          </w:p>
        </w:tc>
        <w:tc>
          <w:tcPr>
            <w:tcW w:w="14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 (Level 1)</w:t>
            </w:r>
          </w:p>
        </w:tc>
        <w:tc>
          <w:tcPr>
            <w:tcW w:w="474" w:type="dxa"/>
            <w:tcBorders/>
            <w:vAlign w:val="center"/>
          </w:tcPr>
          <w:p>
            <w:pPr>
              <w:pStyle w:val="TableContents"/>
              <w:bidi w:val="0"/>
              <w:spacing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inputs (Level 2)</w:t>
            </w:r>
          </w:p>
        </w:tc>
        <w:tc>
          <w:tcPr>
            <w:tcW w:w="474" w:type="dxa"/>
            <w:tcBorders/>
            <w:vAlign w:val="center"/>
          </w:tcPr>
          <w:p>
            <w:pPr>
              <w:pStyle w:val="TableContents"/>
              <w:bidi w:val="0"/>
              <w:spacing w:before="0" w:after="0"/>
              <w:ind w:left="0" w:right="0" w:hanging="0"/>
              <w:jc w:val="center"/>
              <w:rPr/>
            </w:pPr>
            <w:r>
              <w:rPr/>
              <w:t>​</w:t>
            </w:r>
          </w:p>
        </w:tc>
        <w:tc>
          <w:tcPr>
            <w:tcW w:w="14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inputs (Level 3)</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June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  </w:t>
            </w:r>
          </w:p>
        </w:tc>
        <w:tc>
          <w:tcPr>
            <w:tcW w:w="474" w:type="dxa"/>
            <w:tcBorders/>
            <w:shd w:fill="CCEEFF" w:val="clear"/>
            <w:vAlign w:val="center"/>
          </w:tcPr>
          <w:p>
            <w:pPr>
              <w:pStyle w:val="TableContents"/>
              <w:bidi w:val="0"/>
              <w:spacing w:before="0" w:after="0"/>
              <w:ind w:left="0" w:right="0" w:hanging="0"/>
              <w:jc w:val="left"/>
              <w:rPr/>
            </w:pPr>
            <w:r>
              <w:rPr/>
              <w:t> </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  </w:t>
            </w:r>
          </w:p>
        </w:tc>
        <w:tc>
          <w:tcPr>
            <w:tcW w:w="474" w:type="dxa"/>
            <w:tcBorders/>
            <w:shd w:fill="CCEEFF" w:val="clear"/>
            <w:vAlign w:val="center"/>
          </w:tcPr>
          <w:p>
            <w:pPr>
              <w:pStyle w:val="TableContents"/>
              <w:bidi w:val="0"/>
              <w:spacing w:before="0" w:after="0"/>
              <w:ind w:left="0" w:right="0" w:hanging="0"/>
              <w:jc w:val="left"/>
              <w:rPr/>
            </w:pPr>
            <w:r>
              <w:rPr/>
              <w:t> </w:t>
            </w:r>
          </w:p>
        </w:tc>
        <w:tc>
          <w:tcPr>
            <w:tcW w:w="341"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  </w:t>
            </w:r>
          </w:p>
        </w:tc>
      </w:tr>
      <w:tr>
        <w:trPr/>
        <w:tc>
          <w:tcPr>
            <w:tcW w:w="33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Recurring fair value measurements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and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w:t>
            </w:r>
          </w:p>
        </w:tc>
      </w:tr>
      <w:tr>
        <w:trPr/>
        <w:tc>
          <w:tcPr>
            <w:tcW w:w="3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Route1, Inc.</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74"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vAlign w:val="center"/>
          </w:tcPr>
          <w:p>
            <w:pPr>
              <w:pStyle w:val="TableContents"/>
              <w:bidi w:val="0"/>
              <w:spacing w:before="0" w:after="0"/>
              <w:ind w:left="0" w:right="0" w:hanging="0"/>
              <w:jc w:val="right"/>
              <w:rPr/>
            </w:pPr>
            <w:r>
              <w:rPr/>
              <w:t>—</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w:t>
            </w:r>
          </w:p>
        </w:tc>
        <w:tc>
          <w:tcPr>
            <w:tcW w:w="474" w:type="dxa"/>
            <w:tcBorders/>
            <w:shd w:fill="CCEEFF" w:val="cle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and debt securities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w:t>
            </w:r>
          </w:p>
        </w:tc>
        <w:tc>
          <w:tcPr>
            <w:tcW w:w="474"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74"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w:t>
            </w:r>
          </w:p>
        </w:tc>
      </w:tr>
      <w:tr>
        <w:trPr/>
        <w:tc>
          <w:tcPr>
            <w:tcW w:w="3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r>
      <w:tr>
        <w:trPr/>
        <w:tc>
          <w:tcPr>
            <w:tcW w:w="3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recurring fair value measurements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w:t>
            </w:r>
          </w:p>
        </w:tc>
        <w:tc>
          <w:tcPr>
            <w:tcW w:w="474" w:type="dxa"/>
            <w:tcBorders/>
            <w:vAlign w:val="center"/>
          </w:tcPr>
          <w:p>
            <w:pPr>
              <w:pStyle w:val="TableContents"/>
              <w:bidi w:val="0"/>
              <w:spacing w:before="0" w:after="0"/>
              <w:ind w:left="0" w:right="0" w:hanging="0"/>
              <w:jc w:val="left"/>
              <w:rPr/>
            </w:pPr>
            <w:r>
              <w:rPr/>
              <w:t>​</w:t>
            </w:r>
          </w:p>
        </w:tc>
        <w:tc>
          <w:tcPr>
            <w:tcW w:w="5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74"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r>
      <w:tr>
        <w:trPr/>
        <w:tc>
          <w:tcPr>
            <w:tcW w:w="336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w:t>
            </w:r>
          </w:p>
        </w:tc>
      </w:tr>
      <w:tr>
        <w:trPr/>
        <w:tc>
          <w:tcPr>
            <w:tcW w:w="33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2024</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  </w:t>
            </w:r>
          </w:p>
        </w:tc>
        <w:tc>
          <w:tcPr>
            <w:tcW w:w="474" w:type="dxa"/>
            <w:tcBorders/>
            <w:vAlign w:val="center"/>
          </w:tcPr>
          <w:p>
            <w:pPr>
              <w:pStyle w:val="TableContents"/>
              <w:bidi w:val="0"/>
              <w:spacing w:before="0" w:after="0"/>
              <w:ind w:left="0" w:right="0" w:hanging="0"/>
              <w:jc w:val="left"/>
              <w:rPr/>
            </w:pPr>
            <w:r>
              <w:rPr/>
              <w:t> </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  </w:t>
            </w:r>
          </w:p>
        </w:tc>
        <w:tc>
          <w:tcPr>
            <w:tcW w:w="474"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  </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Recurring fair value measurements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t>​</w:t>
            </w:r>
          </w:p>
        </w:tc>
      </w:tr>
      <w:tr>
        <w:trPr/>
        <w:tc>
          <w:tcPr>
            <w:tcW w:w="3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and debt securities: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Route1</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74"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0"/>
              <w:ind w:left="0" w:right="0" w:hanging="0"/>
              <w:jc w:val="right"/>
              <w:rPr/>
            </w:pPr>
            <w:r>
              <w:rPr/>
              <w:t>—</w:t>
            </w:r>
          </w:p>
        </w:tc>
      </w:tr>
      <w:tr>
        <w:trPr/>
        <w:tc>
          <w:tcPr>
            <w:tcW w:w="3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w:t>
            </w:r>
          </w:p>
        </w:tc>
        <w:tc>
          <w:tcPr>
            <w:tcW w:w="474"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and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7,332</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w:t>
            </w:r>
          </w:p>
        </w:tc>
        <w:tc>
          <w:tcPr>
            <w:tcW w:w="474" w:type="dxa"/>
            <w:tcBorders/>
            <w:shd w:fill="CCEEFF" w:val="cle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74"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derivatives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recurring fair value measurements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7,332</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w:t>
            </w:r>
          </w:p>
        </w:tc>
        <w:tc>
          <w:tcPr>
            <w:tcW w:w="474" w:type="dxa"/>
            <w:tcBorders/>
            <w:shd w:fill="CCEEFF" w:val="clear"/>
            <w:vAlign w:val="center"/>
          </w:tcPr>
          <w:p>
            <w:pPr>
              <w:pStyle w:val="TableContents"/>
              <w:bidi w:val="0"/>
              <w:spacing w:before="0" w:after="0"/>
              <w:ind w:left="0" w:right="0" w:hanging="0"/>
              <w:jc w:val="left"/>
              <w:rPr/>
            </w:pPr>
            <w:r>
              <w:rPr/>
              <w:t>​</w:t>
            </w:r>
          </w:p>
        </w:tc>
        <w:tc>
          <w:tcPr>
            <w:tcW w:w="5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74"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Nonrecurring fair value measurements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r>
      <w:tr>
        <w:trPr/>
        <w:tc>
          <w:tcPr>
            <w:tcW w:w="3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3,409</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3,409</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nonrecurring fair value measurements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5,218</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5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5,218</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972" w:name="Tc__vPTp8Y0Okuzu8UuVoNJYg_4_2"/>
      <w:bookmarkStart w:id="1973" w:name="Tc_3tBCN7DJREOJI3GVVl18zg_4_0"/>
      <w:bookmarkStart w:id="1974" w:name="Tc_Xuap2zlKbEa4f0MO07vneg_2_0"/>
      <w:bookmarkStart w:id="1975" w:name="Tc_cdYwkCsClkS5YyzKMNCLuA_1_3"/>
      <w:bookmarkStart w:id="1976" w:name="Tc_ShtLcmRf8ESHfelQf9_Epg_1_0"/>
      <w:bookmarkStart w:id="1977" w:name="_073fe218_2e55_4e07_a3b1_b7f1ade20887"/>
      <w:bookmarkStart w:id="1978" w:name="Tc__8eoO5EwzkWmlBS4Hr8QiQ_5_3"/>
      <w:bookmarkStart w:id="1979" w:name="Tc_cXfUjse51UuocKlxA5H2cw_5_2"/>
      <w:bookmarkStart w:id="1980" w:name="Tc_Gf26DFeemECRihB3YvMRAw_5_0"/>
      <w:bookmarkStart w:id="1981" w:name="Tc_rurwkH6NyUqhRJC2t4PEHg_4_0"/>
      <w:bookmarkStart w:id="1982" w:name="Tc_0OX1s5RZWkCHGSmpn1ShfA_2_0"/>
      <w:bookmarkStart w:id="1983" w:name="Tc_yi76v_b0eEGFcnYk34EuPQ_1_3"/>
      <w:bookmarkStart w:id="1984" w:name="Tc_ZQR6jzUg7kyx9-x4OjoNYA_1_0"/>
      <w:bookmarkStart w:id="1985" w:name="_6d0bde7d_3be8_4b86_86d9_ff009bbfdf46"/>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r>
        <w:rPr>
          <w:rFonts w:ascii="Times New Roman;Times;serif" w:hAnsi="Times New Roman;Times;serif"/>
          <w:sz w:val="20"/>
        </w:rPr>
        <w:t>The following table sets forth a summary of the change in the fair value of the warrant liability that is measured at fair value on a recurring basis:</w:t>
      </w:r>
    </w:p>
    <w:tbl>
      <w:tblPr>
        <w:tblW w:w="6277" w:type="dxa"/>
        <w:jc w:val="left"/>
        <w:tblInd w:w="0" w:type="dxa"/>
        <w:tblLayout w:type="fixed"/>
        <w:tblCellMar>
          <w:top w:w="0" w:type="dxa"/>
          <w:left w:w="0" w:type="dxa"/>
          <w:bottom w:w="0" w:type="dxa"/>
          <w:right w:w="0" w:type="dxa"/>
        </w:tblCellMar>
      </w:tblPr>
      <w:tblGrid>
        <w:gridCol w:w="5221"/>
        <w:gridCol w:w="109"/>
        <w:gridCol w:w="211"/>
        <w:gridCol w:w="736"/>
      </w:tblGrid>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9215" cy="175260"/>
                      <wp:effectExtent l="0" t="0" r="0" b="0"/>
                      <wp:wrapNone/>
                      <wp:docPr id="368" name="Frame3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67360" cy="175260"/>
                      <wp:effectExtent l="0" t="0" r="0" b="0"/>
                      <wp:wrapNone/>
                      <wp:docPr id="370" name="Frame37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January 1,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warrants reported as fair value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5,873</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to APIC due to warrant modification (Note 11)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(2,658)</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June 30,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a summary of the change in the fair value of the bifurcated embedded derivative liability that is measured at fair value on a recurring basis:</w:t>
      </w:r>
    </w:p>
    <w:tbl>
      <w:tblPr>
        <w:tblW w:w="7267" w:type="dxa"/>
        <w:jc w:val="left"/>
        <w:tblInd w:w="0" w:type="dxa"/>
        <w:tblLayout w:type="fixed"/>
        <w:tblCellMar>
          <w:top w:w="0" w:type="dxa"/>
          <w:left w:w="0" w:type="dxa"/>
          <w:bottom w:w="0" w:type="dxa"/>
          <w:right w:w="0" w:type="dxa"/>
        </w:tblCellMar>
      </w:tblPr>
      <w:tblGrid>
        <w:gridCol w:w="6271"/>
        <w:gridCol w:w="109"/>
        <w:gridCol w:w="211"/>
        <w:gridCol w:w="676"/>
      </w:tblGrid>
      <w:tr>
        <w:trPr/>
        <w:tc>
          <w:tcPr>
            <w:tcW w:w="6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9215" cy="175260"/>
                      <wp:effectExtent l="0" t="0" r="0" b="0"/>
                      <wp:wrapNone/>
                      <wp:docPr id="371" name="Frame3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29260" cy="175260"/>
                      <wp:effectExtent l="0" t="0" r="0" b="0"/>
                      <wp:wrapNone/>
                      <wp:docPr id="373" name="Frame3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January 1,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convertible preferred stock with bifurcated embedded derivative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June 30, 2025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1,036</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17. Related Party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30, 2025, the Company entered into a consulting agreement (“Consulting Agreement”) with XWEL INV I, LLC (“XWEL INV I”) and Jason Aintabi (the “Consultant”) for the Consultant to provide advisory services to the Company. Mr. Aintabi serves as the Manager of XWEL INV I. The Consulting Agreement is deemed to be related party transaction as Mr. Aintabi is a greater than 5% beneficial owner of the Company’s securities. The Consulting Agreement was further extended on May 12, 2025 for a total period of twelve (12) months from the effective date of the agreement in exchange for a total amount for both the original and amended agreements of $530. For the three and six months ended June 30, 2025, $206 and $346, respectively, of this contract was recognized in general and administrative expenses on the unaudited condensed consolidated statement of operations and comprehensive loss and $184 was recognized as a prepaid expense in other current assets on the unaudited condensed consolidated balance sheets as of June 30,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986" w:name="_692211"/>
      <w:bookmarkEnd w:id="1986"/>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87" w:name="Item2ManagementsDiscussionandAnalysisofF"/>
      <w:bookmarkStart w:id="1988" w:name="_3701a6d2_1ff8_4cd4_8b6b_cef2b852b7b1"/>
      <w:bookmarkEnd w:id="1987"/>
      <w:bookmarkEnd w:id="1988"/>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2024, filed with the Securities and Exchange Commission (the “SEC”) on April 15, 2025, as subsequently amended on April 28, 2025 (the “Annual Report”) and this Quarterly Report on Form 10-Q and any future reports we file with the SEC. The forward-looking statements set forth herein speak only as of the date of this report. Except as required by law, we undertake no obligation to update any forward-looking statements to reflect events or circumstances after the date of such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All references in this Quarterly Report on Form 10-Q to “we,” “us” and “our” refer to XWELL, Inc., a Delaware corporation, and its consolidated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 is a global wellness company operating multiple brands and focused on bringing restorative, regenerative and reinvigorating products and services to travelers. As of the date of this Quarterly Report on Form 10-Q, XWELL currently has three reportable operating segments: XpresSpa®, XpresTest®, and Naples Wax Center®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25, 2022, the Company changed its name to XWELL, Inc. (“XWELL” or the “Company”) from XpresSpa Group, Inc. The Company’s common stock, par value $0.01 per share,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amounts are in thousands, except share, per share, or as otherwise specifically noted.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XpresSpa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XWELL’s subsidiary, XpresSpa Holdings, LLC (“XpresSpa”) has been a global airport retailer of spa services through its XpresSpa spa locations, offering travelers premium spa services, including massage, nail and skin care, as well as spa and travel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2025, there were 17 domestic XpresSpa locations in total comprised of 16 Company-owned locations and one franchise. The Company also had 11 international locations operating as of June 30, 2025, including two XpresSpa locations in the Dubai International Airport in the United Arab Emirates, one XpresSpa location in the Zayad International Airport in Abu Dhabi, United Arab Emirates, four XpresSpa locations in the Schiphol Amsterdam Airport in the Netherlands and four XpresSpa locations in the Istanbul Airport in Turkey.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Treat, which is operating through XWELL’s subsidiary Treat, Inc. (“Treat”) is a wellness brand that provides access to wellness services for travelers at on-site centers. In April 2024, the decision was made to close the location in the Salt Lake City International Airport. In the first quarter of 2025, the decision was made to convert the final remaining Treat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location at JFK International Airport in New York City to an XWELL location. As of Q2 2025, all Treat locations have been converted to XWELL.</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XpresTest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 partnership with certain COVID-19 testing partners, successfully launched its XpresCheck Wellness Centers, in June of 2020, through its XpresTest, Inc. subsidiary (“XpresTest”), which offered COVID-19 and other medical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 million over three years, and a maximum ceiling value of $24.8 million within the same timeframe.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Naples Wax Center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XWELL’s subsidiary Naples Wax, LLC, d/b/a Naples Wax Centers (“Naples Wax Center” or “Naples Wax”) which was acquired on September 12, 2023, for a purchase price of $1,624, operates a group of upscale hair removal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Although we recognize four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plan to build our capability for delivering health and wellness services outside of the airport. We believe operating outside of the airport complements our offering and represents the fastest way to scale the XWELL family of brands.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be looking to further expand internationally. We believe a strategy for international expansion further advances our ability to expand our other brands including bio surveillance outside of the 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pBd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Nasdaq Minimum Bid Price Requirement </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13, 2025, we received a letter from the Listing Qualifications Department of the Nasdaq Stock Market (“Nasdaq”) indicating that, based upon the closing bid price of our common stock for the 30 consecutive business days between March 31, 2025, to May 12, 2025, we did not meet the minimum bid price of $1.00 per share required for continued listing on the Nasdaq Capital Market (“Nasdaq”) pursuant to Nasdaq Listing Rule 5550(a)(2) (the “Minimum Bid Price Rule”).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August 7, 2025, we received a letter (the “Letter”) from the Listing Qualifications Department of Nasdaq stating that for the last 16 consecutive business days, from July 16, 2025, to August 6, 2025, the closing bid price of our common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had been at or greater than $1.00 per share. Accordingly, we have regained compliance with the Minimum Bid Price Rule and per the Letter, the matter is now closed.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January 2025 Private Placement of Preferred Shares and Warrants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14, 2025, we entered into a securities purchase agreement (the “January 2025 Purchase Agreement”) with certain accredited investors thereto, pursuant to which it agreed to sell to such investors (i) an aggregate of 4,000 shares of our newly-designated Series G Convertible Preferred Stock, par value of $0.01 per share and a stated value of $1,000 per share (the “Series G Preferred Stock”),, initially convertible into up to 2,673,797 shares of our common stock at a conversion price of $1.496 per share, (ii) Series A Warrants to acquire up to an aggregate of 2,673,797 shares of common stock at an exercise price of $1.496 per share (the “Series A Warrants”), and (iii) Series B Warrants to acquire up to an aggregate of 2,673,797 shares of common stock at an exercise price of $1.7952 per share (the “Series B Warrants”), each for a term of five years following the date of issuance (the “January 2025 Private Placement”). In connection with the January 2025 Private Placement, we also entered into that certain registration rights agreement, dated as of January 14, 2025, with the investors in the January 2025 Private Placement. The January 2025 Private Placement closed on January 14, 2025.</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private placement consummated on January 14, 2025, we and the investors entered into a Registration Rights Agreement (the “Registration Rights Agreement”), pursuant to which the Company is required to file a resale registration statement (the “Registration Statement”) with the SEC and to have such Registration Statement declared effective by the Effectiveness Deadline (as defined in the Registration Rights Agreement). The Registration Statement was filed on February 7, 2025. Following a series of waivers and amendments to the Registration Rights Agreement to extend the effectiveness date of the Registration Statement by and between the Company and the investors, the Registration Statement was declared effective on June 30,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recognize revenue from the sale of XpresSpa, Treat and Naples Wax services when they are rendered at our stores and from the sale of products at the time goods are purchased at our stores or online (usually by credit card), net of discounts and applicable sales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third quarter of 2022, XpresTest, in partnership with Ginkgo BioWorks in continuation of their support to the CDC’s traveler-based SARS-CoV-2 genomic surveillance program was awarded a new contract. We recognize revenue over time for both sample collection performance obligations, using the input method based on time elapsed to measure progress towards satisfying each of the performance obligations. The Company recognizes revenue ratably (straight line basis) over the term of the contract.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Cost of sales for our XpresSpa, XpresTest, and Naples Wax segments consist of location and segment level costs. Location and segment level costs include all costs that are directly attributable to operations, primarily payroll and related benefit costs for personnel, occupancy costs and cost of products sold.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include management and administrative personnel, overhead and occupancy costs, insurance, salaries, and various professional fees, as well as stock-based compensation for directors, management and administrative personnel.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Three months ended June 30, 2025, compared to the three months ended June 30,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tbl>
      <w:tblPr>
        <w:tblW w:w="5080" w:type="dxa"/>
        <w:jc w:val="left"/>
        <w:tblInd w:w="0" w:type="dxa"/>
        <w:tblLayout w:type="fixed"/>
        <w:tblCellMar>
          <w:top w:w="0" w:type="dxa"/>
          <w:left w:w="0" w:type="dxa"/>
          <w:bottom w:w="0" w:type="dxa"/>
          <w:right w:w="0" w:type="dxa"/>
        </w:tblCellMar>
      </w:tblPr>
      <w:tblGrid>
        <w:gridCol w:w="1591"/>
        <w:gridCol w:w="326"/>
        <w:gridCol w:w="211"/>
        <w:gridCol w:w="571"/>
        <w:gridCol w:w="326"/>
        <w:gridCol w:w="211"/>
        <w:gridCol w:w="571"/>
        <w:gridCol w:w="326"/>
        <w:gridCol w:w="211"/>
        <w:gridCol w:w="736"/>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010285" cy="175260"/>
                      <wp:effectExtent l="0" t="0" r="0" b="0"/>
                      <wp:wrapNone/>
                      <wp:docPr id="374" name="Frame374"/>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362585" cy="175260"/>
                      <wp:effectExtent l="0" t="0" r="0" b="0"/>
                      <wp:wrapNone/>
                      <wp:docPr id="377" name="Frame3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362585" cy="175260"/>
                      <wp:effectExtent l="0" t="0" r="0" b="0"/>
                      <wp:wrapNone/>
                      <wp:docPr id="380" name="Frame3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67360" cy="175260"/>
                      <wp:effectExtent l="0" t="0" r="0" b="0"/>
                      <wp:wrapNone/>
                      <wp:docPr id="383" name="Frame38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6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decrease in revenue of $1,593 or 17%, was primarily due to the three months ended June 30, 2024 having additional CDC revenue for XpresTest and additional XpresSpa revenue driven by Priority Pass revenue, which was a new revenue stream, for the three months ended June 30, 2024 as compared to three months ended June 30, 2025. For XpresSpa, specifically, the additional revenue generated in 2024 was from providing more services to airports above the base contract amounts, which resulted in increased surge billing prices.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tbl>
      <w:tblPr>
        <w:tblW w:w="5033" w:type="dxa"/>
        <w:jc w:val="left"/>
        <w:tblInd w:w="0" w:type="dxa"/>
        <w:tblLayout w:type="fixed"/>
        <w:tblCellMar>
          <w:top w:w="0" w:type="dxa"/>
          <w:left w:w="0" w:type="dxa"/>
          <w:bottom w:w="0" w:type="dxa"/>
          <w:right w:w="0" w:type="dxa"/>
        </w:tblCellMar>
      </w:tblPr>
      <w:tblGrid>
        <w:gridCol w:w="1576"/>
        <w:gridCol w:w="326"/>
        <w:gridCol w:w="211"/>
        <w:gridCol w:w="571"/>
        <w:gridCol w:w="326"/>
        <w:gridCol w:w="211"/>
        <w:gridCol w:w="571"/>
        <w:gridCol w:w="326"/>
        <w:gridCol w:w="242"/>
        <w:gridCol w:w="673"/>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000760" cy="175260"/>
                      <wp:effectExtent l="0" t="0" r="0" b="0"/>
                      <wp:wrapNone/>
                      <wp:docPr id="384" name="Frame384"/>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62585" cy="175260"/>
                      <wp:effectExtent l="0" t="0" r="0" b="0"/>
                      <wp:wrapNone/>
                      <wp:docPr id="387" name="Frame3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62585" cy="175260"/>
                      <wp:effectExtent l="0" t="0" r="0" b="0"/>
                      <wp:wrapNone/>
                      <wp:docPr id="390" name="Frame3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53670" cy="175260"/>
                      <wp:effectExtent l="0" t="0" r="0" b="0"/>
                      <wp:wrapNone/>
                      <wp:docPr id="392" name="Frame39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27355" cy="175260"/>
                      <wp:effectExtent l="0" t="0" r="0" b="0"/>
                      <wp:wrapNone/>
                      <wp:docPr id="393" name="Frame393"/>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3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6,203</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cost of sales of $289 or 5%, for the three months ended June 30, 2025, was primarily driven by decrease in product costs, as the agreement for clockwork manicure machines was no longer active, and decrease in labor due to store closures in XpresSpa and less surge billing for CDC testing, for the three months ended June 30, 2025 as compared to three months ended June 30, 2024. The increase in total cost of sales as a percentage of revenue for the three months ended June 30, 2025 as compared to the three months ended June 30, 2024 was driven by higher cost of supplies purchased for current and anticipated store openings in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bl>
      <w:tblPr>
        <w:tblW w:w="5785" w:type="dxa"/>
        <w:jc w:val="left"/>
        <w:tblInd w:w="0" w:type="dxa"/>
        <w:tblLayout w:type="fixed"/>
        <w:tblCellMar>
          <w:top w:w="0" w:type="dxa"/>
          <w:left w:w="0" w:type="dxa"/>
          <w:bottom w:w="0" w:type="dxa"/>
          <w:right w:w="0" w:type="dxa"/>
        </w:tblCellMar>
      </w:tblPr>
      <w:tblGrid>
        <w:gridCol w:w="2596"/>
        <w:gridCol w:w="326"/>
        <w:gridCol w:w="214"/>
        <w:gridCol w:w="428"/>
        <w:gridCol w:w="332"/>
        <w:gridCol w:w="214"/>
        <w:gridCol w:w="428"/>
        <w:gridCol w:w="332"/>
        <w:gridCol w:w="278"/>
        <w:gridCol w:w="63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648460" cy="175260"/>
                      <wp:effectExtent l="0" t="0" r="0" b="0"/>
                      <wp:wrapNone/>
                      <wp:docPr id="394" name="Frame39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5890" cy="175260"/>
                      <wp:effectExtent l="0" t="0" r="0" b="0"/>
                      <wp:wrapNone/>
                      <wp:docPr id="396" name="Frame39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71780" cy="175260"/>
                      <wp:effectExtent l="0" t="0" r="0" b="0"/>
                      <wp:wrapNone/>
                      <wp:docPr id="397" name="Frame397"/>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0820" cy="175260"/>
                      <wp:effectExtent l="0" t="0" r="0" b="0"/>
                      <wp:wrapNone/>
                      <wp:docPr id="398" name="Frame398"/>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5890" cy="175260"/>
                      <wp:effectExtent l="0" t="0" r="0" b="0"/>
                      <wp:wrapNone/>
                      <wp:docPr id="399" name="Frame39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71780" cy="175260"/>
                      <wp:effectExtent l="0" t="0" r="0" b="0"/>
                      <wp:wrapNone/>
                      <wp:docPr id="400" name="Frame400"/>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0820" cy="175260"/>
                      <wp:effectExtent l="0" t="0" r="0" b="0"/>
                      <wp:wrapNone/>
                      <wp:docPr id="401" name="Frame401"/>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76530" cy="175260"/>
                      <wp:effectExtent l="0" t="0" r="0" b="0"/>
                      <wp:wrapNone/>
                      <wp:docPr id="402" name="Frame402"/>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04495" cy="175260"/>
                      <wp:effectExtent l="0" t="0" r="0" b="0"/>
                      <wp:wrapNone/>
                      <wp:docPr id="403" name="Frame403"/>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6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32" w:type="dxa"/>
            <w:tcBorders/>
            <w:vAlign w:val="center"/>
          </w:tcPr>
          <w:p>
            <w:pPr>
              <w:pStyle w:val="TableContents"/>
              <w:bidi w:val="0"/>
              <w:spacing w:before="0" w:after="1"/>
              <w:ind w:left="0" w:right="0" w:hanging="0"/>
              <w:jc w:val="left"/>
              <w:rPr/>
            </w:pPr>
            <w:r>
              <w:rPr/>
              <w:t>    </w:t>
            </w:r>
          </w:p>
        </w:tc>
        <w:tc>
          <w:tcPr>
            <w:tcW w:w="6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32"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32"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32"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depreciation and amortization of approximately $41 or 18% for the three months ended June 30, 2025 was primarily due to fewer long-lived assets available for depreciation and amortization in the three months ended June 30, 2025 as compared to the three months ended June 30, 2024 due the impairment of long-lived assets which occurred at the end of fiscal year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bl>
      <w:tblPr>
        <w:tblW w:w="5768" w:type="dxa"/>
        <w:jc w:val="left"/>
        <w:tblInd w:w="0" w:type="dxa"/>
        <w:tblLayout w:type="fixed"/>
        <w:tblCellMar>
          <w:top w:w="0" w:type="dxa"/>
          <w:left w:w="0" w:type="dxa"/>
          <w:bottom w:w="0" w:type="dxa"/>
          <w:right w:w="0" w:type="dxa"/>
        </w:tblCellMar>
      </w:tblPr>
      <w:tblGrid>
        <w:gridCol w:w="2311"/>
        <w:gridCol w:w="326"/>
        <w:gridCol w:w="211"/>
        <w:gridCol w:w="571"/>
        <w:gridCol w:w="326"/>
        <w:gridCol w:w="211"/>
        <w:gridCol w:w="571"/>
        <w:gridCol w:w="326"/>
        <w:gridCol w:w="242"/>
        <w:gridCol w:w="673"/>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467485" cy="175260"/>
                      <wp:effectExtent l="0" t="0" r="0" b="0"/>
                      <wp:wrapNone/>
                      <wp:docPr id="404" name="Frame40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985" cy="175260"/>
                      <wp:effectExtent l="0" t="0" r="0" b="0"/>
                      <wp:wrapNone/>
                      <wp:docPr id="406"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62585" cy="175260"/>
                      <wp:effectExtent l="0" t="0" r="0" b="0"/>
                      <wp:wrapNone/>
                      <wp:docPr id="407" name="Frame4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9"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362585" cy="175260"/>
                      <wp:effectExtent l="0" t="0" r="0" b="0"/>
                      <wp:wrapNone/>
                      <wp:docPr id="410" name="Frame4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53670" cy="175260"/>
                      <wp:effectExtent l="0" t="0" r="0" b="0"/>
                      <wp:wrapNone/>
                      <wp:docPr id="412" name="Frame41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27355" cy="175260"/>
                      <wp:effectExtent l="0" t="0" r="0" b="0"/>
                      <wp:wrapNone/>
                      <wp:docPr id="413" name="Frame413"/>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3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4,725</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approximately 9% was primarily due to the decrease in accounting, legal and public company costs for the three months ended June 30, 2025 as compared to three months ended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non-operating expense, net</w:t>
      </w:r>
    </w:p>
    <w:tbl>
      <w:tblPr>
        <w:tblW w:w="6113" w:type="dxa"/>
        <w:jc w:val="left"/>
        <w:tblInd w:w="0" w:type="dxa"/>
        <w:tblLayout w:type="fixed"/>
        <w:tblCellMar>
          <w:top w:w="0" w:type="dxa"/>
          <w:left w:w="0" w:type="dxa"/>
          <w:bottom w:w="0" w:type="dxa"/>
          <w:right w:w="0" w:type="dxa"/>
        </w:tblCellMar>
      </w:tblPr>
      <w:tblGrid>
        <w:gridCol w:w="2821"/>
        <w:gridCol w:w="326"/>
        <w:gridCol w:w="211"/>
        <w:gridCol w:w="541"/>
        <w:gridCol w:w="326"/>
        <w:gridCol w:w="211"/>
        <w:gridCol w:w="436"/>
        <w:gridCol w:w="326"/>
        <w:gridCol w:w="242"/>
        <w:gridCol w:w="673"/>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791335" cy="175260"/>
                      <wp:effectExtent l="0" t="0" r="0" b="0"/>
                      <wp:wrapNone/>
                      <wp:docPr id="414" name="Frame414"/>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43535" cy="175260"/>
                      <wp:effectExtent l="0" t="0" r="0" b="0"/>
                      <wp:wrapNone/>
                      <wp:docPr id="417" name="Frame41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76860" cy="175260"/>
                      <wp:effectExtent l="0" t="0" r="0" b="0"/>
                      <wp:wrapNone/>
                      <wp:docPr id="420" name="Frame42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53670" cy="175260"/>
                      <wp:effectExtent l="0" t="0" r="0" b="0"/>
                      <wp:wrapNone/>
                      <wp:docPr id="422" name="Frame42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27355" cy="175260"/>
                      <wp:effectExtent l="0" t="0" r="0" b="0"/>
                      <wp:wrapNone/>
                      <wp:docPr id="423" name="Frame423"/>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6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gain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non-operating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increase in foreign exchange loss of $568 was primarily due to the fluctuation of the foreign exchange rate in Turkey, creating a remeasurement loss on our lease liability. The increase in other non-operating expense of $38, net was primarily driven by a decrease in finance expenses related to bank fees and charges.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transactions included in other non-operating expense, net for the three months ended June 30, 2025 and 2024:</w:t>
      </w:r>
    </w:p>
    <w:tbl>
      <w:tblPr>
        <w:tblW w:w="5726" w:type="dxa"/>
        <w:jc w:val="left"/>
        <w:tblInd w:w="0" w:type="dxa"/>
        <w:tblLayout w:type="fixed"/>
        <w:tblCellMar>
          <w:top w:w="0" w:type="dxa"/>
          <w:left w:w="0" w:type="dxa"/>
          <w:bottom w:w="0" w:type="dxa"/>
          <w:right w:w="0" w:type="dxa"/>
        </w:tblCellMar>
      </w:tblPr>
      <w:tblGrid>
        <w:gridCol w:w="2746"/>
        <w:gridCol w:w="326"/>
        <w:gridCol w:w="336"/>
        <w:gridCol w:w="695"/>
        <w:gridCol w:w="520"/>
        <w:gridCol w:w="336"/>
        <w:gridCol w:w="767"/>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743710" cy="175260"/>
                      <wp:effectExtent l="0" t="0" r="0" b="0"/>
                      <wp:wrapNone/>
                      <wp:docPr id="424" name="Frame424"/>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3360" cy="175260"/>
                      <wp:effectExtent l="0" t="0" r="0" b="0"/>
                      <wp:wrapNone/>
                      <wp:docPr id="426" name="Frame426"/>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441325" cy="175260"/>
                      <wp:effectExtent l="0" t="0" r="0" b="0"/>
                      <wp:wrapNone/>
                      <wp:docPr id="427" name="Frame427"/>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30200" cy="175260"/>
                      <wp:effectExtent l="0" t="0" r="0" b="0"/>
                      <wp:wrapNone/>
                      <wp:docPr id="428" name="Frame428"/>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3360" cy="175260"/>
                      <wp:effectExtent l="0" t="0" r="0" b="0"/>
                      <wp:wrapNone/>
                      <wp:docPr id="429" name="Frame429"/>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87045" cy="175260"/>
                      <wp:effectExtent l="0" t="0" r="0" b="0"/>
                      <wp:wrapNone/>
                      <wp:docPr id="430" name="Frame430"/>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20" w:type="dxa"/>
            <w:tcBorders/>
            <w:vAlign w:val="center"/>
          </w:tcPr>
          <w:p>
            <w:pPr>
              <w:pStyle w:val="TableContents"/>
              <w:bidi w:val="0"/>
              <w:spacing w:before="0" w:after="0"/>
              <w:ind w:left="0" w:right="0" w:hanging="0"/>
              <w:jc w:val="left"/>
              <w:rPr/>
            </w:pPr>
            <w:r>
              <w:rPr/>
              <w:t>    </w:t>
            </w:r>
          </w:p>
        </w:tc>
        <w:tc>
          <w:tcPr>
            <w:tcW w:w="11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fees and financing charges</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520"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520"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520" w:type="dxa"/>
            <w:tcBorders/>
            <w:shd w:fill="CCEEFF" w:val="clear"/>
            <w:vAlign w:val="center"/>
          </w:tcPr>
          <w:p>
            <w:pPr>
              <w:pStyle w:val="TableContents"/>
              <w:bidi w:val="0"/>
              <w:spacing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 in fair value of warrants and derivatives</w:t>
      </w:r>
    </w:p>
    <w:tbl>
      <w:tblPr>
        <w:tblW w:w="6535" w:type="dxa"/>
        <w:jc w:val="left"/>
        <w:tblInd w:w="0" w:type="dxa"/>
        <w:tblLayout w:type="fixed"/>
        <w:tblCellMar>
          <w:top w:w="0" w:type="dxa"/>
          <w:left w:w="0" w:type="dxa"/>
          <w:bottom w:w="0" w:type="dxa"/>
          <w:right w:w="0" w:type="dxa"/>
        </w:tblCellMar>
      </w:tblPr>
      <w:tblGrid>
        <w:gridCol w:w="3556"/>
        <w:gridCol w:w="326"/>
        <w:gridCol w:w="345"/>
        <w:gridCol w:w="690"/>
        <w:gridCol w:w="534"/>
        <w:gridCol w:w="345"/>
        <w:gridCol w:w="739"/>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258060" cy="175260"/>
                      <wp:effectExtent l="0" t="0" r="0" b="0"/>
                      <wp:wrapNone/>
                      <wp:docPr id="431" name="Frame431"/>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32" name="Frame4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075" cy="175260"/>
                      <wp:effectExtent l="0" t="0" r="0" b="0"/>
                      <wp:wrapNone/>
                      <wp:docPr id="433" name="Frame433"/>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38150" cy="175260"/>
                      <wp:effectExtent l="0" t="0" r="0" b="0"/>
                      <wp:wrapNone/>
                      <wp:docPr id="434" name="Frame43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339090" cy="175260"/>
                      <wp:effectExtent l="0" t="0" r="0" b="0"/>
                      <wp:wrapNone/>
                      <wp:docPr id="435" name="Frame435"/>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9075" cy="175260"/>
                      <wp:effectExtent l="0" t="0" r="0" b="0"/>
                      <wp:wrapNone/>
                      <wp:docPr id="436" name="Frame436"/>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69265" cy="175260"/>
                      <wp:effectExtent l="0" t="0" r="0" b="0"/>
                      <wp:wrapNone/>
                      <wp:docPr id="437" name="Frame437"/>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34" w:type="dxa"/>
            <w:tcBorders/>
            <w:vAlign w:val="center"/>
          </w:tcPr>
          <w:p>
            <w:pPr>
              <w:pStyle w:val="TableContents"/>
              <w:bidi w:val="0"/>
              <w:spacing w:before="0" w:after="0"/>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534"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534"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change in fair value of warrants and derivatives is due to a decrease in the Company’s stock price after entering into the Purchase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income, net</w:t>
      </w:r>
    </w:p>
    <w:tbl>
      <w:tblPr>
        <w:tblW w:w="4918" w:type="dxa"/>
        <w:jc w:val="left"/>
        <w:tblInd w:w="0" w:type="dxa"/>
        <w:tblLayout w:type="fixed"/>
        <w:tblCellMar>
          <w:top w:w="0" w:type="dxa"/>
          <w:left w:w="0" w:type="dxa"/>
          <w:bottom w:w="0" w:type="dxa"/>
          <w:right w:w="0" w:type="dxa"/>
        </w:tblCellMar>
      </w:tblPr>
      <w:tblGrid>
        <w:gridCol w:w="1711"/>
        <w:gridCol w:w="326"/>
        <w:gridCol w:w="229"/>
        <w:gridCol w:w="457"/>
        <w:gridCol w:w="354"/>
        <w:gridCol w:w="229"/>
        <w:gridCol w:w="343"/>
        <w:gridCol w:w="354"/>
        <w:gridCol w:w="305"/>
        <w:gridCol w:w="610"/>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086485" cy="175260"/>
                      <wp:effectExtent l="0" t="0" r="0" b="0"/>
                      <wp:wrapNone/>
                      <wp:docPr id="438" name="Frame438"/>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45415" cy="175260"/>
                      <wp:effectExtent l="0" t="0" r="0" b="0"/>
                      <wp:wrapNone/>
                      <wp:docPr id="440" name="Frame44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90195" cy="175260"/>
                      <wp:effectExtent l="0" t="0" r="0" b="0"/>
                      <wp:wrapNone/>
                      <wp:docPr id="441" name="Frame441"/>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24790" cy="175260"/>
                      <wp:effectExtent l="0" t="0" r="0" b="0"/>
                      <wp:wrapNone/>
                      <wp:docPr id="442" name="Frame44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45415" cy="175260"/>
                      <wp:effectExtent l="0" t="0" r="0" b="0"/>
                      <wp:wrapNone/>
                      <wp:docPr id="443" name="Frame443"/>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7805" cy="175260"/>
                      <wp:effectExtent l="0" t="0" r="0" b="0"/>
                      <wp:wrapNone/>
                      <wp:docPr id="444" name="Frame444"/>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24790" cy="175260"/>
                      <wp:effectExtent l="0" t="0" r="0" b="0"/>
                      <wp:wrapNone/>
                      <wp:docPr id="445" name="Frame445"/>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93675" cy="175260"/>
                      <wp:effectExtent l="0" t="0" r="0" b="0"/>
                      <wp:wrapNone/>
                      <wp:docPr id="446" name="Frame446"/>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87350" cy="175260"/>
                      <wp:effectExtent l="0" t="0" r="0" b="0"/>
                      <wp:wrapNone/>
                      <wp:docPr id="447" name="Frame447"/>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8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54" w:type="dxa"/>
            <w:tcBorders/>
            <w:vAlign w:val="center"/>
          </w:tcPr>
          <w:p>
            <w:pPr>
              <w:pStyle w:val="TableContents"/>
              <w:bidi w:val="0"/>
              <w:spacing w:before="0" w:after="1"/>
              <w:ind w:left="0" w:right="0" w:hanging="0"/>
              <w:jc w:val="left"/>
              <w:rPr/>
            </w:pPr>
            <w:r>
              <w:rPr/>
              <w:t>    </w:t>
            </w:r>
          </w:p>
        </w:tc>
        <w:tc>
          <w:tcPr>
            <w:tcW w:w="5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54"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54" w:type="dxa"/>
            <w:tcBorders/>
            <w:shd w:fill="CCEEFF" w:val="clear"/>
            <w:vAlign w:val="center"/>
          </w:tcPr>
          <w:p>
            <w:pPr>
              <w:pStyle w:val="TableContents"/>
              <w:bidi w:val="0"/>
              <w:spacing w:before="0" w:after="1"/>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$50 was primarily due to having less cash in interest bearing accounts and interest paid towards employee retention credits.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Six months ended June 30, 2025, compared to the six months ended June 30,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tbl>
      <w:tblPr>
        <w:tblW w:w="5290" w:type="dxa"/>
        <w:jc w:val="left"/>
        <w:tblInd w:w="0" w:type="dxa"/>
        <w:tblLayout w:type="fixed"/>
        <w:tblCellMar>
          <w:top w:w="0" w:type="dxa"/>
          <w:left w:w="0" w:type="dxa"/>
          <w:bottom w:w="0" w:type="dxa"/>
          <w:right w:w="0" w:type="dxa"/>
        </w:tblCellMar>
      </w:tblPr>
      <w:tblGrid>
        <w:gridCol w:w="1591"/>
        <w:gridCol w:w="326"/>
        <w:gridCol w:w="211"/>
        <w:gridCol w:w="676"/>
        <w:gridCol w:w="326"/>
        <w:gridCol w:w="211"/>
        <w:gridCol w:w="676"/>
        <w:gridCol w:w="326"/>
        <w:gridCol w:w="211"/>
        <w:gridCol w:w="736"/>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010285" cy="175260"/>
                      <wp:effectExtent l="0" t="0" r="0" b="0"/>
                      <wp:wrapNone/>
                      <wp:docPr id="448" name="Frame448"/>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9"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29260" cy="175260"/>
                      <wp:effectExtent l="0" t="0" r="0" b="0"/>
                      <wp:wrapNone/>
                      <wp:docPr id="451" name="Frame4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3985" cy="175260"/>
                      <wp:effectExtent l="0" t="0" r="0" b="0"/>
                      <wp:wrapNone/>
                      <wp:docPr id="453" name="Frame4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29260" cy="175260"/>
                      <wp:effectExtent l="0" t="0" r="0" b="0"/>
                      <wp:wrapNone/>
                      <wp:docPr id="454" name="Frame4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3985" cy="175260"/>
                      <wp:effectExtent l="0" t="0" r="0" b="0"/>
                      <wp:wrapNone/>
                      <wp:docPr id="456" name="Frame4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67360" cy="175260"/>
                      <wp:effectExtent l="0" t="0" r="0" b="0"/>
                      <wp:wrapNone/>
                      <wp:docPr id="457" name="Frame45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7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decrease in revenue of $3,296 or 18%, for the six months ended June 30, 2025, was primarily due to the six months ended June 30, 2024 having additional CDC revenue for XpresTest and additional XpresSpa revenue driven by Priority Pass revenue, which was a new revenue stream, for the six months ended June 30, 2024 as compared to six months ended June 30, 2025. For XpresSpa, specifically, the additional revenue generated in 2024 was from providing more services to airports above the base contract amounts, which resulted in increased surge billing prices.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tbl>
      <w:tblPr>
        <w:tblW w:w="5243" w:type="dxa"/>
        <w:jc w:val="left"/>
        <w:tblInd w:w="0" w:type="dxa"/>
        <w:tblLayout w:type="fixed"/>
        <w:tblCellMar>
          <w:top w:w="0" w:type="dxa"/>
          <w:left w:w="0" w:type="dxa"/>
          <w:bottom w:w="0" w:type="dxa"/>
          <w:right w:w="0" w:type="dxa"/>
        </w:tblCellMar>
      </w:tblPr>
      <w:tblGrid>
        <w:gridCol w:w="1576"/>
        <w:gridCol w:w="326"/>
        <w:gridCol w:w="211"/>
        <w:gridCol w:w="676"/>
        <w:gridCol w:w="326"/>
        <w:gridCol w:w="211"/>
        <w:gridCol w:w="676"/>
        <w:gridCol w:w="326"/>
        <w:gridCol w:w="242"/>
        <w:gridCol w:w="673"/>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000760" cy="175260"/>
                      <wp:effectExtent l="0" t="0" r="0" b="0"/>
                      <wp:wrapNone/>
                      <wp:docPr id="458" name="Frame458"/>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3985" cy="175260"/>
                      <wp:effectExtent l="0" t="0" r="0" b="0"/>
                      <wp:wrapNone/>
                      <wp:docPr id="460" name="Frame4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29260" cy="175260"/>
                      <wp:effectExtent l="0" t="0" r="0" b="0"/>
                      <wp:wrapNone/>
                      <wp:docPr id="461" name="Frame4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33985" cy="175260"/>
                      <wp:effectExtent l="0" t="0" r="0" b="0"/>
                      <wp:wrapNone/>
                      <wp:docPr id="463" name="Frame4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29260" cy="175260"/>
                      <wp:effectExtent l="0" t="0" r="0" b="0"/>
                      <wp:wrapNone/>
                      <wp:docPr id="464" name="Frame4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53670" cy="175260"/>
                      <wp:effectExtent l="0" t="0" r="0" b="0"/>
                      <wp:wrapNone/>
                      <wp:docPr id="466" name="Frame46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427355" cy="175260"/>
                      <wp:effectExtent l="0" t="0" r="0" b="0"/>
                      <wp:wrapNone/>
                      <wp:docPr id="467" name="Frame46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4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12,264</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cost of sales of $646 or 5%, for the six months ended June 30, 2025, was primarily driven by decrease in product costs, as the agreement for clockwork manicure machines was no longer active, and decrease in labor due to store closures in XpresSpa and less surge billing for CDC testing, for the six months ended June 30, 2025 as compared to six months ended June 30, 2024. The increase in total cost of sales as a percentage of revenue for the six months ended June 30, 2025 as compared to the six months ended June 30, 2024 was driven by higher cost of supplies purchased for current and anticipated store openings in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bl>
      <w:tblPr>
        <w:tblW w:w="5753" w:type="dxa"/>
        <w:jc w:val="left"/>
        <w:tblInd w:w="0" w:type="dxa"/>
        <w:tblLayout w:type="fixed"/>
        <w:tblCellMar>
          <w:top w:w="0" w:type="dxa"/>
          <w:left w:w="0" w:type="dxa"/>
          <w:bottom w:w="0" w:type="dxa"/>
          <w:right w:w="0" w:type="dxa"/>
        </w:tblCellMar>
      </w:tblPr>
      <w:tblGrid>
        <w:gridCol w:w="2596"/>
        <w:gridCol w:w="326"/>
        <w:gridCol w:w="211"/>
        <w:gridCol w:w="421"/>
        <w:gridCol w:w="326"/>
        <w:gridCol w:w="211"/>
        <w:gridCol w:w="421"/>
        <w:gridCol w:w="326"/>
        <w:gridCol w:w="242"/>
        <w:gridCol w:w="673"/>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648460" cy="175260"/>
                      <wp:effectExtent l="0" t="0" r="0" b="0"/>
                      <wp:wrapNone/>
                      <wp:docPr id="468" name="Frame46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33985" cy="175260"/>
                      <wp:effectExtent l="0" t="0" r="0" b="0"/>
                      <wp:wrapNone/>
                      <wp:docPr id="470"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67335" cy="175260"/>
                      <wp:effectExtent l="0" t="0" r="0" b="0"/>
                      <wp:wrapNone/>
                      <wp:docPr id="471" name="Frame47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33985" cy="175260"/>
                      <wp:effectExtent l="0" t="0" r="0" b="0"/>
                      <wp:wrapNone/>
                      <wp:docPr id="473"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67335" cy="175260"/>
                      <wp:effectExtent l="0" t="0" r="0" b="0"/>
                      <wp:wrapNone/>
                      <wp:docPr id="474" name="Frame47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5"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53670" cy="175260"/>
                      <wp:effectExtent l="0" t="0" r="0" b="0"/>
                      <wp:wrapNone/>
                      <wp:docPr id="476" name="Frame47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27355" cy="175260"/>
                      <wp:effectExtent l="0" t="0" r="0" b="0"/>
                      <wp:wrapNone/>
                      <wp:docPr id="477" name="Frame47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3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depreciation and amortization of approximately $100 or 22% for the six months ended June 30, 2025, was primarily due to fewer long-lived assets available for depreciation and amortization in the six months ended June 30, 2025 as compared to the six months ended June 30, 2024 due the impairment of long-lived assets which occurred at the end of fiscal year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of long-lived assets</w:t>
      </w:r>
    </w:p>
    <w:tbl>
      <w:tblPr>
        <w:tblW w:w="5753" w:type="dxa"/>
        <w:jc w:val="left"/>
        <w:tblInd w:w="0" w:type="dxa"/>
        <w:tblLayout w:type="fixed"/>
        <w:tblCellMar>
          <w:top w:w="0" w:type="dxa"/>
          <w:left w:w="0" w:type="dxa"/>
          <w:bottom w:w="0" w:type="dxa"/>
          <w:right w:w="0" w:type="dxa"/>
        </w:tblCellMar>
      </w:tblPr>
      <w:tblGrid>
        <w:gridCol w:w="2671"/>
        <w:gridCol w:w="326"/>
        <w:gridCol w:w="211"/>
        <w:gridCol w:w="346"/>
        <w:gridCol w:w="326"/>
        <w:gridCol w:w="211"/>
        <w:gridCol w:w="421"/>
        <w:gridCol w:w="326"/>
        <w:gridCol w:w="242"/>
        <w:gridCol w:w="673"/>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696085" cy="175260"/>
                      <wp:effectExtent l="0" t="0" r="0" b="0"/>
                      <wp:wrapNone/>
                      <wp:docPr id="478" name="Frame478"/>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3985" cy="175260"/>
                      <wp:effectExtent l="0" t="0" r="0" b="0"/>
                      <wp:wrapNone/>
                      <wp:docPr id="480" name="Frame4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81" name="Frame4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2" name="Frame4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33985" cy="175260"/>
                      <wp:effectExtent l="0" t="0" r="0" b="0"/>
                      <wp:wrapNone/>
                      <wp:docPr id="483" name="Frame4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67335" cy="175260"/>
                      <wp:effectExtent l="0" t="0" r="0" b="0"/>
                      <wp:wrapNone/>
                      <wp:docPr id="484" name="Frame48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5"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53670" cy="175260"/>
                      <wp:effectExtent l="0" t="0" r="0" b="0"/>
                      <wp:wrapNone/>
                      <wp:docPr id="486" name="Frame48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427355" cy="175260"/>
                      <wp:effectExtent l="0" t="0" r="0" b="0"/>
                      <wp:wrapNone/>
                      <wp:docPr id="487" name="Frame48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5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approximately $652 for the six months ended June 30, 2025, was primarily due to the impairment of long-lived assets that occurred in the six months ended June 30, 2024. There was no similar impairment taken as of June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bl>
      <w:tblPr>
        <w:tblW w:w="5768" w:type="dxa"/>
        <w:jc w:val="left"/>
        <w:tblInd w:w="0" w:type="dxa"/>
        <w:tblLayout w:type="fixed"/>
        <w:tblCellMar>
          <w:top w:w="0" w:type="dxa"/>
          <w:left w:w="0" w:type="dxa"/>
          <w:bottom w:w="0" w:type="dxa"/>
          <w:right w:w="0" w:type="dxa"/>
        </w:tblCellMar>
      </w:tblPr>
      <w:tblGrid>
        <w:gridCol w:w="2311"/>
        <w:gridCol w:w="326"/>
        <w:gridCol w:w="211"/>
        <w:gridCol w:w="571"/>
        <w:gridCol w:w="326"/>
        <w:gridCol w:w="211"/>
        <w:gridCol w:w="571"/>
        <w:gridCol w:w="326"/>
        <w:gridCol w:w="242"/>
        <w:gridCol w:w="673"/>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467485" cy="175260"/>
                      <wp:effectExtent l="0" t="0" r="0" b="0"/>
                      <wp:wrapNone/>
                      <wp:docPr id="488" name="Frame48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90"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62585" cy="175260"/>
                      <wp:effectExtent l="0" t="0" r="0" b="0"/>
                      <wp:wrapNone/>
                      <wp:docPr id="491" name="Frame4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3"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362585" cy="175260"/>
                      <wp:effectExtent l="0" t="0" r="0" b="0"/>
                      <wp:wrapNone/>
                      <wp:docPr id="494" name="Frame4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53670" cy="175260"/>
                      <wp:effectExtent l="0" t="0" r="0" b="0"/>
                      <wp:wrapNone/>
                      <wp:docPr id="496" name="Frame49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27355" cy="175260"/>
                      <wp:effectExtent l="0" t="0" r="0" b="0"/>
                      <wp:wrapNone/>
                      <wp:docPr id="497" name="Frame49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3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8,891</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approximately $300 or 3% for the six months ended June 30, 2025, was primarily due to the decrease in accounting, legal and public company costs for the six months ended June 30, 2025 as compared to six months ended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non-operating expense, net</w:t>
      </w:r>
    </w:p>
    <w:tbl>
      <w:tblPr>
        <w:tblW w:w="6218" w:type="dxa"/>
        <w:jc w:val="left"/>
        <w:tblInd w:w="0" w:type="dxa"/>
        <w:tblLayout w:type="fixed"/>
        <w:tblCellMar>
          <w:top w:w="0" w:type="dxa"/>
          <w:left w:w="0" w:type="dxa"/>
          <w:bottom w:w="0" w:type="dxa"/>
          <w:right w:w="0" w:type="dxa"/>
        </w:tblCellMar>
      </w:tblPr>
      <w:tblGrid>
        <w:gridCol w:w="2821"/>
        <w:gridCol w:w="326"/>
        <w:gridCol w:w="211"/>
        <w:gridCol w:w="541"/>
        <w:gridCol w:w="326"/>
        <w:gridCol w:w="211"/>
        <w:gridCol w:w="541"/>
        <w:gridCol w:w="326"/>
        <w:gridCol w:w="242"/>
        <w:gridCol w:w="673"/>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791335" cy="175260"/>
                      <wp:effectExtent l="0" t="0" r="0" b="0"/>
                      <wp:wrapNone/>
                      <wp:docPr id="498" name="Frame498"/>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33985" cy="175260"/>
                      <wp:effectExtent l="0" t="0" r="0" b="0"/>
                      <wp:wrapNone/>
                      <wp:docPr id="500" name="Frame5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343535" cy="175260"/>
                      <wp:effectExtent l="0" t="0" r="0" b="0"/>
                      <wp:wrapNone/>
                      <wp:docPr id="501" name="Frame50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502"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33985" cy="175260"/>
                      <wp:effectExtent l="0" t="0" r="0" b="0"/>
                      <wp:wrapNone/>
                      <wp:docPr id="503" name="Frame5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343535" cy="175260"/>
                      <wp:effectExtent l="0" t="0" r="0" b="0"/>
                      <wp:wrapNone/>
                      <wp:docPr id="504" name="Frame50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010" cy="175260"/>
                      <wp:effectExtent l="0" t="0" r="0" b="0"/>
                      <wp:wrapNone/>
                      <wp:docPr id="505" name="Frame5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53670" cy="175260"/>
                      <wp:effectExtent l="0" t="0" r="0" b="0"/>
                      <wp:wrapNone/>
                      <wp:docPr id="506" name="Frame50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427355" cy="175260"/>
                      <wp:effectExtent l="0" t="0" r="0" b="0"/>
                      <wp:wrapNone/>
                      <wp:docPr id="507" name="Frame50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7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(857)</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non-operating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in foreign exchange loss of $857 was primarily due to the fluctuation of the foreign exchange rate in Turkey, creating a remeasurement loss on our lease liability. The increase in other non-operating expense of $64, net was primarily driven by a decrease in finance expenses related to bank fees and charges.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the transactions included in other non-operating expense, net for the six months ended June 30, 2025 and 2024:</w:t>
      </w:r>
    </w:p>
    <w:p>
      <w:pPr>
        <w:pStyle w:val="TextBody"/>
        <w:bidi w:val="0"/>
        <w:spacing w:before="0" w:after="0"/>
        <w:ind w:left="0" w:right="0" w:hanging="0"/>
        <w:jc w:val="left"/>
        <w:rPr/>
      </w:pPr>
      <w:r>
        <w:rPr/>
        <w:t>​</w:t>
      </w:r>
    </w:p>
    <w:tbl>
      <w:tblPr>
        <w:tblW w:w="5269" w:type="dxa"/>
        <w:jc w:val="left"/>
        <w:tblInd w:w="0" w:type="dxa"/>
        <w:tblLayout w:type="fixed"/>
        <w:tblCellMar>
          <w:top w:w="0" w:type="dxa"/>
          <w:left w:w="0" w:type="dxa"/>
          <w:bottom w:w="0" w:type="dxa"/>
          <w:right w:w="0" w:type="dxa"/>
        </w:tblCellMar>
      </w:tblPr>
      <w:tblGrid>
        <w:gridCol w:w="2746"/>
        <w:gridCol w:w="109"/>
        <w:gridCol w:w="328"/>
        <w:gridCol w:w="678"/>
        <w:gridCol w:w="169"/>
        <w:gridCol w:w="328"/>
        <w:gridCol w:w="91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743710" cy="175260"/>
                      <wp:effectExtent l="0" t="0" r="0" b="0"/>
                      <wp:wrapNone/>
                      <wp:docPr id="508" name="Frame508"/>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9215" cy="175260"/>
                      <wp:effectExtent l="0" t="0" r="0" b="0"/>
                      <wp:wrapNone/>
                      <wp:docPr id="509" name="Frame5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08280" cy="175260"/>
                      <wp:effectExtent l="0" t="0" r="0" b="0"/>
                      <wp:wrapNone/>
                      <wp:docPr id="510" name="Frame510"/>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30530" cy="175260"/>
                      <wp:effectExtent l="0" t="0" r="0" b="0"/>
                      <wp:wrapNone/>
                      <wp:docPr id="511" name="Frame511"/>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07315" cy="175260"/>
                      <wp:effectExtent l="0" t="0" r="0" b="0"/>
                      <wp:wrapNone/>
                      <wp:docPr id="512" name="Frame512"/>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8280" cy="175260"/>
                      <wp:effectExtent l="0" t="0" r="0" b="0"/>
                      <wp:wrapNone/>
                      <wp:docPr id="513" name="Frame513"/>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78485" cy="175260"/>
                      <wp:effectExtent l="0" t="0" r="0" b="0"/>
                      <wp:wrapNone/>
                      <wp:docPr id="514" name="Frame514"/>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fees and financing charges</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6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6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69"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 in fair value of warrants, derivatives, and loss on issuance of preferred stock</w:t>
      </w:r>
    </w:p>
    <w:tbl>
      <w:tblPr>
        <w:tblW w:w="6415" w:type="dxa"/>
        <w:jc w:val="left"/>
        <w:tblInd w:w="0" w:type="dxa"/>
        <w:tblLayout w:type="fixed"/>
        <w:tblCellMar>
          <w:top w:w="0" w:type="dxa"/>
          <w:left w:w="0" w:type="dxa"/>
          <w:bottom w:w="0" w:type="dxa"/>
          <w:right w:w="0" w:type="dxa"/>
        </w:tblCellMar>
      </w:tblPr>
      <w:tblGrid>
        <w:gridCol w:w="3676"/>
        <w:gridCol w:w="326"/>
        <w:gridCol w:w="269"/>
        <w:gridCol w:w="883"/>
        <w:gridCol w:w="416"/>
        <w:gridCol w:w="269"/>
        <w:gridCol w:w="57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334260" cy="175260"/>
                      <wp:effectExtent l="0" t="0" r="0" b="0"/>
                      <wp:wrapNone/>
                      <wp:docPr id="515" name="Frame515"/>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6" name="Frame5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70815" cy="175260"/>
                      <wp:effectExtent l="0" t="0" r="0" b="0"/>
                      <wp:wrapNone/>
                      <wp:docPr id="517" name="Frame517"/>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560705" cy="175260"/>
                      <wp:effectExtent l="0" t="0" r="0" b="0"/>
                      <wp:wrapNone/>
                      <wp:docPr id="518" name="Frame518"/>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64160" cy="175260"/>
                      <wp:effectExtent l="0" t="0" r="0" b="0"/>
                      <wp:wrapNone/>
                      <wp:docPr id="519" name="Frame519"/>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70815" cy="175260"/>
                      <wp:effectExtent l="0" t="0" r="0" b="0"/>
                      <wp:wrapNone/>
                      <wp:docPr id="520" name="Frame520"/>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365760" cy="175260"/>
                      <wp:effectExtent l="0" t="0" r="0" b="0"/>
                      <wp:wrapNone/>
                      <wp:docPr id="521" name="Frame521"/>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16" w:type="dxa"/>
            <w:tcBorders/>
            <w:vAlign w:val="center"/>
          </w:tcPr>
          <w:p>
            <w:pPr>
              <w:pStyle w:val="TableContents"/>
              <w:bidi w:val="0"/>
              <w:spacing w:before="0" w:after="0"/>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41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c>
          <w:tcPr>
            <w:tcW w:w="41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issuance of Series G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c>
          <w:tcPr>
            <w:tcW w:w="41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change in fair value of warrants and derivatives is due to an decrease in the Company’s stock price after entering into the January 2025 Purchase Agreement. The loss on issuance is due to the initial fair value of the Series G Preferred Shares exceeding the fair value of the proceeds received.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income, net</w:t>
      </w:r>
    </w:p>
    <w:tbl>
      <w:tblPr>
        <w:tblW w:w="4868" w:type="dxa"/>
        <w:jc w:val="left"/>
        <w:tblInd w:w="0" w:type="dxa"/>
        <w:tblLayout w:type="fixed"/>
        <w:tblCellMar>
          <w:top w:w="0" w:type="dxa"/>
          <w:left w:w="0" w:type="dxa"/>
          <w:bottom w:w="0" w:type="dxa"/>
          <w:right w:w="0" w:type="dxa"/>
        </w:tblCellMar>
      </w:tblPr>
      <w:tblGrid>
        <w:gridCol w:w="1711"/>
        <w:gridCol w:w="326"/>
        <w:gridCol w:w="211"/>
        <w:gridCol w:w="421"/>
        <w:gridCol w:w="326"/>
        <w:gridCol w:w="211"/>
        <w:gridCol w:w="421"/>
        <w:gridCol w:w="326"/>
        <w:gridCol w:w="329"/>
        <w:gridCol w:w="58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086485" cy="175260"/>
                      <wp:effectExtent l="0" t="0" r="0" b="0"/>
                      <wp:wrapNone/>
                      <wp:docPr id="522" name="Frame522"/>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523" name="Frame5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33985" cy="175260"/>
                      <wp:effectExtent l="0" t="0" r="0" b="0"/>
                      <wp:wrapNone/>
                      <wp:docPr id="524" name="Frame5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67335" cy="175260"/>
                      <wp:effectExtent l="0" t="0" r="0" b="0"/>
                      <wp:wrapNone/>
                      <wp:docPr id="525" name="Frame52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6" name="Frame5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33985" cy="175260"/>
                      <wp:effectExtent l="0" t="0" r="0" b="0"/>
                      <wp:wrapNone/>
                      <wp:docPr id="527" name="Frame5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67335" cy="175260"/>
                      <wp:effectExtent l="0" t="0" r="0" b="0"/>
                      <wp:wrapNone/>
                      <wp:docPr id="528" name="Frame52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9" name="Frame5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8915" cy="175260"/>
                      <wp:effectExtent l="0" t="0" r="0" b="0"/>
                      <wp:wrapNone/>
                      <wp:docPr id="530" name="Frame530"/>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372110" cy="175260"/>
                      <wp:effectExtent l="0" t="0" r="0" b="0"/>
                      <wp:wrapNone/>
                      <wp:docPr id="531" name="Frame53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3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$3 for the six months ended June 30, 2025, was primarily due to having less cash in interest bearing accounts and interest paid towards employee retention credits.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Going Concern and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Substantial doubt has been expressed about our ability to continue as a going concern as we have suffered recurring losses from operations and have insufficient liquidity to fund our future operations. If we are unable to improve our liquidity position, we may not be able to continue as a going concern. The accompanying unaudited condensed consolidated financial statements do not include any adjustments that might result if we are unable to continue as a going concern and, therefore, be required to realize our assets and discharge our liabilities other than in the normal course of business which could cause investors to suffer the loss of all or a substantial portion of their investment. As of June 30, 2025, we had cash and cash equivalents of $5,263 (excluding restricted cash), $2,885 in marketable securities, and total current assets of $11,833. Our total current liabilities balance, which includes accounts payable, deferred revenue, accrued expenses, accrued preferred payments payable, and operating lease liabilities was $9,476 as of June 30, 2025, and $9,224 as of December 31, 2024. The working capital surplus was $2,357 as of June 30, 2025, compared to a working capital surplus of $6,113 as of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taken actions to improve its overall cash position, right sizing its corporate structure and streamlining its operations, while at the same time the Company is aggressively trying to get the company to profitability which the Company believes will strengthen the Company’s stock price and put the Company in a stronger position to be able to raise capital in 2025 and beyond. The Company is aggressively pursuing strategic partnerships that the Company expects will further strengthen the long-term profitability of the business, which puts the Company in a position of strength as the Company raises more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primary liquidity and capital requirements are for the maintenance of our current XpresSpa locations and brand, as well as the expansion outside the airports. During the six months ended June 30, 2025, we used net cash of $6,564 to fund our 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have sufficient cash to fund our operations in the future, we will need to raise additional equity or debt capital and cannot provide any assurance that we will be successful in doing so. If we are unable to raise sufficient capital to fund our operations, we may need to delay, reduce or eliminate certain of our operations, sell some or all of our assets or merge with another entity.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date of this Quarterly Report on Form 10-Q, we do not currently have sufficient available liquidity to fund its operations for at least the next 12 months. These conditions and events raise substantial doubt about our ability to continue as a going concern within one year after the date that these unaudited condensed consolidated financial statements are issued.</w:t>
      </w:r>
    </w:p>
    <w:p>
      <w:pPr>
        <w:pStyle w:val="TextBody"/>
        <w:pBd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Nasdaq Minimum Bid Price Rule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13, 2025, we received a letter from the Listing Qualifications Department of Nasdaq indicating that, based upon the closing bid price of our common stock for the 30 consecutive business days between March 31, 2025, to May 12, 2025, we did not meet the minimum bid price of $1.00 per share required for continued listing on Nasdaq pursuant to the Minimum Bid Price Rule. </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7, 2025, we received the Letter from the Listing Qualifications Department of Nasdaq stating that for the last 16 consecutive business days, from July 16, 2025, to August 6, 2025, the closing bid price of our common stock had been at or greater than $1.00 per share. Accordingly, we have regained compliance with the Minimum Bid Price Rule and per the Letter, the matter is now closed.</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on our unaudited condensed consolidated financial statements, which have been prepared in accordance with U.S. generally accepted accounting principles, or GAAP. The preparation of our unaudited condensed consolidated financial statements and related disclosures requires us to make estimates, assumptions and judgments that affect the reported amount of assets, liabilities, revenue, costs and expenses and related disclosures. We base our assumptions, estimates and judgments on historical experience, current trends, and other factors that management believes to be relevant at the time our unaudited condensed consolidated financial statements are prepared. Accordingly, we evaluate our estimates and assumptions on an ongoing basis. Our actual results may differ from these estimates under different assumptions and conditions.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material changes to our critical accounting estimates from the information provided in Item 7, “Management’s Discussion and Analysis of Financial Condition and Results of Operations,” included in our 2024 Annual Report except as covered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Derivative Financial Instruments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measures the fair value of financial assets and liabilities in accordance with GAAP, which defines fair value, establishes a framework for measuring fair value, and requires certain disclosures about fair value measurements. The Company does not use derivative financial instruments to hedge exposures to cash-flow, market or foreign-currency risks. However, the Company has entered into certain financial instruments and contracts, such as debt financing arrangements and the issuance of preferred stock with detachable common stock warrants features that are either i) not afforded equity classification, ii) embody risks not clearly and closely related to host contracts, or iii) may be net-cash settled by the counterparty. These instruments are required to be recognized as derivative liabilities, at fair value.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the bifurcated embedded derivative related to the convertible preferred stock was estimated using a Monte Carlo simulation model, which uses as inputs the fair value of the Company’s common stock and estimates for the equity volatility of the Company’s common stock, the time to maturity of the convertible preferred stock, the risk-free interest rate for a period that approximates the time to maturity, dividend rate, a penalty dividend rate, and our probability of default.</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Warrants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accounts for warrants as either equity-classified or liability-classified instruments based on an assessment of the warrant’s specific terms and applicable authoritative guidance in ASC 480, Distinguishing Liabilities from Equity (“ASC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consolidated statements of operations and comprehensive loss. The warrants are classified as liabilities in accordance with ASC 815 as they do not meet the requirements to be considered indexed to the Company’s own stock. The fair value of the warrant liability was estimated using the Black Scholes Model which uses as inputs the following weighted average assumptions: dividend yield, expected term in years; equity volatility; and risk-free interest rate. (see Note 11).</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Known Trends, Events and Uncertainties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Ongoing conflicts in Russia and Ukraine, and Israel and Palestine, including related sanctions and countermeasures, are difficult to predict, and could adversely impact geopolitical and macroeconomic conditions, the global economy, and contribute to increased market volatility, which may in turn adversely affect our business and operations. We may not be able to raise sufficient additional capital and may tailor our business and operations based on the amount of funding we are able to raise in the future. Nevertheless, there is no assurance that these initiatives will be successful. Our ability to operate depends upon a large number of airplane travelers with the propensity for health and wellness, and in particular spa treatments and products, spending significant time post-security clearance check points at airports. The number of airline travelers at any given time is volatile and subject to change based on various conditions, including but not limited to market and other conditions, prices of travel fare, and oil and gas prices. Additionally, recent changes to U.S. policy implemented by the U.S. Congress, the Trump administration or any new administration have impacted and may in the future impact, among other things, the U.S. and global economy, tariffs, international trade relations, unemployment, immigration, healthcare, taxation, the U.S. regulatory environment, inflation and other areas. Although we cannot predict the impact, if any, of these changes to our business, they could adversely affect our business.</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than as discussed above and elsewhere in this report, we are not aware of any trends, events or uncertainties that are likely to have a material effect on our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89" w:name="Item3QuantitativeandQualitativeDisclosur"/>
      <w:bookmarkStart w:id="1990" w:name="_5a5cfc12_ff85_4939_9ff6_99bb39498893"/>
      <w:bookmarkEnd w:id="1989"/>
      <w:bookmarkEnd w:id="1990"/>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991" w:name="Item4ControlsandProcedures_603492"/>
      <w:bookmarkStart w:id="1992" w:name="_f81f1b73_2d91_4519_81a7_727dc903df47"/>
      <w:bookmarkEnd w:id="1991"/>
      <w:bookmarkEnd w:id="1992"/>
      <w:r>
        <w:rPr>
          <w:rFonts w:ascii="Times New Roman;Times;serif" w:hAnsi="Times New Roman;Times;serif"/>
          <w:b/>
          <w:sz w:val="20"/>
        </w:rPr>
        <w:t>Item 4.         Controls and Procedures.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Evaluation of Disclosure Controls and Procedures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or Rule 15d-15(e)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(Principal Financial and Accounting Officer), as appropriate,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2025, we carried out an evaluation, under the supervision and with the participation of our management, including our Chief Executive Officer and Chief Financial Officer, of the effectiveness of the design and operation of our disclosure controls and procedures.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Based upon that evaluation, our management concluded that our disclosure controls and procedures were not effective as of June 30, 2025, due to the following material weaknesses:</w:t>
      </w:r>
    </w:p>
    <w:tbl>
      <w:tblPr>
        <w:tblW w:w="10205" w:type="dxa"/>
        <w:jc w:val="left"/>
        <w:tblInd w:w="0" w:type="dxa"/>
        <w:tblLayout w:type="fixed"/>
        <w:tblCellMar>
          <w:top w:w="0" w:type="dxa"/>
          <w:left w:w="0" w:type="dxa"/>
          <w:bottom w:w="0" w:type="dxa"/>
          <w:right w:w="0" w:type="dxa"/>
        </w:tblCellMar>
      </w:tblPr>
      <w:tblGrid>
        <w:gridCol w:w="124"/>
        <w:gridCol w:w="250"/>
        <w:gridCol w:w="9831"/>
      </w:tblGrid>
      <w:tr>
        <w:trPr/>
        <w:tc>
          <w:tcPr>
            <w:tcW w:w="1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8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properly design, implement, and consistently operate effective controls over the completeness and accuracy of its accounting for leases under ASC 842. </w:t>
            </w:r>
          </w:p>
        </w:tc>
      </w:tr>
    </w:tbl>
    <w:tbl>
      <w:tblPr>
        <w:tblW w:w="10205" w:type="dxa"/>
        <w:jc w:val="left"/>
        <w:tblInd w:w="0" w:type="dxa"/>
        <w:tblLayout w:type="fixed"/>
        <w:tblCellMar>
          <w:top w:w="0" w:type="dxa"/>
          <w:left w:w="0" w:type="dxa"/>
          <w:bottom w:w="0" w:type="dxa"/>
          <w:right w:w="0" w:type="dxa"/>
        </w:tblCellMar>
      </w:tblPr>
      <w:tblGrid>
        <w:gridCol w:w="124"/>
        <w:gridCol w:w="261"/>
        <w:gridCol w:w="9820"/>
      </w:tblGrid>
      <w:tr>
        <w:trPr/>
        <w:tc>
          <w:tcPr>
            <w:tcW w:w="1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8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properly design or maintain effective entity level monitoring controls over the financial close and reporting process. </w:t>
            </w:r>
          </w:p>
        </w:tc>
      </w:tr>
    </w:tbl>
    <w:tbl>
      <w:tblPr>
        <w:tblW w:w="10205" w:type="dxa"/>
        <w:jc w:val="left"/>
        <w:tblInd w:w="0" w:type="dxa"/>
        <w:tblLayout w:type="fixed"/>
        <w:tblCellMar>
          <w:top w:w="0" w:type="dxa"/>
          <w:left w:w="0" w:type="dxa"/>
          <w:bottom w:w="0" w:type="dxa"/>
          <w:right w:w="0" w:type="dxa"/>
        </w:tblCellMar>
      </w:tblPr>
      <w:tblGrid>
        <w:gridCol w:w="124"/>
        <w:gridCol w:w="230"/>
        <w:gridCol w:w="9851"/>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8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 </w:t>
            </w:r>
          </w:p>
        </w:tc>
      </w:tr>
    </w:tbl>
    <w:tbl>
      <w:tblPr>
        <w:tblW w:w="10205" w:type="dxa"/>
        <w:jc w:val="left"/>
        <w:tblInd w:w="0" w:type="dxa"/>
        <w:tblLayout w:type="fixed"/>
        <w:tblCellMar>
          <w:top w:w="0" w:type="dxa"/>
          <w:left w:w="0" w:type="dxa"/>
          <w:bottom w:w="0" w:type="dxa"/>
          <w:right w:w="0" w:type="dxa"/>
        </w:tblCellMar>
      </w:tblPr>
      <w:tblGrid>
        <w:gridCol w:w="124"/>
        <w:gridCol w:w="232"/>
        <w:gridCol w:w="9849"/>
      </w:tblGrid>
      <w:tr>
        <w:trPr/>
        <w:tc>
          <w:tcPr>
            <w:tcW w:w="1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8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 </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 xml:space="preserve">The Company did not design, implement, and consistently operate effective controls over its’ foreign subsidiaries. </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This type of evaluation is performed on a quarterly basis so that conclusions of management, including our Chief Executive Officer and the Chief Financial Officer, concerning the effectiveness of the disclosure controls can be reported in our periodic reports on Form 10-Q and Form 10-K. The overall goals of these evaluation activities are to monitor our disclosure controls and to modify them as necessary. We intend to maintain the disclosure controls as dynamic systems that we adjust as circumstances merit. Based on the foregoing, our Chief Executive Officer and the Chief Financial Officer concluded that our disclosure controls and procedures were not effective as of June 30, 2025.</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Remediation Plan for Material Weakness in Internal Control over Financial Reporting</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Management is committed to the remediation of the Company’s material weaknesses,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any assurance that the below remediation efforts will be successful or that our internal control over financial reporting will be effective as a result of these efforts. Management has commenced the following actions and will continue to assess additional opportunities for remediation on an ongoing basis: </w:t>
      </w:r>
    </w:p>
    <w:tbl>
      <w:tblPr>
        <w:tblW w:w="8826" w:type="dxa"/>
        <w:jc w:val="left"/>
        <w:tblInd w:w="0" w:type="dxa"/>
        <w:tblLayout w:type="fixed"/>
        <w:tblCellMar>
          <w:top w:w="28" w:type="dxa"/>
          <w:left w:w="28" w:type="dxa"/>
          <w:bottom w:w="28" w:type="dxa"/>
          <w:right w:w="28" w:type="dxa"/>
        </w:tblCellMar>
      </w:tblPr>
      <w:tblGrid>
        <w:gridCol w:w="124"/>
        <w:gridCol w:w="271"/>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turned on the multi-currency features related to its cloud-based accounting systems.</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outside service providers to assist with the valuation, accounting, and recording of key reporting areas such as leases, revenue recognition and stock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5"/>
        <w:gridCol w:w="9826"/>
      </w:tblGrid>
      <w:tr>
        <w:trPr/>
        <w:tc>
          <w:tcPr>
            <w:tcW w:w="124" w:type="dxa"/>
            <w:tcBorders/>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contracted an independent consulting firm to assist with the preparation of the Financial Statements and U.S. GAAP accounting research.</w:t>
            </w:r>
          </w:p>
        </w:tc>
      </w:tr>
    </w:tbl>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has engaged outside service providers</w:t>
            </w:r>
            <w:r>
              <w:rPr>
                <w:caps w:val="false"/>
                <w:smallCaps w:val="false"/>
                <w:shd w:fill="FFFFFF" w:val="clear"/>
              </w:rPr>
              <w:t xml:space="preserve"> </w:t>
            </w:r>
            <w:r>
              <w:rPr>
                <w:rFonts w:ascii="Times New Roman;Times;serif" w:hAnsi="Times New Roman;Times;serif"/>
                <w:b w:val="false"/>
                <w:i w:val="false"/>
                <w:caps w:val="false"/>
                <w:smallCaps w:val="false"/>
                <w:sz w:val="20"/>
              </w:rPr>
              <w:t xml:space="preserve">to review the applicable complementary user entity controls described in the service organizations’ reports for their potential impact on the Company’s financial reporting. </w:t>
            </w:r>
          </w:p>
        </w:tc>
      </w:tr>
    </w:tbl>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than as set forth in the foregoing paragraph, there have been no changes in our internal control over financial reporting identified in connection with the evaluation required by Rule 13a-15(d) and 15d-15(d) of the Exchange Act that occurred during the three months ended June 30, 2025 that has materially affected, or is reasonably likely to materially affect, our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93" w:name="PARTIIOTHERINFORMATION_90261"/>
      <w:bookmarkStart w:id="1994" w:name="_1c2ccc2f_abdb_4bdd_8b36_1da4f9242168"/>
      <w:bookmarkEnd w:id="1993"/>
      <w:bookmarkEnd w:id="1994"/>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995" w:name="Item1LegalProceedings_288324"/>
      <w:bookmarkEnd w:id="1995"/>
      <w:r>
        <w:rPr>
          <w:rFonts w:ascii="Times New Roman;Times;serif" w:hAnsi="Times New Roman;Times;serif"/>
          <w:b/>
          <w:sz w:val="20"/>
        </w:rPr>
        <w:t>Item 1.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may be involved in certain claims and litigation arising out of the ordinary course and conduct of business. Management assesses such claims and, if it considers that it is probable that an asset had been impaired or a liability had been incurred and the amount of loss can be reasonably estimated, provisions for loss are made based on management’s assessment of the most likely outcome.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set forth in Note 12 Commitments and Contingencies of the Notes to unaudited condensed consolidated financial statements of this Quarterly Report on Form 10-Q is incorporated by reference herein.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no other material proceedings in which any of our directors, officers, affiliates, any registered or beneficial stockholder of more than 5% of our common stock, or any associate of any of the foregoing is an adverse party or has a material interest adverse to our interest.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996" w:name="Item1ARiskFactors_714642"/>
      <w:bookmarkStart w:id="1997" w:name="_062670c4_c94e_4c51_b42f_938ff3713fdd"/>
      <w:bookmarkEnd w:id="1996"/>
      <w:bookmarkEnd w:id="1997"/>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b w:val="false"/>
          <w:sz w:val="20"/>
          <w:shd w:fill="FFFFFF" w:val="clear"/>
        </w:rPr>
      </w:pPr>
      <w:r>
        <w:rPr>
          <w:rFonts w:ascii="Times New Roman;Times;serif" w:hAnsi="Times New Roman;Times;serif"/>
          <w:b w:val="false"/>
          <w:sz w:val="20"/>
          <w:shd w:fill="FFFFFF" w:val="clear"/>
        </w:rPr>
        <w:t>The following description of risk factors includes any material changes to risk factors associated with our business, financial condition and results of operations previously disclosed in “Item 1A. Risk Factors” of our Annual Report. Our business, financial condition and operating results can be affected by a number of factors, whether currently known or unknown, including but not limited to those described below,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discussion of risk factors contains forward-looking statements. These risk factors may be important to understanding other statements in this Quarterly Report on Form 10-Q. The following information should be read in conjunction with the condensed consolidated financial statements and related notes in Part I, Item 1, “Financial Statements” and Part I, Item 2, “Management’s Discussion and Analysis of Financial Condition and Results of Operations” of this Quarterly Report on Form 10-Q.</w:t>
      </w:r>
    </w:p>
    <w:p>
      <w:pPr>
        <w:pStyle w:val="TextBody"/>
        <w:pBdr/>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Our failure to meet the continued listing requirements of Nasdaq could result in a delisting of our common stock.</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continued listing standards of Nasdaq provide, among other things, that a company may be delisted if the bid price of its stock drops below $1.00 for a period of 30 consecutive business days or if stockholders’ equity is less than $2,500,000. As of the date of this Quarterly Report on Form 10-Q, we are now in compliance with the Minimum Bid Price Rule. However, we have in the recent past been non-compliant with the Rule. For example, 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the Nasdaq pursuant to the Minimum Bid Price Rule. On August 7, 2025, we received a letter (the “Letter”) from the Listing Qualifications Department of Nasdaq stating that for the last 16 consecutive business days, from July 16, 2025, to August 6, 2025, the closing bid price of our common stock had been at or greater than $1.00 per share. Accordingly, we have regained compliance with the Minimum Bid Price Rule and per the Letter, the matter is now closed.</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If in the future we seek to implement a reverse stock split to remain listed on Nasdaq, the announcement and/or implementation of a reverse stock split could significantly negatively affect the price of our common stock. We may be unable to regain compliance in the future if our stock price again falls below the minimum bid price. Additionally, if we fail to comply with the continued listing standards of Nasdaq, our common stock would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common stock. These factors could contribute to lower prices and larger spreads in the bid and ask prices for our common stock. The delisting of our common stock also would likely have a negative effect on the price of our common stock and would impair your ability to sell or purchase our common stock when you wish to do so. Further, if we were to be delisted from Nasdaq, our common stock would cease to be recognized as covered securities, and we would be subject to regulation in each state in which we offer our securities.</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can provide no assurance that we will be able to maintain our compliance with the continued listing requirements of the Nasdaq Capital Market, or that any such action taken by us to maintain our compliance would stabilize the market price or improve the liquidity of our common stock. Should a delisting occur, an investor would likely find it significantly more difficult to dispose of, or to obtain accurate quotations as to the value of our shares, and our ability to raise future capital through the sale of our common stock could be severely limited.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pStyle w:val="TextBody"/>
        <w:bidi w:val="0"/>
        <w:spacing w:before="0" w:after="0"/>
        <w:ind w:left="0" w:right="0" w:hanging="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bookmarkStart w:id="1998" w:name="Item_2_Unreg_Sales"/>
      <w:bookmarkStart w:id="1999" w:name="_ca84ba9c_9076_4f69_8786_49bef5e88198"/>
      <w:bookmarkEnd w:id="1998"/>
      <w:bookmarkEnd w:id="1999"/>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00" w:name="Item3DefaultsUponSeniorSecurities_163017"/>
      <w:bookmarkStart w:id="2001" w:name="_87c11e28_f0ea_4306_9c76_d31be697034f"/>
      <w:bookmarkEnd w:id="2000"/>
      <w:bookmarkEnd w:id="2001"/>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02" w:name="Item4MineSafetyDisclosures_955432"/>
      <w:bookmarkStart w:id="2003" w:name="_cd7ee562_eebb_48f5_9fab_8a9a9bba46c1"/>
      <w:bookmarkEnd w:id="2002"/>
      <w:bookmarkEnd w:id="2003"/>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04" w:name="Item5OtherInformation"/>
      <w:bookmarkStart w:id="2005" w:name="_4cdd61d7_f925_4c8a_974b_d917786f3bc1"/>
      <w:bookmarkEnd w:id="2004"/>
      <w:bookmarkEnd w:id="2005"/>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18"/>
        </w:rPr>
      </w:pPr>
      <w:bookmarkStart w:id="2006" w:name="Item6Exhibits_900445"/>
      <w:bookmarkStart w:id="2007" w:name="_9cc5e01e_5071_4712_bb82_02274bc57cfb"/>
      <w:bookmarkEnd w:id="2006"/>
      <w:bookmarkEnd w:id="2007"/>
      <w:r>
        <w:rPr>
          <w:rFonts w:ascii="Times New Roman;Times;serif" w:hAnsi="Times New Roman;Times;serif"/>
          <w:b/>
          <w:sz w:val="18"/>
        </w:rPr>
        <w:t>Item 6.         Exhibits.</w:t>
      </w:r>
    </w:p>
    <w:tbl>
      <w:tblPr>
        <w:tblW w:w="10205" w:type="dxa"/>
        <w:jc w:val="left"/>
        <w:tblInd w:w="0" w:type="dxa"/>
        <w:tblLayout w:type="fixed"/>
        <w:tblCellMar>
          <w:top w:w="0" w:type="dxa"/>
          <w:left w:w="0" w:type="dxa"/>
          <w:bottom w:w="28" w:type="dxa"/>
          <w:right w:w="0" w:type="dxa"/>
        </w:tblCellMar>
      </w:tblPr>
      <w:tblGrid>
        <w:gridCol w:w="791"/>
        <w:gridCol w:w="326"/>
        <w:gridCol w:w="9088"/>
      </w:tblGrid>
      <w:tr>
        <w:trPr/>
        <w:tc>
          <w:tcPr>
            <w:tcW w:w="79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Exhibit</w:t>
            </w:r>
            <w:r>
              <w:rPr>
                <w:rFonts w:ascii="Times New Roman;Times;serif" w:hAnsi="Times New Roman;Times;serif"/>
                <w:sz w:val="18"/>
              </w:rPr>
              <w:t> </w:t>
              <w:br/>
            </w:r>
            <w:r>
              <w:rPr>
                <w:rFonts w:ascii="Times New Roman;Times;serif" w:hAnsi="Times New Roman;Times;serif"/>
                <w:b/>
                <w:sz w:val="18"/>
              </w:rPr>
              <w:t>No.</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r>
      <w:tr>
        <w:trPr/>
        <w:tc>
          <w:tcPr>
            <w:tcW w:w="79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pPr>
            <w:r>
              <w:rPr/>
              <w:t>​</w:t>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First Amendment to Third Amended and Restated Bylaws of XWELL, Inc. (incorporated by reference to Exhibit 99.1 to the Company’s Current Report on Form 8-K filed with the SEC on July 25, 2025).</w:t>
              </w:r>
            </w:hyperlink>
          </w:p>
        </w:tc>
      </w:tr>
      <w:tr>
        <w:trPr/>
        <w:tc>
          <w:tcPr>
            <w:tcW w:w="79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pPr>
            <w:r>
              <w:rPr/>
              <w:t>​</w:t>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Amendment to the XWELL, Inc. 2020 Equity Incentive Plan, effective as of February 13, 2025 (incorporated by reference to Exhibit 10.1 to the Company’s Current Report on Form 8-K filed with the SEC on April 11, 2025).</w:t>
              </w:r>
            </w:hyperlink>
          </w:p>
        </w:tc>
      </w:tr>
      <w:tr>
        <w:trPr/>
        <w:tc>
          <w:tcPr>
            <w:tcW w:w="79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pPr>
            <w:r>
              <w:rPr/>
              <w:t>​</w:t>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Form of Omnibus Amendment, dated as of May 20, 2025, by and between XWELL, Inc. and the investor listed on the signature page thereto</w:t>
              </w:r>
            </w:hyperlink>
            <w:hyperlink r:id="rId5">
              <w:r>
                <w:rPr>
                  <w:rStyle w:val="InternetLink"/>
                  <w:rFonts w:ascii="Times New Roman;Times;serif" w:hAnsi="Times New Roman;Times;serif"/>
                  <w:caps w:val="false"/>
                  <w:smallCaps w:val="false"/>
                  <w:sz w:val="20"/>
                </w:rPr>
                <w:t xml:space="preserve"> </w:t>
              </w:r>
            </w:hyperlink>
            <w:hyperlink r:id="rId6">
              <w:r>
                <w:rPr>
                  <w:rStyle w:val="InternetLink"/>
                  <w:rFonts w:ascii="Times New Roman;Times;serif" w:hAnsi="Times New Roman;Times;serif"/>
                  <w:b w:val="false"/>
                  <w:i w:val="false"/>
                  <w:caps w:val="false"/>
                  <w:smallCaps w:val="false"/>
                  <w:sz w:val="20"/>
                </w:rPr>
                <w:t>(incorporated by reference to Exhibit 10.4 to the Company’s Quarterly Report on Form 10-Q filed with the SEC on May 20, 2026).</w:t>
              </w:r>
            </w:hyperlink>
          </w:p>
        </w:tc>
      </w:tr>
      <w:tr>
        <w:trPr/>
        <w:tc>
          <w:tcPr>
            <w:tcW w:w="79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both"/>
              <w:rPr/>
            </w:pPr>
            <w:r>
              <w:rPr/>
              <w:t>​</w:t>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16.1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Letter from Marcum LLP to the Securities and Exchange Commission dated April 21, 2025 (incorporated by reference to Exhibit 16.1 to the Company’s Current Report on Form 8-K filed with the SEC on April 21, 2025).</w:t>
              </w:r>
            </w:hyperlink>
          </w:p>
        </w:tc>
      </w:tr>
      <w:tr>
        <w:trPr/>
        <w:tc>
          <w:tcPr>
            <w:tcW w:w="79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pPr>
            <w:r>
              <w:rPr/>
              <w:t>​</w:t>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31.1*</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both"/>
              <w:rPr/>
            </w:pPr>
            <w:hyperlink w:anchor="xwel-20250630xex31d1.htm">
              <w:r>
                <w:rPr>
                  <w:rStyle w:val="InternetLink"/>
                  <w:rFonts w:ascii="Times New Roman;Times;serif" w:hAnsi="Times New Roman;Times;serif"/>
                  <w:b w:val="false"/>
                  <w:i w:val="false"/>
                  <w:caps w:val="false"/>
                  <w:smallCaps w:val="false"/>
                  <w:sz w:val="20"/>
                </w:rPr>
                <w:t>Certification of Principal Executive Officer pursuant to Exchange Act, Rules 13a – 14(a) and 15d – 14(a), as adopted pursuant to Section 302 of the Sarbanes-Oxley Act of 2002</w:t>
              </w:r>
            </w:hyperlink>
          </w:p>
        </w:tc>
      </w:tr>
      <w:tr>
        <w:trPr/>
        <w:tc>
          <w:tcPr>
            <w:tcW w:w="791"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08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both"/>
              <w:rPr/>
            </w:pPr>
            <w:hyperlink w:anchor="xwel-20250630xex31d2.htm">
              <w:r>
                <w:rPr>
                  <w:rStyle w:val="InternetLink"/>
                  <w:rFonts w:ascii="Times New Roman;Times;serif" w:hAnsi="Times New Roman;Times;serif"/>
                  <w:b w:val="false"/>
                  <w:i w:val="false"/>
                  <w:caps w:val="false"/>
                  <w:smallCaps w:val="false"/>
                  <w:sz w:val="20"/>
                </w:rPr>
                <w:t>Certification of Principal Financial Officer pursuant to Exchange Act, Rules 13a – 14(a) and 15d – 14(a), as adopted pursuant to Section 302 of the Sarbanes-Oxley Act of 2002</w:t>
              </w:r>
            </w:hyperlink>
          </w:p>
        </w:tc>
      </w:tr>
      <w:tr>
        <w:trPr/>
        <w:tc>
          <w:tcPr>
            <w:tcW w:w="791"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both"/>
              <w:rPr/>
            </w:pPr>
            <w:r>
              <w:rPr/>
              <w:t> </w:t>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both"/>
              <w:rPr/>
            </w:pPr>
            <w:hyperlink w:anchor="xwel-20250630xex32.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791"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both"/>
              <w:rPr/>
            </w:pPr>
            <w:r>
              <w:rPr/>
              <w:t> </w:t>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w:t>
            </w:r>
          </w:p>
        </w:tc>
      </w:tr>
      <w:tr>
        <w:trPr/>
        <w:tc>
          <w:tcPr>
            <w:tcW w:w="791"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left"/>
              <w:rPr/>
            </w:pPr>
            <w:r>
              <w:rPr/>
              <w:t> </w:t>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r>
      <w:tr>
        <w:trPr/>
        <w:tc>
          <w:tcPr>
            <w:tcW w:w="791"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left"/>
              <w:rPr/>
            </w:pPr>
            <w:r>
              <w:rPr/>
              <w:t> </w:t>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r>
      <w:tr>
        <w:trPr/>
        <w:tc>
          <w:tcPr>
            <w:tcW w:w="791"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left"/>
              <w:rPr/>
            </w:pPr>
            <w:r>
              <w:rPr/>
              <w:t> </w:t>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r>
      <w:tr>
        <w:trPr/>
        <w:tc>
          <w:tcPr>
            <w:tcW w:w="791"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left"/>
              <w:rPr/>
            </w:pPr>
            <w:r>
              <w:rPr/>
              <w:t> </w:t>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r>
      <w:tr>
        <w:trPr/>
        <w:tc>
          <w:tcPr>
            <w:tcW w:w="791"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left"/>
              <w:rPr/>
            </w:pPr>
            <w:r>
              <w:rPr/>
              <w:t> </w:t>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r>
      <w:tr>
        <w:trPr/>
        <w:tc>
          <w:tcPr>
            <w:tcW w:w="791"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08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9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r>
    </w:tbl>
    <w:tbl>
      <w:tblPr>
        <w:tblW w:w="4806" w:type="dxa"/>
        <w:jc w:val="left"/>
        <w:tblInd w:w="0" w:type="dxa"/>
        <w:tblLayout w:type="fixed"/>
        <w:tblCellMar>
          <w:top w:w="0" w:type="dxa"/>
          <w:left w:w="0" w:type="dxa"/>
          <w:bottom w:w="0" w:type="dxa"/>
          <w:right w:w="0" w:type="dxa"/>
        </w:tblCellMar>
      </w:tblPr>
      <w:tblGrid>
        <w:gridCol w:w="301"/>
        <w:gridCol w:w="109"/>
        <w:gridCol w:w="4396"/>
      </w:tblGrid>
      <w:tr>
        <w:trPr/>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3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Filed herewith.</w:t>
            </w:r>
          </w:p>
        </w:tc>
      </w:tr>
      <w:tr>
        <w:trPr/>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3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Furnished herein.</w:t>
            </w:r>
          </w:p>
        </w:tc>
      </w:tr>
      <w:tr>
        <w:trPr/>
        <w:tc>
          <w:tcPr>
            <w:tcW w:w="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Management contract or compensatory plan or arrangement.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008" w:name="_f66bd5bf_64f0_416d_b7db_450bcb0165b9"/>
      <w:bookmarkEnd w:id="2008"/>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675" w:type="dxa"/>
        <w:jc w:val="left"/>
        <w:tblInd w:w="0" w:type="dxa"/>
        <w:tblLayout w:type="fixed"/>
        <w:tblCellMar>
          <w:top w:w="0" w:type="dxa"/>
          <w:left w:w="0" w:type="dxa"/>
          <w:bottom w:w="0" w:type="dxa"/>
          <w:right w:w="0" w:type="dxa"/>
        </w:tblCellMar>
      </w:tblPr>
      <w:tblGrid>
        <w:gridCol w:w="556"/>
        <w:gridCol w:w="1456"/>
        <w:gridCol w:w="326"/>
        <w:gridCol w:w="406"/>
        <w:gridCol w:w="393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XWELL, Inc.</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2025</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Ezra T. Ernst</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Ezra T. Ernst</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2025</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By:</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Ian Brown</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Ian Brown</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right"/>
        <w:rPr>
          <w:rFonts w:ascii="Times New Roman;Times;serif" w:hAnsi="Times New Roman;Times;serif"/>
          <w:b/>
          <w:sz w:val="20"/>
        </w:rPr>
      </w:pPr>
      <w:bookmarkStart w:id="2009" w:name="xwel-20250630xex31d1.htm"/>
      <w:bookmarkStart w:id="2010" w:name="ksxwel20250630xex31d1"/>
      <w:bookmarkEnd w:id="2009"/>
      <w:bookmarkEnd w:id="2010"/>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PRINCIPAL EXECUTIVE OFFICER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Ezra T. Ernst,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XWELL,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14, 2025</w:t>
      </w:r>
    </w:p>
    <w:p>
      <w:pPr>
        <w:pStyle w:val="TextBody"/>
        <w:bidi w:val="0"/>
        <w:spacing w:before="0" w:after="0"/>
        <w:ind w:left="0" w:right="0" w:hanging="0"/>
        <w:jc w:val="left"/>
        <w:rPr/>
      </w:pPr>
      <w:r>
        <w:rPr/>
        <w:t>​</w:t>
      </w:r>
    </w:p>
    <w:tbl>
      <w:tblPr>
        <w:tblW w:w="2829" w:type="dxa"/>
        <w:jc w:val="center"/>
        <w:tblInd w:w="0" w:type="dxa"/>
        <w:tblLayout w:type="fixed"/>
        <w:tblCellMar>
          <w:top w:w="0" w:type="dxa"/>
          <w:left w:w="0" w:type="dxa"/>
          <w:bottom w:w="0" w:type="dxa"/>
          <w:right w:w="0" w:type="dxa"/>
        </w:tblCellMar>
      </w:tblPr>
      <w:tblGrid>
        <w:gridCol w:w="124"/>
        <w:gridCol w:w="2551"/>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EZRA T. ERNST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11" w:name="xwel-20250630xex31d2.htm"/>
      <w:bookmarkStart w:id="2012" w:name="ksxwel20250630xex31d2"/>
      <w:bookmarkEnd w:id="2011"/>
      <w:bookmarkEnd w:id="2012"/>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Ian Brown,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XWELL,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14, 2025</w:t>
      </w:r>
    </w:p>
    <w:p>
      <w:pPr>
        <w:pStyle w:val="TextBody"/>
        <w:bidi w:val="0"/>
        <w:spacing w:before="0" w:after="0"/>
        <w:ind w:left="0" w:right="0" w:hanging="0"/>
        <w:jc w:val="left"/>
        <w:rPr/>
      </w:pPr>
      <w:r>
        <w:rPr/>
        <w:t>​</w:t>
      </w:r>
    </w:p>
    <w:tbl>
      <w:tblPr>
        <w:tblW w:w="4164" w:type="dxa"/>
        <w:jc w:val="center"/>
        <w:tblInd w:w="0" w:type="dxa"/>
        <w:tblLayout w:type="fixed"/>
        <w:tblCellMar>
          <w:top w:w="0" w:type="dxa"/>
          <w:left w:w="0" w:type="dxa"/>
          <w:bottom w:w="0" w:type="dxa"/>
          <w:right w:w="0" w:type="dxa"/>
        </w:tblCellMar>
      </w:tblPr>
      <w:tblGrid>
        <w:gridCol w:w="124"/>
        <w:gridCol w:w="388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IAN BROWN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13" w:name="xwel-20250630xex32.htm"/>
      <w:bookmarkStart w:id="2014" w:name="ksxwel20250630xex32"/>
      <w:bookmarkEnd w:id="2013"/>
      <w:bookmarkEnd w:id="2014"/>
      <w:r>
        <w:rPr>
          <w:rFonts w:ascii="Times New Roman;Times;serif" w:hAnsi="Times New Roman;Times;serif"/>
          <w:b/>
          <w:sz w:val="20"/>
        </w:rPr>
        <w:t>Exhibit 32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pPr>
      <w:r>
        <w:rPr/>
        <w:t> </w:t>
      </w:r>
      <w:r>
        <w:rPr>
          <w:rFonts w:ascii="Times New Roman;Times;serif" w:hAnsi="Times New Roman;Times;serif"/>
          <w:b/>
          <w:sz w:val="20"/>
        </w:rPr>
        <w:t>CERTIFICATIONS OF PRINCIPAL EXECUTIVE OFFICER AND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the undersigned officer of XWELL, Inc., a Delaware corporation (the “Company”), does hereby certify, to such officer’s knowledge, that: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Quarterly Report for the quarter ended June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both"/>
        <w:rPr/>
      </w:pPr>
      <w:r>
        <w:rPr/>
        <w:t>​</w:t>
      </w:r>
    </w:p>
    <w:tbl>
      <w:tblPr>
        <w:tblW w:w="5991" w:type="dxa"/>
        <w:jc w:val="center"/>
        <w:tblInd w:w="0" w:type="dxa"/>
        <w:tblLayout w:type="fixed"/>
        <w:tblCellMar>
          <w:top w:w="0" w:type="dxa"/>
          <w:left w:w="0" w:type="dxa"/>
          <w:bottom w:w="0" w:type="dxa"/>
          <w:right w:w="0" w:type="dxa"/>
        </w:tblCellMar>
      </w:tblPr>
      <w:tblGrid>
        <w:gridCol w:w="1951"/>
        <w:gridCol w:w="3886"/>
        <w:gridCol w:w="154"/>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2025</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EZRA T. ERNST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Ezra T. Ernst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IAN BROWN</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Ian Brown</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0428/000110465925070824/tm2521421d1_ex99-1.htm" TargetMode="External"/><Relationship Id="rId3" Type="http://schemas.openxmlformats.org/officeDocument/2006/relationships/hyperlink" Target="https://www.sec.gov/Archives/edgar/data/1410428/000110465925034194/tm2512176d1_ex10-1.htm" TargetMode="External"/><Relationship Id="rId4" Type="http://schemas.openxmlformats.org/officeDocument/2006/relationships/hyperlink" Target="https://www.sec.gov/Archives/edgar/data/1410428/000155837025008028/xwel-20250331xex10d4.htm" TargetMode="External"/><Relationship Id="rId5" Type="http://schemas.openxmlformats.org/officeDocument/2006/relationships/hyperlink" Target="https://www.sec.gov/Archives/edgar/data/1410428/000155837025008028/xwel-20250331xex10d4.htm" TargetMode="External"/><Relationship Id="rId6" Type="http://schemas.openxmlformats.org/officeDocument/2006/relationships/hyperlink" Target="https://www.sec.gov/Archives/edgar/data/1410428/000155837025008028/xwel-20250331xex10d4.htm" TargetMode="External"/><Relationship Id="rId7" Type="http://schemas.openxmlformats.org/officeDocument/2006/relationships/hyperlink" Target="https://www.sec.gov/Archives/edgar/data/1410428/000110465925036830/tm2512718d1_ex16-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20024</Words>
  <Characters>107972</Characters>
  <CharactersWithSpaces>130501</CharactersWithSpaces>
  <Paragraphs>7046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