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Berger Alexander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COO &amp; Secretary</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28,385</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3.409</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467,385</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ARB-A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1,155,856</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40" w:type="dxa"/>
            <w:vAlign w:val="bottom"/>
            <w:gridSpan w:val="9"/>
          </w:tcPr>
          <w:p>
            <w:pPr>
              <w:ind w:left="1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467,189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1,875,000 vested and unvested options and 467,189 vested and unvested restricted stock units. In addition, the reporting person owns (either directly or indirectly) 1,156,052 shares of common stock and 545,621 warrants. The total number of securities listed is 4,043,862.</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8"/>
              </w:rPr>
              <w:t>/s/ Alexander R. Berger</w:t>
            </w:r>
          </w:p>
        </w:tc>
        <w:tc>
          <w:tcPr>
            <w:tcW w:w="4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70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2019-12-17T07:12:36Z</dcterms:created>
  <dcterms:modified xsi:type="dcterms:W3CDTF">2019-12-17T07:12:36Z</dcterms:modified>
</cp:coreProperties>
</file>