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On May 5, 2016, Vringo, Inc.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announcing the Company’s earnings for the first quarter ended March 31, 2016 and an update to its business operations.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information above, the press release issued by the Company on May 5, 2016, additionally announced that (i) the Company will be changing its name to “FORM Holdings Corp.” effective as of May 6, 2016, at 5:00 p.m., Eastern Time, and (ii) the Company’s common stock, par value $0.01 per share, which has previously been listed on The NASDAQ Capital Market under the trading symbol “VRNG,” will be listed under the trading symbol “FH” upon the opening of the trading market on Monday, May 9,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hereto as Exhibit 99.1.</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will conduct a conference call to discuss its operating results for the first quarter of 2016, provide update on the Company’s business segments and discuss the Company’s repositioning as a holding company on May 5, 2016, at 4:30 p.m., Eastern Time.</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information, including Exhibit 99.1, in this Form 8-K is being furnished and shall not be deemed “filed” for purposes of Section 18 of the Securities Exchange Act of 1934 or otherwise subject to the liabilities of that Section. The information in this Form 8-K shall not be incorporated by reference into any filing under the Securities Act of 1933, except as shall otherwise be expressly set forth by specific reference in such filing.</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On May 5, 2016, the Company filed a certificate of amendment to its Amended and Restated Certificate of Incorporation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with the State of Delaware to change its name to “FORM Holdings Corp.,” effective as of May 6, 2016 at 5:00 p.m., Eastern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Amendment was approved by the Board of Directors of the Company. A copy of the Certificate of Amendment is attached hereto as Exhibit 3.1.</w:t>
      </w:r>
    </w:p>
    <w:p>
      <w:pPr>
        <w:spacing w:after="0" w:line="1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filing of the Certificate of Amendment, effective May 6, 2016 at 5:00 p.m., Eastern Time, the Board of Directors of the Company approved and adopted the Company’s Second Amended and Restated Bylaws, which reflect the Company’s name change to FORM Holdings Corp. (the “</w:t>
      </w:r>
      <w:r>
        <w:rPr>
          <w:rFonts w:ascii="Arial" w:cs="Arial" w:eastAsia="Arial" w:hAnsi="Arial"/>
          <w:sz w:val="18"/>
          <w:szCs w:val="18"/>
          <w:b w:val="1"/>
          <w:bCs w:val="1"/>
          <w:color w:val="auto"/>
        </w:rPr>
        <w:t>Restated Bylaws</w:t>
      </w:r>
      <w:r>
        <w:rPr>
          <w:rFonts w:ascii="Arial" w:cs="Arial" w:eastAsia="Arial" w:hAnsi="Arial"/>
          <w:sz w:val="18"/>
          <w:szCs w:val="18"/>
          <w:color w:val="auto"/>
        </w:rPr>
        <w:t>”). No other changes were made to the Restated Bylaws. A copy of the Restated Bylaws is attached hereto as Exhibit 3.2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The following exhibits are filed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9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Certificate of Amendment to the Certificate of Incorporation of the Company, as filed with the Secretary of State of the State of</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Delaware on May 5, 2016.</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Second Amended and Restated Bylaws of the Company, effective May 6, 2016.</w:t>
            </w: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Press release, dated May 5, 2016.</w:t>
            </w:r>
          </w:p>
        </w:tc>
      </w:tr>
      <w:tr>
        <w:trPr>
          <w:trHeight w:val="891"/>
        </w:trPr>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VRINGO, INC.</w:t>
      </w:r>
    </w:p>
    <w:p>
      <w:pPr>
        <w:spacing w:after="0" w:line="225"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and on November 24, 2015.</w:t>
      </w:r>
    </w:p>
    <w:p>
      <w:pPr>
        <w:spacing w:after="0" w:line="187" w:lineRule="exact"/>
        <w:rPr>
          <w:sz w:val="20"/>
          <w:szCs w:val="20"/>
          <w:color w:val="auto"/>
        </w:rPr>
      </w:pPr>
    </w:p>
    <w:p>
      <w:pPr>
        <w:jc w:val="both"/>
        <w:ind w:left="1300" w:hanging="1299"/>
        <w:spacing w:after="0" w:line="264"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Article First of the Corporation’s Amended and Restated Certificate of Incorporation is hereby deleted in its entirety and replaced with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(hereinafter the “Corporation”) is FORM Holdings Corp.”</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This Certificate of Amendment shall be effective on Friday, May 6, 2016 at 5:00 PM, Eastern Daylight Time.</w:t>
      </w:r>
    </w:p>
    <w:p>
      <w:pPr>
        <w:spacing w:after="0" w:line="200" w:lineRule="exact"/>
        <w:rPr>
          <w:sz w:val="20"/>
          <w:szCs w:val="20"/>
          <w:color w:val="auto"/>
        </w:rPr>
      </w:pPr>
    </w:p>
    <w:p>
      <w:pPr>
        <w:spacing w:after="0" w:line="241"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Anastasia Nyrkovskaya, its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Treasurer, as of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2016.</w:t>
      </w: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c>
          <w:tcPr>
            <w:tcW w:w="170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Anastasia Nyrkovskaya</w:t>
            </w:r>
          </w:p>
        </w:tc>
        <w:tc>
          <w:tcPr>
            <w:tcW w:w="170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1700" w:type="dxa"/>
            <w:vAlign w:val="bottom"/>
          </w:tcPr>
          <w:p>
            <w:pPr>
              <w:spacing w:after="0"/>
              <w:rPr>
                <w:sz w:val="20"/>
                <w:szCs w:val="20"/>
                <w:color w:val="auto"/>
              </w:rPr>
            </w:pPr>
          </w:p>
        </w:tc>
      </w:tr>
      <w:tr>
        <w:trPr>
          <w:trHeight w:val="675"/>
        </w:trPr>
        <w:tc>
          <w:tcPr>
            <w:tcW w:w="6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6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Exhibit 3.2</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80" w:type="dxa"/>
            <w:vAlign w:val="bottom"/>
          </w:tcPr>
          <w:p>
            <w:pPr>
              <w:jc w:val="center"/>
              <w:ind w:left="1430"/>
              <w:spacing w:after="0"/>
              <w:rPr>
                <w:sz w:val="20"/>
                <w:szCs w:val="20"/>
                <w:color w:val="auto"/>
              </w:rPr>
            </w:pPr>
            <w:r>
              <w:rPr>
                <w:rFonts w:ascii="Arial" w:cs="Arial" w:eastAsia="Arial" w:hAnsi="Arial"/>
                <w:sz w:val="18"/>
                <w:szCs w:val="18"/>
                <w:b w:val="1"/>
                <w:bCs w:val="1"/>
                <w:color w:val="auto"/>
                <w:w w:val="98"/>
              </w:rPr>
              <w:t>SECOND AMENDED AND RESTATED</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80" w:type="dxa"/>
            <w:vAlign w:val="bottom"/>
          </w:tcPr>
          <w:p>
            <w:pPr>
              <w:jc w:val="center"/>
              <w:ind w:left="1430"/>
              <w:spacing w:after="0"/>
              <w:rPr>
                <w:sz w:val="20"/>
                <w:szCs w:val="20"/>
                <w:color w:val="auto"/>
              </w:rPr>
            </w:pPr>
            <w:r>
              <w:rPr>
                <w:rFonts w:ascii="Arial" w:cs="Arial" w:eastAsia="Arial" w:hAnsi="Arial"/>
                <w:sz w:val="18"/>
                <w:szCs w:val="18"/>
                <w:b w:val="1"/>
                <w:bCs w:val="1"/>
                <w:color w:val="auto"/>
                <w:w w:val="98"/>
              </w:rPr>
              <w:t>BYLAWS OF</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80" w:type="dxa"/>
            <w:vAlign w:val="bottom"/>
          </w:tcPr>
          <w:p>
            <w:pPr>
              <w:jc w:val="center"/>
              <w:ind w:left="1430"/>
              <w:spacing w:after="0"/>
              <w:rPr>
                <w:sz w:val="20"/>
                <w:szCs w:val="20"/>
                <w:color w:val="auto"/>
              </w:rPr>
            </w:pPr>
            <w:r>
              <w:rPr>
                <w:rFonts w:ascii="Arial" w:cs="Arial" w:eastAsia="Arial" w:hAnsi="Arial"/>
                <w:sz w:val="18"/>
                <w:szCs w:val="18"/>
                <w:b w:val="1"/>
                <w:bCs w:val="1"/>
                <w:color w:val="auto"/>
                <w:w w:val="95"/>
              </w:rPr>
              <w:t>FORM Holdings Corp.</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80" w:type="dxa"/>
            <w:vAlign w:val="bottom"/>
          </w:tcPr>
          <w:p>
            <w:pPr>
              <w:jc w:val="center"/>
              <w:ind w:left="1430"/>
              <w:spacing w:after="0"/>
              <w:rPr>
                <w:sz w:val="20"/>
                <w:szCs w:val="20"/>
                <w:color w:val="auto"/>
              </w:rPr>
            </w:pPr>
            <w:r>
              <w:rPr>
                <w:rFonts w:ascii="Arial" w:cs="Arial" w:eastAsia="Arial" w:hAnsi="Arial"/>
                <w:sz w:val="18"/>
                <w:szCs w:val="18"/>
                <w:b w:val="1"/>
                <w:bCs w:val="1"/>
                <w:color w:val="auto"/>
                <w:w w:val="92"/>
              </w:rPr>
              <w:t>Effective May 6, 2016</w:t>
            </w: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 MEETINGS OF STOCKHOLDERS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1.1</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Place of Meetings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1.2</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Annual Meeting</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1.3</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Special Meeting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1.4</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Notice of Stockholders’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Quorum</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1.6</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Adjourned Meeting;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1.7</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Conduct of Business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1.8</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Voting</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1.9</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1.10</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Record Date for Stockholder Notice; Voting; Giving Consents</w:t>
            </w:r>
          </w:p>
        </w:tc>
        <w:tc>
          <w:tcPr>
            <w:tcW w:w="25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1.11</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Proxies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1.12</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List of Stockholders Entitled to Vote</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2.1</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Powers</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2.2</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Number of Directors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2.3</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Election, Qualification and Term of Office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2.4</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Resignation and Vacancies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2.5</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Place of Meetings; Meetings by Telephone</w:t>
            </w:r>
          </w:p>
        </w:tc>
        <w:tc>
          <w:tcPr>
            <w:tcW w:w="25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2.6</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Conduct of Business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2.7</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Regular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2.8</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Special Meetings; Notice</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2.9</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Quorum; Voting</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2.10</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Board Action by Written Consent Without a Meeting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2.11</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Fees and Compensation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2.12</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Removal of Directors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 COMMITTEES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3.1</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Committees of Directors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3.2</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Committee Minutes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3.3</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Meetings and Actions of Committees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3.4</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Subcommittees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4.1</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4.2</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Appointment of Officers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4.3</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Subordinate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4.4</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Removal and Resignation of Officers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4.5</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Vacancies in Offices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4.6</w:t>
            </w:r>
          </w:p>
        </w:tc>
        <w:tc>
          <w:tcPr>
            <w:tcW w:w="778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Representation of Shares of Other Corporations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4.7</w:t>
            </w:r>
          </w:p>
        </w:tc>
        <w:tc>
          <w:tcPr>
            <w:tcW w:w="77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Authority and Duties of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 INDEMNIFICATION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5.1</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Indemnification of Directors and Officers in Third Party Proceedings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5.2</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Indemnification of Directors and Officers in Actions by or in the Right of the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Successful Defense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5.4</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Indemnification of Others</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5.5</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Advanced Payment of Expenses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5.6</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Limitation on Indemnification and Advancement of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5.7</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Determination; Claim</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5.8</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Non-Exclusivity of Rights</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5.9</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Insurance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5.10</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Survival</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5.11</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Effect of Repeal or Modification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5.12</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Certain 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6.1</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Certificates; Partly Paid Shares</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6.2</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Special Designation on Certificates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6.3</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Lost Certificates</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6.4</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Dividends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6.5</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Transfer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6.6</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Registered Stockholders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6.7</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Transfers</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7.1</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Notice of Stockholder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7.2</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Notice by Electronic Transmission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7.3</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Notice to Stockholders Sharing an Address</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Notice to Person with Whom Communication is Unlawful</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7.5</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Waiver of Notice</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ARTICLE VIII —</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9.1</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Fiscal Year</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9.2</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Seal</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9.3</w:t>
            </w:r>
          </w:p>
        </w:tc>
        <w:tc>
          <w:tcPr>
            <w:tcW w:w="84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Annual Report</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9.4</w:t>
            </w:r>
          </w:p>
        </w:tc>
        <w:tc>
          <w:tcPr>
            <w:tcW w:w="84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Construction; Definitions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 AMENDMENTS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5"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Meetings of stockholders of FORM Holdings Corp. (the “</w:t>
      </w:r>
      <w:r>
        <w:rPr>
          <w:rFonts w:ascii="Arial" w:cs="Arial" w:eastAsia="Arial" w:hAnsi="Arial"/>
          <w:sz w:val="18"/>
          <w:szCs w:val="18"/>
          <w:b w:val="1"/>
          <w:bCs w:val="1"/>
          <w:color w:val="auto"/>
        </w:rPr>
        <w:t>Company</w:t>
      </w:r>
      <w:r>
        <w:rPr>
          <w:rFonts w:ascii="Arial" w:cs="Arial" w:eastAsia="Arial" w:hAnsi="Arial"/>
          <w:sz w:val="18"/>
          <w:szCs w:val="18"/>
          <w:color w:val="auto"/>
        </w:rPr>
        <w:t>”) shall be held at any place, within or outside the State of Delaware, determined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93"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225" w:lineRule="exact"/>
        <w:rPr>
          <w:sz w:val="20"/>
          <w:szCs w:val="20"/>
          <w:color w:val="auto"/>
        </w:rPr>
      </w:pPr>
    </w:p>
    <w:p>
      <w:pPr>
        <w:ind w:left="1100" w:hanging="211"/>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225" w:lineRule="exact"/>
        <w:rPr>
          <w:rFonts w:ascii="Arial" w:cs="Arial" w:eastAsia="Arial" w:hAnsi="Arial"/>
          <w:sz w:val="18"/>
          <w:szCs w:val="18"/>
          <w:color w:val="auto"/>
        </w:rPr>
      </w:pPr>
    </w:p>
    <w:p>
      <w:pPr>
        <w:ind w:left="440" w:right="140" w:firstLine="449"/>
        <w:spacing w:after="0" w:line="277" w:lineRule="auto"/>
        <w:tabs>
          <w:tab w:leader="none" w:pos="1196"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70"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7"/>
          <w:szCs w:val="17"/>
          <w:b w:val="1"/>
          <w:bCs w:val="1"/>
          <w:color w:val="auto"/>
        </w:rPr>
        <w:t>section 1.3</w:t>
      </w:r>
      <w:r>
        <w:rPr>
          <w:rFonts w:ascii="Arial" w:cs="Arial" w:eastAsia="Arial" w:hAnsi="Arial"/>
          <w:sz w:val="17"/>
          <w:szCs w:val="17"/>
          <w:color w:val="auto"/>
        </w:rPr>
        <w:t xml:space="preserve"> shall be construed as limiting, fixing, or affecting the time when a meeting of stockholders called by action of the Board may be held.</w:t>
      </w:r>
    </w:p>
    <w:p>
      <w:pPr>
        <w:spacing w:after="0" w:line="171" w:lineRule="exact"/>
        <w:rPr>
          <w:sz w:val="20"/>
          <w:szCs w:val="20"/>
          <w:color w:val="auto"/>
        </w:rPr>
      </w:pPr>
    </w:p>
    <w:p>
      <w:pPr>
        <w:jc w:val="both"/>
        <w:ind w:right="80" w:firstLine="441"/>
        <w:spacing w:after="0" w:line="29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Notice of Stockholders’ Meetings</w:t>
      </w:r>
      <w:r>
        <w:rPr>
          <w:rFonts w:ascii="Arial" w:cs="Arial" w:eastAsia="Arial" w:hAnsi="Arial"/>
          <w:sz w:val="16"/>
          <w:szCs w:val="16"/>
          <w:color w:val="auto"/>
        </w:rPr>
        <w:t>.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w:t>
      </w:r>
    </w:p>
    <w:p>
      <w:pPr>
        <w:spacing w:after="0" w:line="158"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Quorum</w:t>
      </w:r>
      <w:r>
        <w:rPr>
          <w:rFonts w:ascii="Arial" w:cs="Arial" w:eastAsia="Arial" w:hAnsi="Arial"/>
          <w:sz w:val="16"/>
          <w:szCs w:val="16"/>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6"/>
          <w:szCs w:val="16"/>
          <w:b w:val="1"/>
          <w:bCs w:val="1"/>
          <w:color w:val="auto"/>
        </w:rPr>
        <w:t>section 1.6</w:t>
      </w:r>
      <w:r>
        <w:rPr>
          <w:rFonts w:ascii="Arial" w:cs="Arial" w:eastAsia="Arial" w:hAnsi="Arial"/>
          <w:sz w:val="16"/>
          <w:szCs w:val="16"/>
          <w:color w:val="auto"/>
        </w:rPr>
        <w:t>, until a quorum is present or represented.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right="20" w:firstLine="441"/>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i w:val="1"/>
          <w:iCs w:val="1"/>
          <w:color w:val="auto"/>
        </w:rPr>
        <w:t>Adjourned Meeting; Notice</w:t>
      </w:r>
      <w:r>
        <w:rPr>
          <w:rFonts w:ascii="Arial" w:cs="Arial" w:eastAsia="Arial" w:hAnsi="Arial"/>
          <w:sz w:val="17"/>
          <w:szCs w:val="17"/>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7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61"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of these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67"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w:t>
      </w:r>
    </w:p>
    <w:p>
      <w:pPr>
        <w:spacing w:after="0" w:line="154"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i w:val="1"/>
          <w:iCs w:val="1"/>
          <w:color w:val="auto"/>
        </w:rPr>
        <w:t>Stockholder Action by Written Consent Without a Meeting</w:t>
      </w:r>
      <w:r>
        <w:rPr>
          <w:rFonts w:ascii="Arial" w:cs="Arial" w:eastAsia="Arial" w:hAnsi="Arial"/>
          <w:sz w:val="17"/>
          <w:szCs w:val="17"/>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right="140" w:firstLine="441"/>
        <w:spacing w:after="0" w:line="277" w:lineRule="auto"/>
        <w:rPr>
          <w:sz w:val="20"/>
          <w:szCs w:val="20"/>
          <w:color w:val="auto"/>
        </w:rPr>
      </w:pPr>
      <w:r>
        <w:rPr>
          <w:rFonts w:ascii="Arial" w:cs="Arial" w:eastAsia="Arial" w:hAnsi="Arial"/>
          <w:sz w:val="17"/>
          <w:szCs w:val="17"/>
          <w:color w:val="auto"/>
        </w:rPr>
        <w:t xml:space="preserve">An electronic transmission (as defined in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2"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54"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6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i w:val="1"/>
          <w:iCs w:val="1"/>
          <w:color w:val="auto"/>
        </w:rPr>
        <w:t>Record Date for Stockholder Notice; Voting; Giving Consents</w:t>
      </w:r>
      <w:r>
        <w:rPr>
          <w:rFonts w:ascii="Arial" w:cs="Arial" w:eastAsia="Arial" w:hAnsi="Arial"/>
          <w:sz w:val="17"/>
          <w:szCs w:val="17"/>
          <w:color w:val="auto"/>
        </w:rPr>
        <w:t>. 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173" w:lineRule="exact"/>
        <w:rPr>
          <w:sz w:val="20"/>
          <w:szCs w:val="20"/>
          <w:color w:val="auto"/>
        </w:rPr>
      </w:pPr>
    </w:p>
    <w:p>
      <w:pPr>
        <w:ind w:left="440" w:right="20" w:firstLine="449"/>
        <w:spacing w:after="0" w:line="277" w:lineRule="auto"/>
        <w:tabs>
          <w:tab w:leader="none" w:pos="109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170" w:lineRule="exact"/>
        <w:rPr>
          <w:rFonts w:ascii="Arial" w:cs="Arial" w:eastAsia="Arial" w:hAnsi="Arial"/>
          <w:sz w:val="18"/>
          <w:szCs w:val="18"/>
          <w:color w:val="auto"/>
        </w:rPr>
      </w:pPr>
    </w:p>
    <w:p>
      <w:pPr>
        <w:ind w:left="440" w:right="300" w:firstLine="449"/>
        <w:spacing w:after="0" w:line="277" w:lineRule="auto"/>
        <w:tabs>
          <w:tab w:leader="none" w:pos="1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express consent to corporate action in writing without a meeting, shall not be more than ten days after the date upon which the resolution fixing the record date is adopted by the Board; and</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60 days prior to such other action.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no record date is fixed by the Board:</w:t>
      </w:r>
    </w:p>
    <w:p>
      <w:pPr>
        <w:spacing w:after="0" w:line="211" w:lineRule="exact"/>
        <w:rPr>
          <w:sz w:val="20"/>
          <w:szCs w:val="20"/>
          <w:color w:val="auto"/>
        </w:rPr>
      </w:pPr>
    </w:p>
    <w:p>
      <w:pPr>
        <w:ind w:left="440" w:right="20" w:firstLine="449"/>
        <w:spacing w:after="0" w:line="264" w:lineRule="auto"/>
        <w:tabs>
          <w:tab w:leader="none" w:pos="10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left="440" w:right="60" w:firstLine="449"/>
        <w:spacing w:after="0" w:line="259" w:lineRule="auto"/>
        <w:tabs>
          <w:tab w:leader="none" w:pos="1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ind w:left="440" w:right="40" w:firstLine="449"/>
        <w:spacing w:after="0" w:line="277" w:lineRule="auto"/>
        <w:tabs>
          <w:tab w:leader="none" w:pos="11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Board may fix a new record date for the adjourned meeting.</w:t>
      </w:r>
    </w:p>
    <w:p>
      <w:pPr>
        <w:spacing w:after="0" w:line="17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i w:val="1"/>
          <w:iCs w:val="1"/>
          <w:color w:val="auto"/>
        </w:rPr>
        <w:t>Number of Directors</w:t>
      </w:r>
      <w:r>
        <w:rPr>
          <w:rFonts w:ascii="Arial" w:cs="Arial" w:eastAsia="Arial" w:hAnsi="Arial"/>
          <w:sz w:val="17"/>
          <w:szCs w:val="17"/>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62"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i w:val="1"/>
          <w:iCs w:val="1"/>
          <w:color w:val="auto"/>
        </w:rPr>
        <w:t>Election, Qualification and Term of Office of Directors</w:t>
      </w:r>
      <w:r>
        <w:rPr>
          <w:rFonts w:ascii="Arial" w:cs="Arial" w:eastAsia="Arial" w:hAnsi="Arial"/>
          <w:sz w:val="17"/>
          <w:szCs w:val="17"/>
          <w:color w:val="auto"/>
        </w:rPr>
        <w:t xml:space="preserve">. Except as provided in </w:t>
      </w:r>
      <w:r>
        <w:rPr>
          <w:rFonts w:ascii="Arial" w:cs="Arial" w:eastAsia="Arial" w:hAnsi="Arial"/>
          <w:sz w:val="17"/>
          <w:szCs w:val="17"/>
          <w:b w:val="1"/>
          <w:bCs w:val="1"/>
          <w:color w:val="auto"/>
        </w:rPr>
        <w:t>section 2.4</w:t>
      </w:r>
      <w:r>
        <w:rPr>
          <w:rFonts w:ascii="Arial" w:cs="Arial" w:eastAsia="Arial" w:hAnsi="Arial"/>
          <w:sz w:val="17"/>
          <w:szCs w:val="17"/>
          <w:color w:val="auto"/>
        </w:rPr>
        <w:t xml:space="preserve"> of these bylaws, and subject to </w:t>
      </w:r>
      <w:r>
        <w:rPr>
          <w:rFonts w:ascii="Arial" w:cs="Arial" w:eastAsia="Arial" w:hAnsi="Arial"/>
          <w:sz w:val="17"/>
          <w:szCs w:val="17"/>
          <w:b w:val="1"/>
          <w:bCs w:val="1"/>
          <w:color w:val="auto"/>
        </w:rPr>
        <w:t>sections 1.2</w:t>
      </w:r>
      <w:r>
        <w:rPr>
          <w:rFonts w:ascii="Arial" w:cs="Arial" w:eastAsia="Arial" w:hAnsi="Arial"/>
          <w:sz w:val="17"/>
          <w:szCs w:val="17"/>
          <w:color w:val="auto"/>
        </w:rPr>
        <w:t xml:space="preserve"> and </w:t>
      </w:r>
      <w:r>
        <w:rPr>
          <w:rFonts w:ascii="Arial" w:cs="Arial" w:eastAsia="Arial" w:hAnsi="Arial"/>
          <w:sz w:val="17"/>
          <w:szCs w:val="17"/>
          <w:b w:val="1"/>
          <w:bCs w:val="1"/>
          <w:color w:val="auto"/>
        </w:rPr>
        <w:t>1.9</w:t>
      </w:r>
      <w:r>
        <w:rPr>
          <w:rFonts w:ascii="Arial" w:cs="Arial" w:eastAsia="Arial" w:hAnsi="Arial"/>
          <w:sz w:val="17"/>
          <w:szCs w:val="17"/>
          <w:color w:val="auto"/>
        </w:rPr>
        <w:t xml:space="preserve"> of these bylaws,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 w:name="page11"/>
    <w:bookmarkEnd w:id="10"/>
    <w:p>
      <w:pPr>
        <w:ind w:firstLine="441"/>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jc w:val="both"/>
        <w:ind w:left="440" w:right="80" w:firstLine="449"/>
        <w:spacing w:after="0" w:line="264" w:lineRule="auto"/>
        <w:tabs>
          <w:tab w:leader="none" w:pos="1096" w:val="left"/>
        </w:tabs>
        <w:numPr>
          <w:ilvl w:val="0"/>
          <w:numId w:val="6"/>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1" w:lineRule="exact"/>
        <w:rPr>
          <w:rFonts w:ascii="Arial" w:cs="Arial" w:eastAsia="Arial" w:hAnsi="Arial"/>
          <w:sz w:val="18"/>
          <w:szCs w:val="18"/>
          <w:color w:val="auto"/>
        </w:rPr>
      </w:pPr>
    </w:p>
    <w:p>
      <w:pPr>
        <w:jc w:val="both"/>
        <w:ind w:left="440" w:right="400" w:firstLine="449"/>
        <w:spacing w:after="0" w:line="286" w:lineRule="auto"/>
        <w:tabs>
          <w:tab w:leader="none" w:pos="1146"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66" w:lineRule="exact"/>
        <w:rPr>
          <w:sz w:val="20"/>
          <w:szCs w:val="20"/>
          <w:color w:val="auto"/>
        </w:rPr>
      </w:pPr>
    </w:p>
    <w:p>
      <w:pPr>
        <w:jc w:val="both"/>
        <w:ind w:right="120" w:firstLine="441"/>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left="440" w:right="40"/>
        <w:spacing w:after="0" w:line="29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Place of Meetings; Meetings by Telephone</w:t>
      </w:r>
      <w:r>
        <w:rPr>
          <w:rFonts w:ascii="Arial" w:cs="Arial" w:eastAsia="Arial" w:hAnsi="Arial"/>
          <w:sz w:val="16"/>
          <w:szCs w:val="16"/>
          <w:color w:val="auto"/>
        </w:rPr>
        <w:t>. The Board may hold meetings, both regular and special, either within or outside the State of Delaware. Unless otherwise restricted by the certificate of incorporation or these bylaws, members of the Board, or any committee designated by the Board, may</w:t>
      </w:r>
    </w:p>
    <w:p>
      <w:pPr>
        <w:ind w:right="560"/>
        <w:spacing w:after="0" w:line="323" w:lineRule="auto"/>
        <w:rPr>
          <w:sz w:val="20"/>
          <w:szCs w:val="20"/>
          <w:color w:val="auto"/>
        </w:rPr>
      </w:pPr>
      <w:r>
        <w:rPr>
          <w:rFonts w:ascii="Arial" w:cs="Arial" w:eastAsia="Arial" w:hAnsi="Arial"/>
          <w:sz w:val="16"/>
          <w:szCs w:val="16"/>
          <w:color w:val="auto"/>
        </w:rPr>
        <w:t>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3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 w:name="page12"/>
    <w:bookmarkEnd w:id="11"/>
    <w:p>
      <w:pPr>
        <w:ind w:right="740" w:firstLine="441"/>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Regular meetings of the Board may be held without notice at such time and at such place as shall from time to time be determined by the Board.</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100" w:hanging="211"/>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7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Quorum; Voting</w:t>
      </w:r>
      <w:r>
        <w:rPr>
          <w:rFonts w:ascii="Arial" w:cs="Arial" w:eastAsia="Arial" w:hAnsi="Arial"/>
          <w:sz w:val="16"/>
          <w:szCs w:val="16"/>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5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70"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4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i w:val="1"/>
          <w:iCs w:val="1"/>
          <w:color w:val="auto"/>
        </w:rPr>
        <w:t>Board Action by Written Consent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 w:name="page13"/>
    <w:bookmarkEnd w:id="12"/>
    <w:p>
      <w:pPr>
        <w:ind w:right="420" w:firstLine="441"/>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Committees of Directors</w:t>
      </w:r>
      <w:r>
        <w:rPr>
          <w:rFonts w:ascii="Arial" w:cs="Arial" w:eastAsia="Arial" w:hAnsi="Arial"/>
          <w:sz w:val="17"/>
          <w:szCs w:val="17"/>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Each committee shall keep regular minutes of its meetings and report the same to the Board when required.</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Meetings and Actions of Committees</w:t>
      </w:r>
      <w:r>
        <w:rPr>
          <w:rFonts w:ascii="Arial" w:cs="Arial" w:eastAsia="Arial" w:hAnsi="Arial"/>
          <w:sz w:val="18"/>
          <w:szCs w:val="18"/>
          <w:color w:val="auto"/>
        </w:rPr>
        <w:t>. Meetings and actions of committees shall be governed by, and held and taken in accordance with, the provisions of:</w:t>
      </w:r>
    </w:p>
    <w:p>
      <w:pPr>
        <w:spacing w:after="0" w:line="166" w:lineRule="exact"/>
        <w:rPr>
          <w:sz w:val="20"/>
          <w:szCs w:val="20"/>
          <w:color w:val="auto"/>
        </w:rPr>
      </w:pPr>
    </w:p>
    <w:p>
      <w:pPr>
        <w:ind w:left="1100" w:hanging="211"/>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48" w:lineRule="exact"/>
        <w:rPr>
          <w:sz w:val="20"/>
          <w:szCs w:val="20"/>
          <w:color w:val="auto"/>
        </w:rPr>
      </w:pPr>
    </w:p>
    <w:p>
      <w:pPr>
        <w:ind w:left="1100" w:hanging="211"/>
        <w:spacing w:after="0"/>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160" w:hanging="2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left="440" w:right="180" w:firstLine="449"/>
        <w:spacing w:after="0" w:line="308" w:lineRule="auto"/>
        <w:tabs>
          <w:tab w:leader="none" w:pos="1196"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4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3" w:name="page14"/>
    <w:bookmarkEnd w:id="13"/>
    <w:p>
      <w:pPr>
        <w:ind w:right="300" w:firstLine="44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i w:val="1"/>
          <w:iCs w:val="1"/>
          <w:color w:val="auto"/>
        </w:rPr>
        <w:t>Subordinate Officers</w:t>
      </w:r>
      <w:r>
        <w:rPr>
          <w:rFonts w:ascii="Arial" w:cs="Arial" w:eastAsia="Arial" w:hAnsi="Arial"/>
          <w:sz w:val="17"/>
          <w:szCs w:val="17"/>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66"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81"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Vacancies in Offices</w:t>
      </w:r>
      <w:r>
        <w:rPr>
          <w:rFonts w:ascii="Arial" w:cs="Arial" w:eastAsia="Arial" w:hAnsi="Arial"/>
          <w:sz w:val="18"/>
          <w:szCs w:val="18"/>
          <w:color w:val="auto"/>
        </w:rPr>
        <w:t xml:space="preserve">. Any vacancy occurring in any office of the Company shall be filled by the Board or as provided in </w:t>
      </w:r>
      <w:r>
        <w:rPr>
          <w:rFonts w:ascii="Arial" w:cs="Arial" w:eastAsia="Arial" w:hAnsi="Arial"/>
          <w:sz w:val="18"/>
          <w:szCs w:val="18"/>
          <w:b w:val="1"/>
          <w:bCs w:val="1"/>
          <w:color w:val="auto"/>
        </w:rPr>
        <w:t>section 4.3</w:t>
      </w:r>
      <w:r>
        <w:rPr>
          <w:rFonts w:ascii="Arial" w:cs="Arial" w:eastAsia="Arial" w:hAnsi="Arial"/>
          <w:sz w:val="18"/>
          <w:szCs w:val="18"/>
          <w:color w:val="auto"/>
        </w:rPr>
        <w:t>.</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i w:val="1"/>
          <w:iCs w:val="1"/>
          <w:color w:val="auto"/>
        </w:rPr>
        <w:t>Representation of Shares of Other Corporations</w:t>
      </w:r>
      <w:r>
        <w:rPr>
          <w:rFonts w:ascii="Arial" w:cs="Arial" w:eastAsia="Arial" w:hAnsi="Arial"/>
          <w:sz w:val="17"/>
          <w:szCs w:val="17"/>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 INDEMNIFICATION</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Indemnification of Directors and Officers in Third Party Proceedings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firstLine="441"/>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Indemnification of Directors and Officers in Actions by or in the Right of the Company</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8" w:lineRule="exact"/>
        <w:rPr>
          <w:sz w:val="20"/>
          <w:szCs w:val="20"/>
          <w:color w:val="auto"/>
        </w:rPr>
      </w:pPr>
    </w:p>
    <w:p>
      <w:pPr>
        <w:jc w:val="both"/>
        <w:ind w:right="380" w:firstLine="441"/>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or in defense of any claim, issue or matter therein, such person shall be indemnified against expenses (including attorneys’ fees) actually and reasonably incurred by such person in connection therewith.</w:t>
      </w:r>
    </w:p>
    <w:p>
      <w:pPr>
        <w:spacing w:after="0" w:line="143"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80"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Advanced Payment of Expenses</w:t>
      </w:r>
      <w:r>
        <w:rPr>
          <w:rFonts w:ascii="Arial" w:cs="Arial" w:eastAsia="Arial" w:hAnsi="Arial"/>
          <w:sz w:val="18"/>
          <w:szCs w:val="18"/>
          <w:color w:val="auto"/>
        </w:rPr>
        <w:t xml:space="preserve">. Expenses (including attorneys’ fees) incurred by an officer or director of the Company in defending any Proceeding shall be paid by the Company in advance of the final disposition of such Proceeding upon receipt of an undertaking by or on behalf of the person to repay such amounts if it shall ultimately be determined that the person is not entitled to be indemnified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or the DGCL. Such expenses (including attorneys’ fees) incurred by former directors and officers or other employees and agents may be so paid upon such terms and conditions, if any, as the Company deems appropriate.</w:t>
      </w:r>
    </w:p>
    <w:p>
      <w:pPr>
        <w:spacing w:after="0" w:line="184"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Notwithstanding the foregoing, unless otherwise determined pursuant to </w:t>
      </w:r>
      <w:r>
        <w:rPr>
          <w:rFonts w:ascii="Arial" w:cs="Arial" w:eastAsia="Arial" w:hAnsi="Arial"/>
          <w:sz w:val="18"/>
          <w:szCs w:val="18"/>
          <w:b w:val="1"/>
          <w:bCs w:val="1"/>
          <w:color w:val="auto"/>
        </w:rPr>
        <w:t>section 5.8</w:t>
      </w:r>
      <w:r>
        <w:rPr>
          <w:rFonts w:ascii="Arial" w:cs="Arial" w:eastAsia="Arial" w:hAnsi="Arial"/>
          <w:sz w:val="18"/>
          <w:szCs w:val="18"/>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9" w:lineRule="exact"/>
        <w:rPr>
          <w:sz w:val="20"/>
          <w:szCs w:val="20"/>
          <w:color w:val="auto"/>
        </w:rPr>
      </w:pPr>
    </w:p>
    <w:p>
      <w:pPr>
        <w:ind w:right="160" w:firstLine="441"/>
        <w:spacing w:after="0" w:line="34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i w:val="1"/>
          <w:iCs w:val="1"/>
          <w:color w:val="auto"/>
        </w:rPr>
        <w:t>Limitation on Indemnification and Advancement of Expenses</w:t>
      </w:r>
      <w:r>
        <w:rPr>
          <w:rFonts w:ascii="Arial" w:cs="Arial" w:eastAsia="Arial" w:hAnsi="Arial"/>
          <w:sz w:val="16"/>
          <w:szCs w:val="16"/>
          <w:color w:val="auto"/>
        </w:rPr>
        <w:t xml:space="preserve">. Subject to the requirements in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the DGCL, the Company shall not be required to provide indemnification or, with respect to clauses (i), (iii) and (iv) below, advance expenses to any person pursuant to this </w:t>
      </w:r>
      <w:r>
        <w:rPr>
          <w:rFonts w:ascii="Arial" w:cs="Arial" w:eastAsia="Arial" w:hAnsi="Arial"/>
          <w:sz w:val="16"/>
          <w:szCs w:val="16"/>
          <w:b w:val="1"/>
          <w:bCs w:val="1"/>
          <w:color w:val="auto"/>
        </w:rPr>
        <w:t>Article V</w:t>
      </w:r>
      <w:r>
        <w:rPr>
          <w:rFonts w:ascii="Arial" w:cs="Arial" w:eastAsia="Arial" w:hAnsi="Arial"/>
          <w:sz w:val="16"/>
          <w:szCs w:val="16"/>
          <w:color w:val="auto"/>
        </w:rPr>
        <w:t>:</w:t>
      </w:r>
    </w:p>
    <w:p>
      <w:pPr>
        <w:spacing w:after="0" w:line="120" w:lineRule="exact"/>
        <w:rPr>
          <w:sz w:val="20"/>
          <w:szCs w:val="20"/>
          <w:color w:val="auto"/>
        </w:rPr>
      </w:pPr>
    </w:p>
    <w:p>
      <w:pPr>
        <w:ind w:left="440" w:right="40" w:firstLine="449"/>
        <w:spacing w:after="0" w:line="277" w:lineRule="auto"/>
        <w:tabs>
          <w:tab w:leader="none" w:pos="10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connection with any Proceeding (or part thereof) initiated by such person except (i) as otherwise required by law, (ii) in specific cases if the Proceeding was authorized by the Board, or (iii) as is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5" w:name="page16"/>
    <w:bookmarkEnd w:id="15"/>
    <w:p>
      <w:pPr>
        <w:ind w:left="440" w:firstLine="449"/>
        <w:spacing w:after="0" w:line="264" w:lineRule="auto"/>
        <w:tabs>
          <w:tab w:leader="none" w:pos="11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against such person providing for an accounting or disgorgement of profits pursuant to the provisions of Section 16(b) of the Securities Exchange Act of 1934, as amended, or similar provisions of any federal, state or local statutory law or common law;</w:t>
      </w:r>
    </w:p>
    <w:p>
      <w:pPr>
        <w:spacing w:after="0" w:line="181" w:lineRule="exact"/>
        <w:rPr>
          <w:rFonts w:ascii="Arial" w:cs="Arial" w:eastAsia="Arial" w:hAnsi="Arial"/>
          <w:sz w:val="18"/>
          <w:szCs w:val="18"/>
          <w:color w:val="auto"/>
        </w:rPr>
      </w:pPr>
    </w:p>
    <w:p>
      <w:pPr>
        <w:ind w:left="440" w:right="500" w:firstLine="449"/>
        <w:spacing w:after="0" w:line="277" w:lineRule="auto"/>
        <w:tabs>
          <w:tab w:leader="none" w:pos="11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amounts for which payment has actually been made to or on behalf of such person under any statute, insurance policy or indemnity provision, except with respect to any excess beyond the amount paid; or</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i w:val="1"/>
          <w:iCs w:val="1"/>
          <w:color w:val="auto"/>
        </w:rPr>
        <w:t>Determination; Claim</w:t>
      </w:r>
      <w:r>
        <w:rPr>
          <w:rFonts w:ascii="Arial" w:cs="Arial" w:eastAsia="Arial" w:hAnsi="Arial"/>
          <w:sz w:val="17"/>
          <w:szCs w:val="17"/>
          <w:color w:val="auto"/>
        </w:rPr>
        <w:t xml:space="preserve">. If a claim for indemnification or advancement of expenses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is not paid in full within 60 days after a written claim therefor has been received by the Company, the claimant may file suit to recover the unpaid amount of such claim and, if successful in whole or in part, shall be entitled to be paid the expense of prosecuting such claim. In any such suit, the Company shall have the burden of proving that the claimant was not entitled to the requested indemnification or advancement of expenses under applicable law.</w:t>
      </w:r>
    </w:p>
    <w:p>
      <w:pPr>
        <w:spacing w:after="0" w:line="165"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2" w:lineRule="exact"/>
        <w:rPr>
          <w:sz w:val="20"/>
          <w:szCs w:val="20"/>
          <w:color w:val="auto"/>
        </w:rPr>
      </w:pPr>
    </w:p>
    <w:p>
      <w:pPr>
        <w:jc w:val="both"/>
        <w:ind w:right="40" w:firstLine="441"/>
        <w:spacing w:after="0" w:line="30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50" w:lineRule="exact"/>
        <w:rPr>
          <w:sz w:val="20"/>
          <w:szCs w:val="20"/>
          <w:color w:val="auto"/>
        </w:rPr>
      </w:pPr>
    </w:p>
    <w:p>
      <w:pPr>
        <w:ind w:right="160" w:firstLine="441"/>
        <w:spacing w:after="0" w:line="313"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xml:space="preserve">. The rights to indemnification and advancement of expenses conferred by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shall continue as to a person who has ceased to be a director, officer, employee or agent and shall inure to the benefit of the heirs, executors and administrators of such a person.</w:t>
      </w:r>
    </w:p>
    <w:p>
      <w:pPr>
        <w:spacing w:after="0" w:line="138"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Any repeal or modification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adversely affect any right or protection hereunder of any person in respect of any act or omission occurring prior to the time of such repeal or modification.</w:t>
      </w:r>
    </w:p>
    <w:p>
      <w:pPr>
        <w:spacing w:after="0" w:line="162"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i w:val="1"/>
          <w:iCs w:val="1"/>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 interests of the Company</w:t>
      </w:r>
      <w:r>
        <w:rPr>
          <w:rFonts w:ascii="Arial" w:cs="Arial" w:eastAsia="Arial" w:hAnsi="Arial"/>
          <w:sz w:val="17"/>
          <w:szCs w:val="17"/>
          <w:color w:val="auto"/>
        </w:rPr>
        <w:t xml:space="preserve">” as referred to in this </w:t>
      </w:r>
      <w:r>
        <w:rPr>
          <w:rFonts w:ascii="Arial" w:cs="Arial" w:eastAsia="Arial" w:hAnsi="Arial"/>
          <w:sz w:val="17"/>
          <w:szCs w:val="17"/>
          <w:b w:val="1"/>
          <w:bCs w:val="1"/>
          <w:color w:val="auto"/>
        </w:rPr>
        <w:t>Article V</w:t>
      </w:r>
      <w:r>
        <w:rPr>
          <w:rFonts w:ascii="Arial" w:cs="Arial" w:eastAsia="Arial" w:hAnsi="Arial"/>
          <w:sz w:val="17"/>
          <w:szCs w:val="17"/>
          <w:color w:val="auto"/>
        </w:rPr>
        <w: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color w:val="auto"/>
        </w:rPr>
        <w:t xml:space="preserve">. The shares of the Company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8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Special Designation on Certificates</w:t>
      </w:r>
      <w:r>
        <w:rPr>
          <w:rFonts w:ascii="Arial" w:cs="Arial" w:eastAsia="Arial" w:hAnsi="Arial"/>
          <w:sz w:val="18"/>
          <w:szCs w:val="18"/>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 6.3</w:t>
      </w:r>
      <w:r>
        <w:rPr>
          <w:rFonts w:ascii="Arial" w:cs="Arial" w:eastAsia="Arial" w:hAnsi="Arial"/>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right="140"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The Company:</w:t>
      </w:r>
    </w:p>
    <w:p>
      <w:pPr>
        <w:spacing w:after="0" w:line="225" w:lineRule="exact"/>
        <w:rPr>
          <w:sz w:val="20"/>
          <w:szCs w:val="20"/>
          <w:color w:val="auto"/>
        </w:rPr>
      </w:pPr>
    </w:p>
    <w:p>
      <w:pPr>
        <w:ind w:left="440" w:right="180" w:firstLine="449"/>
        <w:spacing w:after="0" w:line="277" w:lineRule="auto"/>
        <w:tabs>
          <w:tab w:leader="none" w:pos="10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170" w:lineRule="exact"/>
        <w:rPr>
          <w:rFonts w:ascii="Arial" w:cs="Arial" w:eastAsia="Arial" w:hAnsi="Arial"/>
          <w:sz w:val="18"/>
          <w:szCs w:val="18"/>
          <w:color w:val="auto"/>
        </w:rPr>
      </w:pPr>
    </w:p>
    <w:p>
      <w:pPr>
        <w:ind w:left="1160" w:hanging="2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225" w:lineRule="exact"/>
        <w:rPr>
          <w:rFonts w:ascii="Arial" w:cs="Arial" w:eastAsia="Arial" w:hAnsi="Arial"/>
          <w:sz w:val="18"/>
          <w:szCs w:val="18"/>
          <w:color w:val="auto"/>
        </w:rPr>
      </w:pPr>
    </w:p>
    <w:p>
      <w:pPr>
        <w:ind w:left="440" w:firstLine="449"/>
        <w:spacing w:after="0" w:line="277"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 the Company is unable to deliver by electronic transmission two consecutive notices given by the Company in accordance with such consent;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40" w:right="140" w:firstLine="449"/>
        <w:spacing w:after="0" w:line="277" w:lineRule="auto"/>
        <w:tabs>
          <w:tab w:leader="none" w:pos="11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100" w:hanging="211"/>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225" w:lineRule="exact"/>
        <w:rPr>
          <w:rFonts w:ascii="Arial" w:cs="Arial" w:eastAsia="Arial" w:hAnsi="Arial"/>
          <w:sz w:val="18"/>
          <w:szCs w:val="18"/>
          <w:color w:val="auto"/>
        </w:rPr>
      </w:pPr>
    </w:p>
    <w:p>
      <w:pPr>
        <w:ind w:left="440" w:right="200" w:firstLine="449"/>
        <w:spacing w:after="0" w:line="277" w:lineRule="auto"/>
        <w:tabs>
          <w:tab w:leader="none" w:pos="11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20" w:firstLine="441"/>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2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i w:val="1"/>
          <w:iCs w:val="1"/>
          <w:color w:val="auto"/>
        </w:rPr>
        <w:t>Notice to Stockholders Sharing an Address</w:t>
      </w:r>
      <w:r>
        <w:rPr>
          <w:rFonts w:ascii="Arial" w:cs="Arial" w:eastAsia="Arial" w:hAnsi="Arial"/>
          <w:sz w:val="17"/>
          <w:szCs w:val="17"/>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7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i w:val="1"/>
          <w:iCs w:val="1"/>
          <w:color w:val="auto"/>
        </w:rPr>
        <w:t>Notice to Person with Whom Communication is Unlawful</w:t>
      </w:r>
      <w:r>
        <w:rPr>
          <w:rFonts w:ascii="Arial" w:cs="Arial" w:eastAsia="Arial" w:hAnsi="Arial"/>
          <w:sz w:val="16"/>
          <w:szCs w:val="16"/>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6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i w:val="1"/>
          <w:iCs w:val="1"/>
          <w:color w:val="auto"/>
        </w:rPr>
        <w:t>Waiver of Notice</w:t>
      </w:r>
      <w:r>
        <w:rPr>
          <w:rFonts w:ascii="Arial" w:cs="Arial" w:eastAsia="Arial" w:hAnsi="Arial"/>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Article will be removed, effective as of the consummation of the Company’s initial public offering.]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the Company shall be fixed by resolution of the Board and may be changed by the Board.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340" w:firstLine="441"/>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i w:val="1"/>
          <w:iCs w:val="1"/>
          <w:color w:val="auto"/>
        </w:rPr>
        <w:t>Seal</w:t>
      </w:r>
      <w:r>
        <w:rPr>
          <w:rFonts w:ascii="Arial" w:cs="Arial" w:eastAsia="Arial" w:hAnsi="Arial"/>
          <w:sz w:val="17"/>
          <w:szCs w:val="17"/>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2016 Q1 EARNINGS AND NAME CHANGE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Ticker Symbol Change to “FH” Effective May 9,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4:30 p.m. Eastern Time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NEW YORK – May 5, 2016 - Vringo, Inc. (NASDAQ: VRNG), a diversified holding company, </w:t>
      </w:r>
      <w:r>
        <w:rPr>
          <w:rFonts w:ascii="Arial" w:cs="Arial" w:eastAsia="Arial" w:hAnsi="Arial"/>
          <w:sz w:val="18"/>
          <w:szCs w:val="18"/>
          <w:color w:val="181818"/>
        </w:rPr>
        <w:t>today announced</w:t>
      </w:r>
      <w:r>
        <w:rPr>
          <w:rFonts w:ascii="Arial" w:cs="Arial" w:eastAsia="Arial" w:hAnsi="Arial"/>
          <w:sz w:val="18"/>
          <w:szCs w:val="18"/>
          <w:color w:val="auto"/>
        </w:rPr>
        <w:t xml:space="preserve"> operating results for the quarter ended March 31, 2016 in its Quarterly Report on Form 10-Q filed with the Securities and Exchange Commission, provided an update on its ongoing business operations and announced that it will change its corporate name to FORM Holdings Corp., formalizing the Company’s transformation into a diversified holding company.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The name change was approved by the Company's board of directors on April 12, 2016 and will be effective May 6, 2016 at 5:00 p.m., Eastern Time. To reflect the change, the Company has also chosen to modify its NASDAQ ticker symbol. FORM Holdings will trade on the NASDAQ under the new ticker symbol "FH" upon the opening of market trading on May 9, 2016.</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"Our company has transformed over the past year with the acquisitions of Group Mobile and FLI Charge" said Andrew D. Perlman, Chief Executive Officer of the Company. "The name FORM Holdings marks our evolution into a platform for identifying, investing in and developing businesses with potential growth characteristics. We believe that the name change will help further establish our identity as a diversified holding company and distinguish our parent company from our operating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March 31, 2016 and Subsequent Events</w:t>
      </w:r>
    </w:p>
    <w:p>
      <w:pPr>
        <w:spacing w:after="0" w:line="229" w:lineRule="exact"/>
        <w:rPr>
          <w:sz w:val="20"/>
          <w:szCs w:val="20"/>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May 5, 2016, we had approximately $30.0 million of cash and accounts receivable, including $20.5 million of cash and $9.5 million of accounts receivable. As of March 31, 2016, we had $22.4 million of cash, court deposits and accounts receivable, including $20.6 million of cash, $0.8 million of court deposits and $1.0 million of accounts receivable, both of which were subsequently collected.</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generated total revenue of $2.0 million and $0.2 million for the quarters ended March 31, 2016 and March 31, 2015, respectively. We expect our revenue to increase significantly during 2016 as we continue to grow Group Mobile and FLI Charge.</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quarter ended March 31, 2016, our average monthly cash used in operating activities was approximately $1.8 million, $5.4 million total for the quarter, which included approximately $3.0 million for litigation related activities that have since been withdrawn or dismissed, compared to approximately $1.2 million of monthly cash used during the quarter ended March 31, 2015.</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operating loss was approximately $3.6 million (including non-cash expenses) for the quarter ended March 31, 2016 compared to $6.8 million for the quarter ended March 31, 2015. The non-cash expenses, which primarily relate to share based compensation and amortization of patents, technology, and trade names were $1.3 million and $2.9 million for the quarters ended March 31, 2016 and March 31, 2015, respectively. Excluding non-cash expenses, the net operating loss was $2.3 million for the quarter ended March 31, 2016.</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 per share basis, our total net loss was $0.28 per basic and diluted share for the quarter ended March 31, 2016, compared to a net loss of $0.75 per basic and diluted share for the quarter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will host a conference call today at 4:30 p.m., Eastern Time, to discuss operating results for the first quarter of 2016, provide updates on each of the Company’s business segments and expand upon the Company’s repositioning as a holding company. Members of the Company’s management team, including </w:t>
      </w:r>
      <w:r>
        <w:rPr>
          <w:rFonts w:ascii="Arial" w:cs="Arial" w:eastAsia="Arial" w:hAnsi="Arial"/>
          <w:sz w:val="17"/>
          <w:szCs w:val="17"/>
          <w:color w:val="181818"/>
        </w:rPr>
        <w:t>Andrew D. Perlman, Chief Executive Officer; Anastasia Nyrkovskaya, Chief Financial Officer; Clifford J. Weinstein, Executive Vice President and</w:t>
      </w:r>
      <w:r>
        <w:rPr>
          <w:rFonts w:ascii="Arial" w:cs="Arial" w:eastAsia="Arial" w:hAnsi="Arial"/>
          <w:sz w:val="17"/>
          <w:szCs w:val="17"/>
          <w:color w:val="auto"/>
        </w:rPr>
        <w:t xml:space="preserve"> </w:t>
      </w:r>
      <w:r>
        <w:rPr>
          <w:rFonts w:ascii="Arial" w:cs="Arial" w:eastAsia="Arial" w:hAnsi="Arial"/>
          <w:sz w:val="17"/>
          <w:szCs w:val="17"/>
          <w:color w:val="181818"/>
        </w:rPr>
        <w:t>President of FLI Charge; and David L. Cohen, Chief Legal and Intellectual Property Officer will participate.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0000FF"/>
        </w:rPr>
        <w:t>http://bit.ly/1SwfW9n</w:t>
      </w:r>
      <w:r>
        <w:rPr>
          <w:rFonts w:ascii="Arial" w:cs="Arial" w:eastAsia="Arial" w:hAnsi="Arial"/>
          <w:sz w:val="18"/>
          <w:szCs w:val="18"/>
          <w:color w:val="auto"/>
        </w:rPr>
        <w:t xml:space="preserve"> before the start time to join the web portion of this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-294005</wp:posOffset>
            </wp:positionV>
            <wp:extent cx="28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(888) 390-3967 (U.S. and Canada) or (862) 255-5351 (international) and reference Vringo.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Replay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audio webcast of the conference call will be available within the "Presentations" section of the Company’s investor relations website shortly after the end of the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Vringo, Inc. is a diversified technology company engaged in the innovation, development, commercialization and monetization of three operating segments: FLI Charge, Group Mobile, and Intellectual Property. FLI Charge is dedicated to the licensing and commercialization of wire-free power technologies. Group Mobile is dedicated to the marketing and sale of rugged computing devices. Intellectual Property consists of a portfolio of more than 600 patents and patent applications covering telecom infrastructure, internet search, ad-insertion, mobile and wire-free charging technologies; visit: </w:t>
      </w:r>
      <w:r>
        <w:rPr>
          <w:rFonts w:ascii="Arial" w:cs="Arial" w:eastAsia="Arial" w:hAnsi="Arial"/>
          <w:sz w:val="18"/>
          <w:szCs w:val="18"/>
          <w:u w:val="single" w:color="auto"/>
          <w:color w:val="0000FF"/>
        </w:rPr>
        <w:t>www.vringo.com</w:t>
      </w:r>
      <w:r>
        <w:rPr>
          <w:rFonts w:ascii="Arial" w:cs="Arial" w:eastAsia="Arial" w:hAnsi="Arial"/>
          <w:sz w:val="18"/>
          <w:szCs w:val="18"/>
          <w:color w:val="auto"/>
        </w:rPr>
        <w:t xml:space="preserve"> | </w:t>
      </w:r>
      <w:r>
        <w:rPr>
          <w:rFonts w:ascii="Arial" w:cs="Arial" w:eastAsia="Arial" w:hAnsi="Arial"/>
          <w:sz w:val="18"/>
          <w:szCs w:val="18"/>
          <w:u w:val="single" w:color="auto"/>
          <w:color w:val="0000FF"/>
        </w:rPr>
        <w:t>www.flicharge.com</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www.groupmobile.com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litigation; our inability to monetize and recoup our investment with respect to patent assets and other businesses that that we have acquired or acquire in the future;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computing industries; our inability to raise additional capital to fund our combined operations and business plan; our inability to maintain the listing of our securities on a major securities exchange; general economic conditions and level of information technology and consumer electronics spending; the potential loss of one or more of our significant Original Equipment Manufacturer (“OEM”) suppliers, the potential lack of market acceptance of our products; market acceptance, quality, pricing, availability and useful life of our products and services, as well as the mix of our products and services sold; potential competition from other providers and products; our inability to retain key members of our management team; our liquidity and other risks and uncertainties and other factors discussed from time to time in our filings with the Securities and Exchange Commission ("SEC"), including our annual report on Form 10-K filed with the SEC on March 10, 2016 and our quarterly report on Form 10-Q to be filed on May 5, 2016. The Company expressly disclaims any obligation to publicly update any forward-looking statements contained herein, whether as a result of new information, future events or otherwise,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info@VringoInc.com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1)"/>
      <w:numFmt w:val="lowerRoman"/>
      <w:start w:val="3"/>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1)"/>
      <w:numFmt w:val="lowerRoman"/>
      <w:start w:val="2"/>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lowerRoman"/>
      <w:start w:val="2"/>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2019-12-08T15:10:22Z</dcterms:created>
  <dcterms:modified xsi:type="dcterms:W3CDTF">2019-12-08T15:10:22Z</dcterms:modified>
</cp:coreProperties>
</file>