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Engelman John</w:t>
              </w:r>
            </w:hyperlink>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4"/>
            <w:vMerge w:val="restart"/>
          </w:tcPr>
          <w:p>
            <w:pPr>
              <w:spacing w:after="0"/>
              <w:rPr>
                <w:sz w:val="20"/>
                <w:szCs w:val="20"/>
                <w:color w:val="auto"/>
              </w:rPr>
            </w:pPr>
            <w:r>
              <w:rPr>
                <w:rFonts w:ascii="Arial" w:cs="Arial" w:eastAsia="Arial" w:hAnsi="Arial"/>
                <w:sz w:val="18"/>
                <w:szCs w:val="18"/>
                <w:color w:val="0000FF"/>
                <w:w w:val="98"/>
              </w:rPr>
              <w:t>C/O VRINGO, INC.</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5"/>
          </w:tcPr>
          <w:p>
            <w:pPr>
              <w:ind w:left="160"/>
              <w:spacing w:after="0"/>
              <w:rPr>
                <w:sz w:val="20"/>
                <w:szCs w:val="20"/>
                <w:color w:val="auto"/>
              </w:rPr>
            </w:pPr>
            <w:r>
              <w:rPr>
                <w:rFonts w:ascii="Arial" w:cs="Arial" w:eastAsia="Arial" w:hAnsi="Arial"/>
                <w:sz w:val="18"/>
                <w:szCs w:val="18"/>
                <w:color w:val="0000FF"/>
                <w:w w:val="99"/>
              </w:rPr>
              <w:t>09/30/2014</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780 THIRD AVENUE, 12TH FLOOR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3"/>
          </w:tcPr>
          <w:p>
            <w:pPr>
              <w:spacing w:after="0"/>
              <w:rPr>
                <w:sz w:val="11"/>
                <w:szCs w:val="11"/>
                <w:color w:val="auto"/>
              </w:rPr>
            </w:pPr>
          </w:p>
        </w:tc>
        <w:tc>
          <w:tcPr>
            <w:tcW w:w="2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2"/>
              </w:rPr>
              <w:t>Common Stock, $0.01 par value per share</w:t>
            </w:r>
          </w:p>
        </w:tc>
        <w:tc>
          <w:tcPr>
            <w:tcW w:w="1100" w:type="dxa"/>
            <w:vAlign w:val="bottom"/>
            <w:tcBorders>
              <w:bottom w:val="single" w:sz="8" w:color="2C2C2C"/>
            </w:tcBorders>
            <w:gridSpan w:val="5"/>
          </w:tcPr>
          <w:p>
            <w:pPr>
              <w:ind w:left="160"/>
              <w:spacing w:after="0"/>
              <w:rPr>
                <w:sz w:val="20"/>
                <w:szCs w:val="20"/>
                <w:color w:val="auto"/>
              </w:rPr>
            </w:pPr>
            <w:r>
              <w:rPr>
                <w:rFonts w:ascii="Arial" w:cs="Arial" w:eastAsia="Arial" w:hAnsi="Arial"/>
                <w:sz w:val="18"/>
                <w:szCs w:val="18"/>
                <w:color w:val="0000FF"/>
              </w:rPr>
              <w:t>09/30/2014</w:t>
            </w: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9,375</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0.9624</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186,576</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60" w:type="dxa"/>
            <w:vAlign w:val="bottom"/>
            <w:gridSpan w:val="15"/>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transactions reported in this Form 4 were effected to cover tax liabilities pursuant to a Rule 10b5-1 trading plan adopted by the reporting person on December 4,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Of which, 75,000 shares of common stock are represented by unvested restricted stock units.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60"/>
        <w:spacing w:after="0" w:line="239" w:lineRule="auto"/>
        <w:rPr>
          <w:sz w:val="20"/>
          <w:szCs w:val="20"/>
          <w:color w:val="auto"/>
        </w:rPr>
      </w:pPr>
      <w:r>
        <w:rPr>
          <w:rFonts w:ascii="Arial" w:cs="Arial" w:eastAsia="Arial" w:hAnsi="Arial"/>
          <w:sz w:val="14"/>
          <w:szCs w:val="14"/>
          <w:color w:val="008000"/>
        </w:rPr>
        <w:t>As of the reporting date, the reporting person holds 552,500 vested and unvested options and 75,000 vested and unvested restricted stock units. In addition, the reporting person owns 111,576 shares of common stock and 49,690 warrants. The total number of securities listed is 788,766.</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John Engelman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09/30/2014</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8816"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2019-12-17T06:21:33Z</dcterms:created>
  <dcterms:modified xsi:type="dcterms:W3CDTF">2019-12-17T06:21:33Z</dcterms:modified>
</cp:coreProperties>
</file>