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January 5, 2018</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(formerly known as FORM Holdings Corp.)</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70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70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053" w:right="25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On January 5, 2018, XpresSpa Group, Inc. (formerly known as FORM Holdings Corp.) (the “</w:t>
      </w:r>
      <w:r>
        <w:rPr>
          <w:rFonts w:ascii="Arial" w:cs="Arial" w:eastAsia="Arial" w:hAnsi="Arial"/>
          <w:sz w:val="17"/>
          <w:szCs w:val="17"/>
          <w:b w:val="1"/>
          <w:bCs w:val="1"/>
          <w:color w:val="auto"/>
        </w:rPr>
        <w:t>Company</w:t>
      </w:r>
      <w:r>
        <w:rPr>
          <w:rFonts w:ascii="Arial" w:cs="Arial" w:eastAsia="Arial" w:hAnsi="Arial"/>
          <w:sz w:val="17"/>
          <w:szCs w:val="17"/>
          <w:color w:val="auto"/>
        </w:rPr>
        <w:t>”) issued a press release announcing an update to its business operations and that (i) the Company will be changing its name to “XpresSpa Group, Inc.” effective as of January 5, 2018 at 4:01 p.m., Eastern Time, and (ii) the Company’s common stock, par value $0.01 per share, which has previously been listed on The Nasdaq Capital Market under the trading symbol “FH,” will be listed under the trading symbol “XSPA” upon the opening of the trading market on Monday, January 8, 2018.</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the press release is attached hereto as Exhibit 99.1.</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information, including Exhibit 99.1, in this Form 8-K is being furnished and shall not be deemed “filed” for purposes of Section 18 of the Securities Exchange Act of 1934 or otherwise subject to the liabilities of that Section. The information in this Form 8-K shall not be incorporated by reference into any filing under the Securities Act of 1933, except as shall otherwise be expressly set forth by specific reference in such filing.</w:t>
      </w:r>
    </w:p>
    <w:p>
      <w:pPr>
        <w:spacing w:after="0" w:line="16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On January 5, 2018, the Company filed a certificate of amendment to its Amended and Restated Certificate of Incorporation (“</w:t>
      </w:r>
      <w:r>
        <w:rPr>
          <w:rFonts w:ascii="Arial" w:cs="Arial" w:eastAsia="Arial" w:hAnsi="Arial"/>
          <w:sz w:val="16"/>
          <w:szCs w:val="16"/>
          <w:b w:val="1"/>
          <w:bCs w:val="1"/>
          <w:color w:val="auto"/>
        </w:rPr>
        <w:t>Certificate of</w:t>
      </w:r>
      <w:r>
        <w:rPr>
          <w:rFonts w:ascii="Arial" w:cs="Arial" w:eastAsia="Arial" w:hAnsi="Arial"/>
          <w:sz w:val="16"/>
          <w:szCs w:val="16"/>
          <w:color w:val="auto"/>
        </w:rPr>
        <w:t xml:space="preserve"> </w:t>
      </w:r>
      <w:r>
        <w:rPr>
          <w:rFonts w:ascii="Arial" w:cs="Arial" w:eastAsia="Arial" w:hAnsi="Arial"/>
          <w:sz w:val="16"/>
          <w:szCs w:val="16"/>
          <w:b w:val="1"/>
          <w:bCs w:val="1"/>
          <w:color w:val="auto"/>
        </w:rPr>
        <w:t>Amendment</w:t>
      </w:r>
      <w:r>
        <w:rPr>
          <w:rFonts w:ascii="Arial" w:cs="Arial" w:eastAsia="Arial" w:hAnsi="Arial"/>
          <w:sz w:val="16"/>
          <w:szCs w:val="16"/>
          <w:color w:val="auto"/>
        </w:rPr>
        <w:t>”) with the State of Delaware to change its name to “XpresSpa Group, Inc.,” effective as of January 5, 2018 at 4:01 p.m., Eastern Time. The</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of Amendment was approved by the Board of Directors of the Company. A copy of the Certificate of Amendment is attached hereto as Exhibit 3.1.</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filing of the Certificate of Amendment, effective January 5, 2018 at 4:01 p.m., Eastern Time, the Board of Directors of the Company approved and adopted the Company’s Third Amended and Restated Bylaws, which reflect the Company’s name change to XpresSpa Group, Inc. (the “</w:t>
      </w:r>
      <w:r>
        <w:rPr>
          <w:rFonts w:ascii="Arial" w:cs="Arial" w:eastAsia="Arial" w:hAnsi="Arial"/>
          <w:sz w:val="18"/>
          <w:szCs w:val="18"/>
          <w:b w:val="1"/>
          <w:bCs w:val="1"/>
          <w:color w:val="auto"/>
        </w:rPr>
        <w:t>Restated Bylaws</w:t>
      </w:r>
      <w:r>
        <w:rPr>
          <w:rFonts w:ascii="Arial" w:cs="Arial" w:eastAsia="Arial" w:hAnsi="Arial"/>
          <w:sz w:val="18"/>
          <w:szCs w:val="18"/>
          <w:color w:val="auto"/>
        </w:rPr>
        <w:t>”). No other changes were made to the Restated Bylaws. A copy of the Restated Bylaws is attached hereto as Exhibit 3.2 and is incorporated herein by reference.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10260" w:type="dxa"/>
            <w:vAlign w:val="bottom"/>
            <w:gridSpan w:val="4"/>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16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38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9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7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Certificate of Amendment to Amended and Restated Certificate of Incorporation of the Company, dated January 5, 2018.</w:t>
              </w:r>
            </w:hyperlink>
          </w:p>
        </w:tc>
        <w:tc>
          <w:tcPr>
            <w:tcW w:w="1540" w:type="dxa"/>
            <w:vAlign w:val="bottom"/>
          </w:tcPr>
          <w:p>
            <w:pPr>
              <w:spacing w:after="0"/>
              <w:rPr>
                <w:sz w:val="24"/>
                <w:szCs w:val="24"/>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60" w:type="dxa"/>
            <w:vAlign w:val="bottom"/>
            <w:gridSpan w:val="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Third Amended and Restated Bylaws of the Company, effective as of January 5, 2018.</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2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r>
      <w:tr>
        <w:trPr>
          <w:trHeight w:val="412"/>
        </w:trPr>
        <w:tc>
          <w:tcPr>
            <w:tcW w:w="116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0260" w:type="dxa"/>
            <w:vAlign w:val="bottom"/>
            <w:gridSpan w:val="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Press release of the Company, dated January 5, 2018.</w:t>
              </w:r>
            </w:hyperlink>
          </w:p>
        </w:tc>
      </w:tr>
      <w:tr>
        <w:trPr>
          <w:trHeight w:val="723"/>
        </w:trPr>
        <w:tc>
          <w:tcPr>
            <w:tcW w:w="2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820" w:type="dxa"/>
            <w:vAlign w:val="bottom"/>
            <w:tcBorders>
              <w:top w:val="single" w:sz="8" w:color="0000EE"/>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760" w:type="dxa"/>
            <w:vAlign w:val="bottom"/>
            <w:gridSpan w:val="2"/>
          </w:tcPr>
          <w:p>
            <w:pPr>
              <w:ind w:left="206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January 5, 2018</w:t>
            </w:r>
          </w:p>
        </w:tc>
        <w:tc>
          <w:tcPr>
            <w:tcW w:w="7760" w:type="dxa"/>
            <w:vAlign w:val="bottom"/>
            <w:gridSpan w:val="2"/>
          </w:tcPr>
          <w:p>
            <w:pPr>
              <w:ind w:left="2060"/>
              <w:spacing w:after="0"/>
              <w:rPr>
                <w:sz w:val="20"/>
                <w:szCs w:val="20"/>
                <w:color w:val="auto"/>
              </w:rPr>
            </w:pPr>
            <w:r>
              <w:rPr>
                <w:rFonts w:ascii="Arial" w:cs="Arial" w:eastAsia="Arial" w:hAnsi="Arial"/>
                <w:sz w:val="18"/>
                <w:szCs w:val="18"/>
                <w:color w:val="auto"/>
              </w:rPr>
              <w:t>By:  /s/ Andrew D. Perlman</w:t>
            </w:r>
          </w:p>
        </w:tc>
      </w:tr>
      <w:tr>
        <w:trPr>
          <w:trHeight w:val="195"/>
        </w:trPr>
        <w:tc>
          <w:tcPr>
            <w:tcW w:w="36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6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6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3.1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HOLDINGS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HOLDINGS CORP.</w:t>
      </w:r>
      <w:r>
        <w:rPr>
          <w:rFonts w:ascii="Arial" w:cs="Arial" w:eastAsia="Arial" w:hAnsi="Arial"/>
          <w:sz w:val="18"/>
          <w:szCs w:val="18"/>
          <w:color w:val="auto"/>
        </w:rPr>
        <w:t>, a Delaware corporation (the “Corporation”), does hereby certify that:</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FIRST:</w:t>
      </w:r>
      <w:r>
        <w:rPr>
          <w:sz w:val="20"/>
          <w:szCs w:val="20"/>
          <w:color w:val="auto"/>
        </w:rPr>
        <w:tab/>
      </w:r>
      <w:r>
        <w:rPr>
          <w:rFonts w:ascii="Arial" w:cs="Arial" w:eastAsia="Arial" w:hAnsi="Arial"/>
          <w:sz w:val="18"/>
          <w:szCs w:val="18"/>
          <w:color w:val="auto"/>
        </w:rPr>
        <w:t>The name of the Corporation is FORM HOLDINGS CORP.</w:t>
      </w:r>
    </w:p>
    <w:p>
      <w:pPr>
        <w:spacing w:after="0" w:line="225" w:lineRule="exact"/>
        <w:rPr>
          <w:sz w:val="20"/>
          <w:szCs w:val="20"/>
          <w:color w:val="auto"/>
        </w:rPr>
      </w:pPr>
    </w:p>
    <w:p>
      <w:pPr>
        <w:ind w:left="1160" w:right="120" w:hanging="1159"/>
        <w:spacing w:after="0" w:line="279" w:lineRule="auto"/>
        <w:tabs>
          <w:tab w:leader="none" w:pos="1140" w:val="left"/>
        </w:tabs>
        <w:rPr>
          <w:sz w:val="20"/>
          <w:szCs w:val="20"/>
          <w:color w:val="auto"/>
        </w:rPr>
      </w:pPr>
      <w:r>
        <w:rPr>
          <w:rFonts w:ascii="Arial" w:cs="Arial" w:eastAsia="Arial" w:hAnsi="Arial"/>
          <w:sz w:val="17"/>
          <w:szCs w:val="17"/>
          <w:b w:val="1"/>
          <w:bCs w:val="1"/>
          <w:color w:val="auto"/>
        </w:rPr>
        <w:t>SECOND:</w:t>
      </w:r>
      <w:r>
        <w:rPr>
          <w:sz w:val="20"/>
          <w:szCs w:val="20"/>
          <w:color w:val="auto"/>
        </w:rPr>
        <w:tab/>
      </w:r>
      <w:r>
        <w:rPr>
          <w:rFonts w:ascii="Arial" w:cs="Arial" w:eastAsia="Arial" w:hAnsi="Arial"/>
          <w:sz w:val="17"/>
          <w:szCs w:val="17"/>
          <w:color w:val="auto"/>
        </w:rPr>
        <w:t>The original Certificate of Incorporation of the Corporation was filed with the Secretary of State of the State of Delaware on January 9, 2006 and the Amended and Restated Certificate of Incorporation of the Corporation was filed with the Secretary of State of the State of Delaware on June 22, 2010, and as further amended by the Certificates of Amendment of the Amended and Restated Certificate of Incorporation on July 19, 2012, on November 24, 2015, on November 28, 2016, and on May 5, 2016.</w:t>
      </w:r>
    </w:p>
    <w:p>
      <w:pPr>
        <w:spacing w:after="0" w:line="171" w:lineRule="exact"/>
        <w:rPr>
          <w:sz w:val="20"/>
          <w:szCs w:val="20"/>
          <w:color w:val="auto"/>
        </w:rPr>
      </w:pPr>
    </w:p>
    <w:p>
      <w:pPr>
        <w:ind w:left="1160" w:right="80" w:hanging="1159"/>
        <w:spacing w:after="0" w:line="264" w:lineRule="auto"/>
        <w:tabs>
          <w:tab w:leader="none" w:pos="1140" w:val="left"/>
        </w:tabs>
        <w:rPr>
          <w:sz w:val="20"/>
          <w:szCs w:val="20"/>
          <w:color w:val="auto"/>
        </w:rPr>
      </w:pPr>
      <w:r>
        <w:rPr>
          <w:rFonts w:ascii="Arial" w:cs="Arial" w:eastAsia="Arial" w:hAnsi="Arial"/>
          <w:sz w:val="18"/>
          <w:szCs w:val="18"/>
          <w:b w:val="1"/>
          <w:bCs w:val="1"/>
          <w:color w:val="auto"/>
        </w:rPr>
        <w:t>THIRD:</w:t>
      </w:r>
      <w:r>
        <w:rPr>
          <w:sz w:val="20"/>
          <w:szCs w:val="20"/>
          <w:color w:val="auto"/>
        </w:rPr>
        <w:tab/>
      </w:r>
      <w:r>
        <w:rPr>
          <w:rFonts w:ascii="Arial" w:cs="Arial" w:eastAsia="Arial" w:hAnsi="Arial"/>
          <w:sz w:val="18"/>
          <w:szCs w:val="18"/>
          <w:color w:val="auto"/>
        </w:rPr>
        <w:t>The Board of Directors of the Corporation (the “Board”), acting in accordance with the provisions of Sections 141 and 242 of the General Corporation Law of the State of Delaware (the “DGCL”), adopted resolutions amending the Corporation’s Amended and Restated Certificate of Incorporation as follows:</w:t>
      </w:r>
    </w:p>
    <w:p>
      <w:pPr>
        <w:spacing w:after="0" w:line="185" w:lineRule="exact"/>
        <w:rPr>
          <w:sz w:val="20"/>
          <w:szCs w:val="20"/>
          <w:color w:val="auto"/>
        </w:rPr>
      </w:pPr>
    </w:p>
    <w:p>
      <w:pPr>
        <w:ind w:left="1160" w:right="300"/>
        <w:spacing w:after="0" w:line="277" w:lineRule="auto"/>
        <w:rPr>
          <w:sz w:val="20"/>
          <w:szCs w:val="20"/>
          <w:color w:val="auto"/>
        </w:rPr>
      </w:pPr>
      <w:r>
        <w:rPr>
          <w:rFonts w:ascii="Arial" w:cs="Arial" w:eastAsia="Arial" w:hAnsi="Arial"/>
          <w:sz w:val="18"/>
          <w:szCs w:val="18"/>
          <w:color w:val="auto"/>
        </w:rPr>
        <w:t>Article First of the Corporation’s Amended and Restated Certificate of Incorporation is hereby deleted in its entirety and replaced with the following:</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“FIRST: The name of the Corporation (hereinafter the “Corporation”) is XpresSpa Group, Inc.”</w:t>
      </w:r>
    </w:p>
    <w:p>
      <w:pPr>
        <w:spacing w:after="0" w:line="221" w:lineRule="exact"/>
        <w:rPr>
          <w:sz w:val="20"/>
          <w:szCs w:val="20"/>
          <w:color w:val="auto"/>
        </w:rPr>
      </w:pPr>
    </w:p>
    <w:p>
      <w:pPr>
        <w:ind w:left="1160" w:right="540" w:hanging="1159"/>
        <w:spacing w:after="0" w:line="277" w:lineRule="auto"/>
        <w:tabs>
          <w:tab w:leader="none" w:pos="1140" w:val="left"/>
        </w:tabs>
        <w:rPr>
          <w:sz w:val="20"/>
          <w:szCs w:val="20"/>
          <w:color w:val="auto"/>
        </w:rPr>
      </w:pPr>
      <w:r>
        <w:rPr>
          <w:rFonts w:ascii="Arial" w:cs="Arial" w:eastAsia="Arial" w:hAnsi="Arial"/>
          <w:sz w:val="18"/>
          <w:szCs w:val="18"/>
          <w:b w:val="1"/>
          <w:bCs w:val="1"/>
          <w:color w:val="auto"/>
        </w:rPr>
        <w:t>FOURTH:</w:t>
      </w:r>
      <w:r>
        <w:rPr>
          <w:sz w:val="20"/>
          <w:szCs w:val="20"/>
          <w:color w:val="auto"/>
        </w:rPr>
        <w:tab/>
      </w:r>
      <w:r>
        <w:rPr>
          <w:rFonts w:ascii="Arial" w:cs="Arial" w:eastAsia="Arial" w:hAnsi="Arial"/>
          <w:sz w:val="18"/>
          <w:szCs w:val="18"/>
          <w:color w:val="auto"/>
        </w:rPr>
        <w:t>Thereafter, pursuant to a resolution of the Board, this Certificate of Amendment was duly adopted in accordance with the provisions of Sections 222 and 242 of the DGCL.</w:t>
      </w:r>
    </w:p>
    <w:p>
      <w:pPr>
        <w:spacing w:after="0" w:line="1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FIFTH:</w:t>
      </w:r>
      <w:r>
        <w:rPr>
          <w:sz w:val="20"/>
          <w:szCs w:val="20"/>
          <w:color w:val="auto"/>
        </w:rPr>
        <w:tab/>
      </w:r>
      <w:r>
        <w:rPr>
          <w:rFonts w:ascii="Arial" w:cs="Arial" w:eastAsia="Arial" w:hAnsi="Arial"/>
          <w:sz w:val="18"/>
          <w:szCs w:val="18"/>
          <w:color w:val="auto"/>
        </w:rPr>
        <w:t>This Certificate of Amendment shall be effective on January 5, 2018 at 4:01 P.M., Eastern Standard Time.</w:t>
      </w:r>
    </w:p>
    <w:p>
      <w:pPr>
        <w:spacing w:after="0" w:line="225" w:lineRule="exact"/>
        <w:rPr>
          <w:sz w:val="20"/>
          <w:szCs w:val="20"/>
          <w:color w:val="auto"/>
        </w:rPr>
      </w:pPr>
    </w:p>
    <w:p>
      <w:pPr>
        <w:ind w:right="480"/>
        <w:spacing w:after="0" w:line="283"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CERTIFICATE OF AMENDMENT to be signed by Andrew Perlman, its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as of the 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January, 2018.</w:t>
      </w:r>
    </w:p>
    <w:p>
      <w:pPr>
        <w:spacing w:after="0" w:line="3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FORM HOLDINGS CORP.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780" w:type="dxa"/>
            <w:vAlign w:val="bottom"/>
            <w:gridSpan w:val="2"/>
          </w:tcPr>
          <w:p>
            <w:pPr>
              <w:jc w:val="right"/>
              <w:ind w:right="20"/>
              <w:spacing w:after="0"/>
              <w:rPr>
                <w:sz w:val="20"/>
                <w:szCs w:val="20"/>
                <w:color w:val="auto"/>
              </w:rPr>
            </w:pPr>
            <w:r>
              <w:rPr>
                <w:rFonts w:ascii="Arial" w:cs="Arial" w:eastAsia="Arial" w:hAnsi="Arial"/>
                <w:sz w:val="22"/>
                <w:szCs w:val="22"/>
                <w:b w:val="1"/>
                <w:bCs w:val="1"/>
                <w:color w:val="auto"/>
              </w:rPr>
              <w:t>Exhibit 3.2</w:t>
            </w: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920" w:type="dxa"/>
            <w:vAlign w:val="bottom"/>
          </w:tcPr>
          <w:p>
            <w:pPr>
              <w:jc w:val="center"/>
              <w:ind w:left="1950"/>
              <w:spacing w:after="0"/>
              <w:rPr>
                <w:sz w:val="20"/>
                <w:szCs w:val="20"/>
                <w:color w:val="auto"/>
              </w:rPr>
            </w:pPr>
            <w:r>
              <w:rPr>
                <w:rFonts w:ascii="Arial" w:cs="Arial" w:eastAsia="Arial" w:hAnsi="Arial"/>
                <w:sz w:val="18"/>
                <w:szCs w:val="18"/>
                <w:b w:val="1"/>
                <w:bCs w:val="1"/>
                <w:color w:val="auto"/>
                <w:w w:val="99"/>
              </w:rPr>
              <w:t>AMENDED AND RESTATED</w:t>
            </w: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920" w:type="dxa"/>
            <w:vAlign w:val="bottom"/>
          </w:tcPr>
          <w:p>
            <w:pPr>
              <w:jc w:val="center"/>
              <w:ind w:left="1930"/>
              <w:spacing w:after="0"/>
              <w:rPr>
                <w:sz w:val="20"/>
                <w:szCs w:val="20"/>
                <w:color w:val="auto"/>
              </w:rPr>
            </w:pPr>
            <w:r>
              <w:rPr>
                <w:rFonts w:ascii="Arial" w:cs="Arial" w:eastAsia="Arial" w:hAnsi="Arial"/>
                <w:sz w:val="18"/>
                <w:szCs w:val="18"/>
                <w:b w:val="1"/>
                <w:bCs w:val="1"/>
                <w:color w:val="auto"/>
                <w:w w:val="98"/>
              </w:rPr>
              <w:t>BYLAWS OF</w:t>
            </w: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920" w:type="dxa"/>
            <w:vAlign w:val="bottom"/>
          </w:tcPr>
          <w:p>
            <w:pPr>
              <w:jc w:val="center"/>
              <w:ind w:left="1930"/>
              <w:spacing w:after="0"/>
              <w:rPr>
                <w:sz w:val="20"/>
                <w:szCs w:val="20"/>
                <w:color w:val="auto"/>
              </w:rPr>
            </w:pPr>
            <w:r>
              <w:rPr>
                <w:rFonts w:ascii="Arial" w:cs="Arial" w:eastAsia="Arial" w:hAnsi="Arial"/>
                <w:sz w:val="18"/>
                <w:szCs w:val="18"/>
                <w:b w:val="1"/>
                <w:bCs w:val="1"/>
                <w:color w:val="auto"/>
                <w:w w:val="95"/>
              </w:rPr>
              <w:t>XPRESSPA GROUP, INC.</w:t>
            </w: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920" w:type="dxa"/>
            <w:vAlign w:val="bottom"/>
          </w:tcPr>
          <w:p>
            <w:pPr>
              <w:jc w:val="center"/>
              <w:ind w:left="1930"/>
              <w:spacing w:after="0"/>
              <w:rPr>
                <w:sz w:val="20"/>
                <w:szCs w:val="20"/>
                <w:color w:val="auto"/>
              </w:rPr>
            </w:pPr>
            <w:r>
              <w:rPr>
                <w:rFonts w:ascii="Arial" w:cs="Arial" w:eastAsia="Arial" w:hAnsi="Arial"/>
                <w:sz w:val="18"/>
                <w:szCs w:val="18"/>
                <w:b w:val="1"/>
                <w:bCs w:val="1"/>
                <w:color w:val="auto"/>
                <w:w w:val="91"/>
              </w:rPr>
              <w:t>Adopted January 8, 2018</w:t>
            </w: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40" w:type="dxa"/>
            <w:vAlign w:val="bottom"/>
            <w:gridSpan w:val="2"/>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 — MEETINGS OF STOCKHOLDERS</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Place of Meetings</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1.2</w:t>
            </w:r>
          </w:p>
        </w:tc>
        <w:tc>
          <w:tcPr>
            <w:tcW w:w="792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Annual Meeting</w:t>
            </w:r>
          </w:p>
        </w:tc>
        <w:tc>
          <w:tcPr>
            <w:tcW w:w="27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Special Meeting</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1.4</w:t>
            </w:r>
          </w:p>
        </w:tc>
        <w:tc>
          <w:tcPr>
            <w:tcW w:w="792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Notice of Stockholders’ Meetings</w:t>
            </w:r>
          </w:p>
        </w:tc>
        <w:tc>
          <w:tcPr>
            <w:tcW w:w="27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Quorum</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1.6</w:t>
            </w:r>
          </w:p>
        </w:tc>
        <w:tc>
          <w:tcPr>
            <w:tcW w:w="792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Adjourned Meeting; Notice</w:t>
            </w:r>
          </w:p>
        </w:tc>
        <w:tc>
          <w:tcPr>
            <w:tcW w:w="27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Conduct of Business</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1.8</w:t>
            </w:r>
          </w:p>
        </w:tc>
        <w:tc>
          <w:tcPr>
            <w:tcW w:w="792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Voting</w:t>
            </w:r>
          </w:p>
        </w:tc>
        <w:tc>
          <w:tcPr>
            <w:tcW w:w="27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1.9</w:t>
            </w: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Stockholder Action by Written Consent Without a Meeting</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1.10</w:t>
            </w:r>
          </w:p>
        </w:tc>
        <w:tc>
          <w:tcPr>
            <w:tcW w:w="792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Record Date for Stockholder Notice; Voting; Giving Consents</w:t>
            </w:r>
          </w:p>
        </w:tc>
        <w:tc>
          <w:tcPr>
            <w:tcW w:w="27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1.11</w:t>
            </w: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Proxies</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1.12</w:t>
            </w:r>
          </w:p>
        </w:tc>
        <w:tc>
          <w:tcPr>
            <w:tcW w:w="792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List of Stockholders Entitled to Vote</w:t>
            </w:r>
          </w:p>
        </w:tc>
        <w:tc>
          <w:tcPr>
            <w:tcW w:w="27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40" w:type="dxa"/>
            <w:vAlign w:val="bottom"/>
            <w:gridSpan w:val="2"/>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ARTICLE II — DIRECTORS</w:t>
            </w:r>
          </w:p>
        </w:tc>
        <w:tc>
          <w:tcPr>
            <w:tcW w:w="27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2.1</w:t>
            </w:r>
          </w:p>
        </w:tc>
        <w:tc>
          <w:tcPr>
            <w:tcW w:w="792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Powers</w:t>
            </w:r>
          </w:p>
        </w:tc>
        <w:tc>
          <w:tcPr>
            <w:tcW w:w="27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2.2</w:t>
            </w: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Number of Directors</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2.3</w:t>
            </w:r>
          </w:p>
        </w:tc>
        <w:tc>
          <w:tcPr>
            <w:tcW w:w="792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Election, Qualification and Term of Office of Directors</w:t>
            </w:r>
          </w:p>
        </w:tc>
        <w:tc>
          <w:tcPr>
            <w:tcW w:w="27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2.4</w:t>
            </w: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Resignation and Vacancies</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2.5</w:t>
            </w:r>
          </w:p>
        </w:tc>
        <w:tc>
          <w:tcPr>
            <w:tcW w:w="792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Place of Meetings; Meetings by Telephone</w:t>
            </w:r>
          </w:p>
        </w:tc>
        <w:tc>
          <w:tcPr>
            <w:tcW w:w="27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2.6</w:t>
            </w: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Conduct of Business</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2.7</w:t>
            </w:r>
          </w:p>
        </w:tc>
        <w:tc>
          <w:tcPr>
            <w:tcW w:w="792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Regular Meetings</w:t>
            </w:r>
          </w:p>
        </w:tc>
        <w:tc>
          <w:tcPr>
            <w:tcW w:w="27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2.8</w:t>
            </w: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Special Meetings; Notice</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2.9</w:t>
            </w:r>
          </w:p>
        </w:tc>
        <w:tc>
          <w:tcPr>
            <w:tcW w:w="792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Quorum; Voting</w:t>
            </w:r>
          </w:p>
        </w:tc>
        <w:tc>
          <w:tcPr>
            <w:tcW w:w="27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2.10</w:t>
            </w: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Board Action by Written Consent Without a Meeting</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2.11</w:t>
            </w:r>
          </w:p>
        </w:tc>
        <w:tc>
          <w:tcPr>
            <w:tcW w:w="792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Fees and Compensation of Directors</w:t>
            </w:r>
          </w:p>
        </w:tc>
        <w:tc>
          <w:tcPr>
            <w:tcW w:w="27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2.12</w:t>
            </w: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Removal of Directors</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40" w:type="dxa"/>
            <w:vAlign w:val="bottom"/>
            <w:gridSpan w:val="2"/>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III — COMMITTEES</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Committees of Directors</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3.2</w:t>
            </w:r>
          </w:p>
        </w:tc>
        <w:tc>
          <w:tcPr>
            <w:tcW w:w="792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Committee Minutes</w:t>
            </w:r>
          </w:p>
        </w:tc>
        <w:tc>
          <w:tcPr>
            <w:tcW w:w="27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3.3</w:t>
            </w: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Meetings and Actions of Committees</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3.4</w:t>
            </w:r>
          </w:p>
        </w:tc>
        <w:tc>
          <w:tcPr>
            <w:tcW w:w="792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Subcommittees</w:t>
            </w:r>
          </w:p>
        </w:tc>
        <w:tc>
          <w:tcPr>
            <w:tcW w:w="27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40" w:type="dxa"/>
            <w:vAlign w:val="bottom"/>
            <w:gridSpan w:val="2"/>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2"/>
          </w:tcPr>
          <w:p>
            <w:pPr>
              <w:spacing w:after="0"/>
              <w:rPr>
                <w:sz w:val="20"/>
                <w:szCs w:val="20"/>
                <w:color w:val="auto"/>
              </w:rPr>
            </w:pPr>
            <w:r>
              <w:rPr>
                <w:rFonts w:ascii="Arial" w:cs="Arial" w:eastAsia="Arial" w:hAnsi="Arial"/>
                <w:sz w:val="18"/>
                <w:szCs w:val="18"/>
                <w:color w:val="auto"/>
              </w:rPr>
              <w:t>ARTICLE IV — OFFICERS</w:t>
            </w:r>
          </w:p>
        </w:tc>
        <w:tc>
          <w:tcPr>
            <w:tcW w:w="27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4.1</w:t>
            </w:r>
          </w:p>
        </w:tc>
        <w:tc>
          <w:tcPr>
            <w:tcW w:w="792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Officers</w:t>
            </w:r>
          </w:p>
        </w:tc>
        <w:tc>
          <w:tcPr>
            <w:tcW w:w="27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4.2</w:t>
            </w: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Appointment of Officers</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4.3</w:t>
            </w:r>
          </w:p>
        </w:tc>
        <w:tc>
          <w:tcPr>
            <w:tcW w:w="792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Subordinate Officers</w:t>
            </w:r>
          </w:p>
        </w:tc>
        <w:tc>
          <w:tcPr>
            <w:tcW w:w="27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4.4</w:t>
            </w: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Removal and Resignation of Officers</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4.5</w:t>
            </w:r>
          </w:p>
        </w:tc>
        <w:tc>
          <w:tcPr>
            <w:tcW w:w="792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Vacancies in Offices</w:t>
            </w:r>
          </w:p>
        </w:tc>
        <w:tc>
          <w:tcPr>
            <w:tcW w:w="27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4.6</w:t>
            </w: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Representation of Shares of Other Corporations</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4.7</w:t>
            </w:r>
          </w:p>
        </w:tc>
        <w:tc>
          <w:tcPr>
            <w:tcW w:w="792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Authority and Duties of Officers</w:t>
            </w:r>
          </w:p>
        </w:tc>
        <w:tc>
          <w:tcPr>
            <w:tcW w:w="27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 — INDEMNIFICATION</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5.1</w:t>
            </w: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Indemnification of Directors and Officers in Third Party Proceedings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5.2</w:t>
            </w:r>
          </w:p>
        </w:tc>
        <w:tc>
          <w:tcPr>
            <w:tcW w:w="870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Indemnification of Directors and Officers in Actions by or in the Right of the Company</w:t>
            </w:r>
          </w:p>
        </w:tc>
        <w:tc>
          <w:tcPr>
            <w:tcW w:w="19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5.3</w:t>
            </w: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Successful Defense</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5.4</w:t>
            </w:r>
          </w:p>
        </w:tc>
        <w:tc>
          <w:tcPr>
            <w:tcW w:w="870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Indemnification of Others</w:t>
            </w:r>
          </w:p>
        </w:tc>
        <w:tc>
          <w:tcPr>
            <w:tcW w:w="19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5.5</w:t>
            </w: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Advanced Payment of Expenses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5.6</w:t>
            </w:r>
          </w:p>
        </w:tc>
        <w:tc>
          <w:tcPr>
            <w:tcW w:w="870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Limitation on Indemnification and Advancement of Expenses</w:t>
            </w:r>
          </w:p>
        </w:tc>
        <w:tc>
          <w:tcPr>
            <w:tcW w:w="19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5.7</w:t>
            </w: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Determination; Claim</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5.8</w:t>
            </w:r>
          </w:p>
        </w:tc>
        <w:tc>
          <w:tcPr>
            <w:tcW w:w="870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Non-Exclusivity of Rights</w:t>
            </w:r>
          </w:p>
        </w:tc>
        <w:tc>
          <w:tcPr>
            <w:tcW w:w="19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5.9</w:t>
            </w: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Insurance</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5.10</w:t>
            </w:r>
          </w:p>
        </w:tc>
        <w:tc>
          <w:tcPr>
            <w:tcW w:w="870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Survival</w:t>
            </w:r>
          </w:p>
        </w:tc>
        <w:tc>
          <w:tcPr>
            <w:tcW w:w="19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5.11</w:t>
            </w: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Effect of Repeal or Modification</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5.12</w:t>
            </w:r>
          </w:p>
        </w:tc>
        <w:tc>
          <w:tcPr>
            <w:tcW w:w="870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Certain Definitions</w:t>
            </w:r>
          </w:p>
        </w:tc>
        <w:tc>
          <w:tcPr>
            <w:tcW w:w="19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20" w:type="dxa"/>
            <w:vAlign w:val="bottom"/>
            <w:gridSpan w:val="2"/>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ARTICLE VI — STOCK</w:t>
            </w:r>
          </w:p>
        </w:tc>
        <w:tc>
          <w:tcPr>
            <w:tcW w:w="19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6.1</w:t>
            </w:r>
          </w:p>
        </w:tc>
        <w:tc>
          <w:tcPr>
            <w:tcW w:w="870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Stock Certificates; Partly Paid Shares</w:t>
            </w:r>
          </w:p>
        </w:tc>
        <w:tc>
          <w:tcPr>
            <w:tcW w:w="19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6.2</w:t>
            </w: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Special Designation on Certificates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6.3</w:t>
            </w:r>
          </w:p>
        </w:tc>
        <w:tc>
          <w:tcPr>
            <w:tcW w:w="870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Lost Certificates</w:t>
            </w:r>
          </w:p>
        </w:tc>
        <w:tc>
          <w:tcPr>
            <w:tcW w:w="19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6.4</w:t>
            </w: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Dividends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6.5</w:t>
            </w:r>
          </w:p>
        </w:tc>
        <w:tc>
          <w:tcPr>
            <w:tcW w:w="870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Stock Transfer Agreements</w:t>
            </w:r>
          </w:p>
        </w:tc>
        <w:tc>
          <w:tcPr>
            <w:tcW w:w="19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6.6</w:t>
            </w: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Registered Stockholders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6.7</w:t>
            </w:r>
          </w:p>
        </w:tc>
        <w:tc>
          <w:tcPr>
            <w:tcW w:w="870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Transfers</w:t>
            </w:r>
          </w:p>
        </w:tc>
        <w:tc>
          <w:tcPr>
            <w:tcW w:w="19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20" w:type="dxa"/>
            <w:vAlign w:val="bottom"/>
            <w:gridSpan w:val="2"/>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ARTICLE VII — MANNER OF GIVING NOTICE AND WAIVER</w:t>
            </w:r>
          </w:p>
        </w:tc>
        <w:tc>
          <w:tcPr>
            <w:tcW w:w="19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7.1</w:t>
            </w:r>
          </w:p>
        </w:tc>
        <w:tc>
          <w:tcPr>
            <w:tcW w:w="870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Notice of Stockholder Meetings</w:t>
            </w:r>
          </w:p>
        </w:tc>
        <w:tc>
          <w:tcPr>
            <w:tcW w:w="19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7.2</w:t>
            </w: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Notice by Electronic Transmission</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7.3</w:t>
            </w:r>
          </w:p>
        </w:tc>
        <w:tc>
          <w:tcPr>
            <w:tcW w:w="870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Notice to Stockholders Sharing an Address</w:t>
            </w:r>
          </w:p>
        </w:tc>
        <w:tc>
          <w:tcPr>
            <w:tcW w:w="19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7.4</w:t>
            </w: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Notice to Person with Whom Communication is Unlawful</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7.5</w:t>
            </w:r>
          </w:p>
        </w:tc>
        <w:tc>
          <w:tcPr>
            <w:tcW w:w="870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Waiver of Notice</w:t>
            </w:r>
          </w:p>
        </w:tc>
        <w:tc>
          <w:tcPr>
            <w:tcW w:w="19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20" w:type="dxa"/>
            <w:vAlign w:val="bottom"/>
            <w:gridSpan w:val="2"/>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ARTICLE VIII —</w:t>
            </w:r>
          </w:p>
        </w:tc>
        <w:tc>
          <w:tcPr>
            <w:tcW w:w="19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20" w:type="dxa"/>
            <w:vAlign w:val="bottom"/>
            <w:gridSpan w:val="2"/>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ARTICLE IX — GENERAL MATTERS</w:t>
            </w:r>
          </w:p>
        </w:tc>
        <w:tc>
          <w:tcPr>
            <w:tcW w:w="19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9.1</w:t>
            </w:r>
          </w:p>
        </w:tc>
        <w:tc>
          <w:tcPr>
            <w:tcW w:w="870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Fiscal Year</w:t>
            </w:r>
          </w:p>
        </w:tc>
        <w:tc>
          <w:tcPr>
            <w:tcW w:w="19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9.2</w:t>
            </w: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Seal</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9.3</w:t>
            </w:r>
          </w:p>
        </w:tc>
        <w:tc>
          <w:tcPr>
            <w:tcW w:w="870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Annual Report</w:t>
            </w:r>
          </w:p>
        </w:tc>
        <w:tc>
          <w:tcPr>
            <w:tcW w:w="19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9.4</w:t>
            </w: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b w:val="1"/>
                <w:bCs w:val="1"/>
                <w:i w:val="1"/>
                <w:iCs w:val="1"/>
                <w:color w:val="auto"/>
              </w:rPr>
              <w:t>Construction; Definitions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20" w:type="dxa"/>
            <w:vAlign w:val="bottom"/>
            <w:gridSpan w:val="2"/>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 — AMENDMENTS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39"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 — MEETINGS OF STOCKHOLDERS</w:t>
      </w:r>
    </w:p>
    <w:p>
      <w:pPr>
        <w:spacing w:after="0" w:line="225" w:lineRule="exact"/>
        <w:rPr>
          <w:sz w:val="20"/>
          <w:szCs w:val="20"/>
          <w:color w:val="auto"/>
        </w:rPr>
      </w:pPr>
    </w:p>
    <w:p>
      <w:pPr>
        <w:ind w:right="80" w:firstLine="441"/>
        <w:spacing w:after="0" w:line="258"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i w:val="1"/>
          <w:iCs w:val="1"/>
          <w:color w:val="auto"/>
        </w:rPr>
        <w:t>Place of Meetings</w:t>
      </w:r>
      <w:r>
        <w:rPr>
          <w:rFonts w:ascii="Arial" w:cs="Arial" w:eastAsia="Arial" w:hAnsi="Arial"/>
          <w:sz w:val="18"/>
          <w:szCs w:val="18"/>
          <w:color w:val="auto"/>
        </w:rPr>
        <w:t>. Meetings of stockholders of XpresSpa Group, Inc. (the “</w:t>
      </w:r>
      <w:r>
        <w:rPr>
          <w:rFonts w:ascii="Arial" w:cs="Arial" w:eastAsia="Arial" w:hAnsi="Arial"/>
          <w:sz w:val="18"/>
          <w:szCs w:val="18"/>
          <w:b w:val="1"/>
          <w:bCs w:val="1"/>
          <w:color w:val="auto"/>
        </w:rPr>
        <w:t>Company</w:t>
      </w:r>
      <w:r>
        <w:rPr>
          <w:rFonts w:ascii="Arial" w:cs="Arial" w:eastAsia="Arial" w:hAnsi="Arial"/>
          <w:sz w:val="18"/>
          <w:szCs w:val="18"/>
          <w:color w:val="auto"/>
        </w:rPr>
        <w:t>”) shall be held at any place, within or outside the State of Delaware, determined by the Company’s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The Board may, in its sole discretion, determine that a meeting of stockholders shall not be held at any place, but may instead be held solely by means of remote communication as authorized by Section 211(a)(2) of the Delaware General Corporation Law (the “</w:t>
      </w:r>
      <w:r>
        <w:rPr>
          <w:rFonts w:ascii="Arial" w:cs="Arial" w:eastAsia="Arial" w:hAnsi="Arial"/>
          <w:sz w:val="18"/>
          <w:szCs w:val="18"/>
          <w:b w:val="1"/>
          <w:bCs w:val="1"/>
          <w:color w:val="auto"/>
        </w:rPr>
        <w:t>DGCL</w:t>
      </w:r>
      <w:r>
        <w:rPr>
          <w:rFonts w:ascii="Arial" w:cs="Arial" w:eastAsia="Arial" w:hAnsi="Arial"/>
          <w:sz w:val="18"/>
          <w:szCs w:val="18"/>
          <w:color w:val="auto"/>
        </w:rPr>
        <w:t>”). In the absence of any such designation or determination, stockholders’ meetings shall be held at the Company’s principal executive office.</w:t>
      </w:r>
    </w:p>
    <w:p>
      <w:pPr>
        <w:spacing w:after="0" w:line="188"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xml:space="preserve">. An annual meeting of stockholders shall be held for the election of directors at such date and time as may be designated by resolution of the Board from time to time. Any other proper business may be transacted at the annual meeting. The Company shall not be required to hold an annual meeting of stockholders,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stockholders are permitted to act by written consent under the Company’s certificate of incorporation and these bylaws, (ii) the stockholders take action by written consent to elect directors and (iii) the stockholders unanimously consent to such action or, if such consent is less than unanimous, all of the directorships to which directors could be elected at an annual meeting held at the effective time of such action are vacant and are filled by such action.</w:t>
      </w:r>
    </w:p>
    <w:p>
      <w:pPr>
        <w:spacing w:after="0" w:line="193"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i w:val="1"/>
          <w:iCs w:val="1"/>
          <w:color w:val="auto"/>
        </w:rPr>
        <w:t>Special Meeting</w:t>
      </w:r>
      <w:r>
        <w:rPr>
          <w:rFonts w:ascii="Arial" w:cs="Arial" w:eastAsia="Arial" w:hAnsi="Arial"/>
          <w:sz w:val="18"/>
          <w:szCs w:val="18"/>
          <w:color w:val="auto"/>
        </w:rPr>
        <w:t>. A special meeting of the stockholders may be called at any time by the Board, Chairperson of the Board, Chief Executive Officer or President (in the absence of a Chief Executive Officer) or by one or more stockholders holding shares in the aggregate entitled to cast not less than 10% of the votes at that meeting.</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person(s) other than the Board calls a special meeting, the request shall:</w:t>
      </w:r>
    </w:p>
    <w:p>
      <w:pPr>
        <w:spacing w:after="0" w:line="225" w:lineRule="exact"/>
        <w:rPr>
          <w:sz w:val="20"/>
          <w:szCs w:val="20"/>
          <w:color w:val="auto"/>
        </w:rPr>
      </w:pPr>
    </w:p>
    <w:p>
      <w:pPr>
        <w:ind w:left="1100" w:hanging="211"/>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 in writing;</w:t>
      </w:r>
    </w:p>
    <w:p>
      <w:pPr>
        <w:spacing w:after="0" w:line="23" w:lineRule="exact"/>
        <w:rPr>
          <w:rFonts w:ascii="Arial" w:cs="Arial" w:eastAsia="Arial" w:hAnsi="Arial"/>
          <w:sz w:val="18"/>
          <w:szCs w:val="18"/>
          <w:color w:val="auto"/>
        </w:rPr>
      </w:pPr>
    </w:p>
    <w:p>
      <w:pPr>
        <w:ind w:left="1160" w:hanging="271"/>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specify the time of such meeting and the general nature of the business proposed to be transacted; and</w:t>
      </w:r>
    </w:p>
    <w:p>
      <w:pPr>
        <w:spacing w:after="0" w:line="9" w:lineRule="exact"/>
        <w:rPr>
          <w:rFonts w:ascii="Arial" w:cs="Arial" w:eastAsia="Arial" w:hAnsi="Arial"/>
          <w:sz w:val="18"/>
          <w:szCs w:val="18"/>
          <w:color w:val="auto"/>
        </w:rPr>
      </w:pPr>
    </w:p>
    <w:p>
      <w:pPr>
        <w:ind w:left="440" w:right="140" w:firstLine="449"/>
        <w:spacing w:after="0" w:line="261" w:lineRule="auto"/>
        <w:tabs>
          <w:tab w:leader="none" w:pos="1196" w:val="left"/>
        </w:tabs>
        <w:numPr>
          <w:ilvl w:val="0"/>
          <w:numId w:val="2"/>
        </w:numPr>
        <w:rPr>
          <w:rFonts w:ascii="Arial" w:cs="Arial" w:eastAsia="Arial" w:hAnsi="Arial"/>
          <w:sz w:val="18"/>
          <w:szCs w:val="18"/>
          <w:color w:val="auto"/>
        </w:rPr>
      </w:pPr>
      <w:r>
        <w:rPr>
          <w:rFonts w:ascii="Arial" w:cs="Arial" w:eastAsia="Arial" w:hAnsi="Arial"/>
          <w:sz w:val="18"/>
          <w:szCs w:val="18"/>
          <w:color w:val="auto"/>
        </w:rPr>
        <w:t>be delivered personally or sent by registered mail or by facsimile transmission to the Chairperson of the Board, the Chief Executive Officer, the President (in the absence of a Chief Executive Officer) or the Secretary of the Company.</w:t>
      </w:r>
    </w:p>
    <w:p>
      <w:pPr>
        <w:spacing w:after="0" w:line="184"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 xml:space="preserve">The officer(s) receiving the request shall cause notice to be promptly given to the stockholders entitled to vote at such meeting, in accordance with these bylaws, that a meeting will be held at the time requested by the person or persons calling the meeting. No business may be transacted at such special meeting other than the business specified in such notice to stockholders. Nothing contained in this paragraph of this </w:t>
      </w:r>
      <w:r>
        <w:rPr>
          <w:rFonts w:ascii="Arial" w:cs="Arial" w:eastAsia="Arial" w:hAnsi="Arial"/>
          <w:sz w:val="17"/>
          <w:szCs w:val="17"/>
          <w:b w:val="1"/>
          <w:bCs w:val="1"/>
          <w:color w:val="auto"/>
        </w:rPr>
        <w:t>section 1.3</w:t>
      </w:r>
      <w:r>
        <w:rPr>
          <w:rFonts w:ascii="Arial" w:cs="Arial" w:eastAsia="Arial" w:hAnsi="Arial"/>
          <w:sz w:val="17"/>
          <w:szCs w:val="17"/>
          <w:color w:val="auto"/>
        </w:rPr>
        <w:t xml:space="preserve"> shall be construed as limiting, fixing, or affecting the time when a meeting of stockholders called by action of the Board may be held.</w:t>
      </w:r>
    </w:p>
    <w:p>
      <w:pPr>
        <w:spacing w:after="0" w:line="171" w:lineRule="exact"/>
        <w:rPr>
          <w:sz w:val="20"/>
          <w:szCs w:val="20"/>
          <w:color w:val="auto"/>
        </w:rPr>
      </w:pPr>
    </w:p>
    <w:p>
      <w:pPr>
        <w:jc w:val="both"/>
        <w:ind w:right="80" w:firstLine="441"/>
        <w:spacing w:after="0" w:line="297"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b w:val="1"/>
          <w:bCs w:val="1"/>
          <w:i w:val="1"/>
          <w:iCs w:val="1"/>
          <w:color w:val="auto"/>
        </w:rPr>
        <w:t>Notice of Stockholders’ Meetings</w:t>
      </w:r>
      <w:r>
        <w:rPr>
          <w:rFonts w:ascii="Arial" w:cs="Arial" w:eastAsia="Arial" w:hAnsi="Arial"/>
          <w:sz w:val="16"/>
          <w:szCs w:val="16"/>
          <w:color w:val="auto"/>
        </w:rPr>
        <w:t>. Whenever stockholders are required or permitted to take any action at a meeting, a written notice of the meeting shall be given which shall state the place, if any, date and hour of the meeting, the means of remote communication, if any, by which stockholders and proxy holders may be deemed to be present in person and vote at such meeting, and, in the case of a special meeting, the purpose or purposes for which the meeting is called. Except as otherwise provided in the DGCL, the certificate of incorporation or these bylaws, the written notice of any meeting of stockholders shall be given not less than 10 nor more than 60 days before the date of the meeting to each stockholder entitled to vote at such meeting.</w:t>
      </w:r>
    </w:p>
    <w:p>
      <w:pPr>
        <w:spacing w:after="0" w:line="36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ind w:right="100" w:firstLine="441"/>
        <w:spacing w:after="0" w:line="297"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b w:val="1"/>
          <w:bCs w:val="1"/>
          <w:i w:val="1"/>
          <w:iCs w:val="1"/>
          <w:color w:val="auto"/>
        </w:rPr>
        <w:t>Quorum</w:t>
      </w:r>
      <w:r>
        <w:rPr>
          <w:rFonts w:ascii="Arial" w:cs="Arial" w:eastAsia="Arial" w:hAnsi="Arial"/>
          <w:sz w:val="16"/>
          <w:szCs w:val="16"/>
          <w:color w:val="auto"/>
        </w:rPr>
        <w:t xml:space="preserve">. Except as otherwise provided by law, the certificate of incorporation or these bylaws, at each meeting of stockholders the presence in person or by proxy of the holders of shares of stock having a majority of the votes which could be cast by the holders of all outstanding shares of stock entitled to vote at the meeting shall be necessary and sufficient to constitute a quorum. If, however, such quorum is not present or represented at any meeting of the stockholders, then either (i) the chairperson of the meeting, or (ii) the stockholders entitled to vote at the meeting, present in person or represented by proxy, shall have the power to adjourn the meeting from time to time, in the manner provided in </w:t>
      </w:r>
      <w:r>
        <w:rPr>
          <w:rFonts w:ascii="Arial" w:cs="Arial" w:eastAsia="Arial" w:hAnsi="Arial"/>
          <w:sz w:val="16"/>
          <w:szCs w:val="16"/>
          <w:b w:val="1"/>
          <w:bCs w:val="1"/>
          <w:color w:val="auto"/>
        </w:rPr>
        <w:t>section 1.6</w:t>
      </w:r>
      <w:r>
        <w:rPr>
          <w:rFonts w:ascii="Arial" w:cs="Arial" w:eastAsia="Arial" w:hAnsi="Arial"/>
          <w:sz w:val="16"/>
          <w:szCs w:val="16"/>
          <w:color w:val="auto"/>
        </w:rPr>
        <w:t>, until a quorum is present or represented.</w:t>
      </w:r>
    </w:p>
    <w:p>
      <w:pPr>
        <w:spacing w:after="0" w:line="158"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b w:val="1"/>
          <w:bCs w:val="1"/>
          <w:i w:val="1"/>
          <w:iCs w:val="1"/>
          <w:color w:val="auto"/>
        </w:rPr>
        <w:t>Adjourned Meeting; Notice</w:t>
      </w:r>
      <w:r>
        <w:rPr>
          <w:rFonts w:ascii="Arial" w:cs="Arial" w:eastAsia="Arial" w:hAnsi="Arial"/>
          <w:sz w:val="17"/>
          <w:szCs w:val="17"/>
          <w:color w:val="auto"/>
        </w:rPr>
        <w:t>. Any meeting of stockholders, annual or special, may adjourn from time to time to reconvene at the same or some other place, and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Company may transact any business which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meeting.</w:t>
      </w:r>
    </w:p>
    <w:p>
      <w:pPr>
        <w:spacing w:after="0" w:line="178"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b w:val="1"/>
          <w:bCs w:val="1"/>
          <w:i w:val="1"/>
          <w:iCs w:val="1"/>
          <w:color w:val="auto"/>
        </w:rPr>
        <w:t>Conduct of Business</w:t>
      </w:r>
      <w:r>
        <w:rPr>
          <w:rFonts w:ascii="Arial" w:cs="Arial" w:eastAsia="Arial" w:hAnsi="Arial"/>
          <w:sz w:val="16"/>
          <w:szCs w:val="16"/>
          <w:color w:val="auto"/>
        </w:rPr>
        <w:t>. Meetings of stockholders shall be presided over by the Chairperson of the Board, if any, or in his or her absence by the Vice Chairperson of the Board, if any, or in the absence of the foregoing persons by the Chief Executive Officer, or in the absence of the foregoing persons by the President, or in the absence of the foregoing persons by a Vice President, or in the absence of the foregoing persons by a chairperson designated by the Board, or in the absence of such designation by a chairperson chosen at the meeting. The Secretary shall act as secretary of the meeting, but in his or her absence the chairperson of the meeting may appoint any person to act as secretary of the meeting. The chairperson of any meeting of stockholders shall determine the order of business and the procedure at the meeting, including such regulation of the manner of voting and the conduct of business.</w:t>
      </w:r>
    </w:p>
    <w:p>
      <w:pPr>
        <w:spacing w:after="0" w:line="161" w:lineRule="exact"/>
        <w:rPr>
          <w:sz w:val="20"/>
          <w:szCs w:val="20"/>
          <w:color w:val="auto"/>
        </w:rPr>
      </w:pPr>
    </w:p>
    <w:p>
      <w:pPr>
        <w:ind w:right="60" w:firstLine="441"/>
        <w:spacing w:after="0" w:line="266"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i w:val="1"/>
          <w:iCs w:val="1"/>
          <w:color w:val="auto"/>
        </w:rPr>
        <w:t>Voting</w:t>
      </w:r>
      <w:r>
        <w:rPr>
          <w:rFonts w:ascii="Arial" w:cs="Arial" w:eastAsia="Arial" w:hAnsi="Arial"/>
          <w:sz w:val="18"/>
          <w:szCs w:val="18"/>
          <w:color w:val="auto"/>
        </w:rPr>
        <w:t xml:space="preserve">. The stockholders entitled to vote at any meeting of stockholders shall be determined in accordance with the provisions of </w:t>
      </w:r>
      <w:r>
        <w:rPr>
          <w:rFonts w:ascii="Arial" w:cs="Arial" w:eastAsia="Arial" w:hAnsi="Arial"/>
          <w:sz w:val="18"/>
          <w:szCs w:val="18"/>
          <w:b w:val="1"/>
          <w:bCs w:val="1"/>
          <w:color w:val="auto"/>
        </w:rPr>
        <w:t>section 1.10</w:t>
      </w:r>
      <w:r>
        <w:rPr>
          <w:rFonts w:ascii="Arial" w:cs="Arial" w:eastAsia="Arial" w:hAnsi="Arial"/>
          <w:sz w:val="18"/>
          <w:szCs w:val="18"/>
          <w:color w:val="auto"/>
        </w:rPr>
        <w:t xml:space="preserve"> of these bylaws, subject to Section 217 (relating to voting rights of fiduciaries, pledgors and joint owners of stock) and Section 218 (relating to voting trusts and other voting agreements) of the DGCL.</w:t>
      </w:r>
    </w:p>
    <w:p>
      <w:pPr>
        <w:spacing w:after="0" w:line="180"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 xml:space="preserve">Except as may be otherwise provided in the certificate of incorporation, each stockholder entitled to vote at any meeting of stockholders shall be entitled to one vote for each share of capital stock held by such stockholder which has voting power upon the matter in question. Voting at meetings of stockholders need not be by written ballot and, unless otherwise required by law, need not be conducted by inspectors of election unless so determined by the holders of shares of stock having a majority of the votes which could be cast by the holders of all outstanding shares of stock entitled to vote thereon which are present in person or by proxy at such meeting. If authorized by the Board, such requirement of a written ballot shall be satisfied by a ballot submitted by electronic transmission (as defined in </w:t>
      </w:r>
      <w:r>
        <w:rPr>
          <w:rFonts w:ascii="Arial" w:cs="Arial" w:eastAsia="Arial" w:hAnsi="Arial"/>
          <w:sz w:val="16"/>
          <w:szCs w:val="16"/>
          <w:b w:val="1"/>
          <w:bCs w:val="1"/>
          <w:color w:val="auto"/>
        </w:rPr>
        <w:t>section 7.2</w:t>
      </w:r>
      <w:r>
        <w:rPr>
          <w:rFonts w:ascii="Arial" w:cs="Arial" w:eastAsia="Arial" w:hAnsi="Arial"/>
          <w:sz w:val="16"/>
          <w:szCs w:val="16"/>
          <w:color w:val="auto"/>
        </w:rPr>
        <w:t xml:space="preserve"> of these bylaws),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electronic transmission must either set forth or be submitted with information from which it can be determined that the electronic transmission was authorized by the stockholder or proxy holder.</w:t>
      </w:r>
    </w:p>
    <w:p>
      <w:pPr>
        <w:spacing w:after="0" w:line="167"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Except as otherwise required by law, the certificate of incorporation or these bylaws,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 w:name="page9"/>
    <w:bookmarkEnd w:id="8"/>
    <w:p>
      <w:pPr>
        <w:ind w:firstLine="441"/>
        <w:spacing w:after="0" w:line="276" w:lineRule="auto"/>
        <w:rPr>
          <w:sz w:val="20"/>
          <w:szCs w:val="20"/>
          <w:color w:val="auto"/>
        </w:rPr>
      </w:pPr>
      <w:r>
        <w:rPr>
          <w:rFonts w:ascii="Arial" w:cs="Arial" w:eastAsia="Arial" w:hAnsi="Arial"/>
          <w:sz w:val="17"/>
          <w:szCs w:val="17"/>
          <w:color w:val="auto"/>
        </w:rPr>
        <w:t xml:space="preserve">1.9 </w:t>
      </w:r>
      <w:r>
        <w:rPr>
          <w:rFonts w:ascii="Arial" w:cs="Arial" w:eastAsia="Arial" w:hAnsi="Arial"/>
          <w:sz w:val="17"/>
          <w:szCs w:val="17"/>
          <w:b w:val="1"/>
          <w:bCs w:val="1"/>
          <w:i w:val="1"/>
          <w:iCs w:val="1"/>
          <w:color w:val="auto"/>
        </w:rPr>
        <w:t>Stockholder Action by Written Consent Without a Meeting</w:t>
      </w:r>
      <w:r>
        <w:rPr>
          <w:rFonts w:ascii="Arial" w:cs="Arial" w:eastAsia="Arial" w:hAnsi="Arial"/>
          <w:sz w:val="17"/>
          <w:szCs w:val="17"/>
          <w:color w:val="auto"/>
        </w:rPr>
        <w:t>. Unless otherwise provided in the certificate of incorporation, any action required by the DGCL to be taken at any annual or special meeting of stockholders of a corporation, or any action which may be taken at any annual or special meeting of such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w:t>
      </w:r>
    </w:p>
    <w:p>
      <w:pPr>
        <w:spacing w:after="0" w:line="169" w:lineRule="exact"/>
        <w:rPr>
          <w:sz w:val="20"/>
          <w:szCs w:val="20"/>
          <w:color w:val="auto"/>
        </w:rPr>
      </w:pPr>
    </w:p>
    <w:p>
      <w:pPr>
        <w:ind w:right="180" w:firstLine="441"/>
        <w:spacing w:after="0" w:line="277" w:lineRule="auto"/>
        <w:rPr>
          <w:sz w:val="20"/>
          <w:szCs w:val="20"/>
          <w:color w:val="auto"/>
        </w:rPr>
      </w:pPr>
      <w:r>
        <w:rPr>
          <w:rFonts w:ascii="Arial" w:cs="Arial" w:eastAsia="Arial" w:hAnsi="Arial"/>
          <w:sz w:val="17"/>
          <w:szCs w:val="17"/>
          <w:color w:val="auto"/>
        </w:rPr>
        <w:t xml:space="preserve">An electronic transmission (as defined in </w:t>
      </w:r>
      <w:r>
        <w:rPr>
          <w:rFonts w:ascii="Arial" w:cs="Arial" w:eastAsia="Arial" w:hAnsi="Arial"/>
          <w:sz w:val="17"/>
          <w:szCs w:val="17"/>
          <w:b w:val="1"/>
          <w:bCs w:val="1"/>
          <w:color w:val="auto"/>
        </w:rPr>
        <w:t>section 7.2</w:t>
      </w:r>
      <w:r>
        <w:rPr>
          <w:rFonts w:ascii="Arial" w:cs="Arial" w:eastAsia="Arial" w:hAnsi="Arial"/>
          <w:sz w:val="17"/>
          <w:szCs w:val="17"/>
          <w:color w:val="auto"/>
        </w:rPr>
        <w:t xml:space="preserve">) consenting to an action to be taken and transmitted by a stockholder or proxy holder, or by a person or persons authorized to act for a stockholder or proxy holder, shall be deemed to be written, signed and dated for purposes of this section,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electronic transmission sets forth or is delivered with information from which the Company can determine (i) that the electronic transmission was transmitted by the stockholder or proxy holder or by a person or persons authorized to act for the stockholder or proxy holder and (ii) the date on which such stockholder or proxy holder or authorized person or persons transmitted such electronic transmission.</w:t>
      </w:r>
    </w:p>
    <w:p>
      <w:pPr>
        <w:spacing w:after="0" w:line="172" w:lineRule="exact"/>
        <w:rPr>
          <w:sz w:val="20"/>
          <w:szCs w:val="20"/>
          <w:color w:val="auto"/>
        </w:rPr>
      </w:pPr>
    </w:p>
    <w:p>
      <w:pPr>
        <w:ind w:right="180" w:firstLine="441"/>
        <w:spacing w:after="0" w:line="302" w:lineRule="auto"/>
        <w:rPr>
          <w:sz w:val="20"/>
          <w:szCs w:val="20"/>
          <w:color w:val="auto"/>
        </w:rPr>
      </w:pPr>
      <w:r>
        <w:rPr>
          <w:rFonts w:ascii="Arial" w:cs="Arial" w:eastAsia="Arial" w:hAnsi="Arial"/>
          <w:sz w:val="16"/>
          <w:szCs w:val="16"/>
          <w:color w:val="auto"/>
        </w:rPr>
        <w:t>In the event that the Board shall have instructed the officers of the Company to solicit the vote or written consent of the stockholders of the Company, an electronic transmission of a stockholder written consent given pursuant to such solicitation may be delivered to the Secretary or the President of the Company or to a person designated by the Secretary or the President. The Secretary or the President of the Company or a designee of the Secretary or the President shall cause any such written consent by electronic transmission to be reproduced in paper form and inserted into the corporate records.</w:t>
      </w:r>
    </w:p>
    <w:p>
      <w:pPr>
        <w:spacing w:after="0" w:line="154"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to take the action were delivered to the Company as provided in Section 228 of the DGCL. In the event that the action which is consented to is such as would have required the filing of a certificate under any provision of the DGCL, if such action had been voted on by stockholders at a meeting thereof, the certificate filed under such provision shall state, in lieu of any statement required by such provision concerning any vote of stockholders, that written consent has been given in accordance with Section 228 of the DGCL.</w:t>
      </w:r>
    </w:p>
    <w:p>
      <w:pPr>
        <w:spacing w:after="0" w:line="165" w:lineRule="exact"/>
        <w:rPr>
          <w:sz w:val="20"/>
          <w:szCs w:val="20"/>
          <w:color w:val="auto"/>
        </w:rPr>
      </w:pPr>
    </w:p>
    <w:p>
      <w:pPr>
        <w:ind w:right="80" w:firstLine="441"/>
        <w:spacing w:after="0" w:line="276" w:lineRule="auto"/>
        <w:rPr>
          <w:sz w:val="20"/>
          <w:szCs w:val="20"/>
          <w:color w:val="auto"/>
        </w:rPr>
      </w:pPr>
      <w:r>
        <w:rPr>
          <w:rFonts w:ascii="Arial" w:cs="Arial" w:eastAsia="Arial" w:hAnsi="Arial"/>
          <w:sz w:val="17"/>
          <w:szCs w:val="17"/>
          <w:color w:val="auto"/>
        </w:rPr>
        <w:t xml:space="preserve">1.10 </w:t>
      </w:r>
      <w:r>
        <w:rPr>
          <w:rFonts w:ascii="Arial" w:cs="Arial" w:eastAsia="Arial" w:hAnsi="Arial"/>
          <w:sz w:val="17"/>
          <w:szCs w:val="17"/>
          <w:b w:val="1"/>
          <w:bCs w:val="1"/>
          <w:i w:val="1"/>
          <w:iCs w:val="1"/>
          <w:color w:val="auto"/>
        </w:rPr>
        <w:t>Record Date for Stockholder Notice; Voting; Giving Consents</w:t>
      </w:r>
      <w:r>
        <w:rPr>
          <w:rFonts w:ascii="Arial" w:cs="Arial" w:eastAsia="Arial" w:hAnsi="Arial"/>
          <w:sz w:val="17"/>
          <w:szCs w:val="17"/>
          <w:color w:val="auto"/>
        </w:rPr>
        <w:t>. In order that the Company may determine the stockholders entitled to notice of or to vote at any meeting of stockholders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may fix a record date, which record date shall not precede the date upon which the resolution fixing the record date is adopted by the Board and which record date:</w:t>
      </w:r>
    </w:p>
    <w:p>
      <w:pPr>
        <w:spacing w:after="0" w:line="173" w:lineRule="exact"/>
        <w:rPr>
          <w:sz w:val="20"/>
          <w:szCs w:val="20"/>
          <w:color w:val="auto"/>
        </w:rPr>
      </w:pPr>
    </w:p>
    <w:p>
      <w:pPr>
        <w:ind w:left="440" w:right="60" w:firstLine="449"/>
        <w:spacing w:after="0" w:line="258" w:lineRule="auto"/>
        <w:tabs>
          <w:tab w:leader="none" w:pos="1096"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case of determination of stockholders entitled to notice of or to vote at any meeting of stockholders or adjournment thereof, shall, unless otherwise required by law, not be more than sixty nor less than ten days before the date of such meeting;</w:t>
      </w:r>
    </w:p>
    <w:p>
      <w:pPr>
        <w:spacing w:after="0" w:line="1" w:lineRule="exact"/>
        <w:rPr>
          <w:rFonts w:ascii="Arial" w:cs="Arial" w:eastAsia="Arial" w:hAnsi="Arial"/>
          <w:sz w:val="18"/>
          <w:szCs w:val="18"/>
          <w:color w:val="auto"/>
        </w:rPr>
      </w:pPr>
    </w:p>
    <w:p>
      <w:pPr>
        <w:ind w:left="440" w:right="340" w:firstLine="449"/>
        <w:spacing w:after="0" w:line="250" w:lineRule="auto"/>
        <w:tabs>
          <w:tab w:leader="none" w:pos="1146"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case of determination of stockholders entitled to express consent to corporate action in writing without a meeting, shall not be more than ten days after the date upon which the resolution fixing the record date is adopted by the Board; and</w:t>
      </w:r>
    </w:p>
    <w:p>
      <w:pPr>
        <w:ind w:left="1200" w:hanging="311"/>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case of determination of stockholders for any other action, shall not be more than 60 days prior to such other action.</w:t>
      </w:r>
    </w:p>
    <w:p>
      <w:pPr>
        <w:spacing w:after="0" w:line="200" w:lineRule="exact"/>
        <w:rPr>
          <w:sz w:val="20"/>
          <w:szCs w:val="20"/>
          <w:color w:val="auto"/>
        </w:rPr>
      </w:pP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ind w:left="440"/>
        <w:spacing w:after="0"/>
        <w:rPr>
          <w:sz w:val="20"/>
          <w:szCs w:val="20"/>
          <w:color w:val="auto"/>
        </w:rPr>
      </w:pPr>
      <w:r>
        <w:rPr>
          <w:rFonts w:ascii="Arial" w:cs="Arial" w:eastAsia="Arial" w:hAnsi="Arial"/>
          <w:sz w:val="18"/>
          <w:szCs w:val="18"/>
          <w:color w:val="auto"/>
        </w:rPr>
        <w:t>If no record date is fixed by the Board:</w:t>
      </w:r>
    </w:p>
    <w:p>
      <w:pPr>
        <w:spacing w:after="0" w:line="225" w:lineRule="exact"/>
        <w:rPr>
          <w:sz w:val="20"/>
          <w:szCs w:val="20"/>
          <w:color w:val="auto"/>
        </w:rPr>
      </w:pPr>
    </w:p>
    <w:p>
      <w:pPr>
        <w:ind w:left="440" w:firstLine="449"/>
        <w:spacing w:after="0" w:line="256" w:lineRule="auto"/>
        <w:tabs>
          <w:tab w:leader="none" w:pos="109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ind w:left="440" w:right="40" w:firstLine="449"/>
        <w:spacing w:after="0" w:line="250" w:lineRule="auto"/>
        <w:tabs>
          <w:tab w:leader="none" w:pos="114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express consent to corporate action in writing without a meeting when no prior action of the Board is required by law, shall be the first date on which a signed written consent setting forth the action taken or proposed to be taken is delivered to the Company in accordance with applicable law, or, if prior action by the Board is required by law, shall be at the close of business on the day on which the Board adopts the resolution taking such prior action; and</w:t>
      </w:r>
    </w:p>
    <w:p>
      <w:pPr>
        <w:spacing w:after="0" w:line="1" w:lineRule="exact"/>
        <w:rPr>
          <w:rFonts w:ascii="Arial" w:cs="Arial" w:eastAsia="Arial" w:hAnsi="Arial"/>
          <w:sz w:val="18"/>
          <w:szCs w:val="18"/>
          <w:color w:val="auto"/>
        </w:rPr>
      </w:pPr>
    </w:p>
    <w:p>
      <w:pPr>
        <w:ind w:left="440" w:right="40" w:firstLine="449"/>
        <w:spacing w:after="0" w:line="261" w:lineRule="auto"/>
        <w:tabs>
          <w:tab w:leader="none" w:pos="119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record date for determining stockholders for any other purpose shall be at the close of business on the day on which the Board adopts the resolution relating thereto.</w:t>
      </w:r>
    </w:p>
    <w:p>
      <w:pPr>
        <w:spacing w:after="0" w:line="184"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 xml:space="preserve">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Board may fix a new record date for the adjourned meeting.</w:t>
      </w:r>
    </w:p>
    <w:p>
      <w:pPr>
        <w:spacing w:after="0" w:line="170"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i w:val="1"/>
          <w:iCs w:val="1"/>
          <w:color w:val="auto"/>
        </w:rPr>
        <w:t>Proxies</w:t>
      </w:r>
      <w:r>
        <w:rPr>
          <w:rFonts w:ascii="Arial" w:cs="Arial" w:eastAsia="Arial" w:hAnsi="Arial"/>
          <w:sz w:val="18"/>
          <w:szCs w:val="18"/>
          <w:color w:val="auto"/>
        </w:rPr>
        <w:t>. Each stockholder entitled to vote at a meeting of stockholders or to express consent or dissent to corporate action in writing without a meeting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w:t>
      </w:r>
    </w:p>
    <w:p>
      <w:pPr>
        <w:spacing w:after="0" w:line="188"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b w:val="1"/>
          <w:bCs w:val="1"/>
          <w:i w:val="1"/>
          <w:iCs w:val="1"/>
          <w:color w:val="auto"/>
        </w:rPr>
        <w:t>List of Stockholders Entitled to Vote</w:t>
      </w:r>
      <w:r>
        <w:rPr>
          <w:rFonts w:ascii="Arial" w:cs="Arial" w:eastAsia="Arial" w:hAnsi="Arial"/>
          <w:sz w:val="16"/>
          <w:szCs w:val="16"/>
          <w:color w:val="auto"/>
        </w:rPr>
        <w:t xml:space="preserve">. The officer who has charge of the stock ledger of the Company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at least ten days prior to the meeting: (i) on a reasonably accessible electronic network,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information required to gain access to such list is provided with the notice of the meeting, or (ii)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 — DIRECTORS</w:t>
      </w:r>
    </w:p>
    <w:p>
      <w:pPr>
        <w:spacing w:after="0" w:line="229"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i w:val="1"/>
          <w:iCs w:val="1"/>
          <w:color w:val="auto"/>
        </w:rPr>
        <w:t>Powers</w:t>
      </w:r>
      <w:r>
        <w:rPr>
          <w:rFonts w:ascii="Arial" w:cs="Arial" w:eastAsia="Arial" w:hAnsi="Arial"/>
          <w:sz w:val="18"/>
          <w:szCs w:val="18"/>
          <w:color w:val="auto"/>
        </w:rPr>
        <w:t>. The business and affairs of the Company shall be managed by or under the direction of the Board, except as may be otherwise provided in the DGCL or the certificate of incorporation.</w:t>
      </w:r>
    </w:p>
    <w:p>
      <w:pPr>
        <w:spacing w:after="0" w:line="170" w:lineRule="exact"/>
        <w:rPr>
          <w:sz w:val="20"/>
          <w:szCs w:val="20"/>
          <w:color w:val="auto"/>
        </w:rPr>
      </w:pPr>
    </w:p>
    <w:p>
      <w:pPr>
        <w:ind w:right="280" w:firstLine="441"/>
        <w:spacing w:after="0" w:line="286"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i w:val="1"/>
          <w:iCs w:val="1"/>
          <w:color w:val="auto"/>
        </w:rPr>
        <w:t>Number of Directors</w:t>
      </w:r>
      <w:r>
        <w:rPr>
          <w:rFonts w:ascii="Arial" w:cs="Arial" w:eastAsia="Arial" w:hAnsi="Arial"/>
          <w:sz w:val="17"/>
          <w:szCs w:val="17"/>
          <w:color w:val="auto"/>
        </w:rPr>
        <w:t>. The Board shall consist of one or more members, each of whom shall be a natural person. Unless the certificate of incorporation fixes the number of directors, the number of directors shall be determined from time to time by resolution of the Board. No reduction of the authorized number of directors shall have the effect of removing any director before that director’s term of office expires.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0" w:name="page11"/>
    <w:bookmarkEnd w:id="10"/>
    <w:p>
      <w:pPr>
        <w:ind w:right="40" w:firstLine="441"/>
        <w:spacing w:after="0" w:line="28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i w:val="1"/>
          <w:iCs w:val="1"/>
          <w:color w:val="auto"/>
        </w:rPr>
        <w:t>Election, Qualification and Term of Office of Directors</w:t>
      </w:r>
      <w:r>
        <w:rPr>
          <w:rFonts w:ascii="Arial" w:cs="Arial" w:eastAsia="Arial" w:hAnsi="Arial"/>
          <w:sz w:val="17"/>
          <w:szCs w:val="17"/>
          <w:color w:val="auto"/>
        </w:rPr>
        <w:t xml:space="preserve">. Except as provided in </w:t>
      </w:r>
      <w:r>
        <w:rPr>
          <w:rFonts w:ascii="Arial" w:cs="Arial" w:eastAsia="Arial" w:hAnsi="Arial"/>
          <w:sz w:val="17"/>
          <w:szCs w:val="17"/>
          <w:b w:val="1"/>
          <w:bCs w:val="1"/>
          <w:color w:val="auto"/>
        </w:rPr>
        <w:t>section 2.4</w:t>
      </w:r>
      <w:r>
        <w:rPr>
          <w:rFonts w:ascii="Arial" w:cs="Arial" w:eastAsia="Arial" w:hAnsi="Arial"/>
          <w:sz w:val="17"/>
          <w:szCs w:val="17"/>
          <w:color w:val="auto"/>
        </w:rPr>
        <w:t xml:space="preserve"> of these bylaws, and subject to </w:t>
      </w:r>
      <w:r>
        <w:rPr>
          <w:rFonts w:ascii="Arial" w:cs="Arial" w:eastAsia="Arial" w:hAnsi="Arial"/>
          <w:sz w:val="17"/>
          <w:szCs w:val="17"/>
          <w:b w:val="1"/>
          <w:bCs w:val="1"/>
          <w:color w:val="auto"/>
        </w:rPr>
        <w:t>sections 1.2</w:t>
      </w:r>
      <w:r>
        <w:rPr>
          <w:rFonts w:ascii="Arial" w:cs="Arial" w:eastAsia="Arial" w:hAnsi="Arial"/>
          <w:sz w:val="17"/>
          <w:szCs w:val="17"/>
          <w:color w:val="auto"/>
        </w:rPr>
        <w:t xml:space="preserve"> and </w:t>
      </w:r>
      <w:r>
        <w:rPr>
          <w:rFonts w:ascii="Arial" w:cs="Arial" w:eastAsia="Arial" w:hAnsi="Arial"/>
          <w:sz w:val="17"/>
          <w:szCs w:val="17"/>
          <w:b w:val="1"/>
          <w:bCs w:val="1"/>
          <w:color w:val="auto"/>
        </w:rPr>
        <w:t>1.9</w:t>
      </w:r>
      <w:r>
        <w:rPr>
          <w:rFonts w:ascii="Arial" w:cs="Arial" w:eastAsia="Arial" w:hAnsi="Arial"/>
          <w:sz w:val="17"/>
          <w:szCs w:val="17"/>
          <w:color w:val="auto"/>
        </w:rPr>
        <w:t xml:space="preserve"> of these bylaws, directors shall be elected at each annual meeting of stockholders. Directors need not be stockholders unless so required by the certificate of incorporation or these bylaws. The certificate of incorporation or these bylaws may prescribe other qualifications for directors. Each director shall hold office until such director’s successor is elected and qualified or until such director’s earlier death, resignation or removal.</w:t>
      </w:r>
    </w:p>
    <w:p>
      <w:pPr>
        <w:spacing w:after="0" w:line="169"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b w:val="1"/>
          <w:bCs w:val="1"/>
          <w:i w:val="1"/>
          <w:iCs w:val="1"/>
          <w:color w:val="auto"/>
        </w:rPr>
        <w:t>Resignation and Vacancies</w:t>
      </w:r>
      <w:r>
        <w:rPr>
          <w:rFonts w:ascii="Arial" w:cs="Arial" w:eastAsia="Arial" w:hAnsi="Arial"/>
          <w:sz w:val="17"/>
          <w:szCs w:val="17"/>
          <w:color w:val="auto"/>
        </w:rPr>
        <w:t>. 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provided in the certificate of incorporation or these bylaws:</w:t>
      </w:r>
    </w:p>
    <w:p>
      <w:pPr>
        <w:spacing w:after="0" w:line="225" w:lineRule="exact"/>
        <w:rPr>
          <w:sz w:val="20"/>
          <w:szCs w:val="20"/>
          <w:color w:val="auto"/>
        </w:rPr>
      </w:pPr>
    </w:p>
    <w:p>
      <w:pPr>
        <w:jc w:val="both"/>
        <w:ind w:left="440" w:right="80" w:firstLine="449"/>
        <w:spacing w:after="0" w:line="256" w:lineRule="auto"/>
        <w:tabs>
          <w:tab w:leader="none" w:pos="1096" w:val="left"/>
        </w:tabs>
        <w:numPr>
          <w:ilvl w:val="0"/>
          <w:numId w:val="5"/>
        </w:numPr>
        <w:rPr>
          <w:rFonts w:ascii="Arial" w:cs="Arial" w:eastAsia="Arial" w:hAnsi="Arial"/>
          <w:sz w:val="18"/>
          <w:szCs w:val="18"/>
          <w:color w:val="auto"/>
        </w:rPr>
      </w:pPr>
      <w:r>
        <w:rPr>
          <w:rFonts w:ascii="Arial" w:cs="Arial" w:eastAsia="Arial" w:hAnsi="Arial"/>
          <w:sz w:val="18"/>
          <w:szCs w:val="18"/>
          <w:color w:val="auto"/>
        </w:rPr>
        <w:t>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w:t>
      </w:r>
    </w:p>
    <w:p>
      <w:pPr>
        <w:jc w:val="both"/>
        <w:ind w:left="440" w:right="400" w:firstLine="449"/>
        <w:spacing w:after="0" w:line="277" w:lineRule="auto"/>
        <w:tabs>
          <w:tab w:leader="none" w:pos="1146" w:val="left"/>
        </w:tabs>
        <w:numPr>
          <w:ilvl w:val="0"/>
          <w:numId w:val="5"/>
        </w:numPr>
        <w:rPr>
          <w:rFonts w:ascii="Arial" w:cs="Arial" w:eastAsia="Arial" w:hAnsi="Arial"/>
          <w:sz w:val="17"/>
          <w:szCs w:val="17"/>
          <w:color w:val="auto"/>
        </w:rPr>
      </w:pPr>
      <w:r>
        <w:rPr>
          <w:rFonts w:ascii="Arial" w:cs="Arial" w:eastAsia="Arial" w:hAnsi="Arial"/>
          <w:sz w:val="17"/>
          <w:szCs w:val="17"/>
          <w:color w:val="auto"/>
        </w:rPr>
        <w:t>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w:t>
      </w:r>
    </w:p>
    <w:p>
      <w:pPr>
        <w:spacing w:after="0" w:line="173" w:lineRule="exact"/>
        <w:rPr>
          <w:sz w:val="20"/>
          <w:szCs w:val="20"/>
          <w:color w:val="auto"/>
        </w:rPr>
      </w:pPr>
    </w:p>
    <w:p>
      <w:pPr>
        <w:jc w:val="both"/>
        <w:ind w:right="120" w:firstLine="441"/>
        <w:spacing w:after="0" w:line="279" w:lineRule="auto"/>
        <w:rPr>
          <w:sz w:val="20"/>
          <w:szCs w:val="20"/>
          <w:color w:val="auto"/>
        </w:rPr>
      </w:pPr>
      <w:r>
        <w:rPr>
          <w:rFonts w:ascii="Arial" w:cs="Arial" w:eastAsia="Arial" w:hAnsi="Arial"/>
          <w:sz w:val="17"/>
          <w:szCs w:val="17"/>
          <w:color w:val="auto"/>
        </w:rPr>
        <w:t>If at any time, by reason of death or resignation or other cause, the Company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DGCL.</w:t>
      </w:r>
    </w:p>
    <w:p>
      <w:pPr>
        <w:spacing w:after="0" w:line="171"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If, at the time of filling any vacancy or any newly created directorship, the directors then in office constitute less than a majority of the whole Board (as constituted immediately prior to any such increase), the Court of Chancery may, upon application of any stockholder or stockholders holding at least 10% of the voting stock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DGCL as far as applicable.</w:t>
      </w:r>
    </w:p>
    <w:p>
      <w:pPr>
        <w:spacing w:after="0" w:line="188"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A director elected to fill a vacancy shall be elected for the unexpired term of his or her predecessor in office and until such director’s successor is elected and qualified, or until such director’s earlier death, resignation or removal.</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b w:val="1"/>
          <w:bCs w:val="1"/>
          <w:i w:val="1"/>
          <w:iCs w:val="1"/>
          <w:color w:val="auto"/>
        </w:rPr>
        <w:t>Place of Meetings; Meetings by Telephone</w:t>
      </w:r>
      <w:r>
        <w:rPr>
          <w:rFonts w:ascii="Arial" w:cs="Arial" w:eastAsia="Arial" w:hAnsi="Arial"/>
          <w:sz w:val="16"/>
          <w:szCs w:val="16"/>
          <w:color w:val="auto"/>
        </w:rPr>
        <w:t>. The Board may hold meetings, both regular and special, either within or outside the State of Delaware.</w:t>
      </w: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1" w:name="page12"/>
    <w:bookmarkEnd w:id="11"/>
    <w:p>
      <w:pPr>
        <w:ind w:right="120" w:firstLine="441"/>
        <w:spacing w:after="0" w:line="312" w:lineRule="auto"/>
        <w:rPr>
          <w:sz w:val="20"/>
          <w:szCs w:val="20"/>
          <w:color w:val="auto"/>
        </w:rPr>
      </w:pPr>
      <w:r>
        <w:rPr>
          <w:rFonts w:ascii="Arial" w:cs="Arial" w:eastAsia="Arial" w:hAnsi="Arial"/>
          <w:sz w:val="16"/>
          <w:szCs w:val="16"/>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147"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i w:val="1"/>
          <w:iCs w:val="1"/>
          <w:color w:val="auto"/>
        </w:rPr>
        <w:t>Conduct of Business</w:t>
      </w:r>
      <w:r>
        <w:rPr>
          <w:rFonts w:ascii="Arial" w:cs="Arial" w:eastAsia="Arial" w:hAnsi="Arial"/>
          <w:sz w:val="18"/>
          <w:szCs w:val="18"/>
          <w:color w:val="auto"/>
        </w:rPr>
        <w:t>. Meetings of the Board shall be presided over by the Chairperson of the Board, if any, or in his or her absence by the Vice Chairperson of the Board, if any, or in the absence of the foregoing persons by a chairperson designated by the Board, or in the absence of such designation by a chairperson chosen at the meeting. The Secretary shall act as secretary of the meeting, but in his or her absence the chairperson of the meeting may appoint any person to act as secretary of the meeting.</w:t>
      </w:r>
    </w:p>
    <w:p>
      <w:pPr>
        <w:spacing w:after="0" w:line="187"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i w:val="1"/>
          <w:iCs w:val="1"/>
          <w:color w:val="auto"/>
        </w:rPr>
        <w:t>Regular Meetings</w:t>
      </w:r>
      <w:r>
        <w:rPr>
          <w:rFonts w:ascii="Arial" w:cs="Arial" w:eastAsia="Arial" w:hAnsi="Arial"/>
          <w:sz w:val="18"/>
          <w:szCs w:val="18"/>
          <w:color w:val="auto"/>
        </w:rPr>
        <w:t>. Regular meetings of the Board may be held without notice at such time and at such place as shall from time to time be determined by the Board.</w:t>
      </w:r>
    </w:p>
    <w:p>
      <w:pPr>
        <w:spacing w:after="0" w:line="170"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i w:val="1"/>
          <w:iCs w:val="1"/>
          <w:color w:val="auto"/>
        </w:rPr>
        <w:t>Special Meetings; Notice</w:t>
      </w:r>
      <w:r>
        <w:rPr>
          <w:rFonts w:ascii="Arial" w:cs="Arial" w:eastAsia="Arial" w:hAnsi="Arial"/>
          <w:sz w:val="18"/>
          <w:szCs w:val="18"/>
          <w:color w:val="auto"/>
        </w:rPr>
        <w:t>. Special meetings of the Board for any purpose or purposes may be called at any time by the Chairperson of the Board, the Chief Executive Officer, the President, the Secretary or any two directors.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Notice of the time and place of special meetings shall be:</w:t>
      </w:r>
    </w:p>
    <w:p>
      <w:pPr>
        <w:spacing w:after="0" w:line="225" w:lineRule="exact"/>
        <w:rPr>
          <w:sz w:val="20"/>
          <w:szCs w:val="20"/>
          <w:color w:val="auto"/>
        </w:rPr>
      </w:pPr>
    </w:p>
    <w:p>
      <w:pPr>
        <w:ind w:left="1100" w:hanging="211"/>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delivered personally by hand, by courier or by telephone;</w:t>
      </w:r>
    </w:p>
    <w:p>
      <w:pPr>
        <w:spacing w:after="0" w:line="23" w:lineRule="exact"/>
        <w:rPr>
          <w:rFonts w:ascii="Arial" w:cs="Arial" w:eastAsia="Arial" w:hAnsi="Arial"/>
          <w:sz w:val="18"/>
          <w:szCs w:val="18"/>
          <w:color w:val="auto"/>
        </w:rPr>
      </w:pPr>
    </w:p>
    <w:p>
      <w:pPr>
        <w:ind w:left="1160" w:hanging="2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sent by United States first-class mail, postage prepaid;</w:t>
      </w:r>
    </w:p>
    <w:p>
      <w:pPr>
        <w:spacing w:after="0" w:line="9" w:lineRule="exact"/>
        <w:rPr>
          <w:rFonts w:ascii="Arial" w:cs="Arial" w:eastAsia="Arial" w:hAnsi="Arial"/>
          <w:sz w:val="18"/>
          <w:szCs w:val="18"/>
          <w:color w:val="auto"/>
        </w:rPr>
      </w:pPr>
    </w:p>
    <w:p>
      <w:pPr>
        <w:ind w:left="1200" w:hanging="311"/>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sent by facsimile; or</w:t>
      </w:r>
    </w:p>
    <w:p>
      <w:pPr>
        <w:spacing w:after="0" w:line="9" w:lineRule="exact"/>
        <w:rPr>
          <w:rFonts w:ascii="Arial" w:cs="Arial" w:eastAsia="Arial" w:hAnsi="Arial"/>
          <w:sz w:val="18"/>
          <w:szCs w:val="18"/>
          <w:color w:val="auto"/>
        </w:rPr>
      </w:pPr>
    </w:p>
    <w:p>
      <w:pPr>
        <w:ind w:left="1200" w:hanging="311"/>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sent by electronic mail,</w:t>
      </w:r>
    </w:p>
    <w:p>
      <w:pPr>
        <w:spacing w:after="0" w:line="21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directed to each director at that director’s address, telephone number, facsimile number or electronic mail address, as the case may be, as shown on the Company’s records.</w:t>
      </w:r>
    </w:p>
    <w:p>
      <w:pPr>
        <w:spacing w:after="0" w:line="170"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If the notice is (i) delivered personally by hand, by courier or by telephone, (ii) sent by facsimile or (iii) sent by electronic mail, it shall be delivered or sent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Company’s principal executive office) nor the purpose of the meeting.</w:t>
      </w:r>
    </w:p>
    <w:p>
      <w:pPr>
        <w:spacing w:after="0" w:line="171"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b w:val="1"/>
          <w:bCs w:val="1"/>
          <w:i w:val="1"/>
          <w:iCs w:val="1"/>
          <w:color w:val="auto"/>
        </w:rPr>
        <w:t>Quorum; Voting</w:t>
      </w:r>
      <w:r>
        <w:rPr>
          <w:rFonts w:ascii="Arial" w:cs="Arial" w:eastAsia="Arial" w:hAnsi="Arial"/>
          <w:sz w:val="16"/>
          <w:szCs w:val="16"/>
          <w:color w:val="auto"/>
        </w:rPr>
        <w:t>. At all meetings of the Board, a majority of the total authorized number of directors shall constitute a quorum for the transaction of business. If a quorum is not present at any meeting of the Board, then the directors present thereat may adjourn the meeting from time to time, without notice other than announcement at the meeting, until a quorum is present. A meeting at which a quorum is initially present may continue to transact business notwithstanding the withdrawal of directors, if any action taken is approved by at least a majority of the required quorum for that meeting.</w:t>
      </w:r>
    </w:p>
    <w:p>
      <w:pPr>
        <w:spacing w:after="0" w:line="154"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The vote of a majority of the directors present at any meeting at which a quorum is present shall be the act of the Board, except as may be otherwise specifically provided by statute, the certificate of incorporation or these bylaws.</w:t>
      </w:r>
    </w:p>
    <w:p>
      <w:pPr>
        <w:spacing w:after="0" w:line="170"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If the certificate of incorporation provides that one or more directors shall have more or less than one vote per director on any matter, every reference in these bylaws to a majority or other proportion of the directors shall refer to a majority or other proportion of the votes of the directors.</w:t>
      </w: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2" w:name="page13"/>
    <w:bookmarkEnd w:id="12"/>
    <w:p>
      <w:pPr>
        <w:ind w:firstLine="441"/>
        <w:spacing w:after="0" w:line="257"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b w:val="1"/>
          <w:bCs w:val="1"/>
          <w:i w:val="1"/>
          <w:iCs w:val="1"/>
          <w:color w:val="auto"/>
        </w:rPr>
        <w:t>Board Action by Written Consent Without a Meeting</w:t>
      </w:r>
      <w:r>
        <w:rPr>
          <w:rFonts w:ascii="Arial" w:cs="Arial" w:eastAsia="Arial" w:hAnsi="Arial"/>
          <w:sz w:val="18"/>
          <w:szCs w:val="18"/>
          <w:color w:val="auto"/>
        </w:rPr>
        <w:t>. 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88"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i w:val="1"/>
          <w:iCs w:val="1"/>
          <w:color w:val="auto"/>
        </w:rPr>
        <w:t>Fees and Compensation of Directors</w:t>
      </w:r>
      <w:r>
        <w:rPr>
          <w:rFonts w:ascii="Arial" w:cs="Arial" w:eastAsia="Arial" w:hAnsi="Arial"/>
          <w:sz w:val="18"/>
          <w:szCs w:val="18"/>
          <w:color w:val="auto"/>
        </w:rPr>
        <w:t>. Unless otherwise restricted by the certificate of incorporation or these bylaws, the Board shall have the authority to fix the compensation of directors.</w:t>
      </w:r>
    </w:p>
    <w:p>
      <w:pPr>
        <w:spacing w:after="0" w:line="170"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i w:val="1"/>
          <w:iCs w:val="1"/>
          <w:color w:val="auto"/>
        </w:rPr>
        <w:t>Removal of Directors</w:t>
      </w:r>
      <w:r>
        <w:rPr>
          <w:rFonts w:ascii="Arial" w:cs="Arial" w:eastAsia="Arial" w:hAnsi="Arial"/>
          <w:sz w:val="18"/>
          <w:szCs w:val="18"/>
          <w:color w:val="auto"/>
        </w:rPr>
        <w:t>. Unless otherwise restricted by statute, the certificate of incorporation or these bylaws, any director or the entire Board may be removed, with or without cause, by the holders of a majority of the shares then entitled to vote at an election of directors.</w:t>
      </w:r>
    </w:p>
    <w:p>
      <w:pPr>
        <w:spacing w:after="0" w:line="170"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No reduction of the authorized number of directors shall have the effect of removing any director prior to the expiration of such director’s term of office.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III — COMMITTEES</w:t>
      </w:r>
    </w:p>
    <w:p>
      <w:pPr>
        <w:spacing w:after="0" w:line="229"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i w:val="1"/>
          <w:iCs w:val="1"/>
          <w:color w:val="auto"/>
        </w:rPr>
        <w:t>Committees of Directors</w:t>
      </w:r>
      <w:r>
        <w:rPr>
          <w:rFonts w:ascii="Arial" w:cs="Arial" w:eastAsia="Arial" w:hAnsi="Arial"/>
          <w:sz w:val="17"/>
          <w:szCs w:val="17"/>
          <w:color w:val="auto"/>
        </w:rPr>
        <w:t>. The Board may designate one or more committees, each committee to consist of one or more of the directors of the Company.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Company, and may authorize the seal of the Company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Company.</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i w:val="1"/>
          <w:iCs w:val="1"/>
          <w:color w:val="auto"/>
        </w:rPr>
        <w:t>Committee Minutes</w:t>
      </w:r>
      <w:r>
        <w:rPr>
          <w:rFonts w:ascii="Arial" w:cs="Arial" w:eastAsia="Arial" w:hAnsi="Arial"/>
          <w:sz w:val="18"/>
          <w:szCs w:val="18"/>
          <w:color w:val="auto"/>
        </w:rPr>
        <w:t>. Each committee shall keep regular minutes of its meetings and report the same to the Board when required.</w:t>
      </w:r>
    </w:p>
    <w:p>
      <w:pPr>
        <w:spacing w:after="0" w:line="225"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i w:val="1"/>
          <w:iCs w:val="1"/>
          <w:color w:val="auto"/>
        </w:rPr>
        <w:t>Meetings and Actions of Committees</w:t>
      </w:r>
      <w:r>
        <w:rPr>
          <w:rFonts w:ascii="Arial" w:cs="Arial" w:eastAsia="Arial" w:hAnsi="Arial"/>
          <w:sz w:val="18"/>
          <w:szCs w:val="18"/>
          <w:color w:val="auto"/>
        </w:rPr>
        <w:t>. Meetings and actions of committees shall be governed by, and held and taken in accordance with, the provisions of:</w:t>
      </w:r>
    </w:p>
    <w:p>
      <w:pPr>
        <w:spacing w:after="0" w:line="166" w:lineRule="exact"/>
        <w:rPr>
          <w:sz w:val="20"/>
          <w:szCs w:val="20"/>
          <w:color w:val="auto"/>
        </w:rPr>
      </w:pPr>
    </w:p>
    <w:p>
      <w:pPr>
        <w:ind w:left="1100" w:hanging="211"/>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section 2.5 </w:t>
      </w:r>
      <w:r>
        <w:rPr>
          <w:rFonts w:ascii="Arial" w:cs="Arial" w:eastAsia="Arial" w:hAnsi="Arial"/>
          <w:sz w:val="18"/>
          <w:szCs w:val="18"/>
          <w:color w:val="auto"/>
        </w:rPr>
        <w:t>(Place of Meetings; Meetings by Telephone);</w:t>
      </w:r>
    </w:p>
    <w:p>
      <w:pPr>
        <w:spacing w:after="0" w:line="27" w:lineRule="exact"/>
        <w:rPr>
          <w:rFonts w:ascii="Arial" w:cs="Arial" w:eastAsia="Arial" w:hAnsi="Arial"/>
          <w:sz w:val="18"/>
          <w:szCs w:val="18"/>
          <w:color w:val="auto"/>
        </w:rPr>
      </w:pPr>
    </w:p>
    <w:p>
      <w:pPr>
        <w:ind w:left="1160" w:hanging="2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section 2.7 </w:t>
      </w:r>
      <w:r>
        <w:rPr>
          <w:rFonts w:ascii="Arial" w:cs="Arial" w:eastAsia="Arial" w:hAnsi="Arial"/>
          <w:sz w:val="18"/>
          <w:szCs w:val="18"/>
          <w:color w:val="auto"/>
        </w:rPr>
        <w:t>(Regular Meetings);</w:t>
      </w:r>
    </w:p>
    <w:p>
      <w:pPr>
        <w:spacing w:after="0" w:line="9" w:lineRule="exact"/>
        <w:rPr>
          <w:rFonts w:ascii="Arial" w:cs="Arial" w:eastAsia="Arial" w:hAnsi="Arial"/>
          <w:sz w:val="18"/>
          <w:szCs w:val="18"/>
          <w:color w:val="auto"/>
        </w:rPr>
      </w:pPr>
    </w:p>
    <w:p>
      <w:pPr>
        <w:ind w:left="1200" w:hanging="311"/>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color w:val="auto"/>
        </w:rPr>
        <w:t>(Special Meetings; Notice);</w:t>
      </w:r>
    </w:p>
    <w:p>
      <w:pPr>
        <w:spacing w:after="0" w:line="9" w:lineRule="exact"/>
        <w:rPr>
          <w:rFonts w:ascii="Arial" w:cs="Arial" w:eastAsia="Arial" w:hAnsi="Arial"/>
          <w:sz w:val="18"/>
          <w:szCs w:val="18"/>
          <w:color w:val="auto"/>
        </w:rPr>
      </w:pPr>
    </w:p>
    <w:p>
      <w:pPr>
        <w:ind w:left="1200" w:hanging="311"/>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section 2.9 </w:t>
      </w:r>
      <w:r>
        <w:rPr>
          <w:rFonts w:ascii="Arial" w:cs="Arial" w:eastAsia="Arial" w:hAnsi="Arial"/>
          <w:sz w:val="18"/>
          <w:szCs w:val="18"/>
          <w:color w:val="auto"/>
        </w:rPr>
        <w:t>(Quorum; Voting);</w:t>
      </w:r>
    </w:p>
    <w:p>
      <w:pPr>
        <w:spacing w:after="0" w:line="9" w:lineRule="exact"/>
        <w:rPr>
          <w:rFonts w:ascii="Arial" w:cs="Arial" w:eastAsia="Arial" w:hAnsi="Arial"/>
          <w:sz w:val="18"/>
          <w:szCs w:val="18"/>
          <w:color w:val="auto"/>
        </w:rPr>
      </w:pPr>
    </w:p>
    <w:p>
      <w:pPr>
        <w:ind w:left="1140" w:hanging="251"/>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section 2.10 </w:t>
      </w:r>
      <w:r>
        <w:rPr>
          <w:rFonts w:ascii="Arial" w:cs="Arial" w:eastAsia="Arial" w:hAnsi="Arial"/>
          <w:sz w:val="18"/>
          <w:szCs w:val="18"/>
          <w:color w:val="auto"/>
        </w:rPr>
        <w:t>(Board Action by Written Consent Without a Meeting); and</w:t>
      </w:r>
    </w:p>
    <w:p>
      <w:pPr>
        <w:spacing w:after="0" w:line="9" w:lineRule="exact"/>
        <w:rPr>
          <w:rFonts w:ascii="Arial" w:cs="Arial" w:eastAsia="Arial" w:hAnsi="Arial"/>
          <w:sz w:val="18"/>
          <w:szCs w:val="18"/>
          <w:color w:val="auto"/>
        </w:rPr>
      </w:pPr>
    </w:p>
    <w:p>
      <w:pPr>
        <w:ind w:left="1200" w:hanging="311"/>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section 7.5 </w:t>
      </w:r>
      <w:r>
        <w:rPr>
          <w:rFonts w:ascii="Arial" w:cs="Arial" w:eastAsia="Arial" w:hAnsi="Arial"/>
          <w:sz w:val="18"/>
          <w:szCs w:val="18"/>
          <w:color w:val="auto"/>
        </w:rPr>
        <w:t>(Waiver of Notice)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with such changes in the context of those bylaws as are necessary to substitute the committee and its members for the Board and its members. </w:t>
      </w:r>
      <w:r>
        <w:rPr>
          <w:rFonts w:ascii="Arial" w:cs="Arial" w:eastAsia="Arial" w:hAnsi="Arial"/>
          <w:sz w:val="16"/>
          <w:szCs w:val="16"/>
          <w:i w:val="1"/>
          <w:iCs w:val="1"/>
          <w:color w:val="auto"/>
        </w:rPr>
        <w:t>However</w:t>
      </w:r>
      <w:r>
        <w:rPr>
          <w:rFonts w:ascii="Arial" w:cs="Arial" w:eastAsia="Arial" w:hAnsi="Arial"/>
          <w:sz w:val="16"/>
          <w:szCs w:val="16"/>
          <w:color w:val="auto"/>
        </w:rPr>
        <w: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3" w:name="page14"/>
    <w:bookmarkEnd w:id="13"/>
    <w:p>
      <w:pPr>
        <w:ind w:left="1100" w:hanging="211"/>
        <w:spacing w:after="0"/>
        <w:tabs>
          <w:tab w:leader="none" w:pos="11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time of regular meetings of committees may be determined either by resolution of the Board or by resolution of the committee;</w:t>
      </w:r>
    </w:p>
    <w:p>
      <w:pPr>
        <w:spacing w:after="0" w:line="34" w:lineRule="exact"/>
        <w:rPr>
          <w:rFonts w:ascii="Arial" w:cs="Arial" w:eastAsia="Arial" w:hAnsi="Arial"/>
          <w:sz w:val="17"/>
          <w:szCs w:val="17"/>
          <w:color w:val="auto"/>
        </w:rPr>
      </w:pPr>
    </w:p>
    <w:p>
      <w:pPr>
        <w:ind w:left="1160" w:hanging="2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special meetings of committees may also be called by resolution of the Board; and</w:t>
      </w:r>
    </w:p>
    <w:p>
      <w:pPr>
        <w:spacing w:after="0" w:line="9" w:lineRule="exact"/>
        <w:rPr>
          <w:rFonts w:ascii="Arial" w:cs="Arial" w:eastAsia="Arial" w:hAnsi="Arial"/>
          <w:sz w:val="18"/>
          <w:szCs w:val="18"/>
          <w:color w:val="auto"/>
        </w:rPr>
      </w:pPr>
    </w:p>
    <w:p>
      <w:pPr>
        <w:ind w:left="440" w:right="180" w:firstLine="449"/>
        <w:spacing w:after="0" w:line="290" w:lineRule="auto"/>
        <w:tabs>
          <w:tab w:leader="none" w:pos="1196" w:val="left"/>
        </w:tabs>
        <w:numPr>
          <w:ilvl w:val="0"/>
          <w:numId w:val="8"/>
        </w:numPr>
        <w:rPr>
          <w:rFonts w:ascii="Arial" w:cs="Arial" w:eastAsia="Arial" w:hAnsi="Arial"/>
          <w:sz w:val="17"/>
          <w:szCs w:val="17"/>
          <w:color w:val="auto"/>
        </w:rPr>
      </w:pPr>
      <w:r>
        <w:rPr>
          <w:rFonts w:ascii="Arial" w:cs="Arial" w:eastAsia="Arial" w:hAnsi="Arial"/>
          <w:sz w:val="17"/>
          <w:szCs w:val="17"/>
          <w:color w:val="auto"/>
        </w:rPr>
        <w:t>notice of special meetings of committees shall also be given to all alternate members, who shall have the right to attend all meetings of the committee. The Board may adopt rules for the government of any committee not inconsistent with the provisions of these bylaws.</w:t>
      </w:r>
    </w:p>
    <w:p>
      <w:pPr>
        <w:spacing w:after="0" w:line="162"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i w:val="1"/>
          <w:iCs w:val="1"/>
          <w:color w:val="auto"/>
        </w:rPr>
        <w:t>Subcommittees</w:t>
      </w:r>
      <w:r>
        <w:rPr>
          <w:rFonts w:ascii="Arial" w:cs="Arial" w:eastAsia="Arial" w:hAnsi="Arial"/>
          <w:sz w:val="18"/>
          <w:szCs w:val="18"/>
          <w:color w:val="auto"/>
        </w:rPr>
        <w:t>. Unless otherwise provided in the certificate of incorporation, these bylaws or the resolutions of the Board designating the committee, a committee may create one or more subcommittees, each subcommittee to consist of one or more members of the committee, and delegate to a subcommittee any or all of the powers and authority of the committee.</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IV — OFFICERS</w:t>
      </w:r>
    </w:p>
    <w:p>
      <w:pPr>
        <w:spacing w:after="0" w:line="229" w:lineRule="exact"/>
        <w:rPr>
          <w:sz w:val="20"/>
          <w:szCs w:val="20"/>
          <w:color w:val="auto"/>
        </w:rPr>
      </w:pPr>
    </w:p>
    <w:p>
      <w:pPr>
        <w:ind w:right="240" w:firstLine="441"/>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i w:val="1"/>
          <w:iCs w:val="1"/>
          <w:color w:val="auto"/>
        </w:rPr>
        <w:t>Officers</w:t>
      </w:r>
      <w:r>
        <w:rPr>
          <w:rFonts w:ascii="Arial" w:cs="Arial" w:eastAsia="Arial" w:hAnsi="Arial"/>
          <w:sz w:val="18"/>
          <w:szCs w:val="18"/>
          <w:color w:val="auto"/>
        </w:rPr>
        <w:t>. The officers of the Company shall be a President and a Secretary. The Company may also have, at the discretion of the Board, a Chairperson of the Board, a Vice Chairperson of the Board, a Chief Executive Officer, one or more Vice Presidents, a Chief Financial Officer, a Treasurer, one or more Assistant Treasurers, one or more Assistant Secretaries, and any such other officers as may be appointed in accordance with the provisions of these bylaws. Any number of offices may be held by the same person.</w:t>
      </w:r>
    </w:p>
    <w:p>
      <w:pPr>
        <w:spacing w:after="0" w:line="187"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i w:val="1"/>
          <w:iCs w:val="1"/>
          <w:color w:val="auto"/>
        </w:rPr>
        <w:t>Appointment of Officers</w:t>
      </w:r>
      <w:r>
        <w:rPr>
          <w:rFonts w:ascii="Arial" w:cs="Arial" w:eastAsia="Arial" w:hAnsi="Arial"/>
          <w:sz w:val="18"/>
          <w:szCs w:val="18"/>
          <w:color w:val="auto"/>
        </w:rPr>
        <w:t xml:space="preserve">. The Board shall appoint the officers of the Company, except such officers as may be appointed in accordance with the provisions of </w:t>
      </w:r>
      <w:r>
        <w:rPr>
          <w:rFonts w:ascii="Arial" w:cs="Arial" w:eastAsia="Arial" w:hAnsi="Arial"/>
          <w:sz w:val="18"/>
          <w:szCs w:val="18"/>
          <w:b w:val="1"/>
          <w:bCs w:val="1"/>
          <w:color w:val="auto"/>
        </w:rPr>
        <w:t>section 4.3</w:t>
      </w:r>
      <w:r>
        <w:rPr>
          <w:rFonts w:ascii="Arial" w:cs="Arial" w:eastAsia="Arial" w:hAnsi="Arial"/>
          <w:sz w:val="18"/>
          <w:szCs w:val="18"/>
          <w:color w:val="auto"/>
        </w:rPr>
        <w:t xml:space="preserve"> of these bylaws.</w:t>
      </w:r>
    </w:p>
    <w:p>
      <w:pPr>
        <w:spacing w:after="0" w:line="170" w:lineRule="exact"/>
        <w:rPr>
          <w:sz w:val="20"/>
          <w:szCs w:val="20"/>
          <w:color w:val="auto"/>
        </w:rPr>
      </w:pPr>
    </w:p>
    <w:p>
      <w:pPr>
        <w:ind w:right="140" w:firstLine="441"/>
        <w:spacing w:after="0" w:line="286"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b w:val="1"/>
          <w:bCs w:val="1"/>
          <w:i w:val="1"/>
          <w:iCs w:val="1"/>
          <w:color w:val="auto"/>
        </w:rPr>
        <w:t>Subordinate Officers</w:t>
      </w:r>
      <w:r>
        <w:rPr>
          <w:rFonts w:ascii="Arial" w:cs="Arial" w:eastAsia="Arial" w:hAnsi="Arial"/>
          <w:sz w:val="17"/>
          <w:szCs w:val="17"/>
          <w:color w:val="auto"/>
        </w:rPr>
        <w:t>. The Board may appoint, or empower the Chief Executive Officer or, in the absence of a Chief Executive Officer, the President, to appoint, such other officers and agents as the business of the Company may require. Each of such officers and agents shall hold office for such period, have such authority, and perform such duties as are provided in these bylaws or as the Board may from time to time determine.</w:t>
      </w:r>
    </w:p>
    <w:p>
      <w:pPr>
        <w:spacing w:after="0" w:line="166" w:lineRule="exact"/>
        <w:rPr>
          <w:sz w:val="20"/>
          <w:szCs w:val="20"/>
          <w:color w:val="auto"/>
        </w:rPr>
      </w:pPr>
    </w:p>
    <w:p>
      <w:pPr>
        <w:ind w:right="380" w:firstLine="441"/>
        <w:spacing w:after="0" w:line="26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i w:val="1"/>
          <w:iCs w:val="1"/>
          <w:color w:val="auto"/>
        </w:rPr>
        <w:t>Removal and Resignation of Officers</w:t>
      </w:r>
      <w:r>
        <w:rPr>
          <w:rFonts w:ascii="Arial" w:cs="Arial" w:eastAsia="Arial" w:hAnsi="Arial"/>
          <w:sz w:val="18"/>
          <w:szCs w:val="18"/>
          <w:color w:val="auto"/>
        </w:rPr>
        <w:t>. Any officer may be removed, either with or without cause, by an affirmative vote of the majority of the Board at any regular or special meeting of the Board or, except in the case of an officer chosen by the Board, by any officer upon whom such power of removal may be conferred by the Board.</w:t>
      </w:r>
    </w:p>
    <w:p>
      <w:pPr>
        <w:spacing w:after="0" w:line="181"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Any officer may resign at any time by giving written notice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i w:val="1"/>
          <w:iCs w:val="1"/>
          <w:color w:val="auto"/>
        </w:rPr>
        <w:t>Vacancies in Offices</w:t>
      </w:r>
      <w:r>
        <w:rPr>
          <w:rFonts w:ascii="Arial" w:cs="Arial" w:eastAsia="Arial" w:hAnsi="Arial"/>
          <w:sz w:val="18"/>
          <w:szCs w:val="18"/>
          <w:color w:val="auto"/>
        </w:rPr>
        <w:t xml:space="preserve">. Any vacancy occurring in any office of the Company shall be filled by the Board or as provided in </w:t>
      </w:r>
      <w:r>
        <w:rPr>
          <w:rFonts w:ascii="Arial" w:cs="Arial" w:eastAsia="Arial" w:hAnsi="Arial"/>
          <w:sz w:val="18"/>
          <w:szCs w:val="18"/>
          <w:b w:val="1"/>
          <w:bCs w:val="1"/>
          <w:color w:val="auto"/>
        </w:rPr>
        <w:t>section 4.3</w:t>
      </w:r>
      <w:r>
        <w:rPr>
          <w:rFonts w:ascii="Arial" w:cs="Arial" w:eastAsia="Arial" w:hAnsi="Arial"/>
          <w:sz w:val="18"/>
          <w:szCs w:val="18"/>
          <w:color w:val="auto"/>
        </w:rPr>
        <w:t>.</w:t>
      </w:r>
    </w:p>
    <w:p>
      <w:pPr>
        <w:spacing w:after="0" w:line="229"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b w:val="1"/>
          <w:bCs w:val="1"/>
          <w:i w:val="1"/>
          <w:iCs w:val="1"/>
          <w:color w:val="auto"/>
        </w:rPr>
        <w:t>Representation of Shares of Other Corporations</w:t>
      </w:r>
      <w:r>
        <w:rPr>
          <w:rFonts w:ascii="Arial" w:cs="Arial" w:eastAsia="Arial" w:hAnsi="Arial"/>
          <w:sz w:val="17"/>
          <w:szCs w:val="17"/>
          <w:color w:val="auto"/>
        </w:rPr>
        <w:t>. Unless otherwise directed by the Board, the President or any other person authorized by the Board or the President is authorized to vote, represent and exercise on behalf of the Company all rights incident to any and all shares of any other corporation or corporations standing in the name of the Company. The authority granted herein may be exercised either by such person directly or by any other person authorized to do so by proxy or power of attorney duly executed by such person having the authority.</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4" w:name="page15"/>
    <w:bookmarkEnd w:id="14"/>
    <w:p>
      <w:pPr>
        <w:ind w:right="140" w:firstLine="441"/>
        <w:spacing w:after="0" w:line="264"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i w:val="1"/>
          <w:iCs w:val="1"/>
          <w:color w:val="auto"/>
        </w:rPr>
        <w:t>Authority and Duties of Officers</w:t>
      </w:r>
      <w:r>
        <w:rPr>
          <w:rFonts w:ascii="Arial" w:cs="Arial" w:eastAsia="Arial" w:hAnsi="Arial"/>
          <w:sz w:val="18"/>
          <w:szCs w:val="18"/>
          <w:color w:val="auto"/>
        </w:rPr>
        <w:t>. Except as otherwise provided in these bylaws, the officers of the Company shall have such powers and duties in the management of the Company as may be designated from time to time by the Board and, to the extent not so provided, as generally pertain to their respective offices, subject to the control of the Board.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 — INDEMNIFICATION</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i w:val="1"/>
          <w:iCs w:val="1"/>
          <w:color w:val="auto"/>
        </w:rPr>
        <w:t>Indemnification of Directors and Officers in Third Party Proceedings</w:t>
      </w:r>
      <w:r>
        <w:rPr>
          <w:rFonts w:ascii="Arial" w:cs="Arial" w:eastAsia="Arial" w:hAnsi="Arial"/>
          <w:sz w:val="16"/>
          <w:szCs w:val="16"/>
          <w:color w:val="auto"/>
        </w:rPr>
        <w:t xml:space="preserve">. Subject to the other provisions of this </w:t>
      </w:r>
      <w:r>
        <w:rPr>
          <w:rFonts w:ascii="Arial" w:cs="Arial" w:eastAsia="Arial" w:hAnsi="Arial"/>
          <w:sz w:val="16"/>
          <w:szCs w:val="16"/>
          <w:b w:val="1"/>
          <w:bCs w:val="1"/>
          <w:color w:val="auto"/>
        </w:rPr>
        <w:t>Article V</w:t>
      </w:r>
      <w:r>
        <w:rPr>
          <w:rFonts w:ascii="Arial" w:cs="Arial" w:eastAsia="Arial" w:hAnsi="Arial"/>
          <w:sz w:val="16"/>
          <w:szCs w:val="16"/>
          <w:color w:val="auto"/>
        </w:rPr>
        <w:t>, the Company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Arial" w:cs="Arial" w:eastAsia="Arial" w:hAnsi="Arial"/>
          <w:sz w:val="16"/>
          <w:szCs w:val="16"/>
          <w:b w:val="1"/>
          <w:bCs w:val="1"/>
          <w:color w:val="auto"/>
        </w:rPr>
        <w:t>Proceeding</w:t>
      </w:r>
      <w:r>
        <w:rPr>
          <w:rFonts w:ascii="Arial" w:cs="Arial" w:eastAsia="Arial" w:hAnsi="Arial"/>
          <w:sz w:val="16"/>
          <w:szCs w:val="16"/>
          <w:color w:val="auto"/>
        </w:rPr>
        <w:t xml:space="preserve">”)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Proceeding by judgment, order, settlement, conviction, or upon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w:t>
      </w:r>
    </w:p>
    <w:p>
      <w:pPr>
        <w:spacing w:after="0" w:line="164"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i w:val="1"/>
          <w:iCs w:val="1"/>
          <w:color w:val="auto"/>
        </w:rPr>
        <w:t>Indemnification of Directors and Officers in Actions by or in the Right of the Company</w:t>
      </w:r>
      <w:r>
        <w:rPr>
          <w:rFonts w:ascii="Arial" w:cs="Arial" w:eastAsia="Arial" w:hAnsi="Arial"/>
          <w:sz w:val="17"/>
          <w:szCs w:val="17"/>
          <w:color w:val="auto"/>
        </w:rPr>
        <w:t xml:space="preserve">. Subject to the other provisions of this </w:t>
      </w:r>
      <w:r>
        <w:rPr>
          <w:rFonts w:ascii="Arial" w:cs="Arial" w:eastAsia="Arial" w:hAnsi="Arial"/>
          <w:sz w:val="17"/>
          <w:szCs w:val="17"/>
          <w:b w:val="1"/>
          <w:bCs w:val="1"/>
          <w:color w:val="auto"/>
        </w:rPr>
        <w:t>Article V</w:t>
      </w:r>
      <w:r>
        <w:rPr>
          <w:rFonts w:ascii="Arial" w:cs="Arial" w:eastAsia="Arial" w:hAnsi="Arial"/>
          <w:sz w:val="17"/>
          <w:szCs w:val="17"/>
          <w:color w:val="auto"/>
        </w:rPr>
        <w:t>, the Company shall indemnify, to the fullest extent permitted by the DGCL, as now or hereinafter in effect, any person who was or is a party or is threatened to be made a party to any threatened, pending or completed action or suit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78" w:lineRule="exact"/>
        <w:rPr>
          <w:sz w:val="20"/>
          <w:szCs w:val="20"/>
          <w:color w:val="auto"/>
        </w:rPr>
      </w:pPr>
    </w:p>
    <w:p>
      <w:pPr>
        <w:jc w:val="both"/>
        <w:ind w:right="400" w:firstLine="441"/>
        <w:spacing w:after="0" w:line="31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b w:val="1"/>
          <w:bCs w:val="1"/>
          <w:i w:val="1"/>
          <w:iCs w:val="1"/>
          <w:color w:val="auto"/>
        </w:rPr>
        <w:t>Successful Defense</w:t>
      </w:r>
      <w:r>
        <w:rPr>
          <w:rFonts w:ascii="Arial" w:cs="Arial" w:eastAsia="Arial" w:hAnsi="Arial"/>
          <w:sz w:val="16"/>
          <w:szCs w:val="16"/>
          <w:color w:val="auto"/>
        </w:rPr>
        <w:t xml:space="preserve">. To the extent that a present or former director or officer of the Company has been successful on the merits or otherwise in defense of any action, suit or proceeding described in </w:t>
      </w:r>
      <w:r>
        <w:rPr>
          <w:rFonts w:ascii="Arial" w:cs="Arial" w:eastAsia="Arial" w:hAnsi="Arial"/>
          <w:sz w:val="16"/>
          <w:szCs w:val="16"/>
          <w:b w:val="1"/>
          <w:bCs w:val="1"/>
          <w:color w:val="auto"/>
        </w:rPr>
        <w:t>section 5.1</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5.2</w:t>
      </w:r>
      <w:r>
        <w:rPr>
          <w:rFonts w:ascii="Arial" w:cs="Arial" w:eastAsia="Arial" w:hAnsi="Arial"/>
          <w:sz w:val="16"/>
          <w:szCs w:val="16"/>
          <w:color w:val="auto"/>
        </w:rPr>
        <w:t>, or in defense of any claim, issue or matter therein, such person shall be indemnified against expenses (including attorneys’ fees) actually and reasonably incurred by such person in connection therewith.</w:t>
      </w:r>
    </w:p>
    <w:p>
      <w:pPr>
        <w:spacing w:after="0" w:line="143" w:lineRule="exact"/>
        <w:rPr>
          <w:sz w:val="20"/>
          <w:szCs w:val="20"/>
          <w:color w:val="auto"/>
        </w:rPr>
      </w:pPr>
    </w:p>
    <w:p>
      <w:pPr>
        <w:jc w:val="both"/>
        <w:ind w:right="80" w:firstLine="441"/>
        <w:spacing w:after="0" w:line="266"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i w:val="1"/>
          <w:iCs w:val="1"/>
          <w:color w:val="auto"/>
        </w:rPr>
        <w:t>Indemnification of Others</w:t>
      </w:r>
      <w:r>
        <w:rPr>
          <w:rFonts w:ascii="Arial" w:cs="Arial" w:eastAsia="Arial" w:hAnsi="Arial"/>
          <w:sz w:val="18"/>
          <w:szCs w:val="18"/>
          <w:color w:val="auto"/>
        </w:rPr>
        <w:t xml:space="preserve">. Subject to the other provisions of this </w:t>
      </w:r>
      <w:r>
        <w:rPr>
          <w:rFonts w:ascii="Arial" w:cs="Arial" w:eastAsia="Arial" w:hAnsi="Arial"/>
          <w:sz w:val="18"/>
          <w:szCs w:val="18"/>
          <w:b w:val="1"/>
          <w:bCs w:val="1"/>
          <w:color w:val="auto"/>
        </w:rPr>
        <w:t>Article V</w:t>
      </w:r>
      <w:r>
        <w:rPr>
          <w:rFonts w:ascii="Arial" w:cs="Arial" w:eastAsia="Arial" w:hAnsi="Arial"/>
          <w:sz w:val="18"/>
          <w:szCs w:val="18"/>
          <w:color w:val="auto"/>
        </w:rPr>
        <w:t>, the Company shall have power to indemnify its employees and agents to the extent not prohibited by the DGCL or other applicable law. The Board shall have the power to delegate to such person or persons the determination of whether employees or agents shall be indemnified.</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5" w:name="page16"/>
    <w:bookmarkEnd w:id="15"/>
    <w:p>
      <w:pPr>
        <w:ind w:right="100" w:firstLine="441"/>
        <w:spacing w:after="0" w:line="25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i w:val="1"/>
          <w:iCs w:val="1"/>
          <w:color w:val="auto"/>
        </w:rPr>
        <w:t>Advanced Payment of Expenses</w:t>
      </w:r>
      <w:r>
        <w:rPr>
          <w:rFonts w:ascii="Arial" w:cs="Arial" w:eastAsia="Arial" w:hAnsi="Arial"/>
          <w:sz w:val="18"/>
          <w:szCs w:val="18"/>
          <w:color w:val="auto"/>
        </w:rPr>
        <w:t xml:space="preserve">. Expenses (including attorneys’ fees) incurred by an officer or director of the Company in defending any Proceeding shall be paid by the Company in advance of the final disposition of such Proceeding upon receipt of an undertaking by or on behalf of the person to repay such amounts if it shall ultimately be determined that the person is not entitled to be indemnified under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or the DGCL. Such expenses (including attorneys’ fees) incurred by former directors and officers or other employees and agents may be so paid upon such terms and conditions, if any, as the Company deems appropriate.</w:t>
      </w:r>
    </w:p>
    <w:p>
      <w:pPr>
        <w:spacing w:after="0" w:line="184"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 xml:space="preserve">Notwithstanding the foregoing, unless otherwise determined pursuant to </w:t>
      </w:r>
      <w:r>
        <w:rPr>
          <w:rFonts w:ascii="Arial" w:cs="Arial" w:eastAsia="Arial" w:hAnsi="Arial"/>
          <w:sz w:val="18"/>
          <w:szCs w:val="18"/>
          <w:b w:val="1"/>
          <w:bCs w:val="1"/>
          <w:color w:val="auto"/>
        </w:rPr>
        <w:t>section 5.8</w:t>
      </w:r>
      <w:r>
        <w:rPr>
          <w:rFonts w:ascii="Arial" w:cs="Arial" w:eastAsia="Arial" w:hAnsi="Arial"/>
          <w:sz w:val="18"/>
          <w:szCs w:val="18"/>
          <w:color w:val="auto"/>
        </w:rPr>
        <w:t>, no advance shall be made by the Company to an officer of the Company (except by reason of the fact that such officer is or was a director of the Company, in which event this paragraph shall not apply) in any Proceeding if a determination is reasonably and promptly made (i) by a majority vote of the directors who are not parties to such Proceeding, even though less than a quorum, or (ii) by a committee of such directors designated by majority vote of such directors, even though less than a quorum, or (iii) if there are no such directors, or if such directors so direct, by independent legal counsel in a written opinion, that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189" w:lineRule="exact"/>
        <w:rPr>
          <w:sz w:val="20"/>
          <w:szCs w:val="20"/>
          <w:color w:val="auto"/>
        </w:rPr>
      </w:pPr>
    </w:p>
    <w:p>
      <w:pPr>
        <w:ind w:right="180" w:firstLine="441"/>
        <w:spacing w:after="0" w:line="347"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b w:val="1"/>
          <w:bCs w:val="1"/>
          <w:i w:val="1"/>
          <w:iCs w:val="1"/>
          <w:color w:val="auto"/>
        </w:rPr>
        <w:t>Limitation on Indemnification and Advancement of Expenses</w:t>
      </w:r>
      <w:r>
        <w:rPr>
          <w:rFonts w:ascii="Arial" w:cs="Arial" w:eastAsia="Arial" w:hAnsi="Arial"/>
          <w:sz w:val="16"/>
          <w:szCs w:val="16"/>
          <w:color w:val="auto"/>
        </w:rPr>
        <w:t xml:space="preserve">. Subject to the requirements in </w:t>
      </w:r>
      <w:r>
        <w:rPr>
          <w:rFonts w:ascii="Arial" w:cs="Arial" w:eastAsia="Arial" w:hAnsi="Arial"/>
          <w:sz w:val="16"/>
          <w:szCs w:val="16"/>
          <w:b w:val="1"/>
          <w:bCs w:val="1"/>
          <w:color w:val="auto"/>
        </w:rPr>
        <w:t>section 5.3</w:t>
      </w:r>
      <w:r>
        <w:rPr>
          <w:rFonts w:ascii="Arial" w:cs="Arial" w:eastAsia="Arial" w:hAnsi="Arial"/>
          <w:sz w:val="16"/>
          <w:szCs w:val="16"/>
          <w:color w:val="auto"/>
        </w:rPr>
        <w:t xml:space="preserve"> and the DGCL, the Company shall not be required to provide indemnification or, with respect to clauses (i), (iii) and (iv) below, advance expenses to any person pursuant to this </w:t>
      </w:r>
      <w:r>
        <w:rPr>
          <w:rFonts w:ascii="Arial" w:cs="Arial" w:eastAsia="Arial" w:hAnsi="Arial"/>
          <w:sz w:val="16"/>
          <w:szCs w:val="16"/>
          <w:b w:val="1"/>
          <w:bCs w:val="1"/>
          <w:color w:val="auto"/>
        </w:rPr>
        <w:t>Article V</w:t>
      </w:r>
      <w:r>
        <w:rPr>
          <w:rFonts w:ascii="Arial" w:cs="Arial" w:eastAsia="Arial" w:hAnsi="Arial"/>
          <w:sz w:val="16"/>
          <w:szCs w:val="16"/>
          <w:color w:val="auto"/>
        </w:rPr>
        <w:t>:</w:t>
      </w:r>
    </w:p>
    <w:p>
      <w:pPr>
        <w:spacing w:after="0" w:line="120" w:lineRule="exact"/>
        <w:rPr>
          <w:sz w:val="20"/>
          <w:szCs w:val="20"/>
          <w:color w:val="auto"/>
        </w:rPr>
      </w:pPr>
    </w:p>
    <w:p>
      <w:pPr>
        <w:ind w:left="440" w:right="60" w:firstLine="449"/>
        <w:spacing w:after="0" w:line="258" w:lineRule="auto"/>
        <w:tabs>
          <w:tab w:leader="none" w:pos="1096"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in connection with any Proceeding (or part thereof) initiated by such person except (i) as otherwise required by law, (ii) in specific cases if the Proceeding was authorized by the Board, or (iii) as is required to be made under </w:t>
      </w:r>
      <w:r>
        <w:rPr>
          <w:rFonts w:ascii="Arial" w:cs="Arial" w:eastAsia="Arial" w:hAnsi="Arial"/>
          <w:sz w:val="18"/>
          <w:szCs w:val="18"/>
          <w:b w:val="1"/>
          <w:bCs w:val="1"/>
          <w:color w:val="auto"/>
        </w:rPr>
        <w:t>section 5.7</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440" w:firstLine="449"/>
        <w:spacing w:after="0" w:line="250" w:lineRule="auto"/>
        <w:tabs>
          <w:tab w:leader="none" w:pos="1146"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connection with any Proceeding (or part thereof) against such person providing for an accounting or disgorgement of profits pursuant to the provisions of Section 16(b) of the Securities Exchange Act of 1934, as amended, or similar provisions of any federal, state or local statutory law or common law;</w:t>
      </w:r>
    </w:p>
    <w:p>
      <w:pPr>
        <w:spacing w:after="0" w:line="1" w:lineRule="exact"/>
        <w:rPr>
          <w:rFonts w:ascii="Arial" w:cs="Arial" w:eastAsia="Arial" w:hAnsi="Arial"/>
          <w:sz w:val="18"/>
          <w:szCs w:val="18"/>
          <w:color w:val="auto"/>
        </w:rPr>
      </w:pPr>
    </w:p>
    <w:p>
      <w:pPr>
        <w:ind w:left="440" w:right="500" w:firstLine="449"/>
        <w:spacing w:after="0" w:line="250" w:lineRule="auto"/>
        <w:tabs>
          <w:tab w:leader="none" w:pos="1196"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amounts for which payment has actually been made to or on behalf of such person under any statute, insurance policy or indemnity provision, except with respect to any excess beyond the amount paid; or</w:t>
      </w:r>
    </w:p>
    <w:p>
      <w:pPr>
        <w:ind w:left="1200" w:hanging="311"/>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prohibited by applicable law.</w:t>
      </w:r>
    </w:p>
    <w:p>
      <w:pPr>
        <w:spacing w:after="0" w:line="207" w:lineRule="exact"/>
        <w:rPr>
          <w:sz w:val="20"/>
          <w:szCs w:val="20"/>
          <w:color w:val="auto"/>
        </w:rPr>
      </w:pPr>
    </w:p>
    <w:p>
      <w:pPr>
        <w:ind w:right="40" w:firstLine="441"/>
        <w:spacing w:after="0" w:line="281"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b w:val="1"/>
          <w:bCs w:val="1"/>
          <w:i w:val="1"/>
          <w:iCs w:val="1"/>
          <w:color w:val="auto"/>
        </w:rPr>
        <w:t>Determination; Claim</w:t>
      </w:r>
      <w:r>
        <w:rPr>
          <w:rFonts w:ascii="Arial" w:cs="Arial" w:eastAsia="Arial" w:hAnsi="Arial"/>
          <w:sz w:val="17"/>
          <w:szCs w:val="17"/>
          <w:color w:val="auto"/>
        </w:rPr>
        <w:t xml:space="preserve">. If a claim for indemnification or advancement of expenses under this </w:t>
      </w:r>
      <w:r>
        <w:rPr>
          <w:rFonts w:ascii="Arial" w:cs="Arial" w:eastAsia="Arial" w:hAnsi="Arial"/>
          <w:sz w:val="17"/>
          <w:szCs w:val="17"/>
          <w:b w:val="1"/>
          <w:bCs w:val="1"/>
          <w:color w:val="auto"/>
        </w:rPr>
        <w:t>Article V</w:t>
      </w:r>
      <w:r>
        <w:rPr>
          <w:rFonts w:ascii="Arial" w:cs="Arial" w:eastAsia="Arial" w:hAnsi="Arial"/>
          <w:sz w:val="17"/>
          <w:szCs w:val="17"/>
          <w:color w:val="auto"/>
        </w:rPr>
        <w:t xml:space="preserve"> is not paid in full within 60 days after a written claim therefor has been received by the Company, the claimant may file suit to recover the unpaid amount of such claim and, if successful in whole or in part, shall be entitled to be paid the expense of prosecuting such claim. In any such suit, the Company shall have the burden of proving that the claimant was not entitled to the requested indemnification or advancement of expenses under applicable law.</w:t>
      </w:r>
    </w:p>
    <w:p>
      <w:pPr>
        <w:spacing w:after="0" w:line="165" w:lineRule="exact"/>
        <w:rPr>
          <w:sz w:val="20"/>
          <w:szCs w:val="20"/>
          <w:color w:val="auto"/>
        </w:rPr>
      </w:pPr>
    </w:p>
    <w:p>
      <w:pPr>
        <w:ind w:right="60" w:firstLine="441"/>
        <w:spacing w:after="0" w:line="256"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b w:val="1"/>
          <w:bCs w:val="1"/>
          <w:i w:val="1"/>
          <w:iCs w:val="1"/>
          <w:color w:val="auto"/>
        </w:rPr>
        <w:t>Non-Exclusivity of Rights</w:t>
      </w:r>
      <w:r>
        <w:rPr>
          <w:rFonts w:ascii="Arial" w:cs="Arial" w:eastAsia="Arial" w:hAnsi="Arial"/>
          <w:sz w:val="18"/>
          <w:szCs w:val="18"/>
          <w:color w:val="auto"/>
        </w:rPr>
        <w:t xml:space="preserve">. The indemnification and advancement of expenses provided by, or granted pursuant to,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Company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6" w:name="page17"/>
    <w:bookmarkEnd w:id="16"/>
    <w:p>
      <w:pPr>
        <w:jc w:val="both"/>
        <w:ind w:right="40" w:firstLine="441"/>
        <w:spacing w:after="0" w:line="302"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b w:val="1"/>
          <w:bCs w:val="1"/>
          <w:i w:val="1"/>
          <w:iCs w:val="1"/>
          <w:color w:val="auto"/>
        </w:rPr>
        <w:t>Insurance</w:t>
      </w:r>
      <w:r>
        <w:rPr>
          <w:rFonts w:ascii="Arial" w:cs="Arial" w:eastAsia="Arial" w:hAnsi="Arial"/>
          <w:sz w:val="16"/>
          <w:szCs w:val="16"/>
          <w:color w:val="auto"/>
        </w:rPr>
        <w:t>. 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spacing w:after="0" w:line="150" w:lineRule="exact"/>
        <w:rPr>
          <w:sz w:val="20"/>
          <w:szCs w:val="20"/>
          <w:color w:val="auto"/>
        </w:rPr>
      </w:pPr>
    </w:p>
    <w:p>
      <w:pPr>
        <w:ind w:right="160" w:firstLine="441"/>
        <w:spacing w:after="0" w:line="313"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b w:val="1"/>
          <w:bCs w:val="1"/>
          <w:i w:val="1"/>
          <w:iCs w:val="1"/>
          <w:color w:val="auto"/>
        </w:rPr>
        <w:t>Survival</w:t>
      </w:r>
      <w:r>
        <w:rPr>
          <w:rFonts w:ascii="Arial" w:cs="Arial" w:eastAsia="Arial" w:hAnsi="Arial"/>
          <w:sz w:val="17"/>
          <w:szCs w:val="17"/>
          <w:color w:val="auto"/>
        </w:rPr>
        <w:t xml:space="preserve">. The rights to indemnification and advancement of expenses conferred by this </w:t>
      </w:r>
      <w:r>
        <w:rPr>
          <w:rFonts w:ascii="Arial" w:cs="Arial" w:eastAsia="Arial" w:hAnsi="Arial"/>
          <w:sz w:val="17"/>
          <w:szCs w:val="17"/>
          <w:b w:val="1"/>
          <w:bCs w:val="1"/>
          <w:color w:val="auto"/>
        </w:rPr>
        <w:t>Article V</w:t>
      </w:r>
      <w:r>
        <w:rPr>
          <w:rFonts w:ascii="Arial" w:cs="Arial" w:eastAsia="Arial" w:hAnsi="Arial"/>
          <w:sz w:val="17"/>
          <w:szCs w:val="17"/>
          <w:color w:val="auto"/>
        </w:rPr>
        <w:t xml:space="preserve"> shall continue as to a person who has ceased to be a director, officer, employee or agent and shall inure to the benefit of the heirs, executors and administrators of such a person.</w:t>
      </w:r>
    </w:p>
    <w:p>
      <w:pPr>
        <w:spacing w:after="0" w:line="138" w:lineRule="exact"/>
        <w:rPr>
          <w:sz w:val="20"/>
          <w:szCs w:val="20"/>
          <w:color w:val="auto"/>
        </w:rPr>
      </w:pPr>
    </w:p>
    <w:p>
      <w:pPr>
        <w:ind w:right="140" w:firstLine="441"/>
        <w:spacing w:after="0" w:line="282"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b w:val="1"/>
          <w:bCs w:val="1"/>
          <w:i w:val="1"/>
          <w:iCs w:val="1"/>
          <w:color w:val="auto"/>
        </w:rPr>
        <w:t>Effect of Repeal or Modification</w:t>
      </w:r>
      <w:r>
        <w:rPr>
          <w:rFonts w:ascii="Arial" w:cs="Arial" w:eastAsia="Arial" w:hAnsi="Arial"/>
          <w:sz w:val="18"/>
          <w:szCs w:val="18"/>
          <w:color w:val="auto"/>
        </w:rPr>
        <w:t xml:space="preserve">. Any repeal or modification of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shall not adversely affect any right or protection hereunder of any person in respect of any act or omission occurring prior to the time of such repeal or modification.</w:t>
      </w:r>
    </w:p>
    <w:p>
      <w:pPr>
        <w:spacing w:after="0" w:line="162"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b w:val="1"/>
          <w:bCs w:val="1"/>
          <w:i w:val="1"/>
          <w:iCs w:val="1"/>
          <w:color w:val="auto"/>
        </w:rPr>
        <w:t>Certain Definitions</w:t>
      </w:r>
      <w:r>
        <w:rPr>
          <w:rFonts w:ascii="Arial" w:cs="Arial" w:eastAsia="Arial" w:hAnsi="Arial"/>
          <w:sz w:val="17"/>
          <w:szCs w:val="17"/>
          <w:color w:val="auto"/>
        </w:rPr>
        <w:t xml:space="preserve">. For purposes of this </w:t>
      </w:r>
      <w:r>
        <w:rPr>
          <w:rFonts w:ascii="Arial" w:cs="Arial" w:eastAsia="Arial" w:hAnsi="Arial"/>
          <w:sz w:val="17"/>
          <w:szCs w:val="17"/>
          <w:b w:val="1"/>
          <w:bCs w:val="1"/>
          <w:color w:val="auto"/>
        </w:rPr>
        <w:t>Article V</w:t>
      </w:r>
      <w:r>
        <w:rPr>
          <w:rFonts w:ascii="Arial" w:cs="Arial" w:eastAsia="Arial" w:hAnsi="Arial"/>
          <w:sz w:val="17"/>
          <w:szCs w:val="17"/>
          <w:color w:val="auto"/>
        </w:rPr>
        <w:t>, references to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w:t>
      </w:r>
      <w:r>
        <w:rPr>
          <w:rFonts w:ascii="Arial" w:cs="Arial" w:eastAsia="Arial" w:hAnsi="Arial"/>
          <w:sz w:val="17"/>
          <w:szCs w:val="17"/>
          <w:b w:val="1"/>
          <w:bCs w:val="1"/>
          <w:color w:val="auto"/>
        </w:rPr>
        <w:t>Article V</w:t>
      </w:r>
      <w:r>
        <w:rPr>
          <w:rFonts w:ascii="Arial" w:cs="Arial" w:eastAsia="Arial" w:hAnsi="Arial"/>
          <w:sz w:val="17"/>
          <w:szCs w:val="17"/>
          <w:color w:val="auto"/>
        </w:rPr>
        <w:t xml:space="preserve"> with respect to the resulting or surviving corporation as such person would have with respect to such constituent corporation if its separate existence had continued. For purposes of this </w:t>
      </w:r>
      <w:r>
        <w:rPr>
          <w:rFonts w:ascii="Arial" w:cs="Arial" w:eastAsia="Arial" w:hAnsi="Arial"/>
          <w:sz w:val="17"/>
          <w:szCs w:val="17"/>
          <w:b w:val="1"/>
          <w:bCs w:val="1"/>
          <w:color w:val="auto"/>
        </w:rPr>
        <w:t>Article V</w:t>
      </w:r>
      <w:r>
        <w:rPr>
          <w:rFonts w:ascii="Arial" w:cs="Arial" w:eastAsia="Arial" w:hAnsi="Arial"/>
          <w:sz w:val="17"/>
          <w:szCs w:val="17"/>
          <w:color w:val="auto"/>
        </w:rPr>
        <w:t>, references to “</w:t>
      </w:r>
      <w:r>
        <w:rPr>
          <w:rFonts w:ascii="Arial" w:cs="Arial" w:eastAsia="Arial" w:hAnsi="Arial"/>
          <w:sz w:val="17"/>
          <w:szCs w:val="17"/>
          <w:b w:val="1"/>
          <w:bCs w:val="1"/>
          <w:color w:val="auto"/>
        </w:rPr>
        <w:t>other enterprises</w:t>
      </w:r>
      <w:r>
        <w:rPr>
          <w:rFonts w:ascii="Arial" w:cs="Arial" w:eastAsia="Arial" w:hAnsi="Arial"/>
          <w:sz w:val="17"/>
          <w:szCs w:val="17"/>
          <w:color w:val="auto"/>
        </w:rPr>
        <w:t>” shall include employee benefit plans; references to “</w:t>
      </w:r>
      <w:r>
        <w:rPr>
          <w:rFonts w:ascii="Arial" w:cs="Arial" w:eastAsia="Arial" w:hAnsi="Arial"/>
          <w:sz w:val="17"/>
          <w:szCs w:val="17"/>
          <w:b w:val="1"/>
          <w:bCs w:val="1"/>
          <w:color w:val="auto"/>
        </w:rPr>
        <w:t>fines</w:t>
      </w:r>
      <w:r>
        <w:rPr>
          <w:rFonts w:ascii="Arial" w:cs="Arial" w:eastAsia="Arial" w:hAnsi="Arial"/>
          <w:sz w:val="17"/>
          <w:szCs w:val="17"/>
          <w:color w:val="auto"/>
        </w:rPr>
        <w:t>” shall include any excise taxes assessed on a person with respect to an employee benefit plan; and references to “</w:t>
      </w:r>
      <w:r>
        <w:rPr>
          <w:rFonts w:ascii="Arial" w:cs="Arial" w:eastAsia="Arial" w:hAnsi="Arial"/>
          <w:sz w:val="17"/>
          <w:szCs w:val="17"/>
          <w:b w:val="1"/>
          <w:bCs w:val="1"/>
          <w:color w:val="auto"/>
        </w:rPr>
        <w:t>serving at the request of the Company</w:t>
      </w:r>
      <w:r>
        <w:rPr>
          <w:rFonts w:ascii="Arial" w:cs="Arial" w:eastAsia="Arial" w:hAnsi="Arial"/>
          <w:sz w:val="17"/>
          <w:szCs w:val="17"/>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7"/>
          <w:szCs w:val="17"/>
          <w:b w:val="1"/>
          <w:bCs w:val="1"/>
          <w:color w:val="auto"/>
        </w:rPr>
        <w:t>not opposed to the best interests of the Company</w:t>
      </w:r>
      <w:r>
        <w:rPr>
          <w:rFonts w:ascii="Arial" w:cs="Arial" w:eastAsia="Arial" w:hAnsi="Arial"/>
          <w:sz w:val="17"/>
          <w:szCs w:val="17"/>
          <w:color w:val="auto"/>
        </w:rPr>
        <w:t xml:space="preserve">” as referred to in this </w:t>
      </w:r>
      <w:r>
        <w:rPr>
          <w:rFonts w:ascii="Arial" w:cs="Arial" w:eastAsia="Arial" w:hAnsi="Arial"/>
          <w:sz w:val="17"/>
          <w:szCs w:val="17"/>
          <w:b w:val="1"/>
          <w:bCs w:val="1"/>
          <w:color w:val="auto"/>
        </w:rPr>
        <w:t>Article V</w:t>
      </w:r>
      <w:r>
        <w:rPr>
          <w:rFonts w:ascii="Arial" w:cs="Arial" w:eastAsia="Arial" w:hAnsi="Arial"/>
          <w:sz w:val="17"/>
          <w:szCs w:val="17"/>
          <w:color w:val="auto"/>
        </w:rPr>
        <w: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 — STOCK</w:t>
      </w:r>
    </w:p>
    <w:p>
      <w:pPr>
        <w:spacing w:after="0" w:line="229" w:lineRule="exact"/>
        <w:rPr>
          <w:sz w:val="20"/>
          <w:szCs w:val="20"/>
          <w:color w:val="auto"/>
        </w:rPr>
      </w:pPr>
    </w:p>
    <w:p>
      <w:pPr>
        <w:ind w:right="80" w:firstLine="441"/>
        <w:spacing w:after="0" w:line="270"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i w:val="1"/>
          <w:iCs w:val="1"/>
          <w:color w:val="auto"/>
        </w:rPr>
        <w:t>Stock Certificates; Partly Paid Shares</w:t>
      </w:r>
      <w:r>
        <w:rPr>
          <w:rFonts w:ascii="Arial" w:cs="Arial" w:eastAsia="Arial" w:hAnsi="Arial"/>
          <w:sz w:val="17"/>
          <w:szCs w:val="17"/>
          <w:color w:val="auto"/>
        </w:rPr>
        <w:t xml:space="preserve">. The shares of the Company shall be represented by certificates,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Board may provide by resolution or resolutions that some or all of any or all classes or series of its stock shall be uncertificated shares. Any such resolution shall not apply to shares represented by a certificate until such certificate is surrendered to the Company. Every holder of stock represented by certificates shall be entitled to have a certificate signed by, or in the name of the Company by the Chairperson of the Board or Vice-Chairperson of the Board, or the President or a Vice-President, and by the Treasurer or an Assistant Treasurer, or the Secretary or an Assistant Secretary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7" w:name="page18"/>
    <w:bookmarkEnd w:id="17"/>
    <w:p>
      <w:pPr>
        <w:ind w:right="60" w:firstLine="441"/>
        <w:spacing w:after="0" w:line="257" w:lineRule="auto"/>
        <w:rPr>
          <w:sz w:val="20"/>
          <w:szCs w:val="20"/>
          <w:color w:val="auto"/>
        </w:rPr>
      </w:pPr>
      <w:r>
        <w:rPr>
          <w:rFonts w:ascii="Arial" w:cs="Arial" w:eastAsia="Arial" w:hAnsi="Arial"/>
          <w:sz w:val="18"/>
          <w:szCs w:val="18"/>
          <w:color w:val="auto"/>
        </w:rPr>
        <w:t>The Company may issue the whole or any part of its shares as partly paid and subject to call for the remainder of the consideration to be paid therefor. Upon the face or back of each stock certificate issued to represent any such partly paid shares, or upon the books and records of the Company in the case of uncertificated partly paid shares, the total amount of the consideration to be paid therefor and the amount paid thereon shall be stated. Upon the declaration of any dividend on fully paid shares, the Company shall declare a dividend upon partly paid shares of the same class, but only upon the basis of the percentage of the consideration actually paid thereon.</w:t>
      </w:r>
    </w:p>
    <w:p>
      <w:pPr>
        <w:spacing w:after="0" w:line="188" w:lineRule="exact"/>
        <w:rPr>
          <w:sz w:val="20"/>
          <w:szCs w:val="20"/>
          <w:color w:val="auto"/>
        </w:rPr>
      </w:pPr>
    </w:p>
    <w:p>
      <w:pPr>
        <w:ind w:right="80" w:firstLine="441"/>
        <w:spacing w:after="0" w:line="25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i w:val="1"/>
          <w:iCs w:val="1"/>
          <w:color w:val="auto"/>
        </w:rPr>
        <w:t>Special Designation on Certificates</w:t>
      </w:r>
      <w:r>
        <w:rPr>
          <w:rFonts w:ascii="Arial" w:cs="Arial" w:eastAsia="Arial" w:hAnsi="Arial"/>
          <w:sz w:val="18"/>
          <w:szCs w:val="18"/>
          <w:color w:val="auto"/>
        </w:rPr>
        <w:t xml:space="preserve">. If the Company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88" w:lineRule="exact"/>
        <w:rPr>
          <w:sz w:val="20"/>
          <w:szCs w:val="20"/>
          <w:color w:val="auto"/>
        </w:rPr>
      </w:pPr>
    </w:p>
    <w:p>
      <w:pPr>
        <w:ind w:right="140" w:firstLine="441"/>
        <w:spacing w:after="0" w:line="261"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i w:val="1"/>
          <w:iCs w:val="1"/>
          <w:color w:val="auto"/>
        </w:rPr>
        <w:t>Lost Certificates</w:t>
      </w:r>
      <w:r>
        <w:rPr>
          <w:rFonts w:ascii="Arial" w:cs="Arial" w:eastAsia="Arial" w:hAnsi="Arial"/>
          <w:sz w:val="18"/>
          <w:szCs w:val="18"/>
          <w:color w:val="auto"/>
        </w:rPr>
        <w:t xml:space="preserve">. Except as provided in this </w:t>
      </w:r>
      <w:r>
        <w:rPr>
          <w:rFonts w:ascii="Arial" w:cs="Arial" w:eastAsia="Arial" w:hAnsi="Arial"/>
          <w:sz w:val="18"/>
          <w:szCs w:val="18"/>
          <w:b w:val="1"/>
          <w:bCs w:val="1"/>
          <w:color w:val="auto"/>
        </w:rPr>
        <w:t>section 6.3</w:t>
      </w:r>
      <w:r>
        <w:rPr>
          <w:rFonts w:ascii="Arial" w:cs="Arial" w:eastAsia="Arial" w:hAnsi="Arial"/>
          <w:sz w:val="18"/>
          <w:szCs w:val="18"/>
          <w:color w:val="auto"/>
        </w:rPr>
        <w:t>,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170"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The Board, subject to any restrictions contained in the certificate of incorporation or applicable law, may declare and pay dividends upon the shares of the Company’s capital stock. Dividends may be paid in cash, in property, or in shares of the Company’s capital stock, subject to the provisions of the certificate of incorporation.</w:t>
      </w:r>
    </w:p>
    <w:p>
      <w:pPr>
        <w:spacing w:after="0" w:line="181"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The Board may set apart out of any of the funds of the Company available for dividends a reserve or reserves for any proper purpose and may abolish any such reserve.</w:t>
      </w:r>
    </w:p>
    <w:p>
      <w:pPr>
        <w:spacing w:after="0" w:line="170" w:lineRule="exact"/>
        <w:rPr>
          <w:sz w:val="20"/>
          <w:szCs w:val="20"/>
          <w:color w:val="auto"/>
        </w:rPr>
      </w:pPr>
    </w:p>
    <w:p>
      <w:pPr>
        <w:jc w:val="both"/>
        <w:ind w:right="140" w:firstLine="441"/>
        <w:spacing w:after="0" w:line="26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i w:val="1"/>
          <w:iCs w:val="1"/>
          <w:color w:val="auto"/>
        </w:rPr>
        <w:t>Stock Transfer Agreements</w:t>
      </w:r>
      <w:r>
        <w:rPr>
          <w:rFonts w:ascii="Arial" w:cs="Arial" w:eastAsia="Arial" w:hAnsi="Arial"/>
          <w:sz w:val="18"/>
          <w:szCs w:val="18"/>
          <w:color w:val="auto"/>
        </w:rPr>
        <w:t>. The Company shall have power to enter into and perform any agreement with any number of stockholders of any one or more classes of stock of the Company to restrict the transfer of shares of stock of the Company of any one or more classes owned by such stockholders in any manner not prohibited by the DGCL.</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i w:val="1"/>
          <w:iCs w:val="1"/>
          <w:color w:val="auto"/>
        </w:rPr>
        <w:t>Registered Stockholders</w:t>
      </w:r>
      <w:r>
        <w:rPr>
          <w:rFonts w:ascii="Arial" w:cs="Arial" w:eastAsia="Arial" w:hAnsi="Arial"/>
          <w:sz w:val="18"/>
          <w:szCs w:val="18"/>
          <w:color w:val="auto"/>
        </w:rPr>
        <w:t>. The Company:</w:t>
      </w:r>
    </w:p>
    <w:p>
      <w:pPr>
        <w:spacing w:after="0" w:line="225" w:lineRule="exact"/>
        <w:rPr>
          <w:sz w:val="20"/>
          <w:szCs w:val="20"/>
          <w:color w:val="auto"/>
        </w:rPr>
      </w:pPr>
    </w:p>
    <w:p>
      <w:pPr>
        <w:ind w:left="440" w:right="180" w:firstLine="449"/>
        <w:spacing w:after="0" w:line="258" w:lineRule="auto"/>
        <w:tabs>
          <w:tab w:leader="none" w:pos="10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shall be entitled to recognize the exclusive right of a person registered on its books as the owner of shares to receive dividends and to vote as such owner;</w:t>
      </w:r>
    </w:p>
    <w:p>
      <w:pPr>
        <w:spacing w:after="0" w:line="1" w:lineRule="exact"/>
        <w:rPr>
          <w:rFonts w:ascii="Arial" w:cs="Arial" w:eastAsia="Arial" w:hAnsi="Arial"/>
          <w:sz w:val="18"/>
          <w:szCs w:val="18"/>
          <w:color w:val="auto"/>
        </w:rPr>
      </w:pPr>
    </w:p>
    <w:p>
      <w:pPr>
        <w:ind w:left="1160" w:hanging="271"/>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shall be entitled to hold liable for calls and assessments the person registered on its books as the owner of shares; and</w:t>
      </w:r>
    </w:p>
    <w:p>
      <w:pPr>
        <w:spacing w:after="0" w:line="9" w:lineRule="exact"/>
        <w:rPr>
          <w:rFonts w:ascii="Arial" w:cs="Arial" w:eastAsia="Arial" w:hAnsi="Arial"/>
          <w:sz w:val="18"/>
          <w:szCs w:val="18"/>
          <w:color w:val="auto"/>
        </w:rPr>
      </w:pPr>
    </w:p>
    <w:p>
      <w:pPr>
        <w:ind w:left="440" w:firstLine="449"/>
        <w:spacing w:after="0" w:line="261" w:lineRule="auto"/>
        <w:tabs>
          <w:tab w:leader="none" w:pos="11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39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ind w:right="160" w:firstLine="441"/>
        <w:spacing w:after="0" w:line="264"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b w:val="1"/>
          <w:bCs w:val="1"/>
          <w:i w:val="1"/>
          <w:iCs w:val="1"/>
          <w:color w:val="auto"/>
        </w:rPr>
        <w:t>Transfers</w:t>
      </w:r>
      <w:r>
        <w:rPr>
          <w:rFonts w:ascii="Arial" w:cs="Arial" w:eastAsia="Arial" w:hAnsi="Arial"/>
          <w:sz w:val="18"/>
          <w:szCs w:val="18"/>
          <w:color w:val="auto"/>
        </w:rPr>
        <w:t>. Transfers of record of shares of stock of the Company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 — MANNER OF GIVING NOTICE AND WAIVER</w:t>
      </w:r>
    </w:p>
    <w:p>
      <w:pPr>
        <w:spacing w:after="0" w:line="229"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i w:val="1"/>
          <w:iCs w:val="1"/>
          <w:color w:val="auto"/>
        </w:rPr>
        <w:t>Notice of Stockholder Meetings</w:t>
      </w:r>
      <w:r>
        <w:rPr>
          <w:rFonts w:ascii="Arial" w:cs="Arial" w:eastAsia="Arial" w:hAnsi="Arial"/>
          <w:sz w:val="18"/>
          <w:szCs w:val="18"/>
          <w:color w:val="auto"/>
        </w:rPr>
        <w:t xml:space="preserve">. Notice of any meeting of stockholders, if mailed, is given when deposited in the United States mail, postage prepaid, directed to the stockholder at such stockholder’s address as it appears on the Company’s records. An affidavit of the Secretary or an Assistant Secretary of the Company or of the transfer agent or other agent of the Company that the notice has been given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87"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i w:val="1"/>
          <w:iCs w:val="1"/>
          <w:color w:val="auto"/>
        </w:rPr>
        <w:t>Notice by Electronic Transmission</w:t>
      </w:r>
      <w:r>
        <w:rPr>
          <w:rFonts w:ascii="Arial" w:cs="Arial" w:eastAsia="Arial" w:hAnsi="Arial"/>
          <w:sz w:val="16"/>
          <w:szCs w:val="16"/>
          <w:color w:val="auto"/>
        </w:rPr>
        <w:t>. Without limiting the manner by which notice otherwise may be given effectively to stockholders pursuant to the DGCL, the certificate of incorporation or these bylaws, any notice to stockholders given by the Company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Company. Any such consent shall be deemed revoked if:</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 the Company is unable to deliver by electronic transmission two consecutive notices given by the Company in accordance with such consent;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ind w:left="440" w:right="140" w:firstLine="449"/>
        <w:spacing w:after="0" w:line="261" w:lineRule="auto"/>
        <w:tabs>
          <w:tab w:leader="none" w:pos="11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inability becomes known to the Secretary or an Assistant Secretary of the Company or to the transfer agent, or other person responsible for the giving of notice.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However, the inadvertent failure to treat such inability as a revocation shall not invalidate any meeting or other action.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notice given pursuant to the preceding paragraph shall be deemed given:</w:t>
      </w:r>
    </w:p>
    <w:p>
      <w:pPr>
        <w:spacing w:after="0" w:line="225" w:lineRule="exact"/>
        <w:rPr>
          <w:sz w:val="20"/>
          <w:szCs w:val="20"/>
          <w:color w:val="auto"/>
        </w:rPr>
      </w:pPr>
    </w:p>
    <w:p>
      <w:pPr>
        <w:ind w:left="1100" w:hanging="211"/>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by facsimile telecommunication, when directed to a number at which the stockholder has consented to receive notice;</w:t>
      </w:r>
    </w:p>
    <w:p>
      <w:pPr>
        <w:spacing w:after="0" w:line="23" w:lineRule="exact"/>
        <w:rPr>
          <w:rFonts w:ascii="Arial" w:cs="Arial" w:eastAsia="Arial" w:hAnsi="Arial"/>
          <w:sz w:val="18"/>
          <w:szCs w:val="18"/>
          <w:color w:val="auto"/>
        </w:rPr>
      </w:pPr>
    </w:p>
    <w:p>
      <w:pPr>
        <w:ind w:left="1160" w:hanging="2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by electronic mail, when directed to an electronic mail address at which the stockholder has consented to receive notice;</w:t>
      </w:r>
    </w:p>
    <w:p>
      <w:pPr>
        <w:spacing w:after="0" w:line="9" w:lineRule="exact"/>
        <w:rPr>
          <w:rFonts w:ascii="Arial" w:cs="Arial" w:eastAsia="Arial" w:hAnsi="Arial"/>
          <w:sz w:val="18"/>
          <w:szCs w:val="18"/>
          <w:color w:val="auto"/>
        </w:rPr>
      </w:pPr>
    </w:p>
    <w:p>
      <w:pPr>
        <w:ind w:left="440" w:right="200" w:firstLine="449"/>
        <w:spacing w:after="0" w:line="250" w:lineRule="auto"/>
        <w:tabs>
          <w:tab w:leader="none" w:pos="1196"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by a posting on an electronic network together with separate notice to the stockholder of such specific posting, upon the later of (A) such posting and (B) the giving of such separate notice; and</w:t>
      </w:r>
    </w:p>
    <w:p>
      <w:pPr>
        <w:ind w:left="1200" w:hanging="311"/>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by any other form of electronic transmission, when directed to the stockholder.</w:t>
      </w:r>
    </w:p>
    <w:p>
      <w:pPr>
        <w:spacing w:after="0" w:line="211"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 xml:space="preserve">An affidavit of the Secretary or an Assistant Secretary or of the transfer agent or other agent of the Company that the notice has been given by a form of electronic transmission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66" w:lineRule="exact"/>
        <w:rPr>
          <w:sz w:val="20"/>
          <w:szCs w:val="20"/>
          <w:color w:val="auto"/>
        </w:rPr>
      </w:pPr>
    </w:p>
    <w:p>
      <w:pPr>
        <w:jc w:val="both"/>
        <w:ind w:right="180" w:firstLine="441"/>
        <w:spacing w:after="0" w:line="266" w:lineRule="auto"/>
        <w:rPr>
          <w:sz w:val="20"/>
          <w:szCs w:val="20"/>
          <w:color w:val="auto"/>
        </w:rPr>
      </w:pPr>
      <w:r>
        <w:rPr>
          <w:rFonts w:ascii="Arial" w:cs="Arial" w:eastAsia="Arial" w:hAnsi="Arial"/>
          <w:sz w:val="18"/>
          <w:szCs w:val="18"/>
          <w:color w:val="auto"/>
        </w:rPr>
        <w:t>An “</w:t>
      </w:r>
      <w:r>
        <w:rPr>
          <w:rFonts w:ascii="Arial" w:cs="Arial" w:eastAsia="Arial" w:hAnsi="Arial"/>
          <w:sz w:val="18"/>
          <w:szCs w:val="18"/>
          <w:b w:val="1"/>
          <w:bCs w:val="1"/>
          <w:color w:val="auto"/>
        </w:rPr>
        <w:t>electronic transmission</w:t>
      </w:r>
      <w:r>
        <w:rPr>
          <w:rFonts w:ascii="Arial" w:cs="Arial" w:eastAsia="Arial" w:hAnsi="Arial"/>
          <w:sz w:val="18"/>
          <w:szCs w:val="18"/>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Notice by a form of electronic transmission shall not apply to Sections 164, 296, 311, 312 or 324 of the DGCL.</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ind w:right="100" w:firstLine="441"/>
        <w:spacing w:after="0" w:line="273"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b w:val="1"/>
          <w:bCs w:val="1"/>
          <w:i w:val="1"/>
          <w:iCs w:val="1"/>
          <w:color w:val="auto"/>
        </w:rPr>
        <w:t>Notice to Stockholders Sharing an Address</w:t>
      </w:r>
      <w:r>
        <w:rPr>
          <w:rFonts w:ascii="Arial" w:cs="Arial" w:eastAsia="Arial" w:hAnsi="Arial"/>
          <w:sz w:val="17"/>
          <w:szCs w:val="17"/>
          <w:color w:val="auto"/>
        </w:rPr>
        <w:t>. 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w:t>
      </w:r>
    </w:p>
    <w:p>
      <w:pPr>
        <w:spacing w:after="0" w:line="178"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b w:val="1"/>
          <w:bCs w:val="1"/>
          <w:i w:val="1"/>
          <w:iCs w:val="1"/>
          <w:color w:val="auto"/>
        </w:rPr>
        <w:t>Notice to Person with Whom Communication is Unlawful</w:t>
      </w:r>
      <w:r>
        <w:rPr>
          <w:rFonts w:ascii="Arial" w:cs="Arial" w:eastAsia="Arial" w:hAnsi="Arial"/>
          <w:sz w:val="16"/>
          <w:szCs w:val="16"/>
          <w:color w:val="auto"/>
        </w:rPr>
        <w:t>.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65"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b w:val="1"/>
          <w:bCs w:val="1"/>
          <w:i w:val="1"/>
          <w:iCs w:val="1"/>
          <w:color w:val="auto"/>
        </w:rPr>
        <w:t>Waiver of Notice</w:t>
      </w:r>
      <w:r>
        <w:rPr>
          <w:rFonts w:ascii="Arial" w:cs="Arial" w:eastAsia="Arial" w:hAnsi="Arial"/>
          <w:sz w:val="18"/>
          <w:szCs w:val="18"/>
          <w:color w:val="auto"/>
        </w:rPr>
        <w:t>. 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[Intentionally omitted.]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 — GENERAL MATTERS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i w:val="1"/>
          <w:iCs w:val="1"/>
          <w:color w:val="auto"/>
        </w:rPr>
        <w:t>Fiscal Year</w:t>
      </w:r>
      <w:r>
        <w:rPr>
          <w:rFonts w:ascii="Arial" w:cs="Arial" w:eastAsia="Arial" w:hAnsi="Arial"/>
          <w:sz w:val="18"/>
          <w:szCs w:val="18"/>
          <w:color w:val="auto"/>
        </w:rPr>
        <w:t>. The fiscal year of the Company shall be fixed by resolution of the Board and may be changed by the Board.</w:t>
      </w:r>
    </w:p>
    <w:p>
      <w:pPr>
        <w:spacing w:after="0" w:line="225" w:lineRule="exact"/>
        <w:rPr>
          <w:sz w:val="20"/>
          <w:szCs w:val="20"/>
          <w:color w:val="auto"/>
        </w:rPr>
      </w:pPr>
    </w:p>
    <w:p>
      <w:pPr>
        <w:ind w:right="340" w:firstLine="441"/>
        <w:spacing w:after="0" w:line="308"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b w:val="1"/>
          <w:bCs w:val="1"/>
          <w:i w:val="1"/>
          <w:iCs w:val="1"/>
          <w:color w:val="auto"/>
        </w:rPr>
        <w:t>Seal</w:t>
      </w:r>
      <w:r>
        <w:rPr>
          <w:rFonts w:ascii="Arial" w:cs="Arial" w:eastAsia="Arial" w:hAnsi="Arial"/>
          <w:sz w:val="17"/>
          <w:szCs w:val="17"/>
          <w:color w:val="auto"/>
        </w:rPr>
        <w:t>. The Company may adopt a corporate seal, which shall be in such form as may be approved from time to time by the Board. The Company may use the corporate seal by causing it or a facsimile thereof to be impressed or affixed or in any other manner reproduced.</w:t>
      </w:r>
    </w:p>
    <w:p>
      <w:pPr>
        <w:spacing w:after="0" w:line="14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i w:val="1"/>
          <w:iCs w:val="1"/>
          <w:color w:val="auto"/>
        </w:rPr>
        <w:t>Annual Report</w:t>
      </w:r>
      <w:r>
        <w:rPr>
          <w:rFonts w:ascii="Arial" w:cs="Arial" w:eastAsia="Arial" w:hAnsi="Arial"/>
          <w:sz w:val="18"/>
          <w:szCs w:val="18"/>
          <w:color w:val="auto"/>
        </w:rPr>
        <w:t>. The Company shall cause an annual report to be sent to the stockholders of the Company to the extent required by applicable law. If and so long as there are fewer than 100 holders of record of the Company’s shares, the requirement of sending an annual report to the stockholders of the Company is expressly waived (to the extent permitted under applicable law).</w:t>
      </w:r>
    </w:p>
    <w:p>
      <w:pPr>
        <w:spacing w:after="0" w:line="181"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b w:val="1"/>
          <w:bCs w:val="1"/>
          <w:i w:val="1"/>
          <w:iCs w:val="1"/>
          <w:color w:val="auto"/>
        </w:rPr>
        <w:t>Construction; Definitions</w:t>
      </w:r>
      <w:r>
        <w:rPr>
          <w:rFonts w:ascii="Arial" w:cs="Arial" w:eastAsia="Arial" w:hAnsi="Arial"/>
          <w:sz w:val="18"/>
          <w:szCs w:val="18"/>
          <w:color w:val="auto"/>
        </w:rPr>
        <w:t>. 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t>ARTICLE X — AMENDMENTS</w:t>
      </w:r>
    </w:p>
    <w:p>
      <w:pPr>
        <w:spacing w:after="0" w:line="229"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These bylaws may be adopted, amended or repealed by the stockholders entitled to vote. However, the Company may, in its certificate of incorporation, confer the power to adopt, amend or repeal bylaws upon the directors. The fact that such power has been so conferred upon the directors shall not divest the stockholders of the power, nor limit their power to adopt, amend or repeal bylaws.</w:t>
      </w:r>
    </w:p>
    <w:p>
      <w:pPr>
        <w:spacing w:after="0" w:line="181"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A bylaw amendment adopted by stockholders which specifies the votes that shall be necessary for the election of directors shall not be further amended or repealed by the Board.</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121" w:right="279"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Holdings Announces Name Change to XpresSpa Group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Stock to Trade under New Ticker Symbol “XSPA” on January 8</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NEW YORK – January 5, 2018 – FORM Holdings Corp. (Nasdaq: FH), a diversified holding company</w:t>
      </w:r>
      <w:r>
        <w:rPr>
          <w:rFonts w:ascii="Arial" w:cs="Arial" w:eastAsia="Arial" w:hAnsi="Arial"/>
          <w:sz w:val="17"/>
          <w:szCs w:val="17"/>
          <w:color w:val="2D3135"/>
        </w:rPr>
        <w:t>,</w:t>
      </w:r>
      <w:r>
        <w:rPr>
          <w:rFonts w:ascii="Arial" w:cs="Arial" w:eastAsia="Arial" w:hAnsi="Arial"/>
          <w:sz w:val="17"/>
          <w:szCs w:val="17"/>
          <w:color w:val="auto"/>
        </w:rPr>
        <w:t xml:space="preserve"> today announced that it has changed its corporate name to XpresSpa Group, Inc. The company will continue trading on Nasdaq, and will commence trading as “XSPA” on Monday January 8, 2018. The name change aligns with the company’s strategic direction and transformation into a pure-play health and wellness services company.</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XpresSpa Group, Inc.</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XpresSpa Group, Inc. is a health and wellness holding company. XpresSpa Group’s core asset, XpresSpa, is the world’s largest airport spa company, offering services that are tailored specifically to the busy consumer. XpresSpa is committed to providing exceptional customer experiences with its innovative premium spa services, as well as exclusive luxury travel products and accessories. XpresSpa serves almost one million customers per year at its locations in the United States, Holland, and the United Arab Emirates. XpresSpa Group’s non-core assets include Group Mobile, Infomedia, and intellectual property assets. To learn more about XpresSpa Group, visit: www.XpresSpaGroup.com. To learn more about XpresSpa, visit www.XpresSpa.com.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XpresSpa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 Sonnek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646-277-1263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Jeff.Sonnek@icrinc.com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Roman"/>
      <w:start w:val="1"/>
    </w:lvl>
  </w:abstractNum>
  <w:abstractNum w:abstractNumId="2">
    <w:nsid w:val="79E2A9E3"/>
    <w:multiLevelType w:val="hybridMultilevel"/>
    <w:lvl w:ilvl="0">
      <w:lvlJc w:val="left"/>
      <w:lvlText w:val="(%1)"/>
      <w:numFmt w:val="lowerRoman"/>
      <w:start w:val="1"/>
    </w:lvl>
  </w:abstractNum>
  <w:abstractNum w:abstractNumId="3">
    <w:nsid w:val="7545E146"/>
    <w:multiLevelType w:val="hybridMultilevel"/>
    <w:lvl w:ilvl="0">
      <w:lvlJc w:val="left"/>
      <w:lvlText w:val="(%1)"/>
      <w:numFmt w:val="lowerRoman"/>
      <w:start w:val="1"/>
    </w:lvl>
  </w:abstractNum>
  <w:abstractNum w:abstractNumId="4">
    <w:nsid w:val="515F007C"/>
    <w:multiLevelType w:val="hybridMultilevel"/>
    <w:lvl w:ilvl="0">
      <w:lvlJc w:val="left"/>
      <w:lvlText w:val="(%1)"/>
      <w:numFmt w:val="lowerRoman"/>
      <w:start w:val="1"/>
    </w:lvl>
  </w:abstractNum>
  <w:abstractNum w:abstractNumId="5">
    <w:nsid w:val="5BD062C2"/>
    <w:multiLevelType w:val="hybridMultilevel"/>
    <w:lvl w:ilvl="0">
      <w:lvlJc w:val="left"/>
      <w:lvlText w:val="(%1)"/>
      <w:numFmt w:val="lowerRoman"/>
      <w:start w:val="1"/>
    </w:lvl>
  </w:abstractNum>
  <w:abstractNum w:abstractNumId="6">
    <w:nsid w:val="12200854"/>
    <w:multiLevelType w:val="hybridMultilevel"/>
    <w:lvl w:ilvl="0">
      <w:lvlJc w:val="left"/>
      <w:lvlText w:val="(%1)"/>
      <w:numFmt w:val="lowerRoman"/>
      <w:start w:val="1"/>
    </w:lvl>
  </w:abstractNum>
  <w:abstractNum w:abstractNumId="7">
    <w:nsid w:val="4DB127F8"/>
    <w:multiLevelType w:val="hybridMultilevel"/>
    <w:lvl w:ilvl="0">
      <w:lvlJc w:val="left"/>
      <w:lvlText w:val="(%1)"/>
      <w:numFmt w:val="lowerRoman"/>
      <w:start w:val="1"/>
    </w:lvl>
  </w:abstractNum>
  <w:abstractNum w:abstractNumId="8">
    <w:nsid w:val="216231B"/>
    <w:multiLevelType w:val="hybridMultilevel"/>
    <w:lvl w:ilvl="0">
      <w:lvlJc w:val="left"/>
      <w:lvlText w:val="(%1)"/>
      <w:numFmt w:val="lowerRoman"/>
      <w:start w:val="1"/>
    </w:lvl>
  </w:abstractNum>
  <w:abstractNum w:abstractNumId="9">
    <w:nsid w:val="1F16E9E8"/>
    <w:multiLevelType w:val="hybridMultilevel"/>
    <w:lvl w:ilvl="0">
      <w:lvlJc w:val="left"/>
      <w:lvlText w:val="(%1)"/>
      <w:numFmt w:val="lowerRoman"/>
      <w:start w:val="1"/>
    </w:lvl>
  </w:abstractNum>
  <w:abstractNum w:abstractNumId="10">
    <w:nsid w:val="1190CDE7"/>
    <w:multiLevelType w:val="hybridMultilevel"/>
    <w:lvl w:ilvl="0">
      <w:lvlJc w:val="left"/>
      <w:lvlText w:val="(%1)"/>
      <w:numFmt w:val="lowerRoman"/>
      <w:start w:val="2"/>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2019-12-29T02:16:53Z</dcterms:created>
  <dcterms:modified xsi:type="dcterms:W3CDTF">2019-12-29T02:16:53Z</dcterms:modified>
</cp:coreProperties>
</file>