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XpresSpa Group, Inc.</w:t>
      </w:r>
    </w:p>
    <w:p>
      <w:pPr>
        <w:spacing w:after="0" w:line="238" w:lineRule="auto"/>
        <w:rPr>
          <w:sz w:val="20"/>
          <w:szCs w:val="20"/>
          <w:color w:val="auto"/>
        </w:rPr>
      </w:pPr>
      <w:r>
        <w:rPr>
          <w:rFonts w:ascii="Courier New" w:cs="Courier New" w:eastAsia="Courier New" w:hAnsi="Courier New"/>
          <w:sz w:val="18"/>
          <w:szCs w:val="18"/>
          <w:color w:val="auto"/>
        </w:rPr>
        <w:t>(Formerly known as Form Holdings Corporation)</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98420U109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7"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98420U109</w:t>
      </w:r>
    </w:p>
    <w:p>
      <w:pPr>
        <w:spacing w:after="0" w:line="4" w:lineRule="exact"/>
        <w:rPr>
          <w:sz w:val="24"/>
          <w:szCs w:val="24"/>
          <w:color w:val="auto"/>
        </w:rPr>
      </w:pPr>
    </w:p>
    <w:p>
      <w:pPr>
        <w:ind w:right="26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8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r>
        <w:rPr>
          <w:rFonts w:ascii="Courier New" w:cs="Courier New" w:eastAsia="Courier New" w:hAnsi="Courier New"/>
          <w:sz w:val="16"/>
          <w:szCs w:val="16"/>
          <w:color w:val="auto"/>
        </w:rPr>
        <w:t>2,643,745**</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(6) Shared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2,643,745**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0</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6" w:lineRule="exact"/>
        <w:rPr>
          <w:sz w:val="24"/>
          <w:szCs w:val="24"/>
          <w:color w:val="auto"/>
        </w:rPr>
      </w:pPr>
    </w:p>
    <w:p>
      <w:pPr>
        <w:ind w:right="20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of Class Represented by Amount in Row (9):</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9.9%**</w:t>
            </w: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 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68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83"/>
              </w:rPr>
              <w:t>IA</w:t>
            </w:r>
          </w:p>
        </w:tc>
      </w:tr>
    </w:tbl>
    <w:p>
      <w:pPr>
        <w:sectPr>
          <w:pgSz w:w="11900" w:h="16855" w:orient="portrait"/>
          <w:cols w:equalWidth="0" w:num="1">
            <w:col w:w="10219"/>
          </w:cols>
          <w:pgMar w:left="240" w:top="244" w:right="1440" w:bottom="0" w:gutter="0" w:footer="0" w:header="0"/>
        </w:sectPr>
      </w:pPr>
    </w:p>
    <w:bookmarkStart w:id="1" w:name="page2"/>
    <w:bookmarkEnd w:id="1"/>
    <w:p>
      <w:pPr>
        <w:ind w:right="2199"/>
        <w:spacing w:after="0" w:line="237" w:lineRule="auto"/>
        <w:rPr>
          <w:sz w:val="20"/>
          <w:szCs w:val="20"/>
          <w:color w:val="auto"/>
        </w:rPr>
      </w:pPr>
      <w:r>
        <w:rPr>
          <w:rFonts w:ascii="Courier New" w:cs="Courier New" w:eastAsia="Courier New" w:hAnsi="Courier New"/>
          <w:sz w:val="18"/>
          <w:szCs w:val="18"/>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462,561 Shares of Common Stock of the Issuer (the Shares) held by CAYMAN, 1,387,683 Shares of Common Stock held by SSFQP and 793,501 Shares of Common Stock held by SSPE. See Items 2 and 4 of this Schedule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XpresSpa Group, Inc.</w:t>
      </w:r>
    </w:p>
    <w:p>
      <w:pPr>
        <w:spacing w:after="0" w:line="207" w:lineRule="exact"/>
        <w:rPr>
          <w:sz w:val="20"/>
          <w:szCs w:val="20"/>
          <w:color w:val="auto"/>
        </w:rPr>
      </w:pPr>
    </w:p>
    <w:p>
      <w:pPr>
        <w:jc w:val="right"/>
        <w:ind w:right="38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780 Third Avenue -12th Floor, New York, NY 10017</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14"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Austin W. Marxe (Marxe),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18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Item 2(b). Address of Principal Business Office or, if None, Residence: The principal business address for AWM is c/o Special Situations Funds, 527 Madison Avenue, Suite 2600, New York, NY 10022. Item 2(c). Citizenship:</w:t>
      </w:r>
    </w:p>
    <w:p>
      <w:pPr>
        <w:spacing w:after="0"/>
        <w:rPr>
          <w:sz w:val="20"/>
          <w:szCs w:val="20"/>
          <w:color w:val="auto"/>
        </w:rPr>
      </w:pPr>
      <w:r>
        <w:rPr>
          <w:rFonts w:ascii="Courier New" w:cs="Courier New" w:eastAsia="Courier New" w:hAnsi="Courier New"/>
          <w:sz w:val="18"/>
          <w:szCs w:val="18"/>
          <w:color w:val="auto"/>
        </w:rPr>
        <w:t>AWM is a Delaware corporation.</w:t>
      </w: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 $.01 Par Value</w:t>
      </w: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98420U109</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2,643,745**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9.9%**</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(i)sole power to vote or to direct the vote: 2,643,745**</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2,643,745**</w:t>
      </w:r>
    </w:p>
    <w:p>
      <w:pPr>
        <w:spacing w:after="0" w:line="207"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7" w:lineRule="exact"/>
        <w:rPr>
          <w:rFonts w:ascii="Courier New" w:cs="Courier New" w:eastAsia="Courier New" w:hAnsi="Courier New"/>
          <w:sz w:val="16"/>
          <w:szCs w:val="16"/>
          <w:color w:val="auto"/>
        </w:rPr>
      </w:pPr>
    </w:p>
    <w:p>
      <w:pPr>
        <w:ind w:right="2099" w:firstLine="8"/>
        <w:spacing w:after="0" w:line="290"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462,561</w:t>
      </w:r>
    </w:p>
    <w:p>
      <w:pPr>
        <w:sectPr>
          <w:pgSz w:w="11900" w:h="16838" w:orient="portrait"/>
          <w:cols w:equalWidth="0" w:num="1">
            <w:col w:w="10219"/>
          </w:cols>
          <w:pgMar w:left="240" w:top="344" w:right="1440" w:bottom="0" w:gutter="0" w:footer="0" w:header="0"/>
        </w:sectPr>
      </w:pPr>
    </w:p>
    <w:bookmarkStart w:id="2" w:name="page3"/>
    <w:bookmarkEnd w:id="2"/>
    <w:p>
      <w:pPr>
        <w:ind w:right="2199"/>
        <w:spacing w:after="0" w:line="237" w:lineRule="auto"/>
        <w:rPr>
          <w:sz w:val="20"/>
          <w:szCs w:val="20"/>
          <w:color w:val="auto"/>
        </w:rPr>
      </w:pPr>
      <w:r>
        <w:rPr>
          <w:rFonts w:ascii="Courier New" w:cs="Courier New" w:eastAsia="Courier New" w:hAnsi="Courier New"/>
          <w:sz w:val="18"/>
          <w:szCs w:val="18"/>
          <w:color w:val="auto"/>
        </w:rPr>
        <w:t>Shares of Common Stock of the Issuer (the Shares) held by CAYMAN, 1,387,683 Shares of Common Stock held by SSFQP and 793,501 Shares of Common Stock held by SSPE. Marxe, Greenhouse and Stettner are members of: SSCAY, the general partner of CAYMAN; MGP, the general partner of SSFQP; and MG, the general partner of SSPE. Marxe, Greenhouse and Stettner are also controlling principals of AWM.</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David Greenhouse</w:t>
      </w:r>
    </w:p>
    <w:p>
      <w:pPr>
        <w:spacing w:after="0" w:line="238" w:lineRule="auto"/>
        <w:rPr>
          <w:sz w:val="20"/>
          <w:szCs w:val="20"/>
          <w:color w:val="auto"/>
        </w:rPr>
      </w:pPr>
      <w:r>
        <w:rPr>
          <w:rFonts w:ascii="Courier New" w:cs="Courier New" w:eastAsia="Courier New" w:hAnsi="Courier New"/>
          <w:sz w:val="18"/>
          <w:szCs w:val="18"/>
          <w:color w:val="auto"/>
        </w:rPr>
        <w:t>Name: David Greenhouse</w:t>
      </w:r>
    </w:p>
    <w:p>
      <w:pPr>
        <w:spacing w:after="0" w:line="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ectPr>
          <w:pgSz w:w="11900" w:h="16838" w:orient="portrait"/>
          <w:cols w:equalWidth="0" w:num="2">
            <w:col w:w="320" w:space="0"/>
            <w:col w:w="9899"/>
          </w:cols>
          <w:pgMar w:left="240" w:top="14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-5-</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2019-12-07T10:25:19Z</dcterms:created>
  <dcterms:modified xsi:type="dcterms:W3CDTF">2019-12-07T10:25:19Z</dcterms:modified>
</cp:coreProperties>
</file>