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9"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(Amendment No.</w:t>
        <w:tab/>
        <w:t>)</w:t>
      </w:r>
    </w:p>
    <w:p>
      <w:pPr>
        <w:spacing w:after="0" w:line="219" w:lineRule="exact"/>
        <w:rPr>
          <w:sz w:val="24"/>
          <w:szCs w:val="24"/>
          <w:color w:val="auto"/>
        </w:rPr>
      </w:pPr>
    </w:p>
    <w:p>
      <w:pPr>
        <w:spacing w:after="0" w:line="207" w:lineRule="exact"/>
        <w:tabs>
          <w:tab w:leader="none" w:pos="45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-126365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4"/>
          <w:szCs w:val="24"/>
          <w:color w:val="auto"/>
        </w:rPr>
      </w:pPr>
    </w:p>
    <w:p>
      <w:pPr>
        <w:spacing w:after="0" w:line="207" w:lineRule="exact"/>
        <w:tabs>
          <w:tab w:leader="none" w:pos="456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 w:lineRule="exact"/>
        <w:rPr>
          <w:sz w:val="24"/>
          <w:szCs w:val="24"/>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sz w:val="24"/>
          <w:szCs w:val="24"/>
          <w:color w:val="auto"/>
        </w:rPr>
      </w:pPr>
    </w:p>
    <w:p>
      <w:pPr>
        <w:ind w:left="980" w:hanging="648"/>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980" w:hanging="648"/>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980" w:hanging="648"/>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980" w:hanging="648"/>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279400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980" w:hanging="648"/>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980" w:hanging="648"/>
        <w:spacing w:after="0"/>
        <w:tabs>
          <w:tab w:leader="none" w:pos="9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620" w:hanging="64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1620" w:hanging="64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620" w:right="180" w:hanging="640"/>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620" w:hanging="64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620" w:hanging="64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980" w:hanging="648"/>
        <w:spacing w:after="0" w:line="264" w:lineRule="auto"/>
        <w:tabs>
          <w:tab w:leader="none" w:pos="9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620" w:hanging="64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620" w:hanging="64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620" w:hanging="64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620" w:hanging="64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1034415</wp:posOffset>
            </wp:positionH>
            <wp:positionV relativeFrom="paragraph">
              <wp:posOffset>-1545590</wp:posOffset>
            </wp:positionV>
            <wp:extent cx="6106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-1828165</wp:posOffset>
            </wp:positionV>
            <wp:extent cx="610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-2111375</wp:posOffset>
            </wp:positionV>
            <wp:extent cx="6106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-2531745</wp:posOffset>
            </wp:positionV>
            <wp:extent cx="6106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-2814320</wp:posOffset>
            </wp:positionV>
            <wp:extent cx="6106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152400</wp:posOffset>
            </wp:positionV>
            <wp:extent cx="610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-130175</wp:posOffset>
            </wp:positionV>
            <wp:extent cx="6106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-413385</wp:posOffset>
            </wp:positionV>
            <wp:extent cx="6106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-695960</wp:posOffset>
            </wp:positionV>
            <wp:extent cx="6106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786765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ind w:left="4680"/>
        <w:spacing w:after="0"/>
        <w:rPr>
          <w:sz w:val="20"/>
          <w:szCs w:val="20"/>
          <w:color w:val="auto"/>
        </w:rPr>
      </w:pPr>
      <w:r>
        <w:rPr>
          <w:rFonts w:ascii="Arial" w:cs="Arial" w:eastAsia="Arial" w:hAnsi="Arial"/>
          <w:sz w:val="18"/>
          <w:szCs w:val="18"/>
          <w:b w:val="1"/>
          <w:bCs w:val="1"/>
          <w:color w:val="auto"/>
        </w:rPr>
        <w:t>XPRESSPA GROUP, INC.</w:t>
      </w:r>
    </w:p>
    <w:p>
      <w:pPr>
        <w:ind w:left="4600"/>
        <w:spacing w:after="0" w:line="198"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 are cordially invited to attend the 2019 annual meeting of stockholders of XpresSpa Group, Inc. to be held at 11:00 A.M. EST on Monday, September 9, 2019 at the offices of Mintz, Levin, Cohn, Ferris, Glovsky &amp; Popeo, P.C., located at 666 Third Avenue, New York, New York, 10017.</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Details regarding the meeting, the business to be conducted at the meeting, and information about XpresSpa Group, Inc. that you should consider when you vote your shares are described in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we will ask stockholders to consider the following proposals: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Douglas Satzman, Bruce T. Bernstein, Donald E. Stout and Salvatore Giardina to our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selection of CohnReznick LLP as our independent registered public accounting firm for the fiscal year ending December 31, 2019;</w:t>
      </w:r>
    </w:p>
    <w:p>
      <w:pPr>
        <w:spacing w:after="0" w:line="23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authorize, for purposes of complying with Nasdaq Listing Rules 5635(a), 5635(b) and 5635(d), the issuance of shares of our Common Stock underlying the instruments below (including upon the operation of anti-dilution provisions, voluntary adjustment provisions and/or the reduction of conversion ratios):</w:t>
      </w:r>
    </w:p>
    <w:p>
      <w:pPr>
        <w:spacing w:after="0" w:line="181"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Series F Convertible Preferred Stock issued by us pursuant to that certain Amendment to Securities Purchase Agreement and Class A Warrants and Class B Warrants, dated as of July 8, 2019 (the “May 2018 SPA Amendment”);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amendment to the Class A Warrants pursuant to the May 2018 SPA Amendment;</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notes, warrants and Series E Convertible Preferred Stock issued by us pursuant to that certain Securities Purchase Agreement, dated as of July 8, 2019, by and between us and Calm.com, Inc. (the “Calm Purchase Agreement”);</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convertible note issued by us pursuant to that certain Fourth Amendment to Credit Agreement, dated as of July 8, 2019, by and between XpresSpa Holdings, LLC and B3D, LLC (the “B3D Credit Agreement Amendment”);</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warrants issued by us pursuant to that certain amendment to certain outstanding warrants issued in December 2016 to holders of our Series D Convertible Preferred Stock (the “December 2016 Warrant Amendment”);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Series D Convertible Preferred Stock issued by us pursuant to that certain certificate of amendment to the Certificate of Designation of Series D Convertible Preferred Stock (the “Series D COD Amendment”);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proposed amendment to the XpresSpa Group, Inc. Amended and Restated Certificate of Incorporation to increase the number of authorized shares of our preferred stock by 5,000,000, from 5,000,000 to 10,000,000;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proposed amendment to our 2012 Employee, Director and Consultant Equity Incentive Plan, as amended (the “Plan”), to increase the number of shares authorized for issuance under the Plan by 2,165,000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proposed amendment to the XpresSpa Group, Inc. Amended and Restated Certificate of Incorporation to effect a reverse stock split of our issued and outstanding shares of Common Stock, at a ratio of between 1-for-2 and 1-for-25;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by an advisory vote, the compensation of our named executive officers, as disclosed in this proxy statement;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by an advisory vote the frequency of holding an advisory vote on compensation of our named executive officers;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adjournment of our annual meeting of stockholders, if necessary, to solicit additional proxies if there are not sufficient votes in favor of the proposals referred to in proposals (2) through (7).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recommends the approval of each of these proposals. Such other business will be transacted as may properly come before the annual meeting.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at the annual meeting, the holders of our Series D Preferred Stock may re-elect Andrew R. Heyer to the Board of Directors. The Board of Directors makes no recommendation with respect to this proposal.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hope you will be able to attend the annual meeting. Whether you plan to attend the annual meeting or not, it is important that you cast your vote either in person or by proxy. You may vote over the Internet as well as by telephone or by mail. When you have finished reading the proxy statement, you are urged to vote in accordance with the instructions set forth in this proxy statement. We encourage you to vote by proxy so that your shares will be represented and voted at the meeting, whether or not you can attend.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XpresSpa Group, Inc. We look forward to seeing you at the annual meeting.</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Douglas Satzman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ind w:left="4680"/>
        <w:spacing w:after="0"/>
        <w:rPr>
          <w:sz w:val="20"/>
          <w:szCs w:val="20"/>
          <w:color w:val="auto"/>
        </w:rPr>
      </w:pPr>
      <w:r>
        <w:rPr>
          <w:rFonts w:ascii="Arial" w:cs="Arial" w:eastAsia="Arial" w:hAnsi="Arial"/>
          <w:sz w:val="18"/>
          <w:szCs w:val="18"/>
          <w:b w:val="1"/>
          <w:bCs w:val="1"/>
          <w:color w:val="auto"/>
        </w:rPr>
        <w:t>XPRESSPA GROUP, INC.</w:t>
      </w:r>
    </w:p>
    <w:p>
      <w:pPr>
        <w:ind w:left="4600"/>
        <w:spacing w:after="0" w:line="198"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205" w:lineRule="exact"/>
        <w:rPr>
          <w:sz w:val="20"/>
          <w:szCs w:val="20"/>
          <w:color w:val="auto"/>
        </w:rPr>
      </w:pPr>
    </w:p>
    <w:p>
      <w:pPr>
        <w:jc w:val="both"/>
        <w:ind w:left="10540"/>
        <w:spacing w:after="0"/>
        <w:tabs>
          <w:tab w:leader="none" w:pos="109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2019 ANNUAL MEETING OF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TIME: 11:00 a.m., local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PLACE: Mintz, Levin, Cohn, Ferris, Glovsky &amp; Popeo, P.C., located at 666 Third Avenue, New York, New York, 10017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Douglas Satzman, Bruce T. Bernstein, Donald E. Stout and Salvatore Giardina to our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ratify the selection of CohnReznick LLP as our independent registered public accounting firm for the fiscal year ending December 31, 2019;</w:t>
      </w:r>
    </w:p>
    <w:p>
      <w:pPr>
        <w:spacing w:after="0" w:line="23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authorize, for purposes of complying with Nasdaq Listing Rules 5635(a), 5635(b) and 5635(d), the issuance of shares of our Common Stock underlying the instruments below (including upon the operation of anti-dilution provisions, voluntary adjustment provisions and/or the reduction of conversion ratios):</w:t>
      </w:r>
    </w:p>
    <w:p>
      <w:pPr>
        <w:spacing w:after="0" w:line="181"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Series F Convertible Preferred Stock issued by us pursuant to that certain Amendment to Securities Purchase Agreement and Class A Warrants and Class B Warrants, dated as of July 8, 2019 (the “May 2018 SPA Amendment”);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amendment to the Class A Warrants pursuant to the May 2018 SPA Amendment;</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notes, warrants and Series E Convertible Preferred Stock issued by us pursuant to that certain Securities Purchase Agreement, dated as of July 8, 2019, by and between us and Calm.com, Inc. (the “Calm Purchase Agreement”);</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convertible note issued by us pursuant to that certain Fourth Amendment to Credit Agreement, dated as of July 8, 2019, by and between XpresSpa Holdings, LLC and B3D, LLC (the “B3D Credit Agreement Amendment”);</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warrants issued by us pursuant to that certain amendment to certain outstanding warrants issued in December 2016 to holders of our Series D Convertible Preferred Stock (the “December 2016 Warrant Amendment”);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Series D Convertible Preferred Stock issued by us pursuant to that certain certificate of amendment to the Certificate of Designation of Series D Convertible Preferred Stock (the “Series D COD Amendment”);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proposed amendment to the XpresSpa Group, Inc. Amended and Restated Certificate of Incorporation to increase the number of authorized shares of our preferred stock by 5,000,000, from 5,000,000 to 10,000,000;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proposed amendment to our 2012 Employee, Director and Consultant Equity Incentive Plan, as amended (the “Plan”), to increase the number of shares authorized for issuance under the Plan by 2,165,000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 proposed amendment to the XpresSpa Group, Inc. Amended and Restated Certificate of Incorporation to effect a reverse stock split of our issued and outstanding shares of Common Stock, at a ratio of between 1-for-2 and 1-for-25;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by an advisory vote, the compensation of our named executive officers, as disclosed in this proxy statement;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by an advisory vote the frequency of holding an advisory vote on compensation of our named executive officers;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an adjournment of our annual meeting of stockholders, if necessary, to solicit additional proxies if there are not sufficient votes in favor of the proposals referred to in proposals (2) through (7).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WHO MAY VOTE: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You may vote if you were the record owner of XpresSpa Group, Inc. Common Stock, Series D Preferred Stock or Series E Preferred Stock at the close of business on August 1, 2019. A list of stockholders of record will be available at the annual meeting and, during the 10 days prior to the annual meeting, at our principal executive offices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w:t>
      </w:r>
    </w:p>
    <w:p>
      <w:pPr>
        <w:spacing w:after="0" w:line="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All stockholders are cordially invited to attend the annual meeting. </w:t>
      </w:r>
      <w:r>
        <w:rPr>
          <w:rFonts w:ascii="Arial" w:cs="Arial" w:eastAsia="Arial" w:hAnsi="Arial"/>
          <w:sz w:val="18"/>
          <w:szCs w:val="18"/>
          <w:b w:val="1"/>
          <w:bCs w:val="1"/>
          <w:color w:val="auto"/>
        </w:rPr>
        <w:t>Whether you plan to attend the annual meeting or not, we urge you to vote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submit your proxy by the Internet, telephone or mail in order to ensure the presence of a quorum. </w:t>
      </w:r>
      <w:r>
        <w:rPr>
          <w:rFonts w:ascii="Arial" w:cs="Arial" w:eastAsia="Arial" w:hAnsi="Arial"/>
          <w:sz w:val="18"/>
          <w:szCs w:val="18"/>
          <w:color w:val="auto"/>
        </w:rPr>
        <w:t>You may change or revoke your proxy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before it is voted at the meeting.</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Douglas Satzman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80" w:type="dxa"/>
            <w:vAlign w:val="bottom"/>
            <w:gridSpan w:val="17"/>
          </w:tcPr>
          <w:p>
            <w:pPr>
              <w:ind w:left="40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40" w:type="dxa"/>
            <w:vAlign w:val="bottom"/>
            <w:gridSpan w:val="26"/>
          </w:tcPr>
          <w:p>
            <w:pPr>
              <w:spacing w:after="0"/>
              <w:rPr>
                <w:sz w:val="20"/>
                <w:szCs w:val="20"/>
                <w:color w:val="auto"/>
              </w:rPr>
            </w:pPr>
            <w:r>
              <w:rPr>
                <w:rFonts w:ascii="Arial" w:cs="Arial" w:eastAsia="Arial" w:hAnsi="Arial"/>
                <w:sz w:val="18"/>
                <w:szCs w:val="18"/>
                <w:b w:val="1"/>
                <w:bCs w:val="1"/>
                <w:color w:val="auto"/>
              </w:rPr>
              <w:t>PAGE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IMPORTANT INFORMATION ABOUT THE ANNUAL MEETING AND VOTING</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SECURITY OWNERSHIP OF CERTAIN BENEFICIAL OWNERS AND MANAGEMENT</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MANAGEMENT AND CORPORATE GOVERNANCE</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REPORT OF AUDIT COMMITTEE</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SECTION 16(a) BENEFICIAL OWNERSHIP REPORTING COMPLIANCE</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CERTAIN RELATIONSHIPS AND RELATED PERSON TRANSACTIONS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PROPOSAL 1: ELECTION OF DIRECTORS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PROPOSAL 2: RATIFICATION OF APPOINTMENT OF INDEPENDENT REGISTERED PUBLIC ACCOUNTING FIRM</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PROPOSAL 3: TO AUTHORIZE, FOR PURPOSES OF COMPLYING WITH NASDAQ LISTING RULES 5635(a), 5635(b) AND</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0000EE"/>
            </w:tcBorders>
          </w:tcPr>
          <w:p>
            <w:pPr>
              <w:spacing w:after="0"/>
              <w:rPr>
                <w:sz w:val="18"/>
                <w:szCs w:val="18"/>
                <w:color w:val="auto"/>
              </w:rPr>
            </w:pPr>
          </w:p>
        </w:tc>
        <w:tc>
          <w:tcPr>
            <w:tcW w:w="960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5635(d), THE ISSUANCE OF SHARES OF OUR COMMON STOCK</w:t>
              </w:r>
            </w:hyperlink>
          </w:p>
        </w:tc>
        <w:tc>
          <w:tcPr>
            <w:tcW w:w="1620" w:type="dxa"/>
            <w:vAlign w:val="bottom"/>
            <w:tcBorders>
              <w:top w:val="single" w:sz="8" w:color="CCEEFF"/>
            </w:tcBorders>
            <w:gridSpan w:val="6"/>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PROPOSAL 4: APPROVAL OF AN AMENDMENT TO OUR CHARTER TO INCREASE THE NUMBER OF AUTHORIZED SHARES</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0000EE"/>
            </w:tcBorders>
          </w:tcPr>
          <w:p>
            <w:pPr>
              <w:spacing w:after="0"/>
              <w:rPr>
                <w:sz w:val="18"/>
                <w:szCs w:val="18"/>
                <w:color w:val="auto"/>
              </w:rPr>
            </w:pPr>
          </w:p>
        </w:tc>
        <w:tc>
          <w:tcPr>
            <w:tcW w:w="10100" w:type="dxa"/>
            <w:vAlign w:val="bottom"/>
            <w:tcBorders>
              <w:top w:val="single" w:sz="8" w:color="0000EE"/>
            </w:tcBorders>
            <w:gridSpan w:val="23"/>
            <w:shd w:val="clear" w:color="auto" w:fill="CCEEFF"/>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OF PREFERRED STOCK</w:t>
              </w:r>
            </w:hyperlink>
          </w:p>
        </w:tc>
        <w:tc>
          <w:tcPr>
            <w:tcW w:w="11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spacing w:after="0" w:line="196"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1016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6"/>
              </w:rPr>
            </w:pPr>
            <w:hyperlink w:anchor="page48">
              <w:r>
                <w:rPr>
                  <w:rFonts w:ascii="Arial" w:cs="Arial" w:eastAsia="Arial" w:hAnsi="Arial"/>
                  <w:sz w:val="18"/>
                  <w:szCs w:val="18"/>
                  <w:color w:val="0000EE"/>
                  <w:w w:val="96"/>
                </w:rPr>
                <w:t>PROPOSAL 5: APPROVAL OF AN AMENDMENT TO OUR 2012 EMPLOYEE, DIRECTOR AND CONSULTANT EQUITY PLAN TO</w:t>
              </w:r>
            </w:hyperlink>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20" w:type="dxa"/>
            <w:vAlign w:val="bottom"/>
            <w:gridSpan w:val="25"/>
            <w:shd w:val="clear" w:color="auto" w:fill="CCEEFF"/>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INCREASE THE SHARES AVAILABLE FOR ISSUANCE</w:t>
              </w:r>
            </w:hyperlink>
          </w:p>
        </w:tc>
        <w:tc>
          <w:tcPr>
            <w:tcW w:w="180" w:type="dxa"/>
            <w:vAlign w:val="bottom"/>
            <w:gridSpan w:val="2"/>
            <w:shd w:val="clear" w:color="auto" w:fill="CCEEFF"/>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PROPOSAL 6: APPROVAL OF AN AMENDMENT TO OUR CHARTER TO EFFECT A REVERSE STOCK SPLIT</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47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PROPOSAL 7: ADVISORY VOTE ON THE APPROVAL OF EXECUTIVE COMPENSATION AS DISCLOSED IN THIS PROXY</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0000EE"/>
            </w:tcBorders>
          </w:tcPr>
          <w:p>
            <w:pPr>
              <w:spacing w:after="0"/>
              <w:rPr>
                <w:sz w:val="18"/>
                <w:szCs w:val="18"/>
                <w:color w:val="auto"/>
              </w:rPr>
            </w:pPr>
          </w:p>
        </w:tc>
        <w:tc>
          <w:tcPr>
            <w:tcW w:w="970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STATEMENT.</w:t>
              </w:r>
            </w:hyperlink>
          </w:p>
        </w:tc>
        <w:tc>
          <w:tcPr>
            <w:tcW w:w="1520" w:type="dxa"/>
            <w:vAlign w:val="bottom"/>
            <w:tcBorders>
              <w:top w:val="single" w:sz="8" w:color="CCEEFF"/>
            </w:tcBorders>
            <w:gridSpan w:val="5"/>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PROPOSAL 8: ADVISORY VOTE ON THE FREQUENCY OF HOLDING ADVISORY VOTES ON EXECUTIVE COMPENSATION.</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1004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PROPOSAL 9: APPROVAL OF THE ADJOURNMENT OF THE ANNUAL MEETING, IF NECESSARY, TO SOLICIT ADDITIONAL</w:t>
              </w:r>
            </w:hyperlink>
          </w:p>
        </w:tc>
        <w:tc>
          <w:tcPr>
            <w:tcW w:w="1180" w:type="dxa"/>
            <w:vAlign w:val="bottom"/>
            <w:tcBorders>
              <w:bottom w:val="single" w:sz="8" w:color="CCEEFF"/>
            </w:tcBorders>
            <w:gridSpan w:val="3"/>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20" w:type="dxa"/>
            <w:vAlign w:val="bottom"/>
            <w:gridSpan w:val="25"/>
            <w:shd w:val="clear" w:color="auto" w:fill="CCEEFF"/>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PROXIES IF THERE ARE NOT SUFFICIENT VOTES IN FAVOR OF PROPOSALS 2 THROUGH 7</w:t>
              </w:r>
            </w:hyperlink>
          </w:p>
        </w:tc>
        <w:tc>
          <w:tcPr>
            <w:tcW w:w="180" w:type="dxa"/>
            <w:vAlign w:val="bottom"/>
            <w:gridSpan w:val="2"/>
            <w:shd w:val="clear" w:color="auto" w:fill="CCEEFF"/>
          </w:tcPr>
          <w:p>
            <w:pPr>
              <w:jc w:val="right"/>
              <w:spacing w:after="0" w:line="19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PREFERRED STOCKHOLDER PROPOSAL: ELECTION OF DIRECTORS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57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CODE OF CONDUCT AND ETHICS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58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OTHER MATTERS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58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20" w:type="dxa"/>
            <w:vAlign w:val="bottom"/>
            <w:gridSpan w:val="25"/>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STOCKHOLDER PROPOSALS AND NOMINATIONS FOR DIRECTOR</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58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APPENDIX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APPENDIX A — FORMS OF PROXY CARD</w:t>
      </w:r>
    </w:p>
    <w:p>
      <w:pPr>
        <w:spacing w:after="0" w:line="225" w:lineRule="exact"/>
        <w:rPr>
          <w:sz w:val="20"/>
          <w:szCs w:val="20"/>
          <w:color w:val="auto"/>
        </w:rPr>
      </w:pPr>
    </w:p>
    <w:p>
      <w:pPr>
        <w:ind w:right="2660"/>
        <w:spacing w:after="0" w:line="552" w:lineRule="auto"/>
        <w:rPr>
          <w:sz w:val="20"/>
          <w:szCs w:val="20"/>
          <w:color w:val="auto"/>
        </w:rPr>
      </w:pPr>
      <w:r>
        <w:rPr>
          <w:rFonts w:ascii="Arial" w:cs="Arial" w:eastAsia="Arial" w:hAnsi="Arial"/>
          <w:sz w:val="17"/>
          <w:szCs w:val="17"/>
          <w:color w:val="auto"/>
        </w:rPr>
        <w:t>APPENDIX B – FORM OF CERTIFICATE OF AMENDMENT TO EFFECT INCREASE IN AUTHORIZED SHARES APPENDIX C — 2012 EMPLOYEE, DIRECTOR AND CONSULTANT EQUITY PLAN, AS AMENDED APPENDIX D — FORM OF CERTIFICATE OF AMENDMENT TO EFFECT REVERSE STOCK SPLIT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PRELIMINARY COPIES FILED PURSUANT TO RULE 14a-6(a)</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XPRESSPA GROUP, INC.</w:t>
      </w:r>
    </w:p>
    <w:p>
      <w:pPr>
        <w:ind w:left="4600"/>
        <w:spacing w:after="0" w:line="198"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 FOR THE 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TO BE HELD ON SEPTEMBER 9, 2019</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proxy statement, along with the accompanying notice of annual meeting of stockholders, contains information about the annual meeting of stockholders of XpresSpa Group, Inc. including any adjournments or postponements of the annual meeting. We are holding the annual meeting at 11:00 a.m. local time, on Monday, September 9, 2019, at the offices of Mintz, Levin, Cohn, Ferris, Glovsky and Popeo, P.C., 666 Third Avenue, New York, NY 10017.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we refer to XpresSpa Group, Inc. as “</w:t>
      </w:r>
      <w:r>
        <w:rPr>
          <w:rFonts w:ascii="Arial" w:cs="Arial" w:eastAsia="Arial" w:hAnsi="Arial"/>
          <w:sz w:val="18"/>
          <w:szCs w:val="18"/>
          <w:b w:val="1"/>
          <w:bCs w:val="1"/>
          <w:color w:val="auto"/>
        </w:rPr>
        <w:t>XpresSpa</w:t>
      </w:r>
      <w:r>
        <w:rPr>
          <w:rFonts w:ascii="Arial" w:cs="Arial" w:eastAsia="Arial" w:hAnsi="Arial"/>
          <w:sz w:val="18"/>
          <w:szCs w:val="18"/>
          <w:color w:val="auto"/>
        </w:rPr>
        <w:t>,” “</w:t>
      </w:r>
      <w:r>
        <w:rPr>
          <w:rFonts w:ascii="Arial" w:cs="Arial" w:eastAsia="Arial" w:hAnsi="Arial"/>
          <w:sz w:val="18"/>
          <w:szCs w:val="18"/>
          <w:b w:val="1"/>
          <w:bCs w:val="1"/>
          <w:color w:val="auto"/>
        </w:rPr>
        <w:t>the 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or about [ ], 2019, we began sending this proxy statement, the attached Notice of Annual Meeting of Stockholders and the enclosed proxy card to all stockholders entitled to vote at the annual meeting. Although not part of this proxy statement, we are also sending, along with this proxy statement, our 2018 annual report, which includes our financial statements for the fiscal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SEPTEMBER 9, 2019</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This proxy statement, the Notice of Annual Meeting of Stockholders, and our 2018 annual report to stockholders are available for viewing, printing and downloading at </w:t>
      </w:r>
      <w:r>
        <w:rPr>
          <w:rFonts w:ascii="Arial" w:cs="Arial" w:eastAsia="Arial" w:hAnsi="Arial"/>
          <w:sz w:val="18"/>
          <w:szCs w:val="18"/>
          <w:b w:val="1"/>
          <w:bCs w:val="1"/>
          <w:u w:val="single" w:color="auto"/>
          <w:color w:val="auto"/>
        </w:rPr>
        <w:t>www.proxyvote.com</w:t>
      </w:r>
      <w:r>
        <w:rPr>
          <w:rFonts w:ascii="Arial" w:cs="Arial" w:eastAsia="Arial" w:hAnsi="Arial"/>
          <w:sz w:val="18"/>
          <w:szCs w:val="18"/>
          <w:b w:val="1"/>
          <w:bCs w:val="1"/>
          <w:color w:val="auto"/>
        </w:rPr>
        <w:t>. To view these materials please have your 16-digit control number(s) available that appears on your proxy card. On this website, you can also elect to receive future distributions of our proxy statements and annual reports to stockholders by electronic delivery.</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 xml:space="preserve">Additionally, you can find a copy of our Annual Report on Form 10-K, as amended, which includes our financial statements for the fiscal year ended December 31, 2018, on the website of the Securities and Exchange Commission, or the SEC, at </w:t>
      </w:r>
      <w:r>
        <w:rPr>
          <w:rFonts w:ascii="Arial" w:cs="Arial" w:eastAsia="Arial" w:hAnsi="Arial"/>
          <w:sz w:val="16"/>
          <w:szCs w:val="16"/>
          <w:b w:val="1"/>
          <w:bCs w:val="1"/>
          <w:u w:val="single" w:color="auto"/>
          <w:color w:val="auto"/>
        </w:rPr>
        <w:t>www.sec.gov</w:t>
      </w:r>
      <w:r>
        <w:rPr>
          <w:rFonts w:ascii="Arial" w:cs="Arial" w:eastAsia="Arial" w:hAnsi="Arial"/>
          <w:sz w:val="16"/>
          <w:szCs w:val="16"/>
          <w:b w:val="1"/>
          <w:bCs w:val="1"/>
          <w:color w:val="auto"/>
        </w:rPr>
        <w:t xml:space="preserve">, or in the “SEC Filings” section of the “Investors” section of our website at </w:t>
      </w:r>
      <w:r>
        <w:rPr>
          <w:rFonts w:ascii="Arial" w:cs="Arial" w:eastAsia="Arial" w:hAnsi="Arial"/>
          <w:sz w:val="16"/>
          <w:szCs w:val="16"/>
          <w:b w:val="1"/>
          <w:bCs w:val="1"/>
          <w:u w:val="single" w:color="auto"/>
          <w:color w:val="auto"/>
        </w:rPr>
        <w:t>www.xpresspa.com</w:t>
      </w:r>
      <w:r>
        <w:rPr>
          <w:rFonts w:ascii="Arial" w:cs="Arial" w:eastAsia="Arial" w:hAnsi="Arial"/>
          <w:sz w:val="16"/>
          <w:szCs w:val="16"/>
          <w:b w:val="1"/>
          <w:bCs w:val="1"/>
          <w:color w:val="auto"/>
        </w:rPr>
        <w:t>. You may also obtain a printed copy of our Annual Report on Form 10-K, including our financial statements, free of charge, from us by sending a written request to: XpresSpa Group, Inc., 780 Third Avenue, 12</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Floor, New York, New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York 10017, Attention: Corporate Secretary. Exhibits will be provided upon written request and payment of an appropriate processing fee.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left="2460"/>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Company Soliciting My Proxy?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of XpresSpa Group, Inc. is soliciting your proxy to vote at the annual meeting of stockholders to be held at the offices of Mintz, Levin, Cohn, Ferris, Glovsky and Popeo, P.C., on September 9, 2019, at 11:00 a.m. local time and any adjournments of the meeting, which we refer to as the annual meeting. The proxy statement, along with the accompanying Notice of Annual Meeting of Stockholders, summarizes the purposes of the meeting and the information you need to know to vote at the annual meeting.</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made available to you on the Internet or have sent you this proxy statement, the Notice of Annual Meeting of Stockholders, the proxy card and a copy of our Annual Report on Form 10-K for the fiscal year ended December 31, 2018 because you owned shares of our Common Stock, par value $0.01 per</w:t>
      </w:r>
    </w:p>
    <w:tbl>
      <w:tblPr>
        <w:tblLayout w:type="fixed"/>
        <w:tblInd w:w="0" w:type="dxa"/>
        <w:tblCellMar>
          <w:top w:w="0" w:type="dxa"/>
          <w:left w:w="0" w:type="dxa"/>
          <w:bottom w:w="0" w:type="dxa"/>
          <w:right w:w="0" w:type="dxa"/>
        </w:tblCellMar>
      </w:tblPr>
      <w:tr>
        <w:trPr>
          <w:trHeight w:val="230"/>
        </w:trPr>
        <w:tc>
          <w:tcPr>
            <w:tcW w:w="10120" w:type="dxa"/>
            <w:vAlign w:val="bottom"/>
          </w:tcPr>
          <w:p>
            <w:pPr>
              <w:spacing w:after="0"/>
              <w:rPr>
                <w:sz w:val="20"/>
                <w:szCs w:val="20"/>
                <w:color w:val="auto"/>
              </w:rPr>
            </w:pPr>
            <w:r>
              <w:rPr>
                <w:rFonts w:ascii="Arial" w:cs="Arial" w:eastAsia="Arial" w:hAnsi="Arial"/>
                <w:sz w:val="18"/>
                <w:szCs w:val="18"/>
                <w:color w:val="auto"/>
                <w:w w:val="93"/>
              </w:rPr>
              <w:t>share (the “Common Stock”) on the record date. We intend to commence distribution of the proxy materials to stockholders on or about [</w:t>
            </w:r>
          </w:p>
        </w:tc>
        <w:tc>
          <w:tcPr>
            <w:tcW w:w="78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is the Company seeking approval for the issuance of shares of Common Stock in connection with the Financing Transaction (as defined below)?</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8, 2019, we entered into an amendment to that certain securities purchase agreement, dated May 15, 2018 (the “May 2018 SPA Amendment”), to provide for, among other things, (i) with respect to our previously issued Class A Warrants, a reduction in the exercise price to $2.00 per share, the removal of the conversion price floor and the inclusion of a provision allowing for voluntary reduction of the exercise price by our Board of Directors at any time in its discretion and (ii) the establishment of a new class of preferred stock, designated Series F Convertible Preferred Stock, par value $0.01 per share (the “Series F Preferred Stock”), which Series F Preferred Stock, subject to the approval of our stockholders, will contain anti-dilution price protection, and the issuance of 9,000 shares of such Series F Preferred Stock to the parties to the May 2018 SPA Amendment, which will be convertible into Common Stock at a conversion price of $2.00 per share, subject to the approval of our stockholders.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8, 2019, we also entered into a securities purchase agreement (the “Calm Purchase Agreement”), pursuant to which we agreed to sell (i) an aggregate principal amount of $2,500,000 in 5.00% unsecured convertible notes due 2022 (the “Calm Notes”), which are convertible into shares of Series E Convertible Preferred Stock, par value $0.01 per share (the “Series E Preferred Stock”) and (ii) warrants to purchase 937,500 shares of Common Stock at an exercise price of $2.00 per share (the “Calm Warrants”). Each of the Calm Notes and the Calm Warrants contains, subject to the approval of our stockholders, anti-dilution price protection and provides for the inclusion of a provision allowing for the voluntary reduction of the conversion or exercise price, as applicable, by our Board of Directors at any time in its discretion. In connection with the Calm Purchase Agreement, we amended the Certificate of Designation of Preferences, Rights and Limitations of Series E Convertible Preferred Stock (the “Series E COD Amendment”) with the State of Delaware to reduce the conversion price to $2.00 per share, subject to the approval of our stockholders.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8, 2019, we also entered into a fourth amendment to our existing Credit Agreement with B3D, LLC (“B3D”) in order to, among other provisions, (i) extend the maturity date to May 31, 2021, (ii) reduce the applicable interest rate to 9.0% and (iii) amend and restate our existing convertible promissory note (the “B3D Note”) in order to increase the principal amount owed to B3D to $7.0 million, which principal and any interest accrued thereon will be, subject to the approval of our stockholders, convertible at B3D’s option into Common Stock at an initial conversion price of $2.00 per share. Subject to the approval of our stockholders, the B3D Note will contain anti-dilution price protection and will include a provision allowing for voluntary reduction of the conversion price by our Board of Directors at any time in its discretion.</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8, 2019, we also (i) amended our Certificate of Designation of Preferences, Rights and Limitations of Series D Convertible Preferred Stock (the “Series D COD Amendment”) to reduce the conversion price of the Series D Convertible Preferred Stock, par value $0.01 per share (the “Series D Preferred Stock”) to $2.00 per share, subject to the approval of our stockholders and (ii) entered into an amendment to certain outstanding warrants issued in December 2016 to the holders of the Series D Preferred Stock (the “December 2016 Warrant Amendment”) to provide for (a) a reduction in the exercise price to $2.00,</w:t>
      </w:r>
    </w:p>
    <w:p>
      <w:pPr>
        <w:spacing w:after="0" w:line="2" w:lineRule="exact"/>
        <w:rPr>
          <w:sz w:val="20"/>
          <w:szCs w:val="20"/>
          <w:color w:val="auto"/>
        </w:rPr>
      </w:pPr>
    </w:p>
    <w:p>
      <w:pPr>
        <w:ind w:firstLine="8"/>
        <w:spacing w:after="0" w:line="261"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anti-dilution price protection and (c) the inclusion of a provision allowing for voluntary reduction of the exercise price by our Board of Directors at any time in its discretion, in each case subject to the approval of our stockholders.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spacing w:after="0" w:line="272" w:lineRule="auto"/>
        <w:rPr>
          <w:sz w:val="20"/>
          <w:szCs w:val="20"/>
          <w:color w:val="auto"/>
        </w:rPr>
      </w:pPr>
      <w:r>
        <w:rPr>
          <w:rFonts w:ascii="Arial" w:cs="Arial" w:eastAsia="Arial" w:hAnsi="Arial"/>
          <w:sz w:val="17"/>
          <w:szCs w:val="17"/>
          <w:color w:val="auto"/>
        </w:rPr>
        <w:t>Nasdaq Listing Rule 5635(d) generally requires us to obtain stockholder approval prior to issuing more than 20% of our outstanding shares of Common Stock under a financing transaction. We are seeking the approval of our stockholders pursuant to Nasdaq Listing Rule 5635(d) with respect to issuances involving our Class A Warrants, Series F Preferred Stock, Calm Note, Calm Warrant, Series E COD Amendment and B3D Note. Nasdaq Listing Rule 5635(a) generally requires us to obtain stockholder approval prior to issuing more than 20% of our outstanding shares of Common Stock in connection with the acquisition of stock or assets of another company. Because the Series D Preferred Stock and December 2016 Warrants were originally issued in connection with our acquisition of XpresSpa Holdings, LLC, we are seeking the approval of our stockholders pursuant to Nasdaq Listing Rule 5635(a) with respect to issuances involving our Series D Preferred Stock and December 2016 Warrants.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Nasdaq Listing Rule 5635(b) generally requires us to obtain stockholder approval prior to the issuance of securities when the issuance or potential issuance will result in a change of control, which may be deemed to occur when an investor would own or have the right to acquire 20% or more of the outstanding shares of common stock or voting power and such ownership or voting power would be the largest ownership position of the issuer. Following the approval by our stockholders of Proposal 3, Mistral Spa Holdings, LLC may have the right to acquire a number of shares of our Common Stock in excess of 20% of our outstanding shares. We are therefore seeking the approval of our stockholders pursuant to Nasdaq Listing Rule 5635(b) with respect to issuances in connection with the Financing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see “Proposal 3: Issuance of Shares of Common Stock in Financing Transaction” contained elsewhere in this proxy statement.</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Why is the Company seeking approval for an amendment to the XpresSpa Group, Inc. Amended and Restated Certificate of Incorporation to increase the number of authorized shares of preferred stock?</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amended and restated Certificate of Incorporation authorizes us to issue 5,000,000 shares of preferred stock. As of July 26, 2019, we had designated the following: (i) 6,968 shares of Series A Convertible Preferred Stock, (ii) 300,000 shares of Series C Junior Preferred Stock, (iii) 500,000 shares of Series D Convertible Preferred Stock, (iv) 2,397,060 shares of Series E Convertible Preferred Stock and (v) 9,000 shares of Series F Convertible Preferred Stock, for a total of 3,213,028 shares of currently designated preferred stock. We are seeking stockholder approval to increase the number of authorized shares of preferred stock to 10,000,000 to provide our Board with flexibility to designate and issue additional shares of preferred stock in connection with potential future financings.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see “Proposal 5: Authorized Share Increase” contained elsewhere in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Company seeking approval for the reverse stock split?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continued listing standards of The Nasdaq Stock Market (“Nasdaq”) provide, among other things, that a company may be delisted if the bid price of its stock drops below $1.00 for a period of 30 consecutive business days or if stockholders’ equity is less than $2.5 million. On July 26, 2019, the closing price of our Common Stock as reported on Nasdaq was $1.28 per share. While we are exercising diligent efforts to maintain the listing of our Common Stock on Nasdaq, there can be no assurance that we will be able to continue to meet the continuing listing requirements of The Nasdaq Capital Market.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has approved the reverse stock split as a means of increasing the share price of our Common Stock. Our Board of Directors believes that maintaining our listing on The Nasdaq Capital Market may provide a broader market for our Common Stock and facilitate the use of our Common Stock in financing and other transactions. We expect the reverse stock split to facilitate the continuation of such listing. We cannot assure you, however, that the reverse stock split will result in an increase in the per share price of our Common Stock, or if it does, how long the increase would be sustained, if at all. Although the reverse stock split is designed to raise the stock price, there is no guarantee that the share price will rise proportionately to the reverse stock split, so the end result could be a loss of value.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For more information, see “Proposal 6: Reverse Stock Split” contained elsewhere in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Only stockholders who owned our Common Stock, Series D Preferred Stock, or Series E Preferred Stock at the close of business on August 1, 2019 are</w:t>
      </w:r>
    </w:p>
    <w:p>
      <w:pPr>
        <w:spacing w:after="0" w:line="4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entitled to vote at the annual meeting. On this record date, there were [ ] shares of our Common Stock outstanding and entitled to vote, [ ] shares of our Series D Preferred Stock outstanding and entitled to vote, on an as-converted basis, such that holders of our Series D Preferred Stock are entitled to an</w:t>
      </w:r>
    </w:p>
    <w:p>
      <w:pPr>
        <w:spacing w:after="0" w:line="255" w:lineRule="auto"/>
        <w:rPr>
          <w:sz w:val="20"/>
          <w:szCs w:val="20"/>
          <w:color w:val="auto"/>
        </w:rPr>
      </w:pPr>
      <w:r>
        <w:rPr>
          <w:rFonts w:ascii="Arial" w:cs="Arial" w:eastAsia="Arial" w:hAnsi="Arial"/>
          <w:sz w:val="18"/>
          <w:szCs w:val="18"/>
          <w:color w:val="auto"/>
        </w:rPr>
        <w:t>aggregate of [ ] votes, and [ ] shares of our Series E Preferred Stock outstanding and entitled to vote, on an as-converted basis, such that holders of our Series E Preferred Stock are entitled to an aggregate of [ ] votes. Our Common Stock, our Series D Preferred Stock, and our Series E Preferred Stock are our only classes of voting stock.</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Arial" w:cs="Arial" w:eastAsia="Arial" w:hAnsi="Arial"/>
          <w:sz w:val="18"/>
          <w:szCs w:val="18"/>
          <w:i w:val="1"/>
          <w:iCs w:val="1"/>
          <w:color w:val="auto"/>
        </w:rPr>
        <w:t>May I Change or</w:t>
      </w:r>
      <w:r>
        <w:rPr>
          <w:rFonts w:ascii="Arial" w:cs="Arial" w:eastAsia="Arial" w:hAnsi="Arial"/>
          <w:sz w:val="18"/>
          <w:szCs w:val="18"/>
          <w:color w:val="auto"/>
        </w:rPr>
        <w:t xml:space="preserve"> </w:t>
      </w:r>
      <w:r>
        <w:rPr>
          <w:rFonts w:ascii="Arial" w:cs="Arial" w:eastAsia="Arial" w:hAnsi="Arial"/>
          <w:sz w:val="18"/>
          <w:szCs w:val="18"/>
          <w:i w:val="1"/>
          <w:iCs w:val="1"/>
          <w:color w:val="auto"/>
        </w:rPr>
        <w:t>Revoke My Proxy?</w:t>
      </w:r>
      <w:r>
        <w:rPr>
          <w:rFonts w:ascii="Arial" w:cs="Arial" w:eastAsia="Arial" w:hAnsi="Arial"/>
          <w:sz w:val="18"/>
          <w:szCs w:val="18"/>
          <w:color w:val="auto"/>
        </w:rPr>
        <w:t>”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share of our Common Stock that you own entitles you to one vote. Each share of our Series D Preferred Stock that you own entitles you to the number of votes equal to the number of shares of Common Stock into which your shares of Series D Preferred Stock could have been converted on the record date. This number is obtained by dividing the stated value of your Series D Preferred Stock ($48.00) by the conversion price in effect on the record date ($120.00). Each share of our Series E Preferred Stock that you own entitles you to the number of votes equal to the number of shares of Common Stock into which your shares of Series E Preferred Stock could have been converted on the record date. This number is obtained by dividing the stated value of your Series E Preferred Stock ($3.10) by the conversion price in effect on the record date ($12.40). With respect to proposals 1 through 8, our Common Stock, Series D Preferred Stock and Series E Preferred Stock vote together as a single class.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You may specify whether your shares should be voted FOR or WITHHELD for each nominee for director, whether your shares should be voted for one year, two years, three years or abstain with respect to the frequency of voting on the compensation of our named executive officers, and whether your shares should be voted for, against or abstain with respect to each of the other proposals. If you properly submit a proxy without giving specific voting instructions, your shares will be voted in accordance with the Board of Directors’ recommendations as noted below. Voting by proxy will not affect your right to attend the annual meeting. If your shares are registered directly in your name through our stock transfer agent, American Stock Transfer &amp; Trust Company, LLC, or you have stock certificates registered in your name, you may vote:</w:t>
      </w:r>
    </w:p>
    <w:p>
      <w:pPr>
        <w:spacing w:after="0" w:line="1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By the Internet or by telephone. </w:t>
      </w:r>
      <w:r>
        <w:rPr>
          <w:rFonts w:ascii="Arial" w:cs="Arial" w:eastAsia="Arial" w:hAnsi="Arial"/>
          <w:sz w:val="18"/>
          <w:szCs w:val="18"/>
          <w:color w:val="auto"/>
        </w:rPr>
        <w:t>Follow the instructions included in the proxy card to vote by Internet or telephone.</w:t>
      </w:r>
    </w:p>
    <w:p>
      <w:pPr>
        <w:spacing w:after="0" w:line="225"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 and returning the proxy card as instructed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card. If you sign the proxy card but do not specify how you want your shares voted, they will be voted in accordance with the Board of Directors’ recommendations as noted below.</w:t>
      </w:r>
    </w:p>
    <w:p>
      <w:pPr>
        <w:spacing w:after="0" w:line="176"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If you attend the meeting, you may deliver a completed proxy card in person or you may vote by completing a ballot,</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available at the meeting.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Internet voting facilities for stockholders of record will be available 24 hours a day and will close at 11:59 p.m. Eastern Time on September 8, 2019.</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voting also will be offered to stockholders owning shares through certain banks and brokers. If your shares are held in street name and you plan to vote your shares in person at the annual meeting, you should contact your broker or agent to obtain a legal proxy or broker’s proxy card and bring it to the annual meeting in order to vote.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you vote as follows:</w:t>
      </w:r>
    </w:p>
    <w:p>
      <w:pPr>
        <w:spacing w:after="0" w:line="22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nominees for director;</w:t>
      </w:r>
    </w:p>
    <w:p>
      <w:pPr>
        <w:spacing w:after="0" w:line="225"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selection of CohnReznick LLP as our independent registered public accounting firm for our fiscal year ending December 31, 2019;</w:t>
      </w:r>
    </w:p>
    <w:p>
      <w:pPr>
        <w:spacing w:after="0" w:line="16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for purposes of complying with Nasdaq Listing Rules 5635(a), 5635(b) and 5635(d), of the issuance of shares of our Common Stock underlying the instruments below (including upon the operation of anti-dilution provisions, voluntary adjustment provisions and/or the reduction of conversion ratios):</w:t>
      </w:r>
    </w:p>
    <w:p>
      <w:pPr>
        <w:spacing w:after="0" w:line="180" w:lineRule="exact"/>
        <w:rPr>
          <w:sz w:val="20"/>
          <w:szCs w:val="20"/>
          <w:color w:val="auto"/>
        </w:rPr>
      </w:pPr>
    </w:p>
    <w:p>
      <w:pPr>
        <w:ind w:left="130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Series F Convertible Preferred Stock issued by us pursuant to that certain Amendment to Securities Purchase Agreement and Class A Warrants and Class B Warrants, dated as of July 8, 2019 (the “May 2018 SPA Amendment”);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amendment to the Class A Warrants pursuant to the May 2018 SPA Amendment;</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notes, warrants and Series E Convertible Preferred Stock issued by us pursuant to that certain Securities Purchase Agreement, dated as of July 8, 2019, by and between us and Calm.com, Inc. (the “Calm Purchase Agreement”);</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convertible note issued by us pursuant to that certain Fourth Amendment to Credit Agreement, dated as of July 8, 2019, by and between XpresSpa Holdings, LLC and B3D, LLC (the “B3D Credit Agreement Amendment”);</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warrants issued by us pursuant to that certain amendment to certain outstanding warrants issued in December 2016 to holders of our Series D Convertible Preferred Stock (the “December 2016 Warrant Amendment”);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Series D Convertible Preferred Stock issued by us pursuant to that certain certificate of amendment to the Certificate of Designation of Series D Convertible Preferred Stock (the “Series D COD Amendment”);</w:t>
      </w:r>
    </w:p>
    <w:p>
      <w:pPr>
        <w:spacing w:after="0" w:line="16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amendment to the XpresSpa Group, Inc. Amended and Restated Certificate of Incorporation to increase the number of authorized shares of our preferred stock by 5,000,000, from 5,000,000 to 10,000,000;</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amendment to our 2012 Employee, Director and Consultant Equity Incentive Plan (the “Plan”) to increase the number of shares authorized for issuance under the Plan;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66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amendment to the XpresSpa Group, Inc. Amended and Restated Certificate of Incorporation to effect a reverse stock split of our issued and outstanding shares of Common Stock, at a ratio of between 1-for-2 and 1-for-25;</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compensation of our named executive officers, as disclosed in this proxy statement;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ONE YEAR</w:t>
      </w:r>
      <w:r>
        <w:rPr>
          <w:rFonts w:ascii="Arial" w:cs="Arial" w:eastAsia="Arial" w:hAnsi="Arial"/>
          <w:sz w:val="18"/>
          <w:szCs w:val="18"/>
          <w:color w:val="auto"/>
        </w:rPr>
        <w:t>” for the frequency of holding an advisory vote on compensation of our named executive officers; and</w:t>
      </w:r>
    </w:p>
    <w:p>
      <w:pPr>
        <w:spacing w:after="0" w:line="225"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adjournment of our annual meeting of stockholders, if necessary, to solicit additional proxies if there are not sufficient votes in favor of the proposals referred to above.</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holders of Series D Preferred Stock, “</w:t>
      </w:r>
      <w:r>
        <w:rPr>
          <w:rFonts w:ascii="Arial" w:cs="Arial" w:eastAsia="Arial" w:hAnsi="Arial"/>
          <w:sz w:val="18"/>
          <w:szCs w:val="18"/>
          <w:b w:val="1"/>
          <w:bCs w:val="1"/>
          <w:color w:val="auto"/>
        </w:rPr>
        <w:t>NO RECOMMENDATION</w:t>
      </w:r>
      <w:r>
        <w:rPr>
          <w:rFonts w:ascii="Arial" w:cs="Arial" w:eastAsia="Arial" w:hAnsi="Arial"/>
          <w:sz w:val="18"/>
          <w:szCs w:val="18"/>
          <w:color w:val="auto"/>
        </w:rPr>
        <w:t>” on whether to vote in favor of or withhold your vote on the re-election of Andrew R. Heyer.</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other matter is presented at the annual meeting, your proxy provides that your shares will be voted by the proxy holder listed in the proxy in accordance with his or her best judgment. At the time this proxy statement was first made available, we knew of no matters that needed to be acted on at the annual meeting, other than those discussed in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Change or Revoke My Proxy?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you give us your proxy, you may change or revoke it at any time before the annual meeting. You may change or revoke your proxy in any one of the following ways:</w:t>
      </w:r>
    </w:p>
    <w:p>
      <w:pPr>
        <w:spacing w:after="0" w:line="170"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re-voting by the Internet or telephone as instructed above;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notifying the Corporate Secretary of XpresSpa Group, Inc. in writing before the annual meeting that you have revoked your proxy;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attending the annual meeting in person and voting in person. Attending the annual meeting in person will not in and of itself revoke a previously submitted proxy. You must specifically request at the annual meeting that it be revoked.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 most current vote, whether by the Internet or proxy card is the one that will be counted.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You may receive more than one Notice or proxy card if you hold shares of our Common Stock in more than one account, which may be in registered form or held in street name. Please vote in the manner described above under “</w:t>
      </w:r>
      <w:r>
        <w:rPr>
          <w:rFonts w:ascii="Arial" w:cs="Arial" w:eastAsia="Arial" w:hAnsi="Arial"/>
          <w:sz w:val="16"/>
          <w:szCs w:val="16"/>
          <w:i w:val="1"/>
          <w:iCs w:val="1"/>
          <w:color w:val="auto"/>
        </w:rPr>
        <w:t>How Do I Vote?</w:t>
      </w:r>
      <w:r>
        <w:rPr>
          <w:rFonts w:ascii="Arial" w:cs="Arial" w:eastAsia="Arial" w:hAnsi="Arial"/>
          <w:sz w:val="16"/>
          <w:szCs w:val="16"/>
          <w:color w:val="auto"/>
        </w:rPr>
        <w:t>” for each account to ensure that all of your shares are voted.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your shares are registered in your name or if you have stock certificates, they will not be counted if you do not vote. If your shares are held in street name and you do not provide voting instructions to the bank, broker or other nominee that holds your shares as described above, the bank, broker or other nominee that holds your shares does not have the authority to vote your unvoted shares on Proposals 1, 3, 4, 5, 7 and 8.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Proposal 1: Election of Directors</w:t>
            </w:r>
          </w:p>
        </w:tc>
        <w:tc>
          <w:tcPr>
            <w:tcW w:w="7360" w:type="dxa"/>
            <w:vAlign w:val="bottom"/>
          </w:tcPr>
          <w:p>
            <w:pPr>
              <w:ind w:left="60"/>
              <w:spacing w:after="0"/>
              <w:rPr>
                <w:sz w:val="20"/>
                <w:szCs w:val="20"/>
                <w:color w:val="auto"/>
              </w:rPr>
            </w:pPr>
            <w:r>
              <w:rPr>
                <w:rFonts w:ascii="Arial" w:cs="Arial" w:eastAsia="Arial" w:hAnsi="Arial"/>
                <w:sz w:val="18"/>
                <w:szCs w:val="18"/>
                <w:color w:val="auto"/>
                <w:w w:val="93"/>
              </w:rPr>
              <w:t>The four nominees for director who receive the most votes (also known as a “plurality” of the votes</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3"/>
              </w:rPr>
              <w:t>cast) will be elected. You may vote either FOR all of the nominees, WITHHOLD your vote from all</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4"/>
              </w:rPr>
              <w:t>of the nominees or WITHHOLD your vote from any one or more of the nominees.  Votes that are</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6"/>
              </w:rPr>
              <w:t>withheld will not be included in the vote tally for the election of the directors. Brokerage firms do</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0"/>
              </w:rPr>
              <w:t>not have authority to vote customers’ unvoted shares held by the firms in street name for the election</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4"/>
              </w:rPr>
              <w:t>of the directors.  As a result, any shares not voted by a customer will be treated as a broker non-</w:t>
            </w:r>
          </w:p>
        </w:tc>
      </w:tr>
      <w:tr>
        <w:trPr>
          <w:trHeight w:val="230"/>
        </w:trPr>
        <w:tc>
          <w:tcPr>
            <w:tcW w:w="10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rPr>
              <w:t>vote. Such broker non-votes will have no effect on the results of this vote.</w:t>
            </w:r>
          </w:p>
        </w:tc>
      </w:tr>
      <w:tr>
        <w:trPr>
          <w:trHeight w:val="414"/>
        </w:trPr>
        <w:tc>
          <w:tcPr>
            <w:tcW w:w="1020" w:type="dxa"/>
            <w:vAlign w:val="bottom"/>
          </w:tcPr>
          <w:p>
            <w:pPr>
              <w:spacing w:after="0"/>
              <w:rPr>
                <w:sz w:val="20"/>
                <w:szCs w:val="20"/>
                <w:color w:val="auto"/>
              </w:rPr>
            </w:pPr>
            <w:r>
              <w:rPr>
                <w:rFonts w:ascii="Arial" w:cs="Arial" w:eastAsia="Arial" w:hAnsi="Arial"/>
                <w:sz w:val="18"/>
                <w:szCs w:val="18"/>
                <w:b w:val="1"/>
                <w:bCs w:val="1"/>
                <w:color w:val="auto"/>
                <w:w w:val="97"/>
              </w:rPr>
              <w:t>Proposal  2:</w:t>
            </w: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Ratify  Selection  of  Independent</w:t>
            </w:r>
          </w:p>
        </w:tc>
        <w:tc>
          <w:tcPr>
            <w:tcW w:w="7360" w:type="dxa"/>
            <w:vAlign w:val="bottom"/>
          </w:tcPr>
          <w:p>
            <w:pPr>
              <w:ind w:left="60"/>
              <w:spacing w:after="0"/>
              <w:rPr>
                <w:sz w:val="20"/>
                <w:szCs w:val="20"/>
                <w:color w:val="auto"/>
              </w:rPr>
            </w:pPr>
            <w:r>
              <w:rPr>
                <w:rFonts w:ascii="Arial" w:cs="Arial" w:eastAsia="Arial" w:hAnsi="Arial"/>
                <w:sz w:val="18"/>
                <w:szCs w:val="18"/>
                <w:color w:val="auto"/>
                <w:w w:val="91"/>
              </w:rPr>
              <w:t>The affirmative vote of the holders of a majority of the shares of Common Stock, Series D Preferred</w:t>
            </w:r>
          </w:p>
        </w:tc>
      </w:tr>
      <w:tr>
        <w:trPr>
          <w:trHeight w:val="22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Registered Public Accounting Firm</w:t>
            </w:r>
          </w:p>
        </w:tc>
        <w:tc>
          <w:tcPr>
            <w:tcW w:w="7360" w:type="dxa"/>
            <w:vAlign w:val="bottom"/>
          </w:tcPr>
          <w:p>
            <w:pPr>
              <w:ind w:left="60"/>
              <w:spacing w:after="0"/>
              <w:rPr>
                <w:sz w:val="20"/>
                <w:szCs w:val="20"/>
                <w:color w:val="auto"/>
              </w:rPr>
            </w:pPr>
            <w:r>
              <w:rPr>
                <w:rFonts w:ascii="Arial" w:cs="Arial" w:eastAsia="Arial" w:hAnsi="Arial"/>
                <w:sz w:val="18"/>
                <w:szCs w:val="18"/>
                <w:color w:val="auto"/>
                <w:w w:val="90"/>
              </w:rPr>
              <w:t>Stock voting on an as-converted basis and Series E Preferred Stock voting on an as-converted basis</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7"/>
              </w:rPr>
              <w:t>present and entitled to vote on the matter either in person or by proxy at the annual meeting is</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9"/>
              </w:rPr>
              <w:t>required to ratify the appointment of CohnReznick LLP as our independent registered public</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3"/>
              </w:rPr>
              <w:t>accounting firm for the fiscal year ending December 31, 2019. Abstentions will be treated as votes</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1"/>
              </w:rPr>
              <w:t>against this proposal. Brokerage firms have authority to vote customers’ unvoted shares held by the</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3"/>
              </w:rPr>
              <w:t>firms in street name on this proposal. If a broker does not exercise this authority, such broker non-</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1"/>
              </w:rPr>
              <w:t>votes will have no effect on the results of this vote. We are not required to obtain the approval of our</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rPr>
              <w:t>stockholders to select our independent registered public accounting firm.   However, if our</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4"/>
              </w:rPr>
              <w:t>stockholders do not ratify the selection of CohnReznick LLP as our independent registered public</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rPr>
              <w:t>accounting firm for 2019, our Audit Committee of our Board of Directors will reconsider its</w:t>
            </w:r>
          </w:p>
        </w:tc>
      </w:tr>
      <w:tr>
        <w:trPr>
          <w:trHeight w:val="230"/>
        </w:trPr>
        <w:tc>
          <w:tcPr>
            <w:tcW w:w="10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rPr>
              <w:t>selection.</w:t>
            </w:r>
          </w:p>
        </w:tc>
      </w:tr>
      <w:tr>
        <w:trPr>
          <w:trHeight w:val="414"/>
        </w:trPr>
        <w:tc>
          <w:tcPr>
            <w:tcW w:w="1020" w:type="dxa"/>
            <w:vAlign w:val="bottom"/>
          </w:tcPr>
          <w:p>
            <w:pPr>
              <w:spacing w:after="0"/>
              <w:rPr>
                <w:sz w:val="20"/>
                <w:szCs w:val="20"/>
                <w:color w:val="auto"/>
              </w:rPr>
            </w:pPr>
            <w:r>
              <w:rPr>
                <w:rFonts w:ascii="Arial" w:cs="Arial" w:eastAsia="Arial" w:hAnsi="Arial"/>
                <w:sz w:val="18"/>
                <w:szCs w:val="18"/>
                <w:b w:val="1"/>
                <w:bCs w:val="1"/>
                <w:color w:val="auto"/>
              </w:rPr>
              <w:t>Proposal 3:</w:t>
            </w: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w w:val="91"/>
              </w:rPr>
              <w:t>Issuance of Shares of Common Stock</w:t>
            </w:r>
          </w:p>
        </w:tc>
        <w:tc>
          <w:tcPr>
            <w:tcW w:w="7360" w:type="dxa"/>
            <w:vAlign w:val="bottom"/>
          </w:tcPr>
          <w:p>
            <w:pPr>
              <w:ind w:left="60"/>
              <w:spacing w:after="0"/>
              <w:rPr>
                <w:sz w:val="20"/>
                <w:szCs w:val="20"/>
                <w:color w:val="auto"/>
              </w:rPr>
            </w:pPr>
            <w:r>
              <w:rPr>
                <w:rFonts w:ascii="Arial" w:cs="Arial" w:eastAsia="Arial" w:hAnsi="Arial"/>
                <w:sz w:val="18"/>
                <w:szCs w:val="18"/>
                <w:color w:val="auto"/>
                <w:w w:val="94"/>
              </w:rPr>
              <w:t>The affirmative vote of the holders of a majority of the total votes cast in person or by proxy at the</w:t>
            </w:r>
          </w:p>
        </w:tc>
      </w:tr>
      <w:tr>
        <w:trPr>
          <w:trHeight w:val="22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in Financing Transaction</w:t>
            </w:r>
          </w:p>
        </w:tc>
        <w:tc>
          <w:tcPr>
            <w:tcW w:w="7360" w:type="dxa"/>
            <w:vAlign w:val="bottom"/>
          </w:tcPr>
          <w:p>
            <w:pPr>
              <w:ind w:left="60"/>
              <w:spacing w:after="0"/>
              <w:rPr>
                <w:sz w:val="20"/>
                <w:szCs w:val="20"/>
                <w:color w:val="auto"/>
              </w:rPr>
            </w:pPr>
            <w:r>
              <w:rPr>
                <w:rFonts w:ascii="Arial" w:cs="Arial" w:eastAsia="Arial" w:hAnsi="Arial"/>
                <w:sz w:val="18"/>
                <w:szCs w:val="18"/>
                <w:color w:val="auto"/>
                <w:w w:val="93"/>
              </w:rPr>
              <w:t>annual meeting is required to approve, in accordance with Nasdaq Listing Rules 5625(a), 5635(b)</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2"/>
              </w:rPr>
              <w:t>and 5635(d), the issuance of shares of our Common Stock as described in Proposal 3. Abstentions</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3"/>
              </w:rPr>
              <w:t>have no effect on this proposal. Brokerage firms do not have authority to vote customers’ unvoted</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6"/>
              </w:rPr>
              <w:t>shares held by the firms in street name on this proposal. As a result, any shares not voted by a</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6"/>
              </w:rPr>
              <w:t>customer will be treated as a broker non-vote. Such broker non-votes will have no effect on the</w:t>
            </w:r>
          </w:p>
        </w:tc>
      </w:tr>
      <w:tr>
        <w:trPr>
          <w:trHeight w:val="230"/>
        </w:trPr>
        <w:tc>
          <w:tcPr>
            <w:tcW w:w="10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rPr>
              <w:t>results of this vote.</w:t>
            </w:r>
          </w:p>
        </w:tc>
      </w:tr>
      <w:tr>
        <w:trPr>
          <w:trHeight w:val="418"/>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Proposal 4: Authorized Share Increase</w:t>
            </w:r>
          </w:p>
        </w:tc>
        <w:tc>
          <w:tcPr>
            <w:tcW w:w="7360" w:type="dxa"/>
            <w:vAlign w:val="bottom"/>
          </w:tcPr>
          <w:p>
            <w:pPr>
              <w:ind w:left="60"/>
              <w:spacing w:after="0"/>
              <w:rPr>
                <w:sz w:val="20"/>
                <w:szCs w:val="20"/>
                <w:color w:val="auto"/>
              </w:rPr>
            </w:pPr>
            <w:r>
              <w:rPr>
                <w:rFonts w:ascii="Arial" w:cs="Arial" w:eastAsia="Arial" w:hAnsi="Arial"/>
                <w:sz w:val="18"/>
                <w:szCs w:val="18"/>
                <w:color w:val="auto"/>
                <w:w w:val="98"/>
              </w:rPr>
              <w:t>The affirmative vote of the holders of a majority of the shares of our Common Stock, Series D</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6"/>
              </w:rPr>
              <w:t>Preferred Stock voting on an as-converted basis and Series E Preferred Stock voting on an as-</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5"/>
              </w:rPr>
              <w:t>converted basis having voting power outstanding on the Record Date is required to approve the</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1"/>
              </w:rPr>
              <w:t>amendment to our Amended and Restated Certificate of Incorporation to increase the number of our</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6"/>
              </w:rPr>
              <w:t>authorized shares of preferred stock. Abstentions will be treated as votes against this proposal.</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2"/>
              </w:rPr>
              <w:t>Brokerage firms do not have authority to vote customers’ unvoted shares held by the firms in street</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w w:val="93"/>
              </w:rPr>
              <w:t>name on this proposal. As a result, any shares not voted by a customer will be treated as a broker</w:t>
            </w:r>
          </w:p>
        </w:tc>
      </w:tr>
      <w:tr>
        <w:trPr>
          <w:trHeight w:val="230"/>
        </w:trPr>
        <w:tc>
          <w:tcPr>
            <w:tcW w:w="10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360" w:type="dxa"/>
            <w:vAlign w:val="bottom"/>
          </w:tcPr>
          <w:p>
            <w:pPr>
              <w:ind w:left="60"/>
              <w:spacing w:after="0"/>
              <w:rPr>
                <w:sz w:val="20"/>
                <w:szCs w:val="20"/>
                <w:color w:val="auto"/>
              </w:rPr>
            </w:pPr>
            <w:r>
              <w:rPr>
                <w:rFonts w:ascii="Arial" w:cs="Arial" w:eastAsia="Arial" w:hAnsi="Arial"/>
                <w:sz w:val="18"/>
                <w:szCs w:val="18"/>
                <w:color w:val="auto"/>
              </w:rPr>
              <w:t>non-vote. Such broker non-votes will have no effect on the results of this vote.</w:t>
            </w:r>
          </w:p>
        </w:tc>
      </w:tr>
      <w:tr>
        <w:trPr>
          <w:trHeight w:val="648"/>
        </w:trPr>
        <w:tc>
          <w:tcPr>
            <w:tcW w:w="10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904" w:right="239" w:bottom="1440" w:gutter="0" w:footer="0" w:header="0"/>
        </w:sectPr>
      </w:pPr>
    </w:p>
    <w:bookmarkStart w:id="14" w:name="page15"/>
    <w:bookmarkEnd w:id="14"/>
    <w:p>
      <w:pPr>
        <w:jc w:val="both"/>
        <w:spacing w:after="0" w:line="281" w:lineRule="auto"/>
        <w:rPr>
          <w:sz w:val="20"/>
          <w:szCs w:val="20"/>
          <w:color w:val="auto"/>
        </w:rPr>
      </w:pPr>
      <w:r>
        <w:rPr>
          <w:rFonts w:ascii="Arial" w:cs="Arial" w:eastAsia="Arial" w:hAnsi="Arial"/>
          <w:sz w:val="17"/>
          <w:szCs w:val="17"/>
          <w:b w:val="1"/>
          <w:bCs w:val="1"/>
          <w:color w:val="auto"/>
        </w:rPr>
        <w:t>Proposal 5: Approval of an Amendment to our 2012 Employee, Director and Consultant Equity Incentive Plan to increase the number of shares available thereunder by 2,165,000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6: Reverse Stock Split</w:t>
      </w:r>
    </w:p>
    <w:p>
      <w:pPr>
        <w:spacing w:after="0" w:line="20" w:lineRule="exact"/>
        <w:rPr>
          <w:sz w:val="20"/>
          <w:szCs w:val="20"/>
          <w:color w:val="auto"/>
        </w:rPr>
      </w:pPr>
      <w:r>
        <w:rPr>
          <w:sz w:val="20"/>
          <w:szCs w:val="20"/>
          <w:color w:val="auto"/>
        </w:rPr>
        <w:br w:type="column"/>
      </w:r>
    </w:p>
    <w:p>
      <w:pPr>
        <w:jc w:val="both"/>
        <w:spacing w:after="0" w:line="270" w:lineRule="auto"/>
        <w:rPr>
          <w:sz w:val="20"/>
          <w:szCs w:val="20"/>
          <w:color w:val="auto"/>
        </w:rPr>
      </w:pPr>
      <w:r>
        <w:rPr>
          <w:rFonts w:ascii="Arial" w:cs="Arial" w:eastAsia="Arial" w:hAnsi="Arial"/>
          <w:sz w:val="17"/>
          <w:szCs w:val="17"/>
          <w:color w:val="auto"/>
        </w:rPr>
        <w:t>The affirmative vote of the holders of a majority of the shares of Common Stock, Series D Preferred Stock voting on an as-converted basis and Series E Preferred Stock voting on an as-converted basis present and entitled to vote on the matter either in person or by proxy at the annual meeting is required to approve the amendment to our 2012 Employee, Director and Consultant Equity Incentive Plan to increase the number of shares available thereunder by 2,165,000 shares.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affirmative vote of the holders of a majority of the shares of our Common Stock, Series D Preferred Stock voting on an as-converted basis and Series E Preferred Stock voting on an as-converted basis having voting power outstanding on the Record Date is required to approve the amendment to our Amended and Restated Certificate of Incorporation to effect a reverse stock split of our Common Stock. Abstentions will be treated as votes against this proposal. Brokerage firms have authority to vote customers’ unvoted shares held by the firms in street name on this proposal. If a broker does not exercise this authority, such broker non-votes will have the same effect as a vote against such proposal.</w:t>
      </w:r>
    </w:p>
    <w:p>
      <w:pPr>
        <w:spacing w:after="0" w:line="188" w:lineRule="exact"/>
        <w:rPr>
          <w:sz w:val="20"/>
          <w:szCs w:val="20"/>
          <w:color w:val="auto"/>
        </w:rPr>
      </w:pPr>
    </w:p>
    <w:p>
      <w:pPr>
        <w:sectPr>
          <w:pgSz w:w="11900" w:h="16838" w:orient="portrait"/>
          <w:cols w:equalWidth="0" w:num="2">
            <w:col w:w="4000" w:space="120"/>
            <w:col w:w="7300"/>
          </w:cols>
          <w:pgMar w:left="240" w:top="904" w:right="239" w:bottom="1440" w:gutter="0" w:footer="0" w:header="0"/>
        </w:sectPr>
      </w:pPr>
    </w:p>
    <w:p>
      <w:pPr>
        <w:jc w:val="both"/>
        <w:spacing w:after="0" w:line="313" w:lineRule="auto"/>
        <w:rPr>
          <w:sz w:val="20"/>
          <w:szCs w:val="20"/>
          <w:color w:val="auto"/>
        </w:rPr>
      </w:pPr>
      <w:r>
        <w:rPr>
          <w:rFonts w:ascii="Arial" w:cs="Arial" w:eastAsia="Arial" w:hAnsi="Arial"/>
          <w:sz w:val="17"/>
          <w:szCs w:val="17"/>
          <w:b w:val="1"/>
          <w:bCs w:val="1"/>
          <w:color w:val="auto"/>
        </w:rPr>
        <w:t>Proposal 7: Approve an Advisory Vote on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Proposal 8: Approve an Advisory Vote on the Frequency of Voting on the Compensation of our Named Executive Officers</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18"/>
          <w:szCs w:val="18"/>
          <w:color w:val="auto"/>
        </w:rPr>
        <w:t>The affirmative vote of the holders of a majority of the shares of Common Stock, Series D Preferred Stock voting on an as-converted basis and Series E Preferred Stock voting on an as-converted basis present and entitled to vote on the matter either in person or by proxy at the annual meeting is required to approve, on an advisory basis, the compensation of our named executive officers, as described in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frequency of holding an advisory vote on the compensation of our named executive officers – every year, every two years or every three years – receiving the largest number of votes cast by holders of our Common Stock, Series D Preferred Stock voting on an as-converted basis and Series E Preferred Stock voting on an as-converted basis present and entitled to vote on the matter either in person or by proxy at the annual meeting will be the frequency approved by our stockholders. Abstentions will have no impact on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the frequency of voting on executive compensation.</w:t>
      </w:r>
    </w:p>
    <w:p>
      <w:pPr>
        <w:spacing w:after="0" w:line="200" w:lineRule="exact"/>
        <w:rPr>
          <w:sz w:val="20"/>
          <w:szCs w:val="20"/>
          <w:color w:val="auto"/>
        </w:rPr>
      </w:pPr>
    </w:p>
    <w:p>
      <w:pPr>
        <w:sectPr>
          <w:pgSz w:w="11900" w:h="16838" w:orient="portrait"/>
          <w:cols w:equalWidth="0" w:num="2">
            <w:col w:w="4000" w:space="120"/>
            <w:col w:w="7300"/>
          </w:cols>
          <w:pgMar w:left="240" w:top="904" w:right="239" w:bottom="1440" w:gutter="0" w:footer="0" w:header="0"/>
          <w:type w:val="continuous"/>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5" w:name="page16"/>
    <w:bookmarkEnd w:id="15"/>
    <w:p>
      <w:pPr>
        <w:jc w:val="both"/>
        <w:spacing w:after="0" w:line="261" w:lineRule="auto"/>
        <w:rPr>
          <w:sz w:val="20"/>
          <w:szCs w:val="20"/>
          <w:color w:val="auto"/>
        </w:rPr>
      </w:pPr>
      <w:r>
        <w:rPr>
          <w:rFonts w:ascii="Arial" w:cs="Arial" w:eastAsia="Arial" w:hAnsi="Arial"/>
          <w:sz w:val="18"/>
          <w:szCs w:val="18"/>
          <w:b w:val="1"/>
          <w:bCs w:val="1"/>
          <w:color w:val="auto"/>
        </w:rPr>
        <w:t>Proposal 9: Approve an Adjournment of the Annual Meeting, if Necessary, to Solicit Additional Proxies if there are not Sufficient Votes in Favor of Proposals 2 through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Preferred Stockholder Proposal: Election of Director by Series D Preferred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Voting Confidential?</w:t>
      </w:r>
    </w:p>
    <w:p>
      <w:pPr>
        <w:spacing w:after="0" w:line="20" w:lineRule="exact"/>
        <w:rPr>
          <w:sz w:val="20"/>
          <w:szCs w:val="20"/>
          <w:color w:val="auto"/>
        </w:rPr>
      </w:pPr>
      <w:r>
        <w:rPr>
          <w:sz w:val="20"/>
          <w:szCs w:val="20"/>
          <w:color w:val="auto"/>
        </w:rPr>
        <w:br w:type="column"/>
      </w:r>
    </w:p>
    <w:p>
      <w:pPr>
        <w:jc w:val="both"/>
        <w:spacing w:after="0" w:line="284" w:lineRule="auto"/>
        <w:rPr>
          <w:sz w:val="20"/>
          <w:szCs w:val="20"/>
          <w:color w:val="auto"/>
        </w:rPr>
      </w:pPr>
      <w:r>
        <w:rPr>
          <w:rFonts w:ascii="Arial" w:cs="Arial" w:eastAsia="Arial" w:hAnsi="Arial"/>
          <w:sz w:val="16"/>
          <w:szCs w:val="16"/>
          <w:color w:val="auto"/>
        </w:rPr>
        <w:t>Approval of the adjournment of the annual meeting, if necessary, to solicit additional proxies if there are not sufficient votes in favor of Proposals 2 through 7 requires the affirmative vote of the holders of a majority of the shares of Common Stock, Series D Preferred Stock voting on an as-converted basis and Series E Preferred Stock voting on an as-converted basis present and entitled to vote on the matter either in person or by proxy at the annual meeting. A “broker non-vote” or a failure to submit a proxy or vote at the annual meeting will have no effect on the outcome of the vote for this Proposal</w:t>
      </w:r>
    </w:p>
    <w:p>
      <w:pPr>
        <w:spacing w:after="0" w:line="5" w:lineRule="exact"/>
        <w:rPr>
          <w:sz w:val="20"/>
          <w:szCs w:val="20"/>
          <w:color w:val="auto"/>
        </w:rPr>
      </w:pPr>
    </w:p>
    <w:p>
      <w:pPr>
        <w:ind w:right="20" w:firstLine="7"/>
        <w:spacing w:after="0" w:line="261"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purposes of the vote on this Proposal 9, an abstention will have the same effect as a vote “AGAINST” such proposal.</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nominee for director who receives the most votes (also known as a “plurality” of the votes cast) will be elected. You may vote either FOR the nominee or WITHHOLD your vote from the nominee.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567" w:lineRule="exact"/>
        <w:rPr>
          <w:sz w:val="20"/>
          <w:szCs w:val="20"/>
          <w:color w:val="auto"/>
        </w:rPr>
      </w:pPr>
    </w:p>
    <w:p>
      <w:pPr>
        <w:sectPr>
          <w:pgSz w:w="11900" w:h="16838" w:orient="portrait"/>
          <w:cols w:equalWidth="0" w:num="2">
            <w:col w:w="4000" w:space="120"/>
            <w:col w:w="7300"/>
          </w:cols>
          <w:pgMar w:left="240" w:top="904" w:right="239" w:bottom="1440" w:gutter="0" w:footer="0" w:header="0"/>
        </w:sectPr>
      </w:pPr>
    </w:p>
    <w:p>
      <w:pPr>
        <w:spacing w:after="0" w:line="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keep all the proxies, ballots and voting tabulations private. We only let our Inspectors of Election, American Stock Transfer &amp; Trust Company, LLC, examine these documents. Management will not know how you voted on a specific proposal unless it is necessary to meet legal requirements. We will, however, forward to management any written comments you make on the proxy card or otherwise provide.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engaged The Proxy Advisory Group, LLC®, to assist in the solicitation of proxies and provide related advice and informational support, for a services fee and the reimbursement of customary disbursements that are not expected to exceed $15,000 in the aggregate.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presence, in person or by proxy, of the holders of a majority of the voting power of all outstanding shares of our Common Stock, Series D Preferred Stock entitled to vote at the annual meeting and Series E Preferred Stock entitled to vote at the annual meeting is necessary to constitute a quorum at the annual meeting. Votes of stockholders of record who are present at the annual meeting in person or by proxy, abstentions, and broker non-votes are counted for purposes of determining whether a quorum exists.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annual meeting will be held at 11:00 a.m. on Monday, September 9, 2019, at the offices of Mintz, Levin, Cohn, Ferris, Glovsky and Popeo, P.C. When you arrive at Mintz, Levin, Cohn, Ferris, Glovsky and Popeo, P.C., signs will direct you to the appropriate meeting rooms. You need not attend the annual meeting in order to vote.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15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your household received a single Notice or, if applicable, a single set of proxy materials this year, but you would prefer to receive your own copy, please contact XpresSpa Group’s Corporate Secretary at XpresSpa Group, Inc., 780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w:t>
      </w:r>
    </w:p>
    <w:p>
      <w:pPr>
        <w:spacing w:after="0" w:line="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do not wish to participate in “householding” and would like to receive your own Notice or, if applicable, set of our proxy materials in future years, follow the instructions described below. Conversely, if you share an address with another of our stockholders and together both of you would like to receive only a single Notice or, if applicable, set of proxy materials, follow these instructions:</w:t>
      </w:r>
    </w:p>
    <w:p>
      <w:pPr>
        <w:spacing w:after="0" w:line="181"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your shares are registered in your own name, please contact American Stock Transfer &amp; Trust Company, LLC and inform them of your request by calling them at 718-921-8200.</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 broker or other nominee holds your shares, please contact the broker or other nominee directly and inform them of your request. Be sure to include your name, the name of your brokerage firm and your account number.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Company Stockholder 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Most stockholders can elect to view or receive copies of future proxy materials over the Internet instead of receiving paper copies in the mail.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 can choose this option and save the Company the cost of producing and mailing these documents by:</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following the instructions provided on your proxy card;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going to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and following the instructions provided.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table sets forth certain information with respect to the beneficial ownership of Common Stock, Series D Preferred Stock and Series E Preferred Stock, as of July 26, 2019 for (a) each stockholder known by us to own beneficially more than 5% of Common Stock, Series D Preferred Stock or Series E Preferred Stock, (b) each of our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Series D Preferred Stock and Series E Preferred Stock that may be acquired by an individual or group within 60 days of July 26, 2019, pursuant to the conversion of preferred stock into Common Stock, the exercise of options or warrants or the vesting of restricted stock units, as applicable, to be outstanding for the purpose of computing the percentage ownership of such individual or group, but for the purpose of computing the percentage ownership of any other person shown in the table. Except as indicated in footnotes to this table, we believe that the stockholders named in this table have sole voting and investment power with respect to all shares of Common Stock, Series D Preferred Stock and/or Series E Preferred Stock shown to be beneficially owned by them based on information provided to us by these stockholders. Percentage of ownership is based on (i) 2,916,919 shares of Common Stock, (ii) 420,540 shares of Series D Preferred Stock convertible into 11,214,400 shares of Common Stock and (iii) 967,742 shares of Series E Preferred Stock convertible into 241,935 shares of Common Stock. All beneficial ownership information reflects the Company’s 1-for-20 reverse stock split that was effected on February 22,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Number of</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Percent of</w:t>
            </w:r>
          </w:p>
        </w:tc>
      </w:tr>
      <w:tr>
        <w:trPr>
          <w:trHeight w:val="216"/>
        </w:trPr>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Shares of</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Percent of</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Shares of</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Shares of</w:t>
            </w:r>
          </w:p>
        </w:tc>
      </w:tr>
      <w:tr>
        <w:trPr>
          <w:trHeight w:val="216"/>
        </w:trPr>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Shares of</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Common</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Common</w:t>
            </w:r>
          </w:p>
        </w:tc>
      </w:tr>
      <w:tr>
        <w:trPr>
          <w:trHeight w:val="216"/>
        </w:trPr>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Percent of</w:t>
            </w:r>
          </w:p>
        </w:tc>
        <w:tc>
          <w:tcPr>
            <w:tcW w:w="12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Stock</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Common Stock</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Stock</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w:t>
            </w:r>
          </w:p>
        </w:tc>
      </w:tr>
      <w:tr>
        <w:trPr>
          <w:trHeight w:val="216"/>
        </w:trPr>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Shares of</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Shares of</w:t>
            </w:r>
          </w:p>
        </w:tc>
        <w:tc>
          <w:tcPr>
            <w:tcW w:w="12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Underlying</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Underlying</w:t>
            </w: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Underlying</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Underlying</w:t>
            </w:r>
          </w:p>
        </w:tc>
      </w:tr>
      <w:tr>
        <w:trPr>
          <w:trHeight w:val="216"/>
        </w:trPr>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Common</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Common</w:t>
            </w:r>
          </w:p>
        </w:tc>
        <w:tc>
          <w:tcPr>
            <w:tcW w:w="12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Series D</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Series D</w:t>
            </w: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Series E</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Series E</w:t>
            </w: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Name and Address</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12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Preferred</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Preferred</w:t>
            </w: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Preferred</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Preferred</w:t>
            </w: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of Beneficial</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Beneficially</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Beneficially</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5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Beneficially</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Beneficially</w:t>
            </w:r>
          </w:p>
        </w:tc>
      </w:tr>
      <w:tr>
        <w:trPr>
          <w:trHeight w:val="234"/>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Owner(1)</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Owned</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Owned</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Owned</w:t>
            </w:r>
          </w:p>
        </w:tc>
        <w:tc>
          <w:tcPr>
            <w:tcW w:w="15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Owned</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Owned</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Owned</w:t>
            </w:r>
          </w:p>
        </w:tc>
      </w:tr>
      <w:tr>
        <w:trPr>
          <w:trHeight w:val="210"/>
        </w:trPr>
        <w:tc>
          <w:tcPr>
            <w:tcW w:w="3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Mistral Spa Holdings, LLC(2)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8,235,902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74.6%</w:t>
            </w:r>
          </w:p>
        </w:tc>
        <w:tc>
          <w:tcPr>
            <w:tcW w:w="1120" w:type="dxa"/>
            <w:vAlign w:val="bottom"/>
          </w:tcPr>
          <w:p>
            <w:pPr>
              <w:jc w:val="right"/>
              <w:spacing w:after="0"/>
              <w:rPr>
                <w:sz w:val="20"/>
                <w:szCs w:val="20"/>
                <w:color w:val="auto"/>
              </w:rPr>
            </w:pPr>
            <w:r>
              <w:rPr>
                <w:rFonts w:ascii="Arial" w:cs="Arial" w:eastAsia="Arial" w:hAnsi="Arial"/>
                <w:sz w:val="18"/>
                <w:szCs w:val="18"/>
                <w:color w:val="auto"/>
              </w:rPr>
              <w:t>8,049,973</w:t>
            </w: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Alpha Capital Anstalt(3)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181,451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Calm.com, Inc.(4)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443,547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13.20%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443,547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Douglas Satzman</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Jankowski</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16,281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Andrew Perlman</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28,928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10,320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Janine Canale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Bruce T. Bernstein(5)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1,367,200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1,311,387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Donald E. Stout(6)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17,232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Salvatore Giardina(7)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Andrew R. Heyer(2)(8)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8,249,152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74.6%</w:t>
            </w:r>
          </w:p>
        </w:tc>
        <w:tc>
          <w:tcPr>
            <w:tcW w:w="1120" w:type="dxa"/>
            <w:vAlign w:val="bottom"/>
          </w:tcPr>
          <w:p>
            <w:pPr>
              <w:jc w:val="right"/>
              <w:spacing w:after="0"/>
              <w:rPr>
                <w:sz w:val="20"/>
                <w:szCs w:val="20"/>
                <w:color w:val="auto"/>
              </w:rPr>
            </w:pPr>
            <w:r>
              <w:rPr>
                <w:rFonts w:ascii="Arial" w:cs="Arial" w:eastAsia="Arial" w:hAnsi="Arial"/>
                <w:sz w:val="18"/>
                <w:szCs w:val="18"/>
                <w:color w:val="auto"/>
              </w:rPr>
              <w:t>8,049,973</w:t>
            </w: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3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All current directors and officers as a group</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 individuals)(9):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9,645,084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9,560,539</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gridSpan w:val="2"/>
          </w:tcPr>
          <w:p>
            <w:pPr>
              <w:ind w:left="280"/>
              <w:spacing w:after="0"/>
              <w:rPr>
                <w:sz w:val="20"/>
                <w:szCs w:val="20"/>
                <w:color w:val="auto"/>
              </w:rPr>
            </w:pPr>
            <w:r>
              <w:rPr>
                <w:rFonts w:ascii="Arial" w:cs="Arial" w:eastAsia="Arial" w:hAnsi="Arial"/>
                <w:sz w:val="18"/>
                <w:szCs w:val="18"/>
                <w:color w:val="auto"/>
              </w:rPr>
              <w:t>Less than 1%</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5" w:lineRule="exact"/>
        <w:rPr>
          <w:sz w:val="20"/>
          <w:szCs w:val="20"/>
          <w:color w:val="auto"/>
        </w:rPr>
      </w:pPr>
    </w:p>
    <w:p>
      <w:pPr>
        <w:ind w:left="5640" w:hanging="5632"/>
        <w:spacing w:after="0" w:line="581" w:lineRule="auto"/>
        <w:tabs>
          <w:tab w:leader="none" w:pos="666"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Unless otherwise indicated, the business address of the individuals is c/o XpresSpa Group, Inc.,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10017.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left="652" w:hanging="652"/>
        <w:spacing w:after="0" w:line="277"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106,523 shares of Common Stock and warrants to purchase 79,406 shares of Common Stock. Includes 8,049,973 shares of Common Stock underlying Series D Preferred Stock.</w:t>
      </w:r>
    </w:p>
    <w:p>
      <w:pPr>
        <w:spacing w:after="0" w:line="170" w:lineRule="exact"/>
        <w:rPr>
          <w:rFonts w:ascii="Arial" w:cs="Arial" w:eastAsia="Arial" w:hAnsi="Arial"/>
          <w:sz w:val="18"/>
          <w:szCs w:val="18"/>
          <w:color w:val="auto"/>
        </w:rPr>
      </w:pPr>
    </w:p>
    <w:p>
      <w:pPr>
        <w:jc w:val="both"/>
        <w:ind w:left="652"/>
        <w:spacing w:after="0" w:line="288" w:lineRule="auto"/>
        <w:rPr>
          <w:rFonts w:ascii="Arial" w:cs="Arial" w:eastAsia="Arial" w:hAnsi="Arial"/>
          <w:sz w:val="18"/>
          <w:szCs w:val="18"/>
          <w:color w:val="auto"/>
        </w:rPr>
      </w:pPr>
      <w:r>
        <w:rPr>
          <w:rFonts w:ascii="Arial" w:cs="Arial" w:eastAsia="Arial" w:hAnsi="Arial"/>
          <w:sz w:val="16"/>
          <w:szCs w:val="16"/>
          <w:color w:val="auto"/>
        </w:rPr>
        <w:t>Mistral Spa Holdings, LLC (“MSH”), a Delaware limited liability company, is an investment entity indirectly controlled by Mr. Heyer through Mistral Equity Partners, LP (“MEP”), Mistral Equity Partners QP, LP (“MEP QP”) and MEP Co-Invest, LLC (“MEP Co-Invest”). Mistral Equity GP, LLC (“MEP GP” and, together with MEP, MEP QP, and MEP Co-Invest, the “Mistral Fund Entities”) is the general partner of MEP and MEP QP. By reason of the provisions of Rule 16a-1 of the Securities Exchange Act of 1934, as amended (the “Exchange Act”), the Mistral Fund Entities may be deemed to be beneficial owners of certain of the securities that are deemed to be beneficially owned by MSH, and Mr. Heyer may be deemed to be the beneficial owner of any securities that may be deemed to be beneficially owned by MSH and/or the Mistral Fund Entities. Mr. Heyer may be deemed to have an indirect pecuniary interest (within the meaning of Rule 16a-1 of the Exchange Act) in an indeterminate portion of the securities reported as beneficially owned by MSH, and MEP GP may be deemed to have an indirect pecuniary interest in an indeterminate portion of the securities reported as beneficially owned by MEP and MEP QP. MSH’s address is 650 Fifth Avenue, Floor 31, New York, NY 10019. Mr. Heyer’s business address is c/o Mistral Capital Management, LLC, 650 Fifth Avenue, 31st Floor, New York, NY 10019.</w:t>
      </w:r>
    </w:p>
    <w:p>
      <w:pPr>
        <w:spacing w:after="0" w:line="169" w:lineRule="exact"/>
        <w:rPr>
          <w:rFonts w:ascii="Arial" w:cs="Arial" w:eastAsia="Arial" w:hAnsi="Arial"/>
          <w:sz w:val="18"/>
          <w:szCs w:val="18"/>
          <w:color w:val="auto"/>
        </w:rPr>
      </w:pPr>
    </w:p>
    <w:p>
      <w:pPr>
        <w:jc w:val="both"/>
        <w:ind w:left="652" w:hanging="652"/>
        <w:spacing w:after="0" w:line="259"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upon information known to the Company, the Company believes Alpha Capital Anstalt has beneficial ownership of warrants to purchase 181,451 shares of Common Stock. The address of Alpha Capital Anstalt is Lettstrasse 32, P.O. Box 1212, 9490 Vaduz, Liechtenstein. The table reports the number of shares that would be issuable upon exercise of the warrants, without giving effect to the 4.99% blocker included in such securities. The percentage included in the table reflects the 4.99% blocker.</w:t>
      </w:r>
    </w:p>
    <w:p>
      <w:pPr>
        <w:spacing w:after="0" w:line="186" w:lineRule="exact"/>
        <w:rPr>
          <w:rFonts w:ascii="Arial" w:cs="Arial" w:eastAsia="Arial" w:hAnsi="Arial"/>
          <w:sz w:val="18"/>
          <w:szCs w:val="18"/>
          <w:color w:val="auto"/>
        </w:rPr>
      </w:pPr>
    </w:p>
    <w:p>
      <w:pPr>
        <w:jc w:val="both"/>
        <w:ind w:left="652" w:hanging="652"/>
        <w:spacing w:after="0" w:line="279" w:lineRule="auto"/>
        <w:tabs>
          <w:tab w:leader="none" w:pos="652"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a Schedule 13D/A filed by Calm.com, Inc. with the SEC on July 12, 2019, which reported ownership as of July 8, 2019. The principal business address of the beneficial owner is 140 2nd Street, Third Floor, San Francisco, CA 94105. Includes 241,935 shares of Common Stock underlying Series E Preferred Stock and 201,612 shares of Common Stock issuable upon conversion of the Calm Note into Series E Preferred Stock and subsequently into Common Stock. Does not include warrants to purchase 937,500 shares of Common Stock.</w:t>
      </w:r>
    </w:p>
    <w:p>
      <w:pPr>
        <w:spacing w:after="0" w:line="171" w:lineRule="exact"/>
        <w:rPr>
          <w:rFonts w:ascii="Arial" w:cs="Arial" w:eastAsia="Arial" w:hAnsi="Arial"/>
          <w:sz w:val="17"/>
          <w:szCs w:val="17"/>
          <w:color w:val="auto"/>
        </w:rPr>
      </w:pPr>
    </w:p>
    <w:p>
      <w:pPr>
        <w:jc w:val="both"/>
        <w:ind w:left="652" w:hanging="652"/>
        <w:spacing w:after="0" w:line="264"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18,877 shares of Common Stock, options to purchase 11,500 shares of Common Stock and warrants to purchase 25,436 shares of Common Stock. Includes 1,311,387 shares of Common Stock underlying Series D Preferred Stock.</w:t>
      </w:r>
    </w:p>
    <w:p>
      <w:pPr>
        <w:spacing w:after="0" w:line="181"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4,607 shares of Common Stock and options to purchase 12,625 shares of Common Stock.</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11,500 shares of Common Stock.</w:t>
      </w:r>
    </w:p>
    <w:p>
      <w:pPr>
        <w:spacing w:after="0" w:line="225" w:lineRule="exact"/>
        <w:rPr>
          <w:rFonts w:ascii="Arial" w:cs="Arial" w:eastAsia="Arial" w:hAnsi="Arial"/>
          <w:sz w:val="18"/>
          <w:szCs w:val="18"/>
          <w:color w:val="auto"/>
        </w:rPr>
      </w:pPr>
    </w:p>
    <w:p>
      <w:pPr>
        <w:jc w:val="both"/>
        <w:ind w:left="652" w:hanging="652"/>
        <w:spacing w:after="0" w:line="259"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112,273 shares of Common Stock, options to purchase 7,500 shares of Common Stock and warrants to purchase 79,406. Includes 8,049,973 shares of Common Stock underlying Series D Preferred Stock. The shares and percentage included in the table report the number of shares that would be issuable upon exercise of the warrants, without giving effect to the 9.99% blocker included in such securities.</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footnotes (5) through (8).</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MANAGEMENT AND 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Set forth below are the names of our directors and director nominees and executive officers, their ages (as of the filing date of this proxy statement), their position(s) with us,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w:t>
            </w:r>
          </w:p>
        </w:tc>
        <w:tc>
          <w:tcPr>
            <w:tcW w:w="6040" w:type="dxa"/>
            <w:vAlign w:val="bottom"/>
          </w:tcPr>
          <w:p>
            <w:pPr>
              <w:ind w:left="1880"/>
              <w:spacing w:after="0"/>
              <w:rPr>
                <w:sz w:val="20"/>
                <w:szCs w:val="20"/>
                <w:color w:val="auto"/>
              </w:rPr>
            </w:pPr>
            <w:r>
              <w:rPr>
                <w:rFonts w:ascii="Arial" w:cs="Arial" w:eastAsia="Arial" w:hAnsi="Arial"/>
                <w:sz w:val="18"/>
                <w:szCs w:val="18"/>
                <w:b w:val="1"/>
                <w:bCs w:val="1"/>
                <w:color w:val="auto"/>
              </w:rPr>
              <w:t>Position(s) with the Company</w:t>
            </w:r>
          </w:p>
        </w:tc>
      </w:tr>
      <w:tr>
        <w:trPr>
          <w:trHeight w:val="202"/>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Doug Satzman</w:t>
            </w:r>
          </w:p>
        </w:tc>
        <w:tc>
          <w:tcPr>
            <w:tcW w:w="120" w:type="dxa"/>
            <w:vAlign w:val="bottom"/>
          </w:tcPr>
          <w:p>
            <w:pPr>
              <w:spacing w:after="0"/>
              <w:rPr>
                <w:sz w:val="17"/>
                <w:szCs w:val="17"/>
                <w:color w:val="auto"/>
              </w:rPr>
            </w:pPr>
          </w:p>
        </w:tc>
        <w:tc>
          <w:tcPr>
            <w:tcW w:w="580" w:type="dxa"/>
            <w:vAlign w:val="bottom"/>
            <w:tcBorders>
              <w:top w:val="single" w:sz="8" w:color="auto"/>
            </w:tcBorders>
          </w:tcPr>
          <w:p>
            <w:pPr>
              <w:jc w:val="right"/>
              <w:ind w:right="310"/>
              <w:spacing w:after="0" w:line="201" w:lineRule="exact"/>
              <w:rPr>
                <w:sz w:val="20"/>
                <w:szCs w:val="20"/>
                <w:color w:val="auto"/>
              </w:rPr>
            </w:pPr>
            <w:r>
              <w:rPr>
                <w:rFonts w:ascii="Arial" w:cs="Arial" w:eastAsia="Arial" w:hAnsi="Arial"/>
                <w:sz w:val="18"/>
                <w:szCs w:val="18"/>
                <w:color w:val="auto"/>
                <w:w w:val="79"/>
              </w:rPr>
              <w:t>45</w:t>
            </w:r>
          </w:p>
        </w:tc>
        <w:tc>
          <w:tcPr>
            <w:tcW w:w="100" w:type="dxa"/>
            <w:vAlign w:val="bottom"/>
          </w:tcPr>
          <w:p>
            <w:pPr>
              <w:spacing w:after="0"/>
              <w:rPr>
                <w:sz w:val="17"/>
                <w:szCs w:val="17"/>
                <w:color w:val="auto"/>
              </w:rPr>
            </w:pPr>
          </w:p>
        </w:tc>
        <w:tc>
          <w:tcPr>
            <w:tcW w:w="6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Bruce T. Bernstein*(1)(2)(3)</w:t>
            </w:r>
          </w:p>
        </w:tc>
        <w:tc>
          <w:tcPr>
            <w:tcW w:w="700" w:type="dxa"/>
            <w:vAlign w:val="bottom"/>
            <w:gridSpan w:val="2"/>
          </w:tcPr>
          <w:p>
            <w:pPr>
              <w:jc w:val="right"/>
              <w:ind w:right="3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Donald E. Stout*(1)(2)(3)</w:t>
            </w:r>
          </w:p>
        </w:tc>
        <w:tc>
          <w:tcPr>
            <w:tcW w:w="700" w:type="dxa"/>
            <w:vAlign w:val="bottom"/>
            <w:gridSpan w:val="2"/>
          </w:tcPr>
          <w:p>
            <w:pPr>
              <w:jc w:val="right"/>
              <w:ind w:right="3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Salvatore Giardina*(2)</w:t>
            </w:r>
          </w:p>
        </w:tc>
        <w:tc>
          <w:tcPr>
            <w:tcW w:w="700" w:type="dxa"/>
            <w:vAlign w:val="bottom"/>
            <w:gridSpan w:val="2"/>
          </w:tcPr>
          <w:p>
            <w:pPr>
              <w:jc w:val="right"/>
              <w:ind w:right="3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Andrew R. Heyer*</w:t>
            </w:r>
          </w:p>
        </w:tc>
        <w:tc>
          <w:tcPr>
            <w:tcW w:w="700" w:type="dxa"/>
            <w:vAlign w:val="bottom"/>
            <w:gridSpan w:val="2"/>
          </w:tcPr>
          <w:p>
            <w:pPr>
              <w:jc w:val="right"/>
              <w:ind w:right="3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director under the rules of The Nasdaq Stock Market</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Current member of Compensation Committee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Current member of Audit Committee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Current member of Nominating and Corporate Governance Committee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the Company, either directly or indirectly. Based upon this review, our Board of Directors has determined that the following members of our Board of Directors are “independent directors” as defined by The Nasdaq Stock Market: Bruce T. Bernstein, Donald E. Stout, Salvatore Giardina, and Andrew R. Heyer.</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Douglas Satzman </w:t>
      </w:r>
      <w:r>
        <w:rPr>
          <w:rFonts w:ascii="Arial" w:cs="Arial" w:eastAsia="Arial" w:hAnsi="Arial"/>
          <w:sz w:val="16"/>
          <w:szCs w:val="16"/>
          <w:color w:val="auto"/>
        </w:rPr>
        <w:t>has served as our Chief Executive Officer and as a member of our Board of Directors since February 11, 2019. Mr. Satzman most recently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CEO of Joe Coffee Company, a premium Specialty Coffee chain serving craft roasted coffee and artisanal food items with over 20 company owned cafes in New York City and Philadelphia. During his tenure, he created a multi-channel national growth plan, created infrastructure and assembled a leadership team after the first private equity investment in the 15 year-old family business. Previously, Mr. Satzman was Chief Executive Officer, U.S. of Le Pain Quotidien, a premium Bakery &amp; Full Service Restaurant chain serving artisanal breads/pastries, organic products &amp; wholesome cuisine in over 90 company-owned restaurants across the U.S. where he developed a long-term growth strategy focused on building organic sales, opening new stores and markets, creating multi-channel growth platforms and leveraging technology. He also re-organized the corporate and field teams which resulted in improved customer service, improved store level support and reduced costs. Prior to that, Mr. Satzman spent 14 years at Starbucks Coffee Company where he held roles of increasing responsibility across the U.S. and Europe, culminating in being named Senior Vice-President, EMEA Business Development &amp; Channel Operations. In that role, he led and delivered a high growth strategy across Europe, Russia, Middle East and Africa as well as non-company owned retail operations across more than 35 countries. During his assignments in the U.S. and EMEA, Mr. Satzman’s direct responsibilities included leading the travel vertical, including operations and business development across all airports resulting in significant revenue, profit and growth.</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We believe Mr. Saltzman’s extensive experience in the retail industry qualifies him to serve on our Board of Directors.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Bruce T. Bernstein </w:t>
      </w:r>
      <w:r>
        <w:rPr>
          <w:rFonts w:ascii="Arial" w:cs="Arial" w:eastAsia="Arial" w:hAnsi="Arial"/>
          <w:sz w:val="17"/>
          <w:szCs w:val="17"/>
          <w:color w:val="auto"/>
        </w:rPr>
        <w:t>joined our Board of Directors in February 2016 and has served as the Chairman of our Board of Directors since February 2018.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Bernstein has over thirty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Neurotrope, Inc. Mr. Bernstein is also a member of the board of Summit Digital Health, a laser-based blood glucose monitor distributor, based in New Jersey. Mr. Bernstein holds a B.B.A. from City University of New York (Baruch).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believe Mr. Bernstein’s extensive experience in the securities industry qualifies him to serve on our Board of Directors.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Donald E. Stout </w:t>
      </w:r>
      <w:r>
        <w:rPr>
          <w:rFonts w:ascii="Arial" w:cs="Arial" w:eastAsia="Arial" w:hAnsi="Arial"/>
          <w:sz w:val="16"/>
          <w:szCs w:val="16"/>
          <w:color w:val="auto"/>
        </w:rPr>
        <w:t>has been our director since July 2012, and was a director of Innovate/Protect, Inc. from November 2011 through the consummation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with us. In a career spanning over forty years, Mr. Stout has been involved in virtually all facets of intellectual property law. Mr. Stout is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We believe Mr. Stout’s historical knowledge of the Company and intellectual property experience qualifies him to serve on our Board of Directors.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Salvatore Giardina </w:t>
      </w:r>
      <w:r>
        <w:rPr>
          <w:rFonts w:ascii="Arial" w:cs="Arial" w:eastAsia="Arial" w:hAnsi="Arial"/>
          <w:sz w:val="18"/>
          <w:szCs w:val="18"/>
          <w:color w:val="auto"/>
        </w:rPr>
        <w:t>joined our Board of Directors in May 2016. Mr. Giardina has served as Chief Financial Officer of Pragma LLC and its holding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Pragma Weeden Holdings LLC, since 2009. From 2006 through 2008, Mr. Giardina served as Senior Vice President and Chief Financial Officer of G-Trade Services LLC and ConvergEx Global Markets LLC. From 2002 through 2006, Mr. Giardina served as Vice President and Chief Financial Officer of Ladenburg Thalmann Financial Services Inc., the publicly-traded holding company of Ladenburg Thalmann &amp; Co., Inc., where Mr. Giardina served as its Executive Vice President and Chief Financial Officer from 1998 through 2006 and as its Controller from 1990 through 1998. From 1983 through 1990, Mr. Giardina was an auditor with the national public accounting firm of Laventhol &amp; Horwath. Mr. Giardina served as a director of National Holdings Corporation from 2012 through 2016 and as Chairman of its Audit Committee from 2013 through 2016. Mr. Giardina is a certified public accountant and is Series 24 and Series 27 registered.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We believe Mr. Giardina’s extensive financial expertise and his practical and management experience qualifies him to serve on our Board of Directors and as a member and the chairperson of the audit committee of our Board of Directors.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Andrew R. Heyer </w:t>
      </w:r>
      <w:r>
        <w:rPr>
          <w:rFonts w:ascii="Arial" w:cs="Arial" w:eastAsia="Arial" w:hAnsi="Arial"/>
          <w:sz w:val="18"/>
          <w:szCs w:val="18"/>
          <w:color w:val="auto"/>
        </w:rPr>
        <w:t>joined our Board of Directors in December 2016. Mr. Heyer is the Chief Executive Officer and founder of Mistral Capital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a private equity fund manager. Prior to founding Mistral, he served as a Founding Managing Partner of Trimaran Capital Partners, L.L.C. Mr. Heyer was formerly a Vice Chairman of CIBC World Markets Corp. and co-head of CIBC Argosy Merchant Banking Funds. Prior to joining CIBC World Markets Corp. in 1995, Mr. Heyer was a founder and Managing Director of The Argosy Group L.P. Before Argosy, Mr. Heyer was a Managing Director at Drexel Burnham Lambert Incorporated and previous to that, he worked at Shearson/American Express. He also serves on the boards of Mistral’s portfolio companies. Mr. Heyer also serves as a member of the Executive Committee and Board of Trustees of the University of Pennsylvania and the University of Pennsylvania Health System.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Mr. Heyer’s extensive experience in the securities industry qualifies him to serve on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Meeting Attendance. </w:t>
      </w:r>
      <w:r>
        <w:rPr>
          <w:rFonts w:ascii="Arial" w:cs="Arial" w:eastAsia="Arial" w:hAnsi="Arial"/>
          <w:sz w:val="18"/>
          <w:szCs w:val="18"/>
          <w:color w:val="auto"/>
        </w:rPr>
        <w:t>During the fiscal year ended December 31, 2018 there were eleven (11) meetings of our Board of Directors as well as four (4)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unanimous consents. The various committees of the Board of Directors met a total of six (6) times. No director attended fewer than 75% of the total number of meetings of the Board of Directors and of committees of the Board of Directors on which he served during fiscal 2018. The Board of Directors has adopted a policy under which each member of the Board of Directors is strongly encouraged, but not required, to attend each annual meeting of our stockholders. All of our directors attended our annual meeting of stockholders held in 2018.</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Our Audit Committee met four (4) times during fiscal 2018. This committee currently has three (3) members, Salvatore Giardina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 All members of the Audit Committee satisfy the current independence standards promulgated by the SEC and The Nasdaq Stock Market (“Nasdaq”), as such standards apply specifically to members of audit committees. The Board of Directors has determined that both Messrs. Giardina and Bernstein are “audit committee financial experts,” as defined by the SEC in Item 407 of Regulation S-K.</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 copy of the Audit Committee’s written charter is publicly available through the “Investors — Corporate Governance” section of our website at </w:t>
      </w:r>
      <w:r>
        <w:rPr>
          <w:rFonts w:ascii="Arial" w:cs="Arial" w:eastAsia="Arial" w:hAnsi="Arial"/>
          <w:sz w:val="18"/>
          <w:szCs w:val="18"/>
          <w:i w:val="1"/>
          <w:iCs w:val="1"/>
          <w:u w:val="single" w:color="auto"/>
          <w:color w:val="auto"/>
        </w:rPr>
        <w:t>www.xpresspagroup.com/corp_governance</w:t>
      </w:r>
      <w:r>
        <w:rPr>
          <w:rFonts w:ascii="Arial" w:cs="Arial" w:eastAsia="Arial" w:hAnsi="Arial"/>
          <w:sz w:val="18"/>
          <w:szCs w:val="18"/>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Our Compensation Committee met one (1) time during fiscal 2018. This committee currently has two (2) members, Bruce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Bernstein (Chairman) and Donald E. Stout.</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Compensation Committee’s role and responsibilities are set forth in the Compensation Committee’s written charter and include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2006 Stock Option Plan (the “2006 Plan”). The Compensation Committee is responsible for the determination of the compensation of our Chief Executive Officer, and shall conduct its decision-making process with respect to that issue without the Chief Executive Officer present, and establishment and reviewing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 xml:space="preserve">Both members of the Compensation Committee qualify as independent under the definition promulgated by Nasdaq. A copy of the Compensation Committee’s written charter is publicly available through the “Investors — Corporate Governance” section of our website at </w:t>
      </w:r>
      <w:r>
        <w:rPr>
          <w:rFonts w:ascii="Arial" w:cs="Arial" w:eastAsia="Arial" w:hAnsi="Arial"/>
          <w:sz w:val="18"/>
          <w:szCs w:val="18"/>
          <w:i w:val="1"/>
          <w:iCs w:val="1"/>
          <w:u w:val="single" w:color="auto"/>
          <w:color w:val="auto"/>
        </w:rPr>
        <w:t>www.xpresspagroup.com/corp_governance</w:t>
      </w:r>
      <w:r>
        <w:rPr>
          <w:rFonts w:ascii="Arial" w:cs="Arial" w:eastAsia="Arial" w:hAnsi="Arial"/>
          <w:sz w:val="18"/>
          <w:szCs w:val="18"/>
          <w:color w:val="auto"/>
        </w:rPr>
        <w: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Our Nominating and Corporate Governance Committee met one (1) time during fiscal 2018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has two (2) members, Bruce T. Bernstein and Donald E. Stout. The Nominating and Corporate Governance Committee’s role and responsibilities are set forth in the Nominating and Corporate Governance Committee’s written charter and include:</w:t>
      </w:r>
    </w:p>
    <w:p>
      <w:pPr>
        <w:spacing w:after="0" w:line="18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make recommendations to the Board of Directors as to the structure, composition and functioning of the Board of Directors and its committees.</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Both members of the Nominating and Corporate Governance Committee qualify as independent under the definition promulgated by Nasdaq. 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 copy of the Nominating and Governance Committee’s written charter is publicly available through the “Investors — Corporate Governance” section of our website at </w:t>
      </w:r>
      <w:r>
        <w:rPr>
          <w:rFonts w:ascii="Arial" w:cs="Arial" w:eastAsia="Arial" w:hAnsi="Arial"/>
          <w:sz w:val="18"/>
          <w:szCs w:val="18"/>
          <w:i w:val="1"/>
          <w:iCs w:val="1"/>
          <w:u w:val="single" w:color="auto"/>
          <w:color w:val="auto"/>
        </w:rPr>
        <w:t>www.xpresspagroup.com/corp_governance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Effective February 5, 2018, the Board of Directors appointed Bruce T. Bernstein as the non-executive Chairman of the Board of Directors.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leadership structure of the Board of Directors currently consists of a Chairman of the Board of Directors who oversees the Board meetings. We separate the roles of Chairman of the Board and Chief Executive Officer in recognition of the differences between the two roles. Our Board of Directors believes this division of responsibility is an effective approach for addressing the risks we face. All of our Board committees are comprised of only independent directors. All Board committees are chaired by independent directors who report to the full Board of Directors whenever necessary. We believe this leadership structure helps facilitate efficient decision-making and communication among our directors and fosters efficient Board functioning at meetings.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7"/>
          <w:szCs w:val="17"/>
          <w:color w:val="auto"/>
        </w:rPr>
        <w:t>Our management is primarily responsible for managing the risks we face in the ordinary course of operating our business. The Board of Directors oversees potential risks and our risk management activities by receiving operational and strategic presentations from management which include discussions of key risks to our business. The Board of Directors also periodically discusses with management important compliance and quality issues. In addition, the Board has delegated risk oversight to each of its key committees within their areas of responsibility. For example, the Audit Committee assists the Board of Directors in fulfilling its oversight of the quality and integrity of our financial statements and our compliance with legal and regulatory requirements relating to our financial statements and related disclosures. The Compensation Committee assists the Board of Directors in its risk oversight function by overseeing strategies with respect to our incentive compensation programs and key employee retention issues. We believe our Board of Directors leadership structure facilitates the division of risk management oversight responsibilities among the Board committees and enhances the Board of Directors’ efficiency in fulfilling its oversight function with respect to difference areas of our business risks and our risk mitigation practices.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 summarizes the total compensation awarded or incurred by us during the fiscal years ended December 31, 2018 and 2017 to (i) all individuals that served as our principal executive officers at any time during the fiscal year ended December 31, 2018, which includes Edward Jankowski and Andrew Perlman; (ii) the most highly compensated executive officer other than the principal executive officer who was serving as executive officer at December 31, 2018, which includes Janine Canale, the only other executive officer who was serving as of December 31, 2018; and (iii) up to two additional individuals for whom disclosure would have been required pursuant to clause (ii) above but for the fact that the individual was not serving as an executive officer at December 31, 2018, which includes Anastasia Nyrkovskaya (collectively, the “named executive officers”). The following table does not include compensation information for Douglas Satzman, who was appointed as our Chief Executive Officer on February 11,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Incentive</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ind w:left="400"/>
              <w:spacing w:after="0"/>
              <w:rPr>
                <w:sz w:val="20"/>
                <w:szCs w:val="20"/>
                <w:color w:val="auto"/>
              </w:rPr>
            </w:pPr>
            <w:r>
              <w:rPr>
                <w:rFonts w:ascii="Arial" w:cs="Arial" w:eastAsia="Arial" w:hAnsi="Arial"/>
                <w:sz w:val="18"/>
                <w:szCs w:val="18"/>
                <w:b w:val="1"/>
                <w:bCs w:val="1"/>
                <w:color w:val="auto"/>
              </w:rPr>
              <w:t>Salary</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Pay</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260" w:type="dxa"/>
            <w:vAlign w:val="bottom"/>
          </w:tcPr>
          <w:p>
            <w:pPr>
              <w:jc w:val="center"/>
              <w:spacing w:after="0" w:line="269" w:lineRule="exact"/>
              <w:rPr>
                <w:sz w:val="20"/>
                <w:szCs w:val="20"/>
                <w:color w:val="auto"/>
              </w:rPr>
            </w:pPr>
            <w:r>
              <w:rPr>
                <w:rFonts w:ascii="Arial" w:cs="Arial" w:eastAsia="Arial" w:hAnsi="Arial"/>
                <w:sz w:val="31"/>
                <w:szCs w:val="31"/>
                <w:b w:val="1"/>
                <w:bCs w:val="1"/>
                <w:color w:val="auto"/>
                <w:w w:val="89"/>
                <w:vertAlign w:val="subscript"/>
              </w:rPr>
              <w:t>($)</w:t>
            </w:r>
            <w:r>
              <w:rPr>
                <w:rFonts w:ascii="Arial" w:cs="Arial" w:eastAsia="Arial" w:hAnsi="Arial"/>
                <w:sz w:val="14"/>
                <w:szCs w:val="14"/>
                <w:b w:val="1"/>
                <w:bCs w:val="1"/>
                <w:color w:val="auto"/>
                <w:w w:val="89"/>
              </w:rPr>
              <w:t>(1)</w:t>
            </w:r>
          </w:p>
        </w:tc>
        <w:tc>
          <w:tcPr>
            <w:tcW w:w="220" w:type="dxa"/>
            <w:vAlign w:val="bottom"/>
          </w:tcPr>
          <w:p>
            <w:pPr>
              <w:spacing w:after="0"/>
              <w:rPr>
                <w:sz w:val="23"/>
                <w:szCs w:val="23"/>
                <w:color w:val="auto"/>
              </w:rPr>
            </w:pPr>
          </w:p>
        </w:tc>
        <w:tc>
          <w:tcPr>
            <w:tcW w:w="1240" w:type="dxa"/>
            <w:vAlign w:val="bottom"/>
          </w:tcPr>
          <w:p>
            <w:pPr>
              <w:jc w:val="center"/>
              <w:spacing w:after="0" w:line="269" w:lineRule="exact"/>
              <w:rPr>
                <w:sz w:val="20"/>
                <w:szCs w:val="20"/>
                <w:color w:val="auto"/>
              </w:rPr>
            </w:pPr>
            <w:r>
              <w:rPr>
                <w:rFonts w:ascii="Arial" w:cs="Arial" w:eastAsia="Arial" w:hAnsi="Arial"/>
                <w:sz w:val="31"/>
                <w:szCs w:val="31"/>
                <w:b w:val="1"/>
                <w:bCs w:val="1"/>
                <w:color w:val="auto"/>
                <w:w w:val="89"/>
                <w:vertAlign w:val="subscript"/>
              </w:rPr>
              <w:t>($)</w:t>
            </w:r>
            <w:r>
              <w:rPr>
                <w:rFonts w:ascii="Arial" w:cs="Arial" w:eastAsia="Arial" w:hAnsi="Arial"/>
                <w:sz w:val="14"/>
                <w:szCs w:val="14"/>
                <w:b w:val="1"/>
                <w:bCs w:val="1"/>
                <w:color w:val="auto"/>
                <w:w w:val="89"/>
              </w:rPr>
              <w:t>(2)</w:t>
            </w:r>
          </w:p>
        </w:tc>
        <w:tc>
          <w:tcPr>
            <w:tcW w:w="200" w:type="dxa"/>
            <w:vAlign w:val="bottom"/>
          </w:tcPr>
          <w:p>
            <w:pPr>
              <w:spacing w:after="0"/>
              <w:rPr>
                <w:sz w:val="23"/>
                <w:szCs w:val="23"/>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Edward Jankowski</w:t>
            </w:r>
            <w:r>
              <w:rPr>
                <w:rFonts w:ascii="Arial" w:cs="Arial" w:eastAsia="Arial" w:hAnsi="Arial"/>
                <w:sz w:val="28"/>
                <w:szCs w:val="28"/>
                <w:b w:val="1"/>
                <w:bCs w:val="1"/>
                <w:color w:val="auto"/>
                <w:vertAlign w:val="superscript"/>
              </w:rPr>
              <w:t>(3)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2018</w:t>
            </w: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2017</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375,000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361,301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b w:val="1"/>
                <w:bCs w:val="1"/>
                <w:color w:val="auto"/>
                <w:vertAlign w:val="superscript"/>
              </w:rPr>
              <w:t>(4)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2018</w:t>
            </w: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138,000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2017</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450,000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608,562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1,183,562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Janine Canale</w:t>
            </w:r>
            <w:r>
              <w:rPr>
                <w:rFonts w:ascii="Arial" w:cs="Arial" w:eastAsia="Arial" w:hAnsi="Arial"/>
                <w:sz w:val="29"/>
                <w:szCs w:val="29"/>
                <w:b w:val="1"/>
                <w:bCs w:val="1"/>
                <w:color w:val="auto"/>
                <w:vertAlign w:val="superscript"/>
              </w:rPr>
              <w:t>(5)</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2018</w:t>
            </w: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147,500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2017</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130,000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b w:val="1"/>
                <w:bCs w:val="1"/>
                <w:color w:val="auto"/>
                <w:vertAlign w:val="superscript"/>
              </w:rPr>
              <w:t>(6)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2018</w:t>
            </w: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311,300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2017</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375,000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361,301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961,301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Amounts represent a discretionary cash bonus for 2017 that were paid in 2018 and a discretionary cash bonus for 2018 that were paid in 2019.</w:t>
      </w:r>
    </w:p>
    <w:p>
      <w:pPr>
        <w:spacing w:after="0" w:line="236"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For the assumptions made in the valuation of our equity awards see Notes 2 and 11 to our consolidated financial statements included in our Annual Report on Form 10-K for the year ended December 31, 2018 for the year ended December 31, 2018.</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Jankowski served as our Chief Executive Officer until February 13, 2019. Compensation for 2018 includes salary payments but does not include severance that was paid in fiscal 2019.</w:t>
      </w:r>
    </w:p>
    <w:p>
      <w:pPr>
        <w:spacing w:after="0" w:line="166"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Perlman served a</w:t>
      </w:r>
      <w:r>
        <w:rPr>
          <w:rFonts w:ascii="Arial" w:cs="Arial" w:eastAsia="Arial" w:hAnsi="Arial"/>
          <w:sz w:val="18"/>
          <w:szCs w:val="18"/>
          <w:b w:val="1"/>
          <w:bCs w:val="1"/>
          <w:color w:val="auto"/>
        </w:rPr>
        <w:t>s</w:t>
      </w:r>
      <w:r>
        <w:rPr>
          <w:rFonts w:ascii="Arial" w:cs="Arial" w:eastAsia="Arial" w:hAnsi="Arial"/>
          <w:sz w:val="18"/>
          <w:szCs w:val="18"/>
          <w:color w:val="auto"/>
        </w:rPr>
        <w:t xml:space="preserve"> our Chief Executive Officer until April 19, 2018. Compensation for 2018 includes salary payments and the payment of severance pursuant to the Perlman Separation Agreement (as defined below). Compensation for 2017 includes salary payments, a discretionary cash bonus disclosed under “Incentive Pay” and equity awards in the amount of $608,562.</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Canale served as our Corporate Controller and Principal Financial &amp; Accounting Officer until April 12, 2019. Compensation for 2018 and 2017 include salary and bonus payments.</w:t>
      </w:r>
    </w:p>
    <w:p>
      <w:pPr>
        <w:spacing w:after="0" w:line="170" w:lineRule="exact"/>
        <w:rPr>
          <w:rFonts w:ascii="Arial" w:cs="Arial" w:eastAsia="Arial" w:hAnsi="Arial"/>
          <w:sz w:val="18"/>
          <w:szCs w:val="18"/>
          <w:color w:val="auto"/>
        </w:rPr>
      </w:pPr>
    </w:p>
    <w:p>
      <w:pPr>
        <w:jc w:val="both"/>
        <w:ind w:left="660" w:right="2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Nyrkovskaya served as our Chief Financial Officer and Treasurer until June 19, 2018. Compensation for 2018 includes salary payments of $311,300 pursuant to the Nyrkovskaya Separation Agreement (as defined below). Compensation for 2017 includes salary payments, a discretionary cash bonus disclosed under “Incentive Pay” and equity awards in the amount of $361,301.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Jankowski</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20, 2017, we entered into an employment agreement with Mr. Jankowski, which had a term of three years. Under the terms of the employment agreement, Mr. Jankowski received an annual base salary of $375,000 and was eligible to participate in any annual bonus or other incentive compensation program that we may have adopted from time to time for our executive officers. If Mr. Jankowski earned any bonus or non-equity based incentive compensation which remained unpaid upon termination of employment for any reason, whether by Mr. Jankowski or us other than for cause, then Mr. Jankowski would be entitled to receive a pro- rata portion of such incentive compensation at the time it is paid.</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8, 2019, Mr. Jankowski resigned from his positions as Chief Executive Officer and director and his employment with us terminated effective as of February 13, 2019. On March 14, 2019, we entered into a separation agreement and a non-disclosure and non-solicitation agreement with Mr. Jankowski. The separation agreement includes a release by Mr. Jankowski of claims against us and certain related parties. In consideration of the foregoing release, we agreed to pay Mr. Jankowski $375,000, payable in substantially equal installments in cash commencing on the next regular payroll date following the effective date of the Separation Agreement. Additionally, in consideration of the foregoing release, we agreed to pay in full Mr. Jankowski’s COBRA continuation coverage for up to a maximum of twelve months following the separation date so long as Mr. Jankowski has not become covered by the medical plan of a subsequent employer during such period and is otherwise entitled to COBRA continuation coverage.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D. Perlman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13, 2013, we entered into an employment agreement with Mr. Perlman, which had a term of three (3) years. Under the terms of that employment agreement, from January 1, 2015, Mr. Perlman received a base salary of $415,000 and was eligible to participate in any annual bonus or other incentive compensation program that we may have adopted from time to time for our executive officers. On October 13, 2015, we entered into an amendment to the existing employment agreement with Mr. Perlman, pursuant to which, the employment period under the employment agreement was extended to December 31, 2017, and Mr. Perlman remained eligible to receive an annual performance bonus according to corporate and personal goals as established by the Compensation Committee in its sole discretion.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20, 2017, we entered into an employment agreement with Mr. Perlman that superseded his prior employment agreement. Under the terms of this new employment agreement, Mr. Perlman’s annual base salary was increased to $450,000, retroactive to January 1, 2017. The employment agreement was for a term of three (3) years, provided that the employment agreement would extend in two (2) month increments for up to one (1) year thereafter for each month that the negotiations were not concluded prior to sixth months before the end of the term. The employment agreement provided that Mr. Perlman would be eligible to participate in any annual bonus and other incentive compensation program that we may adopt from time to time for our executive officers and if Mr. Perlman had earned any bonus or non-equity based incentive compensation which remained unpaid upon termination of employment for any reason, whether by Mr. Perlman or us other than for cause, then Mr. Perlman would be entitled to receive a pro- rata portion of such incentive compensation at the time it is paid.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89" w:lineRule="auto"/>
        <w:rPr>
          <w:sz w:val="20"/>
          <w:szCs w:val="20"/>
          <w:color w:val="auto"/>
        </w:rPr>
      </w:pPr>
      <w:r>
        <w:rPr>
          <w:rFonts w:ascii="Arial" w:cs="Arial" w:eastAsia="Arial" w:hAnsi="Arial"/>
          <w:sz w:val="16"/>
          <w:szCs w:val="16"/>
          <w:color w:val="auto"/>
        </w:rPr>
        <w:t>On April 19, 2018, Mr. Perlman resigned from his position as Chief Executive Officer and as our Director. On April 19, 2018, we entered into a separation agreement (the “Perlman Separation Agreement”) with Mr. Perlman related to his resignation. The Perlman Separation Agreement includes a release by Mr. Perlman of claims against us and certain related parties. In connection with the entry into the Perlman Separation Agreement, Mr. Perlman agreed that he would continue to be subject to the non-disclosure agreement between Mr. Perlman and us that contains a covenant protecting our confidential information. In addition, Mr. Perlman agreed to be subject to a covenant not to compete with us for a two-year period following the separation date, a covenant prohibiting Mr. Perlman from soliciting or hiring our employees for a two-year period following the separation date, and a covenant not to disparage us or any of our businesses, services, products, affiliates or current, former or future directors and named executive officers (in their capacity as such). The Perlman Separation Agreement also includes certain affirmative covenants binding on Mr. Perlman, including, without limitation, a covenant to reasonably cooperate with us in connection with any action, suit, or proceeding, whether or not by or in the right of us and whether civil, criminal, administrative, investigative or otherwise.</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consideration of the foregoing release and covenants, we agreed to pay Mr. Perlman severance in an amount equal to $125,000 (the “Deferred Cash”), payable in monthly installments of $20,833.34 over the six (6) month period following the date that we achieve both of the following objectives at the end of an applicable calendar quarter, as shown in the Quarterly Report on Form 10-Q or Annual Report on Form 10-K reporting such quarter (the “Cash Objectives”): (i) our Working Capital exceeds $6,368,000, and (ii) Free Cash exceeds $6,368,000; provided that if we do not achieve the Cash Objectives</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prior to the second (2</w:t>
      </w:r>
      <w:r>
        <w:rPr>
          <w:rFonts w:ascii="Arial" w:cs="Arial" w:eastAsia="Arial" w:hAnsi="Arial"/>
          <w:sz w:val="28"/>
          <w:szCs w:val="28"/>
          <w:color w:val="auto"/>
          <w:vertAlign w:val="superscript"/>
        </w:rPr>
        <w:t>nd</w:t>
      </w:r>
      <w:r>
        <w:rPr>
          <w:rFonts w:ascii="Arial" w:cs="Arial" w:eastAsia="Arial" w:hAnsi="Arial"/>
          <w:sz w:val="17"/>
          <w:szCs w:val="17"/>
          <w:color w:val="auto"/>
        </w:rPr>
        <w:t>) anniversary of the separation date, the Deferred Cash shall be forfeited and no amounts shall be payable under the Perlman Separation Agreement. For purposes of the Perlman Separation Agreement, “Free Cash” means cash and cash equivalents as defined in our Annual Report on Form 10-K and calculated consistently, less (i) any cash or cash equivalents that are restricted in any way, and (ii) any cash received by us from a debt, equity or other capital raise subsequent to the Perlman Separation Agreement. For purposes of the Perlman Separation Agreement, “Working Capital” shall mean (i) current assets less current liabilities, prepared in accordance with GAAP and consistent with our prior filings on Annual Reports on Form 10-K, less (ii) any cash received by us from a debt, equity or other capital raise subsequent to the separation date.</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in consideration of the foregoing release and covenants, an aggregate of 153,301 of Mr. Perlman’s restricted stock units that were scheduled to vest in May 2018 (the “Current RSUs”) became subject to a restriction on sale until the earlier of: (i) the one (1) year anniversary of the separation date; and (ii) the date upon which the volume weighted average price (“VWAP”) for our Common Stock for thirty (30) consecutive trading days exceeds $1.50 (as adjusted by us in our discretion for any stock split, subdivision, dividend or distribution). In addition, immediately following the effective date of the Perlman Separation Agreement, we agreed to grant to Mr. Perlman an additional 150,000 restricted stock units, which were fully vested as of the date of grant (the “Granted RSUs”); provided, however, that such Granted RSUs were subject to a restriction on sale until the earlier of: (i) the one (1) year anniversary of the separation date; and (ii) the date upon which the VWAP for our Common Stock for thirty (30) consecutive trading days exceeds $1.50 (as adjusted by us in our discretion for any stock split, subdivision, dividend or distribution). The foregoing restrictions expired on April 18, 2019. The values in this paragraph do not give effect to the reverse stock split effected on February 22,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Anastasia Nyrkovskaya</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19, 2014, we entered into an employment agreement with Ms. Nyrkovskaya. Under the terms of her employment agreement, Ms. Nyrkovskaya’s annual base salary was $315,000. On October 13, 2015, we entered into an amendment to the existing employment agreement with Ms. Nyrkovskaya, pursuant to which the employment period under the employment agreement was extended to December 31, 2017. In addition, the annual base salary of Ms. Nyrkovskaya was increased from $315,000 to $325,000 and Ms. Nyrkovskaya remained eligible to receive an annual performance bonus according to corporate and personal goals, as established by the Compensation Committee in its sole discretion.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spacing w:after="0" w:line="271" w:lineRule="auto"/>
        <w:rPr>
          <w:sz w:val="20"/>
          <w:szCs w:val="20"/>
          <w:color w:val="auto"/>
        </w:rPr>
      </w:pPr>
      <w:r>
        <w:rPr>
          <w:rFonts w:ascii="Arial" w:cs="Arial" w:eastAsia="Arial" w:hAnsi="Arial"/>
          <w:sz w:val="17"/>
          <w:szCs w:val="17"/>
          <w:color w:val="auto"/>
        </w:rPr>
        <w:t>On January 20, 2017, we entered into an employment agreement with Ms. Nyrkovskaya that superseded her prior employment agreement. Under the terms of this new employment agreement, Ms. Nyrkovskaya’s annual base salary was increased to $375,000, retroactive to January 1, 2017. The employment agreement was for a term of three (3) years, provided that the employment agreement was to extend in two (2) month increments for up to one (1) year thereafter for each month that the negotiations are not concluded prior to sixth months before the end of the term. The employment agreement provided that Ms. Nyrkovskaya would be eligible to participate in any annual bonus and other incentive compensation program that we may adopt from time to time for our executive officers, and provided further that if Ms. Nyrkovskaya had earned any bonus or non-equity based incentive compensation which remained unpaid upon termination of employment for any reason, whether by Ms. Nyrkovskaya or us other than for cause, then Ms. Nyrkovskaya would be entitled to receive a pro-rata portion of such incentive compensation at the time it is paid.</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19, 2018, Ms. Nyrkovskaya resigned from her positions with us. She agreed to remain with us in a reduced capacity through October 15, 2018, during which time she transitioned certain projects while we completed a search for a new Chief Financial Officer. On June 19, 2018, we entered into a separation agreement (the “Nyrkovskaya Separation Agreement”) with Ms. Nyrkovskaya, which includes a release by Ms. Nyrkovskaya of claims against us and certain related parties. In consideration of the foregoing release, we agreed to pay Ms. Nyrkovskaya four months of her annual pro-rated base salary in substantially equal installments commencing on the next regular payroll date following the effective date of the Nyrkovskaya Separation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Janine Canale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Canale joined the Company in March 2017 as a Corporate Controller. Upon termination of Ms. Nyrkovskaya’s employment with us, Ms. Canale became our Principal Financial and Accounting Officer. Ms. Canale did not have an employment agreement with the Company. On March 28, 2019, Ms. Canale resigned, effective April 12, 2019, to commence another career opportunity.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2018 Fiscal Year 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regarding grants of stock options and unvested stock awards outstanding on the last day of the fiscal year ended December 31, 2018, to each of our named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8"/>
                <w:szCs w:val="18"/>
                <w:b w:val="1"/>
                <w:bCs w:val="1"/>
                <w:color w:val="auto"/>
              </w:rPr>
              <w:t>Options Awards</w:t>
            </w:r>
          </w:p>
        </w:tc>
        <w:tc>
          <w:tcPr>
            <w:tcW w:w="1680" w:type="dxa"/>
            <w:vAlign w:val="bottom"/>
            <w:tcBorders>
              <w:bottom w:val="single" w:sz="8" w:color="auto"/>
            </w:tcBorders>
          </w:tcPr>
          <w:p>
            <w:pPr>
              <w:spacing w:after="0"/>
              <w:rPr>
                <w:sz w:val="20"/>
                <w:szCs w:val="20"/>
                <w:color w:val="auto"/>
              </w:rPr>
            </w:pPr>
          </w:p>
        </w:tc>
      </w:tr>
      <w:tr>
        <w:trPr>
          <w:trHeight w:val="191"/>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4"/>
              </w:rPr>
              <w:t>Number</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of securities</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of securities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unexercised options</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unexercised options</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Option exercise</w:t>
            </w:r>
          </w:p>
        </w:tc>
        <w:tc>
          <w:tcPr>
            <w:tcW w:w="1680" w:type="dxa"/>
            <w:vAlign w:val="bottom"/>
          </w:tcPr>
          <w:p>
            <w:pPr>
              <w:ind w:left="160"/>
              <w:spacing w:after="0"/>
              <w:rPr>
                <w:sz w:val="20"/>
                <w:szCs w:val="20"/>
                <w:color w:val="auto"/>
              </w:rPr>
            </w:pPr>
            <w:r>
              <w:rPr>
                <w:rFonts w:ascii="Arial" w:cs="Arial" w:eastAsia="Arial" w:hAnsi="Arial"/>
                <w:sz w:val="18"/>
                <w:szCs w:val="18"/>
                <w:b w:val="1"/>
                <w:bCs w:val="1"/>
                <w:color w:val="auto"/>
              </w:rPr>
              <w:t>Option expiration</w:t>
            </w:r>
          </w:p>
        </w:tc>
      </w:t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 exercisable</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 un-exercisable</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price ($)</w:t>
            </w:r>
          </w:p>
        </w:tc>
        <w:tc>
          <w:tcPr>
            <w:tcW w:w="1680" w:type="dxa"/>
            <w:vAlign w:val="bottom"/>
          </w:tcPr>
          <w:p>
            <w:pPr>
              <w:ind w:left="680"/>
              <w:spacing w:after="0"/>
              <w:rPr>
                <w:sz w:val="20"/>
                <w:szCs w:val="20"/>
                <w:color w:val="auto"/>
              </w:rPr>
            </w:pPr>
            <w:r>
              <w:rPr>
                <w:rFonts w:ascii="Arial" w:cs="Arial" w:eastAsia="Arial" w:hAnsi="Arial"/>
                <w:sz w:val="18"/>
                <w:szCs w:val="18"/>
                <w:b w:val="1"/>
                <w:bCs w:val="1"/>
                <w:color w:val="auto"/>
              </w:rPr>
              <w:t>date</w:t>
            </w: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Jankowski</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17, 2027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Andrew Perlman</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3,125</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636.00</w:t>
            </w:r>
          </w:p>
        </w:tc>
        <w:tc>
          <w:tcPr>
            <w:tcW w:w="1680" w:type="dxa"/>
            <w:vAlign w:val="bottom"/>
          </w:tcPr>
          <w:p>
            <w:pPr>
              <w:spacing w:after="0"/>
              <w:rPr>
                <w:sz w:val="20"/>
                <w:szCs w:val="20"/>
                <w:color w:val="auto"/>
              </w:rPr>
            </w:pPr>
            <w:r>
              <w:rPr>
                <w:rFonts w:ascii="Arial" w:cs="Arial" w:eastAsia="Arial" w:hAnsi="Arial"/>
                <w:sz w:val="18"/>
                <w:szCs w:val="18"/>
                <w:color w:val="auto"/>
              </w:rPr>
              <w:t>February 11, 2023</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Janine Canale</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May 15, 2028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Anastasia Nyrkovskaya</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1,500</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570.00</w:t>
            </w:r>
          </w:p>
        </w:tc>
        <w:tc>
          <w:tcPr>
            <w:tcW w:w="1680" w:type="dxa"/>
            <w:vAlign w:val="bottom"/>
          </w:tcPr>
          <w:p>
            <w:pPr>
              <w:spacing w:after="0"/>
              <w:rPr>
                <w:sz w:val="20"/>
                <w:szCs w:val="20"/>
                <w:color w:val="auto"/>
              </w:rPr>
            </w:pPr>
            <w:r>
              <w:rPr>
                <w:rFonts w:ascii="Arial" w:cs="Arial" w:eastAsia="Arial" w:hAnsi="Arial"/>
                <w:sz w:val="18"/>
                <w:szCs w:val="18"/>
                <w:color w:val="auto"/>
              </w:rPr>
              <w:t>May 6, 2023</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820.00</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February 20, 2024</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Anastasia Nyrkovskaya</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14,583</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31.00</w:t>
            </w:r>
          </w:p>
        </w:tc>
        <w:tc>
          <w:tcPr>
            <w:tcW w:w="2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April 4, 2026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7,291</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January 17, 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jc w:val="both"/>
        <w:ind w:left="66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 value is determined by multiplying the number of shares by $3.20, the closing price of our Common Stock on Nasdaq on December 31, 2018, the last day of our fiscal year. All option awards information is adjusted to reflect the impact of the 1-for-20 reverse stock split that became effective on February 22, 2019.</w:t>
      </w:r>
    </w:p>
    <w:p>
      <w:pPr>
        <w:spacing w:after="0" w:line="181" w:lineRule="exact"/>
        <w:rPr>
          <w:sz w:val="20"/>
          <w:szCs w:val="20"/>
          <w:color w:val="auto"/>
        </w:rPr>
      </w:pPr>
    </w:p>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Options vest in twelve equal quarterly increments (8.33% per quarter) over three years, subject to the participant's continuous service on the relevant vesting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nonqualified defined contribution plans or other deferred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summarizes the payments and potential payments to each of our named executive officers as of December 31, 2018 upon termination or change-in-control. The discussion assumes that such event occurred on December 31, 2018, the last business day of our fiscal year, at which time the closing price of our Common Stock as listed on Nasdaq was $3.20 per share (adjusted for the 1-for-20 reverse stock split). For a further discussion of these provisions see the “Narrative Disclosure to Summary Compensation Table and Grants of Plan-Based Awards Table”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Jankowski</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Mr. Jankowski’s employment had been terminated for (i) Good Reason by Mr. Jankowski, or (ii) by us without Cause, Mr. Jankowski would have received severance in the amount of one year of base salary, and COBRA payments totaling approximately $375,000.</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in the event a change-in-control of our wholly-owned subsidiary XpresSpa had occurred, Mr. Jankowski would have been entitled to receive 2% of the amount equal to the total amount of cash and the fair market value of all non-cash consideration paid or payable to us or our stockholders in connection with the change of control, net of transaction expenses payable to third parties and less the original acquisition price of wholly-owned subsidiary XpresSpa of $45,000,000 and less any past or future capital contributions made or to be made by us or our stockholders. A change of control of our wholly-owned subsidiary XpresSpa means (a) an acquisition or series of acquisitions by a person or entity unrelated to us of more than fifty percent (50%) of the outstanding shares or securities entitled to vote for the election of directors or similar managing authority of wholly-owned subsidiary XpresSpa or (b) a sale or disposition of all or substantially all of wholly-owned subsidiary XpresSpa’s assets to an unrelated third party. In the event that a closing of a public spin-off or initial public offering of our wholly-owned subsidiary XpresSpa had occurred, Mr. Jankowski would have been entitled to receive deferred stock units ("DSUs"), pursuant to wholly-owned subsidiary XpresSpa’s equity incentive plan then in effect, equal to 2% of wholly-owned subsidiary XpresSpa’s outstanding shares of Common Stock immediately after the such public offering; which DSUs would have been settled in Common Stock of XpresSpa twelve (12) months after the date of such public offering, which had no intrinsic value as of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D. Perlman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19, 2018, Mr. Perlman resigned from his positions with us. See “Narrative Disclosure to Summary Compensation Table – Andrew D. Perlman” for a description of the amounts paid to Mr. Perlman in connection with his separation.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Anastasia Nyrkovskaya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19, 2018, Ms. Nyrkovskaya resigned from her positions with us. See “Narrative Disclosure to Summary Compensation Table – Anastasia Nyrkovskaya” for a description of the amounts paid to Ms. Nyrkovskaya in connection with her separation.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Janine Canale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Canale was not entitled to any payments upon termination or change-in-control.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the fiscal year ended December 31, 2018. Directors who are employed by us are not compensated for their service on our Board of Directors</w:t>
      </w:r>
      <w:r>
        <w:rPr>
          <w:rFonts w:ascii="Arial" w:cs="Arial" w:eastAsia="Arial" w:hAnsi="Arial"/>
          <w:sz w:val="18"/>
          <w:szCs w:val="18"/>
          <w:b w:val="1"/>
          <w:bCs w:val="1"/>
          <w:color w:val="auto"/>
        </w:rPr>
        <w: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July 1, 2019, the Board approved a reduction in compensation to the non-employee members of our Board. Non-employee directors will receive annual cash compensation of $40,000, with an additional $10,000 in cash compensation to the Chairman of the Audit Committee. In addition, effective January 1, 2020, non-employee directors will receive an annual grant of options to purchase 5,000 shares of Common Stock, with options to purchase an additional 500 shares of Common Stock as compensation for services on each committee of the Board on which such director serves. In lieu of (and not in addition to) the foregoing, the Chairman of the Board will receive options to purchase 10,000 shares of Common Stock, with options to purchase an additional 500 shares of Common Stock as compensation for services on each committee of the Board on which he serves.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Fees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Earned or</w:t>
            </w: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1"/>
              </w:rPr>
              <w:t>Paid in</w:t>
            </w:r>
          </w:p>
        </w:tc>
        <w:tc>
          <w:tcPr>
            <w:tcW w:w="1440" w:type="dxa"/>
            <w:vAlign w:val="bottom"/>
            <w:gridSpan w:val="2"/>
            <w:vMerge w:val="continue"/>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Cash</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1"/>
              </w:rPr>
              <w:t>($)</w:t>
            </w:r>
            <w:r>
              <w:rPr>
                <w:rFonts w:ascii="Arial" w:cs="Arial" w:eastAsia="Arial" w:hAnsi="Arial"/>
                <w:sz w:val="30"/>
                <w:szCs w:val="30"/>
                <w:b w:val="1"/>
                <w:bCs w:val="1"/>
                <w:color w:val="auto"/>
                <w:w w:val="81"/>
                <w:vertAlign w:val="superscript"/>
              </w:rPr>
              <w:t>(1)</w:t>
            </w:r>
          </w:p>
        </w:tc>
        <w:tc>
          <w:tcPr>
            <w:tcW w:w="2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Bruce T. Bernstein</w:t>
            </w:r>
            <w:r>
              <w:rPr>
                <w:rFonts w:ascii="Arial" w:cs="Arial" w:eastAsia="Arial" w:hAnsi="Arial"/>
                <w:sz w:val="28"/>
                <w:szCs w:val="28"/>
                <w:color w:val="auto"/>
                <w:vertAlign w:val="superscript"/>
              </w:rPr>
              <w:t>(2)</w:t>
            </w:r>
          </w:p>
        </w:tc>
        <w:tc>
          <w:tcPr>
            <w:tcW w:w="1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(3)</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(4)</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line="256" w:lineRule="exact"/>
              <w:rPr>
                <w:sz w:val="20"/>
                <w:szCs w:val="20"/>
                <w:color w:val="auto"/>
              </w:rPr>
            </w:pPr>
            <w:r>
              <w:rPr>
                <w:rFonts w:ascii="Arial" w:cs="Arial" w:eastAsia="Arial" w:hAnsi="Arial"/>
                <w:sz w:val="18"/>
                <w:szCs w:val="18"/>
                <w:color w:val="auto"/>
              </w:rPr>
              <w:t>Salvatore Giardina</w:t>
            </w:r>
            <w:r>
              <w:rPr>
                <w:rFonts w:ascii="Arial" w:cs="Arial" w:eastAsia="Arial" w:hAnsi="Arial"/>
                <w:sz w:val="29"/>
                <w:szCs w:val="29"/>
                <w:color w:val="auto"/>
                <w:vertAlign w:val="superscript"/>
              </w:rPr>
              <w:t>(5)</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Richard K. Abbe</w:t>
            </w:r>
            <w:r>
              <w:rPr>
                <w:rFonts w:ascii="Arial" w:cs="Arial" w:eastAsia="Arial" w:hAnsi="Arial"/>
                <w:sz w:val="29"/>
                <w:szCs w:val="29"/>
                <w:color w:val="auto"/>
                <w:vertAlign w:val="superscript"/>
              </w:rPr>
              <w:t>(6)</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390"/>
        </w:trPr>
        <w:tc>
          <w:tcPr>
            <w:tcW w:w="7100" w:type="dxa"/>
            <w:vAlign w:val="bottom"/>
            <w:gridSpan w:val="2"/>
          </w:tcPr>
          <w:p>
            <w:pPr>
              <w:spacing w:after="0"/>
              <w:rPr>
                <w:sz w:val="20"/>
                <w:szCs w:val="20"/>
                <w:color w:val="auto"/>
              </w:rPr>
            </w:pPr>
            <w:r>
              <w:rPr>
                <w:rFonts w:ascii="Arial" w:cs="Arial" w:eastAsia="Arial" w:hAnsi="Arial"/>
                <w:sz w:val="18"/>
                <w:szCs w:val="18"/>
                <w:color w:val="auto"/>
              </w:rPr>
              <w:t>Andrew R. Heyer</w:t>
            </w:r>
            <w:r>
              <w:rPr>
                <w:rFonts w:ascii="Arial" w:cs="Arial" w:eastAsia="Arial" w:hAnsi="Arial"/>
                <w:sz w:val="30"/>
                <w:szCs w:val="30"/>
                <w:color w:val="auto"/>
                <w:vertAlign w:val="superscript"/>
              </w:rPr>
              <w:t>(7)</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8097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5" w:lineRule="exact"/>
        <w:rPr>
          <w:sz w:val="20"/>
          <w:szCs w:val="20"/>
          <w:color w:val="auto"/>
        </w:rPr>
      </w:pPr>
    </w:p>
    <w:p>
      <w:pPr>
        <w:jc w:val="both"/>
        <w:ind w:left="66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See Notes 2 and 11 of the consolidated financial statements disclosed in our Annual Report on Form 10-K for the year ended December 31, 2018 for the assumptions made in the valuation of the equity awards.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December 31, 2018, Mr. Bernstein held 145,000 fully vested options.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December 31, 2018, Mr. Engelman held 155,000 fully vested options.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December 31, 2018, Mr. Stout held 160,000 fully vested options.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December 31, 2018, Mr. Giardina held 145,000 fully vested options.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Abbe resigned as a director on December 18, 2018.</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December 31, 2018, Mr. Heyer held 75,000 fully vested options.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reimburse each member of our Board of Directors for reasonable travel and other out-of-pocket expenses in connection with attending meetings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compensate each of our non-employee directors an annual cash stipend of $50,000.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certain aggregate information, as of December 31, 2018 with respect to all of our equity compensation plans then in effect: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No. of securities</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No. of securities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to be issued upon</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 of</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average exercise</w:t>
            </w:r>
          </w:p>
        </w:tc>
        <w:tc>
          <w:tcPr>
            <w:tcW w:w="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price of</w:t>
            </w:r>
          </w:p>
        </w:tc>
        <w:tc>
          <w:tcPr>
            <w:tcW w:w="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options,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warrants and</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options, warrants</w:t>
            </w:r>
          </w:p>
        </w:tc>
        <w:tc>
          <w:tcPr>
            <w:tcW w:w="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reflected in</w:t>
            </w:r>
          </w:p>
        </w:tc>
      </w:tr>
      <w:tr>
        <w:trPr>
          <w:trHeight w:val="234"/>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rights</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and rights ($)</w:t>
            </w: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the first column)</w:t>
            </w:r>
          </w:p>
        </w:tc>
      </w:tr>
      <w:tr>
        <w:trPr>
          <w:trHeight w:val="199"/>
        </w:trPr>
        <w:tc>
          <w:tcPr>
            <w:tcW w:w="682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Total equity compensation plans approved by</w:t>
            </w: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67"/>
        </w:trPr>
        <w:tc>
          <w:tcPr>
            <w:tcW w:w="6940" w:type="dxa"/>
            <w:vAlign w:val="bottom"/>
            <w:gridSpan w:val="2"/>
            <w:shd w:val="clear" w:color="auto" w:fill="CCEEFF"/>
          </w:tcPr>
          <w:p>
            <w:pPr>
              <w:ind w:left="200"/>
              <w:spacing w:after="0" w:line="266" w:lineRule="exact"/>
              <w:rPr>
                <w:sz w:val="20"/>
                <w:szCs w:val="20"/>
                <w:color w:val="auto"/>
              </w:rPr>
            </w:pPr>
            <w:r>
              <w:rPr>
                <w:rFonts w:ascii="Arial" w:cs="Arial" w:eastAsia="Arial" w:hAnsi="Arial"/>
                <w:sz w:val="18"/>
                <w:szCs w:val="18"/>
                <w:color w:val="auto"/>
              </w:rPr>
              <w:t xml:space="preserve">security holders </w:t>
            </w:r>
            <w:r>
              <w:rPr>
                <w:rFonts w:ascii="Arial" w:cs="Arial" w:eastAsia="Arial" w:hAnsi="Arial"/>
                <w:sz w:val="30"/>
                <w:szCs w:val="30"/>
                <w:color w:val="auto"/>
                <w:vertAlign w:val="superscript"/>
              </w:rPr>
              <w:t>(1)(2)</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119,729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235,271</w:t>
            </w:r>
          </w:p>
        </w:tc>
      </w:tr>
    </w:tbl>
    <w:p>
      <w:pPr>
        <w:spacing w:after="0" w:line="202" w:lineRule="exact"/>
        <w:rPr>
          <w:sz w:val="20"/>
          <w:szCs w:val="20"/>
          <w:color w:val="auto"/>
        </w:rPr>
      </w:pPr>
    </w:p>
    <w:p>
      <w:pPr>
        <w:jc w:val="both"/>
        <w:ind w:left="660" w:hanging="652"/>
        <w:spacing w:after="0" w:line="28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These plans consist solely of the 2012 Plan, as amended on November 23, 2016. Under the amended 2012 Plan, a maximum of 355,000 shares of Common Stock may be awarded. The 2012 Plan was originally approved by our stockholders on July 19, 2012, following the merger with Innovate/Protect, replacing our then existing 2006 Plan. The 2006 Plan is fully exercised with no awards outstanding.</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information reflects the Company’s 1-for-20 reverse stock split that was effected on February 25,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REPORT OF AUDIT COMMITTEE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Audit Committee of the Board of Directors, which consists entirely of directors who meet the independence and experience requirements of the Nasdaq Capital Market, has furnished the following report: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Audit Committee assists the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the Board of Directors, which is available on our website at </w:t>
      </w:r>
      <w:r>
        <w:rPr>
          <w:rFonts w:ascii="Arial" w:cs="Arial" w:eastAsia="Arial" w:hAnsi="Arial"/>
          <w:sz w:val="17"/>
          <w:szCs w:val="17"/>
          <w:u w:val="single" w:color="auto"/>
          <w:color w:val="auto"/>
        </w:rPr>
        <w:t>www.xpresspagroup.com</w:t>
      </w:r>
      <w:r>
        <w:rPr>
          <w:rFonts w:ascii="Arial" w:cs="Arial" w:eastAsia="Arial" w:hAnsi="Arial"/>
          <w:sz w:val="17"/>
          <w:szCs w:val="17"/>
          <w:color w:val="auto"/>
        </w:rPr>
        <w:t>. This committee reviews and reassesses our charter annually and recommends any changes to the Board of Directors for approval. The Audit Committee is responsible for overseeing our overall financial reporting process, and for the appointment, compensation, retention, and oversight of the work of CohnReznick LLP. In fulfilling its responsibilities for the financial statements for the fiscal year ended December 31, 2018, the Audit Committee took the following actions:</w:t>
      </w:r>
    </w:p>
    <w:p>
      <w:pPr>
        <w:spacing w:after="0" w:line="178" w:lineRule="exact"/>
        <w:rPr>
          <w:sz w:val="20"/>
          <w:szCs w:val="20"/>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the fiscal year ended December 31, 2018 with management and CohnReznick LLP, our independent registered public accounting firm;</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Discussed with CohnReznick LLP the matters required to be discussed in accordance with Auditing Standard No. 16 — </w:t>
      </w:r>
      <w:r>
        <w:rPr>
          <w:rFonts w:ascii="Arial" w:cs="Arial" w:eastAsia="Arial" w:hAnsi="Arial"/>
          <w:sz w:val="18"/>
          <w:szCs w:val="18"/>
          <w:i w:val="1"/>
          <w:iCs w:val="1"/>
          <w:color w:val="auto"/>
        </w:rPr>
        <w:t>Communications with Audit</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Received written disclosures and the letter from CohnReznick LLP regarding its independence as required by applicable requirements of the Public Company Accounting Oversight Board regarding CohnReznick LLP communications with the Audit Committee and the Audit Committee further discussed with CohnReznick LLP their independence. The Audit Committee also considered the status of pending litigation, taxation matters and other areas of oversight relating to the financial reporting and audit process that the committee determined appropriate.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CohnReznick LLP, the Audit Committee recommended to the Board of Directors that the audited financial statements be included in our Annual Report on Form 10-K for the fiscal year ended December 31, 2018 for filing with the SEC.</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Members of the XpresSpa Group, Inc. Audit Committee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Bruce T. Bernstein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Salvatore Giardina</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Donald E. Stout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16(a) of the Exchange Act requires our directors, executive officers and beneficial owners of more than 10% of our Common Stock to file with the SEC initial reports of ownership and reports of changes in the ownership of our Common Stock and other equity securities. Such persons are required to furnish us copies of all Section 16(a) filings.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solely upon a review of the copies of the forms furnished to us, we believe that our officers, directors and beneficial owners of more than 10% of our Common Stock complied with all applicable filing requirements during the fiscal year ended December 31, 2018.</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ind w:left="27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Approval Policy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22, 2015, we entered in a credit agreement and secured promissory note (“Debt”) with Rockmore Investment Master Fund Ltd. (“Rockmore”), which was subsequently amended on each of August 8, 2016, May 10, 2017, May 11, 2018 and July 8, 2019. The principal amount of the debt is $7,000,000. Rockmore is an investment entity controlled by our board member, Bruce T. Bernstein. We believe the terms of the Debt were reflective of market rates as of the time of issuance. In addition, we paid $212,000 to Bruce T. Bernstein in March 2017 for legal costs incurred in conjunction with the acquisition of XpresSpa Holdings, LLC and Amiral Holdings SAS legal proceedings prior to the completion of the acquisition, as he was indemnified by XpresSpa Holdings, LLC. These costs are included in the accounts payable, accrued expenses and other current liabilities in the consolidated balance sheet as of December 31, 2017. On February 7, 2017, with our consent, Rockmore assigned the Debt to B3D, LLC.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Committee Qualifications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us, either directly or indirectly. Based upon this review, we believe that Messrs. Stout, Giardina, Bernstein, and Heyer qualify as independent directors in accordance with the standards set by Nasdaq, as well as Rule 10A-3 promulgated under the Securities Exchange Act of 1934, as amended (the “Exchange Act”). Accordingly, our Board of Directors is comprised of a majority of independent directors as required by Nasdaq rules. The Board of Directors has also determined that each member of the Audit Committee, the Compensation Committee and the Nominating and Corporate Governance Committee meets the independence requirements applicable to each such committee member prescribed by Nasdaq and the SEC. The Board of Directors has further determined that Messrs. Giardina and Bernstein are “audit committee financial experts” as defined in the rules of the SEC.</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1)</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29, 2019 the Board of Directors nominated Douglas Satzman, Bruce T. Bernstein, Donald E. Stout, and Salvatore Giardina for election by the holders of Common Stock at the annual meeting. If they are elected, they will serve on our Board of Directors until the 2020 annual meeting of stockholders and until their respective successors have been elected and qualified.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authority to vote for any of these nominees is withheld, the shares represented by the enclosed proxy will be voted FOR the election as directors of Douglas Satzman, Bruce T. Bernstein, Donald E. Stout, and Salvatore Giardina. In the event that either nominee becomes unable or unwilling to serve, the shares represented by the enclosed proxy will be voted for the election of such other person as the Board of Directors may recommend in that nominee’s place. We have no reason to believe that any nominee will be unable or unwilling to serve as a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plurality of the shares voted for each nominee at the annual meeting is required to elect each nominee as a director.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18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THE BOARD OF DIRECTORS RECOMMENDS THE ELECTION OF DOUGLAS SATZMAN, BRUCE T. BERNSTEIN, DONALD E. STOUT AND SALVATORE GIARDINA AS DIRECTORS, AND PROXIES SOLICITED BY THE BOARD WILL BE VOTED IN FAVOR THEREOF UNLESS A STOCKHOLDER HAS INDICATED OTHERWISE ON THE PROXY.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PROPOSAL 2: RATIFICATION OF APPOINTMENT OF INDEPENDENT REGISTERED PUBLIC ACCOUNTING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2)</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has appointed CohnReznick LLP as our independent registered public accounting firm, to audit our financial statements for the fiscal year ending December 31, 2019. The Board of Directors proposes that the stockholders ratify this appointment. CohnReznick LLP audited our financial statements for the fiscal year ended December 31, 2018. We expect that representatives of CohnReznick LLP will be present at the annual meeting, will be able to make a statement if they so desire, and will be available to respond to appropriate questions.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deciding to appoint CohnReznick LLP, the Audit Committee reviewed auditor independence issues and existing commercial relationships with CohnReznick LLP and concluded that CohnReznick LLP has no commercial relationship with the Company that would impair its independence for the fiscal year ending December 31, 2019.</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presents fees for professional audit services rendered by CohnReznick LLP for the audit of the Company’s annual financial statements for the years ended December 31, 2018 and 2017, and fees billed for other services rendered by CohnReznick LLP during those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Borders>
              <w:bottom w:val="single" w:sz="8" w:color="CCEEFF"/>
            </w:tcBorders>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37"/>
        </w:trPr>
        <w:tc>
          <w:tcPr>
            <w:tcW w:w="50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Audit fees</w:t>
            </w:r>
            <w:r>
              <w:rPr>
                <w:rFonts w:ascii="Arial" w:cs="Arial" w:eastAsia="Arial" w:hAnsi="Arial"/>
                <w:sz w:val="27"/>
                <w:szCs w:val="27"/>
                <w:color w:val="auto"/>
                <w:vertAlign w:val="superscript"/>
              </w:rPr>
              <w:t>(1)</w:t>
            </w:r>
          </w:p>
        </w:tc>
        <w:tc>
          <w:tcPr>
            <w:tcW w:w="3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346,250</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431,325</w:t>
            </w:r>
          </w:p>
        </w:tc>
      </w:tr>
      <w:tr>
        <w:trPr>
          <w:trHeight w:val="270"/>
        </w:trPr>
        <w:tc>
          <w:tcPr>
            <w:tcW w:w="5040" w:type="dxa"/>
            <w:vAlign w:val="bottom"/>
          </w:tcPr>
          <w:p>
            <w:pPr>
              <w:spacing w:after="0" w:line="269" w:lineRule="exact"/>
              <w:rPr>
                <w:sz w:val="20"/>
                <w:szCs w:val="20"/>
                <w:color w:val="auto"/>
              </w:rPr>
            </w:pPr>
            <w:r>
              <w:rPr>
                <w:rFonts w:ascii="Arial" w:cs="Arial" w:eastAsia="Arial" w:hAnsi="Arial"/>
                <w:sz w:val="18"/>
                <w:szCs w:val="18"/>
                <w:color w:val="auto"/>
              </w:rPr>
              <w:t>Audit-related fees</w:t>
            </w:r>
            <w:r>
              <w:rPr>
                <w:rFonts w:ascii="Arial" w:cs="Arial" w:eastAsia="Arial" w:hAnsi="Arial"/>
                <w:sz w:val="30"/>
                <w:szCs w:val="30"/>
                <w:color w:val="auto"/>
                <w:vertAlign w:val="superscript"/>
              </w:rPr>
              <w:t>(2)</w:t>
            </w:r>
          </w:p>
        </w:tc>
        <w:tc>
          <w:tcPr>
            <w:tcW w:w="3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103,800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25,450</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456,775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60" w:hanging="652"/>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Audit-related fees includes fees for benefit plan audits and lease compliance audits.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Pre-Approval Policies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with SEC policies and guidelines regarding auditor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has pre-approved all of the services provided by our independent registered public accounting firms in 2018 and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affirmative vote of the holders of a majority of the shares of Common Stock, Series D Preferred Stock voting on an as-converted basis and Series E Preferred Stock voting on an as-converted basis present and entitled to vote on the matter either in person or by proxy at the annual meeting is required to ratify the appointment of CohnReznick LLP as our independent registered public accounting firm for the fiscal year ending December 31, 2019.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CohnReznick LLP as our independent registered public accounting firm for 2019, our Audit Committee of our Board of Directors will reconsider its selection.</w:t>
      </w:r>
    </w:p>
    <w:p>
      <w:pPr>
        <w:spacing w:after="0" w:line="18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THE BOARD OF DIRECTORS RECOMMENDS A VOTE TO RATIFY THE APPOINTMENT OF COHNREZNICK LLP AS OUR INDEPENDENT REGISTERED PUBLIC ACCOUNTING FIRM, AND PROXIES SOLICITED BY THE BOARD OF DIRECTORS WILL BE VOTED IN FAVOR OF SUCH RATIFICATION UNLESS A STOCKHOLDER INDICATES OTHERWISE ON THE PROXY.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center"/>
        <w:ind w:left="260" w:right="120"/>
        <w:spacing w:after="0" w:line="282" w:lineRule="auto"/>
        <w:rPr>
          <w:sz w:val="20"/>
          <w:szCs w:val="20"/>
          <w:color w:val="auto"/>
        </w:rPr>
      </w:pPr>
      <w:r>
        <w:rPr>
          <w:rFonts w:ascii="Arial" w:cs="Arial" w:eastAsia="Arial" w:hAnsi="Arial"/>
          <w:sz w:val="18"/>
          <w:szCs w:val="18"/>
          <w:b w:val="1"/>
          <w:bCs w:val="1"/>
          <w:color w:val="auto"/>
        </w:rPr>
        <w:t>PROPOSAL 3: TO AUTHORIZE, FOR PURPOSES OF COMPLYING WITH NASDAQ LISTING RULES 5635(a), 5635(b) AND 5635(d), THE ISSUANCE OF SHARES OF OUR COMMON STOCK UNDERLYING THE INSTRUMENTS DESCRIBED HEREIN.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Item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and Description of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8, 2019, we entered into certain financing transactions which we refer to as the Palladium Transaction, the Calm Transaction, the B3D Transaction and the Series D Transaction (each as defined below, and collectively, the “Financing Transaction”). In connection with the Financing Transaction, we agreed to seek approval of our stockholders of the provisions outlined below under the subheadings “Palladium Transaction,” “Calm Transaction,” “B3D Transaction” and “Series D Transaction,” with the recommendation of our Board of Directors that such proposal be approved.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Palladium Transaction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8, 2019, we entered into an amendment (the “May 2018 SPA Amendment”) to that certain Securities Purchase Agreement, dated as of May 15, 2018, by and between us and the purchasers party thereto (the “May 2018 SPA”), to provide for, among other provisions, the amendment to certain provisions of the previously issued Class A Warrants issued pursuant to the May 2018 SPA and the establishment and issuance of a new class of preferred stock, designated Series F Convertible Preferred Stock, par value $0.01 per share (the “Series F Preferred Stock”) (collectively, the “Palladium Transaction”).</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Palladium Transaction, we agreed to seek approval of our stockholders of (i) with respect to our Class A Warrants, a reduction in the exercise price to $2.00 per share, the removal of the conversion price floor and the inclusion of a provision allowing for voluntary reduction of the exercise price by our Board of Directors at any time in its discretion and (ii) a provision allowing for the conversion of the Series F Preferred Stock into shares of Common Stock, at the option of the holder at an initial conversion price of $2.00 per share and the anti-dilution price protection contained therein. Our Board of Directors recommends that such proposal be approved.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Calm Transaction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8, 2019, we entered into a securities purchase agreement (the “Calm Purchase Agreement”) with Calm.com, Inc. (“Calm”) pursuant to which we agreed to sell (i) an aggregate principal amount of $2,500,000 in 5.00% unsecured convertible notes due 2022 (the “Calm Notes”), which are convertible into shares of Series E Convertible Preferred Stock (the “Series E Preferred Stock”) and (ii) warrants to purchase 937,500 shares of Common Stock at an exercise price of $2.00 per share (the “Calm Warrants”) (collectively, the “Calm Transaction”).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Calm Transaction, we agreed to seek approval of our stockholders of (i) with respect to the Calm Notes, the inclusion of anti-dilution price protection and the inclusion of a provision allowing for voluntary reduction of the conversion price by our Board of Directors at any time in its discretion, (ii) with respect to the Calm Warrants, the inclusion of anti-dilution price protection and the inclusion of a provision allowing for voluntary reduction of the exercise price by our Board of Directors at any time in its discretion and (iii) the reduction of the conversion price of the Series E Preferred Stock to $2.00 per share. Our Board of Directors recommends that such proposal be approved.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B3D Transaction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8, 2019, we entered into a fourth amendment (the “Credit Agreement Amendment”) to our existing Credit Agreement with B3D, LLC (“B3D”) in order to, among other provisions, (i) extend the maturity date to May 31, 2021, (ii) reduce the applicable interest rate to 9.0%, and (iii) amend and restate our existing convertible promissory note (the “B3D Note”) in order to increase the principal amount owed to B3D to $7.0 million, which principal and any interest accrued or other amounts payable thereon will, subject to the approval of our stockholders, be convertible at B3D’s option into Common Stock at an initial conversion price of $2.00 per share (collectively, the “B3D Transaction”).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B3D transaction, we agreed to seek approval of our stockholders of the conversion of the B3D Note into Common Stock and the payment by us of principal, interest and/or other amounts payable thereon in shares of Common Stock, the inclusion of anti-dilution price protection and the provision allowing for voluntary reduction of the conversion price by our Board of Directors at any time in its discretion. Our Board of Directors recommends that such proposal be approved.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Transaction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8, 2019, we (i) amended our Certificate of Designation of Preferences, Rights and Limitations of Series D Convertible Preferred Stock, par value $0.01 per share (the “Series D Preferred Stock”) to reduce the conversion price to $2.00 per share, subject to the approval of our stockholders (the “Series D COD Amendment”) and (ii) entered into an amendment (the “December 2016 Warrant Amendment”) to certain outstanding warrants issued in December 2016 (the “December 2016 Warrants”) to the holders of the Series D Preferred Stock to provide for (a) a reduction in the exercise price to $2.00 per share, (b) certain anti-dilution price protection and (c) the inclusion of a provision allowing for voluntary reduction of the exercise price by our Board of Directors at any time in its discretion, in each case subject to the approval of our stockholders (collectively, the “Series D Transaction”).</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Series D Transaction, we agreed to seek approval of our stockholders of (i) with respect to the Series D Preferred Stock, the reduction of the conversion price of the Series D Preferred Stock to $2.00 per share and (ii) with respect to the December 2016 Warrant Amendment, (a) the reduction in the exercise price to $2.00 per share, (b) the inclusion of anti-dilution price protection and (c) the inclusion of a provision allowing for voluntary reduction of the exercise price by our Board of Directors at any time in its discretion. Our Board of Directors recommends that such proposal be approved.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Reasons for the Common Stock Financing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Need for Additional Funds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March 31, 2019, our cash balance was approximately $2.9 million. In May 2019, our Board of Directors determined that it was necessary to raise additional funds to support our continuing operations and to provide working capital for general corporate purposes, as well as to make required payments on our 5% Secured Convertible Notes due on November 17, 2019 (the “Secured Convertible Notes”). On June 27, 2019, we entered into a third amendment to our Secured Convertible Notes, pursuant to which the holders agreed to voluntarily convert all outstanding principal and interest on the Secured Convertible Notes at a reduced conversion price and to waive all existing defaults under the Secured Convertibles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Remedy of Potential Events of Default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report of our independent registered public accounting firm on our financial statements for the years ended December 31, 2018 and 2017 included an explanatory paragraph indicating that there is substantial doubt about our ability to continue as a going concern. This note resulted in a violation of certain covenants made by XpresSpa Holdings, LLC under Section 6.01(a) of the Credit Agreement with B3D, which, among other things, entitled B3D to declare an event of default under the Credit Agreement and B3D Note. In connection with the Financing Transaction, B3D agreed to waive this potential event of default, in addition to any cross defaults pursuant to the Secured Convertible Notes.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18"/>
          <w:szCs w:val="18"/>
          <w:color w:val="auto"/>
        </w:rPr>
        <w:t>We believe that the Financing Transaction, which yielded gross proceeds of approximately $2.5 million, was necessary in light of the Company’s cash balance and funding requirements at the time. We also believe that the anti-dilution protections, the inclusion of provisions allowing for voluntary adjustment and other provisions of that nature contained in the financing instruments were reasonable in light of market conditions and the size and type of the Financing Transaction, and that we would not have been able to complete the Financing Transaction unless such provisions were offered. In addition, at the time of the Financing Transaction, our Board of Directors considered numerous other alternatives to the transaction, none of which proved to be feasible or, in the opinion of our Board of Directors, would have resulted in aggregate terms equivalent to, or more favorable than, the terms obtained in the Financing Transaction.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the Financing Transaction Documents in connection with the Palladium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2018 SPA Amendment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8, 2019, we entered into the May 2018 SPA Amendment to provide for, among other provisions, (i) an update to certain definitions, including the definition of an “Exempt Issuance,” (ii) the waiver of certain provisions regarding restrictions on subsequent equity sales and participation in subsequent financings and the removal of certain such provisions upon receipt of shareholder approval, (iii) the amendment to certain provisions of our previously issued Class A Warrants to modify certain provisions in connection with a Notice Failure (as such term is defined in the Class A Warrants) and to reduce the exercise price of the Class A Warrants issuable pursuant to anti-dilution price protection contained in such Class A Warrants to $2.00 per share following receipt of shareholder approval, (iv) the cancellation of all outstanding Class B Warrants and (v) the establishment of a new class of preferred stock pursuant to a Certificate of Designation of Preferences, Rights and Limitations of Series F Convertible Preferred Stock (the “Series F COD”) and the issuance of 9,000 shares of such Series F Convertible Preferred Stock, par value $0.01 per share (the “Series F Preferred Stock”) to the parties to the May 2018 SPA Amendment, which will be convertible into Common Stock upon receipt of shareholder approval.</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Each of the removal of the conversion floor price and the inclusion of a provision allowing for voluntary reduction of the exercise price by our Board of Directors at any time in its discretion may in the future result in the downward adjustment of the exercise price. The reduction in the exercise price of the Class A Warrants, anti-dilution provision and the voluntary adjustment provision of the Class A Warrants will not be effective until stockholder approval is obtained. If we obtain stockholder approval of this Proposal 3, the exercise price of the Class A Warrants will be adjusted to $2.00 per share and may be further adjusted upon a dilutive issuance or by the Board of Directors at any time in its discretion.</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conversion of the Series F Preferred Stock into shares of Common Stock at an initial conversion price of $2.00 per share will result in the issuance of additional shares of Common Stock. In addition, except in the case of issuances of certain excluded securities, and subject to the approval of our stockholders, the Series F Preferred Stock is subject to anti-dilution protection in the event we issue additional Common Stock, options or Common Stock equivalents at a price per share less than the conversion price in effect. If we issue Common Stock, options or Common Stock equivalents at a price less than the conversion price of the Series F Preferred Stock, subject to certain customary exceptions, the conversion price of the Series F Preferred Stock will be reduced to that lower price. Therefore, the anti-dilution provision in the Series F Preferred Stock may result in the downward adjustment of the conversion price of the Series F Preferred Stock. The conversion of the Series F Preferred Stock into Common Stock and the anti-dilution provision of the Series F Preferred Stock will not be effective until stockholder approval is obtained. If we obtain stockholder approval of this Proposal 3, the Series F Preferred Stock will become convertible into Common Stock and the conversion price of may be adjusted upon a dilutive issuance.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the Financing Transaction Documents in connection with the Calm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Calm Purchase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Calm Notes and Calm Warrants were issued on July 8, 2019 (the “Closing”) pursuant to the terms of the Calm Purchase Agreement. The Calm Purchase Agreement provided for the sale of the Calm Notes and the Calm Warrants at the Closing for gross proceeds of $2,500,000.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Calm Purchase Agreement obligates us to indemnify Calm for certain losses including those resulting from (i) any misrepresentation or breach of any representation or warranty made by us, (ii) any breach of any obligation of ours, and (iii) certain claims by third parties.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spacing w:after="0" w:line="291" w:lineRule="auto"/>
        <w:rPr>
          <w:sz w:val="20"/>
          <w:szCs w:val="20"/>
          <w:color w:val="auto"/>
        </w:rPr>
      </w:pPr>
      <w:r>
        <w:rPr>
          <w:rFonts w:ascii="Arial" w:cs="Arial" w:eastAsia="Arial" w:hAnsi="Arial"/>
          <w:sz w:val="16"/>
          <w:szCs w:val="16"/>
          <w:color w:val="auto"/>
        </w:rPr>
        <w:t>The Calm Purchase Agreement contains representations and warranties of us and Calm which are typical for transactions of this type. In addition, the Calm Purchase Agreement contains customary covenants on our part that are typical for transactions of this type, as well as the following additional covenants:</w:t>
      </w:r>
    </w:p>
    <w:p>
      <w:pPr>
        <w:jc w:val="both"/>
        <w:ind w:firstLine="8"/>
        <w:spacing w:after="0" w:line="273" w:lineRule="auto"/>
        <w:tabs>
          <w:tab w:leader="none" w:pos="225"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until Calm holds less than 10% of the Calm Notes, we agreed not to enter into any variable rate transactions and (ii) we agreed to use our commercially reasonable efforts to hold a stockholder meeting within 120 days of the Closing at which we will solicit the stockholders’ affirmative vote for approval of our issuance of certain shares issuable upon conversion of the Calm Notes and the exercise of the Calm Warrants described in the transaction documents in accordance with the applicable law and rules and regulations of Nasdaq, to which this Proposal 3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Calm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Calm Notes were not issued with an original issue discount and are not subject to defeasance. The Calm Notes were issued in certificated form and not as global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Calm Notes are our unsecured subordinated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Calm Notes will mature on May 31, 2022, unless earlier converted or redeemed.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on the Calm Notes will accrue at 5% per annum on the principal amount of the Calm Notes. Interest on the Calm Notes is payable in arrears beginning on the last day of each February, May, August and November during the period beginning on the original issuance date and ending on, and including, the maturity date, with the first interest payment date being August 31, 2019. All amounts outstanding under the Calm Notes become due and payable in cash on the maturity date. We may elect to pay interest in cash, shares of our Series E Preferred Stock or a combination thereof (the amount to be paid in shares of Series E Preferred Stock, the “Interest Share Amount”). The Interest Share Amount will be determined by dividing the amount of interest on the subject payment date by the then applicable conversion price.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Calm elects to convert or redeem all or any portion of the Calm Notes prior to the maturity date, all accrued and unpaid interest on the amount being converted or redeemed will also be payable. If we elect to redeem all or any portion of the Calm Notes prior to the maturity date, all accrued and unpaid interest on the amount being redeemed will also be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amounts due under the Calm Notes are convertible at any time, in whole or in part, at the option of Calm into shares of our Series E Preferred Stock, which is itself convertible into shares of our Common Stock, at a conversion price which is subject to adjustment as described below, except that no shares of Series E Preferred Stock may be issued as payment of interest or in connection with anti-dilution protection or the voluntary reduction of the conversion price until receipt of shareholder approval. If Calm elects to convert all or any portion of the Calm Notes prior to the maturity date, all accrued and unpaid interest on the principal amount being converted will also be converted at the conversion price.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Calm Notes are convertible into shares of our Series E Preferred Stock at the conversion price of $3.10 per share. The conversion price is subject to adjustment for stock splits, combinations or similar events. If we fail to timely deliver Common Stock upon conversion of the Calm Notes, we have agreed to pay certain liquidated damages to Calm.</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spacing w:after="0" w:line="270" w:lineRule="auto"/>
        <w:rPr>
          <w:sz w:val="20"/>
          <w:szCs w:val="20"/>
          <w:color w:val="auto"/>
        </w:rPr>
      </w:pPr>
      <w:r>
        <w:rPr>
          <w:rFonts w:ascii="Arial" w:cs="Arial" w:eastAsia="Arial" w:hAnsi="Arial"/>
          <w:sz w:val="17"/>
          <w:szCs w:val="17"/>
          <w:color w:val="auto"/>
        </w:rPr>
        <w:t>In addition, the Calm Notes are subject to (i) anti-dilution protection in the event we issue additional Common Stock, options or Common Stock equivalents at a price per share less than the price at which the Calm Notes convert into shares of Series E Preferred Stock then in effect, except in the case of issuances of certain excluded securities and (ii) voluntary reduction of the conversion price by the Board of Directors at any time in its discretion. If we issue Common Stock, options or Common Stock equivalents at a price less than the price at which the Calm Notes convert into shares of Series E Preferred Stock then in effect, subject to certain customary exceptions, or if our Board of Directors elects to reduce the conversion price in its discretion, the conversion price of the Calm Notes will be reduced to that lower price. Therefore, the anti-dilution provision and the voluntary adjustment provision in the Calm Notes may result in the downward adjustment of the conversion price of the Calm Notes and result in a greater number of shares being issued pursuant to the Calm Notes. The anti-dilution provision and voluntary adjustment provision of the Calm Notes will not be effective until stockholder approval is obtained. If we obtain stockholder approval of this Proposal 3, the conversion price of the Calm Notes may be adjusted upon a dilutive issuance or by our Board of Directors at any time in its discretion.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closing of an offering of our Common Stock, preferred stock, other equity or debt, in one or more tranches upon which we receive gross cash proceeds of $10 million or more (a “Subsequent Financing”), we must offer to Calm the right to receive a portion of the net proceeds of such Subsequent Financing to be applied in satisfaction of up to 100% of Calm’s principal amount and accrued but unpaid interest designated by Calm.</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have the option of prepaying the outstanding principal amount of the Calm Notes, in whole or in part, in the event that the VWAP (as such term is defined in the Calm Notes) of our Common Stock is equal to or greater than 150% of the conversion price then in effect for at least 20 consecutive trading days, by paying to Calm a sum of money in cash equal to 110% of the principal amount to be redeemed, together with accrued but unpaid interest thereon, if any, and any and all other sums due, accrued or payable.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 of Default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any event of default or a fundamental transaction or a change of control transaction occurs, the outstanding principal amount of the Calm Notes, liquidated damages and other amounts owing in respect thereof through the date of acceleration, shall become, at Calm’s election, immediately due and payable in cash at the sum of (a) the greater of (i) the outstanding principal amount of the Calm Notes divided by the conversion price on the date the Mandatory Default Amount (as defined below) is either (A) demanded (if demand or notice is required to create an event of default) or otherwise due or (B) paid in full, whichever has a lower conversion price, multiplied by the VWAP on the date the Mandatory Default Amount is either (x) demanded (if demand or notice is required to create an event of default) or otherwise due or (y) paid in full, whichever has a higher VWAP, or (ii) 120% of the outstanding principal amount of the Calm Notes and (b) all other amounts, costs, expenses and liquidated damages due in respect of the Calm Notes (the “Mandatory Default Amount”). Commencing on the maturity date and also five (5) days after the occurrence of any event of default, interest on the Calm Notes shall accrue at an interest rate equal to the lesser of 18% per annum or the maximum rate permitted under applicable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Fundamental Transactions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Calm Notes prohibit us from entering into specified transactions involving a change of control, unless the successor entity assumes in writing all of our obligations under the Calm Notes under a written agreement.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of transactions involving a change of control, Calm will have the right to receive, for each conversion share that would have been issuable upon such conversion immediately prior to the occurrence of such fundamental transaction, the number of shares of Common Stock of the successor or acquiring corporation or of us, if we are the surviving corporation, and any additional consideration (the “Alternate Consideration”) receivable as a result of such fundamental transaction by a holder of the number of shares of Common Stock underlying the shares of Series E Preferred Stock into which the Calm Notes are convertible immediately prior to such fundamental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Calm 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Closing Date, we issued to Calm warrants to purchase 937,500 shares of Common Stock, at an exercise price of $2.00 per share (the “Calm Warrants”). The Calm Warrants are exercisable beginning six months from the date of issuance and have a term of five years.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t>The Calm Warrants may be exercised for cash, provided that, if there is no effective registration statement available registering the exercise of the Calm Warrants, the Calm Warrants may be exercised on a cashless basis. The exercise price of the Calm Warrants is subject to adjustment for stock splits, combinations or similar events. Similar to the Calm Notes, the Calm Warrants require “buy-in” payments to be made by us for failure to deliver the shares of Common Stock issuable upon exercise.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Calm Warrants are subject to (i) “full-ratchet” anti-dilution protection in the event we issue additional Common Stock, options or Common Stock equivalents at a price per share less than the exercise price in effect, except in the case of issuances of certain excluded securities and (ii) voluntary reduction of the exercise price by the Board of Directors at any time in its discretion. If we issue Common Stock, options or Common Stock equivalents at a price less than the exercise price of the Calm Warrants, subject to certain customary exceptions, the exercise price of the Calm Warrants will be reduced to that lower price and the number of shares issuable pursuant to the Calm Warrants will be increased such that the exercise price payable pursuant to the Calm Warrants, after taking into account the decrease in the exercise price, shall be equal to the aggregate exercise price prior to such adjustment. If our Board of Directors elects to reduce the exercise price in its discretion, the exercise price of the Calm Warrants will be reduced to that lower price. Therefore, the “full-ratchet” anti-dilution provision and the voluntary adjustment provision in the Calm Warrants may result in the downward adjustment of the exercise price of the Calm Warrants and result in a greater number of shares being issued pursuant to the Calm Warrants. The anti-dilution provision and the voluntary adjustment provision of the Calm Warrants will not be effective until stockholder approval is obtained. If we obtain stockholder approval of this Proposal 3, the exercise price of the Calm Warrants and the number of shares to be issued upon exercise of the Calm Warrants may be adjusted upon a dilutive issuance or by our Board of Directors at any time in its discretion.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Certificate of Designation of Series E Convertible Preferred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8, 2019, we filed a certificate of amendment to the Certificate of Designation of Preferences, Rights and Limitations of Series E Convertible Preferred Stock (the “Series E COD Amendment”) with the State of Delaware to (i) increase the number of authorized shares of Series E Preferred Stock to 2,397,060 and (ii) upon receipt of shareholder approval, reduce the conversion price to $2.00 share.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reduction of the conversion price to $2.00 per share will result in the issuance of additional shares of Common Stock. If we obtain stockholder approval of this Proposal 3, the exercise price of the Series E Preferred Stock will be reduced to $2.00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the Financing Transaction Documents in connection with the B3D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Amendment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8, 2019, we entered into the Credit Agreement Amendment with B3D in order to, among other provisions, (i) extend the maturity date to May 31, 2021, (ii) reduce the applicable interest rate to 9.0% and (iii) amend and restate our existing convertible promissory note (the “B3D Note”) in order to increase the principal amount owed to B3D to $7.0 million, which principal and any interest accrued thereon will, subject to the approval of our stockholders, be convertible at B3D’s option into Common Stock. The B3D Note was issued on July 8, 2019 pursuant to the terms of the Credit Agreement Amendment.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B3D Note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B3D Note was not issued with an original issue discount and is not subject to defeasance. The B3D Note was issued in certificated form and not as global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B3D Note is our senior secured obligation and is secured by certain of our personal property, pursuant to a security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B3D Note will mature on May 31, 2021 unless earlier converted or redeemed.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on the B3D Note will accrue at 5% per annum on the principal amount of the B3D Note. Interest on the B3D Note is payable in arrears on the last business day of each month. Notwithstanding the foregoing, from the Closing Date until the earlier of (i) October 7, 2019 or (ii) the date on which shareholder approval is received (the “Interest Deferment Date”), monthly interest shall continue to accrue, shall be compounded monthly and all unpaid amounts shall be due and payable on the Interest Deferment Date. All amounts outstanding under the B3D Note become due and payable at maturity. We may elect to pay interest in cash, shares of our Common Stock or a combination thereof (the amount to be paid in shares of Common Stock, the “Interest Share Amount”). The Interest Share Amount will be determined by dividing the amount of interest on the subject payment date by the then applicable conversion price. Notwithstanding the foregoing, we must make all interest payments in cash until receipt of shareholder approval.</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B3D elects to convert or redeem all or any portion of the B3D Note prior to the maturity date, all accrued and unpaid interest on the amount being converted or redeemed will also be payable. If we elect to redeem all or any portion of a B3D Note prior to the maturity date, all accrued and unpaid interest on the amount being redeemed will also be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Following receipt of shareholder approval, all amounts due under the B3D Note are convertible at any time, in whole or in part, at the option of B3D into shares of our Common Stock at a conversion price which is subject to adjustment as described below. If B3D elects to convert all or any portion of the B3D Note prior to the maturity date, all accrued and unpaid interest on the principal amount being converted will also be converted at the conversion price.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approval by our stockholders, the B3D Note will initially be convertible into shares of Common Stock at a conversion price equal to $2.00 per share of Common Stock. The conversion price is subject to adjustment for stock splits, combinations or similar events. If we fail to timely deliver Common Stock upon conversion of the B3D Note, we have agreed to pay certain liquidated damages to B3D.</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conversion of the principal, interest and any other amounts payable pursuant to the B3D Note will result in the issuance of additional shares of Common Stock. In addition, the B3D Note is subject to (i) anti-dilution protection in the event we issue additional Common Stock, options or Common Stock equivalents at a price per share less than the conversion price in effect, except in the case of issuances of certain excluded securities and (ii) voluntary reduction of the conversion price by the Board of Directors at any time in its discretion. If we issue Common Stock, options or Common Stock equivalents at a price less than the conversion price of the B3D Note, subject to certain customary exceptions, or if our Board of Directors elects to reduce the conversion price in its discretion, the conversion price of the B3D Note will be reduced to that lower price. Therefore, the anti-dilution provision and voluntary adjustment provision in the B3D Note may result in the downward adjustment of the conversion price of the B3D Note and result in a greater number of shares being issued pursuant to the B3D Note. This conversion of the B3D Note into shares of Common Stock and the anti-dilution provision and voluntary adjustment provision of the B3D Note will not be effective until stockholder approval is obtained. If we obtain stockholder approval of this Proposal 3, we may make payments of principal, interest and any other amounts payable pursuant to the B3D Note in shares of Common Stock and the conversion price of the B3D Note and may be adjusted upon a dilutive issuance or by our Board of Directors at any time in its discretion.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may prepay the B3D Note at our option in full or in part at any time and from time to time by notifying B3D in writing not later than the date of such prepayment specifying the principal amount of the B3D Note to be prepaid and the date of prepayment. In the event we prepay the B3D Note in full before the date that is fifteen business days prior to the maturity date, the we must pay a premium equal to the greater of (i) four percent (4%) or (ii) the Black Scholes Value (as defined in the B3D Note) of the outstanding principal amount subject to such prepayment. Simultaneously with each prepayment of the B3D Note, we must prepay all accrued and unpaid interest on the amount prepaid through the date of prepayment.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Event of Default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Upon the occurrence of an event of default or at any time thereafter during the continuance thereof, (a) if such event relates to certain bankruptcy proceedings as described in the Credit Agreement Amendment, (i) the B3D Note, all accrued and unpaid interest thereon and all other amounts owing under the B3D loan documents shall immediately become due and payable, (ii) the B3D commitment shall immediately terminate and (iii) B3D may exercise any and all remedies and other rights provided in the loan documents, and (b) if such event is any other event of default, any or all of the following actions may be taken:</w:t>
      </w:r>
    </w:p>
    <w:p>
      <w:pPr>
        <w:spacing w:after="0" w:line="2" w:lineRule="exact"/>
        <w:rPr>
          <w:sz w:val="20"/>
          <w:szCs w:val="20"/>
          <w:color w:val="auto"/>
        </w:rPr>
      </w:pPr>
    </w:p>
    <w:p>
      <w:pPr>
        <w:jc w:val="both"/>
        <w:ind w:firstLine="8"/>
        <w:spacing w:after="0" w:line="281" w:lineRule="auto"/>
        <w:tabs>
          <w:tab w:leader="none" w:pos="221" w:val="left"/>
        </w:tabs>
        <w:numPr>
          <w:ilvl w:val="0"/>
          <w:numId w:val="32"/>
        </w:numPr>
        <w:rPr>
          <w:rFonts w:ascii="Arial" w:cs="Arial" w:eastAsia="Arial" w:hAnsi="Arial"/>
          <w:sz w:val="16"/>
          <w:szCs w:val="16"/>
          <w:color w:val="auto"/>
        </w:rPr>
      </w:pPr>
      <w:r>
        <w:rPr>
          <w:rFonts w:ascii="Arial" w:cs="Arial" w:eastAsia="Arial" w:hAnsi="Arial"/>
          <w:sz w:val="16"/>
          <w:szCs w:val="16"/>
          <w:color w:val="auto"/>
        </w:rPr>
        <w:t>B3D may by notice to us, (x) declare the B3D Note, all accrued and unpaid interest thereon and all other amounts owing under any loan documents to be due and payable, whereupon the same shall immediately become due and payable, and (y) declare the B3D commitment to be immediately terminated, and</w:t>
      </w:r>
    </w:p>
    <w:p>
      <w:pPr>
        <w:spacing w:after="0" w:line="1" w:lineRule="exact"/>
        <w:rPr>
          <w:rFonts w:ascii="Arial" w:cs="Arial" w:eastAsia="Arial" w:hAnsi="Arial"/>
          <w:sz w:val="16"/>
          <w:szCs w:val="16"/>
          <w:color w:val="auto"/>
        </w:rPr>
      </w:pPr>
    </w:p>
    <w:p>
      <w:pPr>
        <w:ind w:firstLine="8"/>
        <w:spacing w:after="0" w:line="261" w:lineRule="auto"/>
        <w:tabs>
          <w:tab w:leader="none" w:pos="27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B3D may exercise any and all remedies and other rights provided in the loan documents, presentment, demand, protest and all other notices of any kind being in each case hereby expressly waived by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Fundamental Transactions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B3D Note prohibits us from entering into specified transactions involving a change of control, unless the successor entity assumes in writing all of our obligations under the B3D Note under a written agreement.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event of transactions involving a change of control, B3D will have the right to receive, for each conversion share that would have been issuable upon such conversion immediately prior to the occurrence of such fundamental transaction, the number of shares of Common Stock of the successor or acquiring corporation or of us, if we are the surviving corporation, and any additional consideration receivable as a result of such fundamental transaction by a holder of the number of shares of Common Stock for which the B3D Note is convertible immediately prior to such fundamental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the Financing Transaction Documents in connection with the Series D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Certificate of Designation of Series D Convertible Preferred Stock and December 2016 Warrant Amendment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8, 2019, we filed a certificate of amendment (the “Series D COD Amendment”) to the Certificate of Designation of Series D Convertible Preferred Stock with the State of Delaware to, upon receipt of shareholder approval, reduce the conversion price of the Series D Preferred Stock to $2.00 and provide for automatic conversion of the Series D Preferred Stock into shares of Common Stock. Also on July 8, 2019, we entered into an amendment to certain outstanding warrants issued in December 2016 (the “December 2016 Warrants”) to the holders of our Series D Preferred Stock to provide for (i) a reduction in the exercise price to $2.00, (ii) certain anti-dilution price protection and (iii) the inclusion of a provision allowing for voluntary reduction of the exercise price by the Board of Directors at any time in its discretion. Upon receipt of shareholder approval, the Series D Preferred Stock will convert automatically into shares of Common Stock at a conversion price of $2.00 per share.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reduction of the conversion price of the Series D Preferred Stock to $2.00 per share will result in the issuance of additional shares of Common Stock. In addition, the December 2016 Warrants are subject to (i) “full-ratchet” anti-dilution protection in the event we issue additional Common Stock, options or Common Stock equivalents at a price per share less than the exercise price in effect, except in the case of issuances of certain excluded securities and (ii) voluntary reduction of the exercise price by the Board of Directors at any time in its discretion. If we issue Common Stock, options or Common Stock equivalents at a price less than the exercise price of the December 2016 Warrants, subject to certain customary exceptions, or if our Board of Directors elects to reduce the exercise price in its discretion, the exercise price of the December 2016 Warrants will be reduced to that lower price. Therefore, the “full-ratchet” anti-dilution provision and voluntary adjustment provision in the December 2016 Warrants may result in the downward adjustment of the exercise price of the December 2016 Warrants and result in a greater number of shares being issued pursuant to the December 2016 Warrants. The reduction in conversion price of the Series D Preferred Stock and the anti-dilution provision and voluntary adjustment provision of the December 2016 Warrants will not be effective until stockholder approval is obtained. If we obtain stockholder approval of this Proposal 3, the exercise price of the Series D Preferred Stock will be reduced to $2.00 per share and the Series D Preferred Stock will convert automatically into shares of Common Stock at a conversion price of $2.00 per share, resulting in the issuance of 12,070,609 shares of Common Stock, and the exercise price of the December 2016 Warrants will be reduced to $2.00 per share and may be adjusted upon a dilutive issuance or by our Board of Directors at any time in its discretion.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Effect of Issuance of Securities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potential issuance of (i) 450,000 shares of Common Stock underlying the Series F Preferred Stock, plus the potential issuance of additional shares of Common Stock pursuant to the anti-dilution price protection contained therein, (ii) an additional 357,862 shares of Common Stock issuable upon the reduction of the exercise price of the Class A Warrants to $2.00 per share, plus the potential issuance of additional shares of Common Stock pursuant to the removal of the conversion price floor and/or the anti-dilution price protection and voluntary adjustment provisions contained therein, (iii) 1,445,816 shares of Common Stock underlying the Series E Preferred Stock issuable in connection with the Calm Note at a conversion price of $2.00 per share, plus the potential issuance of additional shares of Common Stock pursuant to the anti-dilution price protection and voluntary adjustment provisions contained in the Calm Note,</w:t>
      </w:r>
    </w:p>
    <w:p>
      <w:pPr>
        <w:spacing w:after="0" w:line="5" w:lineRule="exact"/>
        <w:rPr>
          <w:sz w:val="20"/>
          <w:szCs w:val="20"/>
          <w:color w:val="auto"/>
        </w:rPr>
      </w:pPr>
    </w:p>
    <w:p>
      <w:pPr>
        <w:jc w:val="both"/>
        <w:ind w:firstLine="8"/>
        <w:spacing w:after="0" w:line="285" w:lineRule="auto"/>
        <w:tabs>
          <w:tab w:leader="none" w:pos="311" w:val="left"/>
        </w:tabs>
        <w:numPr>
          <w:ilvl w:val="0"/>
          <w:numId w:val="33"/>
        </w:numPr>
        <w:rPr>
          <w:rFonts w:ascii="Arial" w:cs="Arial" w:eastAsia="Arial" w:hAnsi="Arial"/>
          <w:sz w:val="16"/>
          <w:szCs w:val="16"/>
          <w:color w:val="auto"/>
        </w:rPr>
      </w:pPr>
      <w:r>
        <w:rPr>
          <w:rFonts w:ascii="Arial" w:cs="Arial" w:eastAsia="Arial" w:hAnsi="Arial"/>
          <w:sz w:val="16"/>
          <w:szCs w:val="16"/>
          <w:color w:val="auto"/>
        </w:rPr>
        <w:t>937,500 shares of Common Stock underlying the Calm Warrants, plus the potential issuance of additional shares of Common Stock pursuant to the anti-dilution price protection and voluntary adjustment provisions contained therein, (v) 4,156,275 shares of Common Stock issuable in connection with the B3D Note, plus the potential issuance of additional shares of Common Stock pursuant to the anti-dilution price protection and voluntary adjustment provisions contained therein, (vi) an additional 8,047,073 shares of Common Stock issuable upon the reduction of the conversion price of the Series D Preferred Stock to $2.00 per share, (vii) an additional 125,000 shares of Common Stock issuable upon the reduction of the exercise price of the December 2016 Warrants to $2.00 per share, plus the potential issuance of additional shares of Common Stock pursuant to the anti-dilution price protection and voluntary adjustment provisions contained therein, in each case, that are the subject of this Proposal 3, would result in an increase in the number of shares of Common Stock outstanding, and our stockholders will incur dilution of their percentage ownership to the extent that the investors convert their notes or preferred stock or exercise their warrants, or additional shares of Common Stock are issued as payment of principal or interest on the notes, pursuant to the anti-dilution terms or upon the voluntary adjustment by our Board of Directors of any notes, preferred stock or warrants. Because of potential adjustments to the number of shares of Common Stock issuable in connection with the Financing Transaction, the exact magnitude of the dilutive effect of the Financing Transaction cannot be conclusively determined. However, the dilutive effect may be material to our current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to Approve Financing Transaction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Nasdaq Listing Rule 5635(d) generally requires us to obtain stockholder approval prior to issuing more than 20% of our outstanding shares of Common Stock in connection with a transaction other than a public offering involving (i) the sale, issuance or potential issuance by us of our Common Stock (or securities convertible into or exercisable for our Common Stock) at a price less than the lesser of (x) the closing price of our Common Stock immediately preceding execution of the binding agreements and (y) the average closing price of our Common Stock for the five trading days immediately preceding execution of the binding agreements, which equals 20% or more of Common Stock or 20% or more of the voting power outstanding before the issuance; or (ii) the sale, issuance or potential issuance by us of our Common Stock (or securities convertible into or exercisable for our Common Stock) equal to 20% or more of the Common Stock or 20% or more of the voting power outstanding before the issuance for less than the lesser of (x) the closing price of our Common Stock immediately preceding execution of the binding agreements and (y) the average closing price of our Common Stock for the five trading days immediately preceding execution of the binding agreements. We are seeking the approval of our stockholders pursuant to Nasdaq Listing Rule 5635(d) with respect to issuances involving our Class A Warrants, Series F Preferred Stock, Calm Note, Calm Warrant, Series E COD Amendment and B3D Note.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both"/>
        <w:spacing w:after="0" w:line="285" w:lineRule="auto"/>
        <w:rPr>
          <w:sz w:val="20"/>
          <w:szCs w:val="20"/>
          <w:color w:val="auto"/>
        </w:rPr>
      </w:pPr>
      <w:r>
        <w:rPr>
          <w:rFonts w:ascii="Arial" w:cs="Arial" w:eastAsia="Arial" w:hAnsi="Arial"/>
          <w:sz w:val="16"/>
          <w:szCs w:val="16"/>
          <w:color w:val="auto"/>
        </w:rPr>
        <w:t>Nasdaq Listing Rule 5635(a) generally requires us to obtain stockholder approval prior to issuing more than 20% of our outstanding shares of Common Stock in connection with the acquisition of stock of assets of another company involving (i) the sale, issuance or potential issuance by us of our Common Stock (or securities convertible into or exercisable for our Common Stock) at a price less than the lesser of (x) the closing price of our Common Stock immediately preceding execution of the binding agreements and (y) the average closing price of our Common Stock for the five trading days immediately preceding execution of the binding agreements, which equals 20% or more of Common Stock or 20% or more of the voting power outstanding before the issuance; or</w:t>
      </w:r>
    </w:p>
    <w:p>
      <w:pPr>
        <w:spacing w:after="0" w:line="2" w:lineRule="exact"/>
        <w:rPr>
          <w:sz w:val="20"/>
          <w:szCs w:val="20"/>
          <w:color w:val="auto"/>
        </w:rPr>
      </w:pPr>
    </w:p>
    <w:p>
      <w:pPr>
        <w:jc w:val="both"/>
        <w:ind w:firstLine="8"/>
        <w:spacing w:after="0" w:line="270" w:lineRule="auto"/>
        <w:tabs>
          <w:tab w:leader="none" w:pos="27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sale, issuance or potential issuance by us of our Common Stock (or securities convertible into or exercisable for our Common Stock) equal to 20% or more of the Common Stock or 20% or more of the voting power outstanding before the issuance for less than the lesser of (x) the closing price of our Common Stock immediately preceding execution of the binding agreements and (y) the average closing price of our Common Stock for the five trading days immediately preceding execution of the binding agreements. Because the Series D Preferred Stock and December 2016 Warrants were originally issued in connection with our acquisition of XpresSpa Holdings, LLC, we are seeking the approval of our stockholders pursuant to Nasdaq Listing Rule 5635(a) with respect to issuances involving our Series D Preferred Stock and December 2016 Warrants.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Nasdaq Listing Rule 5635(b) generally requires us to obtain stockholder approval prior to the issuance of securities when the issuance or potential issuance will result in a change of control, which may be deemed to occur when an investor would own or have the right to acquire 20% or more of the outstanding shares of common stock or voting power and such ownership or voting power would be the largest ownership position of the issuer. Following the approval by our stockholders of Proposal 3, Mistral Spa Holdings, LLC may have the right to acquire a number of shares of our Common Stock in excess of 20% of our outstanding shares. We are therefore seeking the approval of our stockholders pursuant to Nasdaq Listing Rule 5635(b) with respect to issuances in connection with the Financing Transaction.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case of the Financing Transaction, the 20% threshold is determined based on the shares of our Common Stock outstanding immediately preceding the Financing Transaction, the transaction documents in connection with which were signed on July 8, 2019. We are permitted to issue up to 523,232 shares of our Common Stock without obtaining stockholder approval under Nasdaq Listing Rule 5635(a) or Nasdaq Listing Rule 5635(d). Under Nasdaq Listing Rule 5635(b), without obtaining stockholder approval, we are permitted to issue a number of shares to a given investor such that, when added to that investor’s existing shares, such investor owns or has the right to acquire no more than 523,232 shares of our Common Stock, assuming such investor also holds ownership or voting power that represents our largest ownership position.</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Warrants to purchase Common Stock may be excluded from the calculation if they are not exercisable for at least six months and if they have a per share exercise price equal to or greater than the lesser of (i) the closing price of our Common Stock immediately preceding execution of the binding agreements and</w:t>
      </w:r>
    </w:p>
    <w:p>
      <w:pPr>
        <w:jc w:val="both"/>
        <w:ind w:firstLine="8"/>
        <w:spacing w:after="0" w:line="251" w:lineRule="auto"/>
        <w:tabs>
          <w:tab w:leader="none" w:pos="2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average closing price of our Common Stock for the five trading days immediately preceding execution of the binding agreements. In the Calm Transaction, the $2.00 initial exercise price of the Calm Warrants was equal to or greater than the closing price of our Common Stock on the relevant date, and the Calm Warrants are not exercisable for at least six months after issuance. Consequently, the Calm Warrants are excluded from the 20% calculation under Nasdaq Listing Rule 5635(d). However, we are seeking stockholder approval under Nasdaq Rule 5635(d) of the “full-ratchet” anti-dilution feature and voluntary adjustment feature of the Calm Warrants since such provisions may reduce the $2.00 per share exercise price of the Calm Warrants and result in the issuance of shares of Common Stock at less than the greater of the closing price on the day immediately preceding execution of the binding agreements or the five day average closing price immediately preceding execution of the binding agreements. Without the “full-ratchet” anti-dilution feature and voluntary adjustment feature, the Calm Warrants meet the criteria of Nasdaq Listing Rule 5635(d) such that the terms of the Calm Warrants would not require stockholder approval.</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generally have no control over whether the holders of notes, preferred stock or warrants convert such notes or preferred stock or exercise such warrants (other than pursuant to the mandatory conversion feature of the Series D Preferred Stock). Further, we cannot predict the market price of our Common Stock at any future date, and therefore cannot predict the applicable prices at which the notes or preferred stock may be converted or at which the warrants may be exercised. For these reasons, we are unable to accurately forecast or predict with any certainty the total amount of shares that may be issued pursuant to the Financing Transaction. Under certain circumstances, however, it is possible, that we may have to issue more than 20% of our outstanding shares of Common Stock to the holders of these instruments under the terms of the Financing Transaction. Therefore, we are seeking stockholder approval under this proposal to issue more than 20% of our outstanding shares of Common Stock, if necessary, to such holders under the terms of the Financing Transaction.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spacing w:after="0" w:line="264" w:lineRule="auto"/>
        <w:rPr>
          <w:sz w:val="20"/>
          <w:szCs w:val="20"/>
          <w:color w:val="auto"/>
        </w:rPr>
      </w:pPr>
      <w:r>
        <w:rPr>
          <w:rFonts w:ascii="Arial" w:cs="Arial" w:eastAsia="Arial" w:hAnsi="Arial"/>
          <w:sz w:val="18"/>
          <w:szCs w:val="18"/>
          <w:color w:val="auto"/>
        </w:rPr>
        <w:t>Any transaction requiring approval by our stockholders under Nasdaq Listing Rule 5635(a), 5635(b) or 5635(d) would likely result in a significant increase in the number of shares of our Common Stock outstanding, and, as a result, our current stockholders will own a smaller percentage of our outstanding shares of Common Stock.</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Future issuances of securities in connection with the Financing Transaction, if any, may cause a significant reduction in the percentage interests of our current stockholders in the voting power, any liquidation value, our book and market value, and in any future earnings. Further, the issuance or resale of Common Stock issued to holders in connection with the Financing Transaction could cause the market price of our Common Stock to decline. In addition to the foregoing, the increase in the number of issued shares of Common Stock in connection with the Financing Transaction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Consequences of Not Approving this Proposal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After extensive efforts to raise capital on more favorable terms, we believed that the Financing Transaction was the only viable financing alternative available to us at the time. If our stockholders do not approve this proposal, we will not be able to issue more than 20% of our outstanding shares of Common Stock to the holders in connection with the Financing Transaction. As a result, we may be unable to make some of the payments due under the notes in shares of our Common Stock or issue sufficient shares upon conversion of our preferred stock or exercise of the warrants which will, in lieu of those shares, require that we pay substantial cash amounts to the holders. We do not anticipate having sufficient funds to make any substantial cash payments to the holders.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May 2018 SPA Amendment, Series F COD, form of Calm Purchase Agreement, form of Calm Note, form of Calm Warrant, Series E COD Amendment, form of Credit Agreement Amendment, form of B3D Note, Series D COD Amendment and form of December 2016 Warrant Amendment were filed with the Securities and Exchange Commission in connection with our Current Report on Form 8-K filed on July 8,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and Board of Directors’ Recommendation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Nasdaq Listing Rule 5635(d) generally require us to obtain stockholder approval prior to issuing more than 20% of our outstanding shares of Common Stock in connection with a transaction other than a public offering. Nasdaq Listing Rule 5635(a) generally requires us to obtain stockholder approval prior to issuing more than 20% of our outstanding shares of Common Stock in connection with the acquisition of stock of assets of another company. In addition, Nasdaq Listing Rule 5635(b) generally requires us to obtain stockholder approval prior to the issuance of securities when the issuance or potential issuance will result in a change of control.</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approval of Proposal 3 requires the affirmative vote of the holders of a majority of the total votes cast in person or by proxy at the annual meeting.</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BOARD OF DIRECTORS RECOMMENDS A VOTE TO APPROVE THE ISSUANCE OF SHARES OF OUR COMMON STOCK UNDERLYING THE INSTRUMENTS DESCRIBED HEREIN (INCLUDING UPON THE OPERATION OF ANTI-DILUTION PROVISIONS, VOLUNTARY ADJUSTMENT PROVISIONS AND THE REDUCTION OF EXERCISE PRICES AND/OR CONVERSION PRICES), IN SATISFACTION OF THE NASDAQ LISTING RULES, AND PROXIES SOLICITED BY THE BOARD OF DIRECTORS WILL BE VOTED IN FAVOR OF THE PROPOSAL UNLESS A STOCKHOLDER INDICATES OTHERWISE ON THE PROXY.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center"/>
        <w:spacing w:after="0" w:line="282" w:lineRule="auto"/>
        <w:rPr>
          <w:sz w:val="20"/>
          <w:szCs w:val="20"/>
          <w:color w:val="auto"/>
        </w:rPr>
      </w:pPr>
      <w:r>
        <w:rPr>
          <w:rFonts w:ascii="Arial" w:cs="Arial" w:eastAsia="Arial" w:hAnsi="Arial"/>
          <w:sz w:val="18"/>
          <w:szCs w:val="18"/>
          <w:b w:val="1"/>
          <w:bCs w:val="1"/>
          <w:color w:val="auto"/>
        </w:rPr>
        <w:t>PROPOSAL 4: AMENDMENT of OUR CERTIFICATE OF INCORPORATION TO INCREASE FROM 5,000,000 SHARES TO 10,000,000 SHARES THE AGGREGATE NUMBER OF SHARES OF PREFERRED STOCK AUTHORIZED TO BE ISSUED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Item 4)</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determined that it is advisable to increase our authorized preferred stock from 5,000,000 shares to 10,000,000 shares, and has voted to recommend that the stockholders adopt an amendment to our Certificate of Incorporation, as amended (the “Charter”) effecting the proposed increase. The full text of the proposed amendment to the Charter is attached to this proxy statement as Appendix B.</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July 26, 2019, approximately 3.2 million shares of our preferred stock were designated. Accordingly, approximately 1.8 million shares are available for future designation and issuance.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Board of Directors believes it continues to be in our best interest to have sufficient additional authorized but unissued shares of preferred stock available in order to provide flexibility for corporate action in the future. Management believes that the availability of additional authorized shares for issuance from time to time in our Board of Directors’ discretion in connection with possible acquisitions of other companies, future financings, investment opportunities or for other corporate purposes is desirable in order to avoid repeated separate amendments to our Charter and the delay and expense incurred in holding special meetings of the stockholders to approve such amendments. We currently have no specific understandings, arrangements or agreements with respect to any future acquisitions that would require us to issue a material amount of new shares of our preferred stock. However, our Board of Directors believes that the currently available unissued shares do not provide sufficient flexibility for corporate action in the future.</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will not solicit further authorization by vote of the stockholders for the issuance of the additional shares of preferred stock proposed to be authorized, except as required by law, regulatory authorities or rules of The Nasdaq Stock Market or any other stock exchange on which our shares may then be listed. The issuance of additional shares of preferred stock could have the effect of diluting existing stockholder earnings per share, book value per share and voting power. Our stockholders do not have any preemptive right to purchase or subscribe for any part of any new or additional issuance of our securities.</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affirmative vote of the holders of a majority of the shares of our Common Stock, Series D Preferred Stock voting on an as-converted basis and Series E Preferred Stock voting on an as-converted basis having voting power outstanding on the Record Date is required to approve the amendment to our Charter to increase the number of authorized shares of preferred stock.</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BOARD OF DIRECTORS RECOMMENDS A VOTE TO APPROVE THE AMENDMENT TO OUR CERTIFICATE OF INCORPORATION, AS AMENDED, AND PROXIES SOLICITED BY OUR BOARD OF DIRECTORS WILL BE VOTED IN FAVOR OF THE AMENDMENT UNLESS A STOCKHOLDER INDICATES OTHERWISE ON THE PROXY.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center"/>
        <w:spacing w:after="0" w:line="282" w:lineRule="auto"/>
        <w:rPr>
          <w:sz w:val="20"/>
          <w:szCs w:val="20"/>
          <w:color w:val="auto"/>
        </w:rPr>
      </w:pPr>
      <w:r>
        <w:rPr>
          <w:rFonts w:ascii="Arial" w:cs="Arial" w:eastAsia="Arial" w:hAnsi="Arial"/>
          <w:sz w:val="18"/>
          <w:szCs w:val="18"/>
          <w:b w:val="1"/>
          <w:bCs w:val="1"/>
          <w:color w:val="auto"/>
        </w:rPr>
        <w:t xml:space="preserve">PROPOSAL 5: APPROVAL OF AN AMENDMENT TO OUR 2012 EMPLOYEE, DIRECTOR AND CONSULTANT EQUITY PLAN TO INCREASE THE NUMBER OF SHARES AVAILABLE THEREUNDER BY </w:t>
      </w:r>
      <w:r>
        <w:rPr>
          <w:rFonts w:ascii="Arial" w:cs="Arial" w:eastAsia="Arial" w:hAnsi="Arial"/>
          <w:sz w:val="18"/>
          <w:szCs w:val="18"/>
          <w:color w:val="auto"/>
        </w:rPr>
        <w:t>2,165,000 SHARES.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is requesting that our stockholders approve the adoption of an amendment to our 2012 Employee, Director and Consultant Equity Incentive Plan (the “Plan”), which amendment was approved by the Board of Directors and Compensation Committee on July 29, 2019 effective upon approval by our stockholders at the annual meeting. If this proposal is approved, the number of shares authorized for issuance of awards under the Plan will be increased by 2,165,000 shares of Common Stock.</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Plan was originally approved by our Board of Directors and stockholders on July 19, 2012. By its terms, the Plan may be amended by the Compensation Committee provided that any amendment that the Compensation Committee determines requires stockholder approval is subject to receiving such stockholder approval. Approval by our stockholders is required by the listing rules of The Nasdaq Stock Market. In addition, stockholder approval is required in order to ensure favorable federal income tax treatment for grants of incentive stock options under Section 422 of the Internal Revenue Code of 1986, as amended (the “Code”).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255,984 shares of our Common Stock remain available for issuance under the Plan and 14,561 shares of Common Stock are issuable upon the exercise of outstanding derivative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Amendment of the Plan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Board of Directors, the Compensation Committee and management believe that the effective use of stock-based long-term incentive compensation is vital to our ability to achieve strong performance in the future. The Plan will maintain and enhance the key policies and practices adopted by our management and Board of Directors to align employee and stockholder interests and to link compensation to Company performance. In addition, our future success depends, in large part, upon our ability to maintain a competitive position in attracting, retaining and motivating key personnel. We believe that the increase in the number of shares available for issuance under our Plan is essential to permit our management to continue to provide long-term, equity-based incentives to present and future key employees, consultants and directors. Our Board of Directors believes that the number of shares currently remaining available for issuance pursuant to future awards under the Plan (as of June 30, 2019) is not sufficient for future granting needs. Our Board of Directors currently believes that if the amendment to the Plan is approved by stockholders, the 2,755,984 shares available for issuance under the Plan will result in a more appropriate number of shares of Common Stock being available for future awards under the Plan.</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brief summary of the Plan, as amended. This summary is qualified in its entirety by reference to the text of the Plan, a copy of which is attached as Appendix C to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Material Features of our Plan</w:t>
      </w:r>
      <w:r>
        <w:rPr>
          <w:rFonts w:ascii="Arial" w:cs="Arial" w:eastAsia="Arial" w:hAnsi="Arial"/>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The Plan allows us, under the direction of our Compensation Committee, to make grants of stock options, restricted and unrestricted stock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stock-based awards to employees, consultants and directors who, in the opinion of the Compensation Committee, are in a position to make a significant contribution to our long-term success. The purpose of these awards is to attract and retain key individuals, further align employee and stockholder interests, and to closely link compensation with our performance. The Plan provides an essential component of the total compensation package, reflecting the importance that we place on aligning the interests of key individuals with those of our stockholders. As of July 26, 2019, there were approximately 45 individuals eligible to participate in the Plan.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both"/>
        <w:spacing w:after="0" w:line="255"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Stock options granted under the Plan may either be incentive stock options, which are intended to satisfy the requirements of Section 422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Code, or non-qualified stock options, which are not intended to meet those requirements. Incentive Stock Options may be granted to employees of the Company and its affiliates. Non-qualified options may be granted to employees, directors and consultants of the Company and its affiliates. The exercise price of a stock option may not be less than 100% of the fair market value of our Common Stock on the date of grant and the term of the option may not be longer than ten years. If an incentive stock option is granted to an individual who owns more than 10% of the combined voting power of all classes of our capital stock, the exercise price may not be less than 110% of the fair market value of our Common Stock on the date of grant and the term of the option may not be longer than five years.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12 months after termination of service on account of death or total and permanent disability but will not be exercisable if the termination of service was due to cause.</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Restricted stock is Common Stock that is subject to restrictions, including a prohibition against transfer and a substantial risk of forfeiture,</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end of a “restricted period” during which the grantee must satisfy certain time or performance-based vesting conditions. If the grantee does not satisfy the vesting conditions by the end of the restricted period, the restricted stock is forfeited.</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restricted period, the holder of restricted stock has the rights and privileges of a regular stockholder, except that the restrictions set forth in the applicable award agreement apply. For example, the holder of restricted stock may vote and receive dividends on the restricted shares; but he or she may not sell the shares until the restrictions are lifted.</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Stock-Based Awards. </w:t>
      </w:r>
      <w:r>
        <w:rPr>
          <w:rFonts w:ascii="Arial" w:cs="Arial" w:eastAsia="Arial" w:hAnsi="Arial"/>
          <w:sz w:val="18"/>
          <w:szCs w:val="18"/>
          <w:color w:val="auto"/>
        </w:rPr>
        <w:t>The Plan also authorizes the grant of other types of stock-based compensation including, but not limited to stock appreciation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phantom stock awards, and stock unit awards. Our Board of Directors or an authorized committee may award such stock-based awards subject to such conditions and restrictions as it may determine. These conditions and restrictions may include continued employment with us through a specified restricted period.</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Plan Administration. </w:t>
      </w:r>
      <w:r>
        <w:rPr>
          <w:rFonts w:ascii="Arial" w:cs="Arial" w:eastAsia="Arial" w:hAnsi="Arial"/>
          <w:sz w:val="16"/>
          <w:szCs w:val="16"/>
          <w:color w:val="auto"/>
        </w:rPr>
        <w:t>In accordance with the terms of the Plan, our Board of Directors has authorized our Compensation Committee to administer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Compensation Committee may delegate part of its authority and powers under the Plan to one or more of our directors and/or officers, but only the Compensation Committee can make awards to participants who are subject to the reporting and other requirements of Section 16 of the Securities Exchange Act of 1934. In accordance with the provisions of the Plan, our Compensation Committee determines the terms of awards, including:</w:t>
      </w:r>
    </w:p>
    <w:p>
      <w:pPr>
        <w:spacing w:after="0" w:line="15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which employees, directors and consultants will be granted awards;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shares subject to each award;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vesting provisions of each award;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termination or cancellation provisions applicable to awards;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other terms and conditions upon which each award may be granted in accordance with the Plan.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our Compensation Committee may, in its discretion, amend any term or condition of an outstanding award provided (i) such term or condition as amended is permitted by our Plan, and (ii) any such amendment shall be made only with the consent of the participant to whom such award was made, if the amendment is adverse to the participant unless such amendment is required by applicable law or necessary to preserve the economic value of such award; and provided, further, that, without the prior approval of our stockholders, options and stock appreciation rights will not be repriced, replaced or regranted through cancellation or by lowering the exercise price of a previously granted award.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9" w:name="page50"/>
    <w:bookmarkEnd w:id="49"/>
    <w:p>
      <w:pPr>
        <w:jc w:val="both"/>
        <w:spacing w:after="0" w:line="261" w:lineRule="auto"/>
        <w:rPr>
          <w:sz w:val="20"/>
          <w:szCs w:val="20"/>
          <w:color w:val="auto"/>
        </w:rPr>
      </w:pPr>
      <w:r>
        <w:rPr>
          <w:rFonts w:ascii="Arial" w:cs="Arial" w:eastAsia="Arial" w:hAnsi="Arial"/>
          <w:sz w:val="18"/>
          <w:szCs w:val="18"/>
          <w:b w:val="1"/>
          <w:bCs w:val="1"/>
          <w:color w:val="auto"/>
        </w:rPr>
        <w:t xml:space="preserve">Stock Dividends and Stock Splits. </w:t>
      </w:r>
      <w:r>
        <w:rPr>
          <w:rFonts w:ascii="Arial" w:cs="Arial" w:eastAsia="Arial" w:hAnsi="Arial"/>
          <w:sz w:val="18"/>
          <w:szCs w:val="18"/>
          <w:color w:val="auto"/>
        </w:rPr>
        <w:t>If our Common Stock shall be subdivided or combined into a greater or smaller number of shares or if we issue 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as a stock dividend, the number of shares of our Common Stock deliverable upon exercise of an option issued or upon issuance of an award shall be appropriately increased or decreased proportionately, and appropriate adjustments shall be made in the exercise price per share of stock options or purchase price, if any, to reflect such subdivision, combination or stock dividend.</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Transactions. </w:t>
      </w:r>
      <w:r>
        <w:rPr>
          <w:rFonts w:ascii="Arial" w:cs="Arial" w:eastAsia="Arial" w:hAnsi="Arial"/>
          <w:sz w:val="18"/>
          <w:szCs w:val="18"/>
          <w:color w:val="auto"/>
        </w:rPr>
        <w:t>Upon a merger or other reorganization event, our Board of Directors, may, in its sole discretion, take any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actions pursuant to our Plan, as to some or all outstanding awards:</w:t>
      </w:r>
    </w:p>
    <w:p>
      <w:pPr>
        <w:spacing w:after="0" w:line="16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all outstanding options shall be assumed or substituted by the successor corporation;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unexercised options will terminate immediately prior to the consummation of such transaction unless exercised by the participant;</w:t>
      </w:r>
    </w:p>
    <w:p>
      <w:pPr>
        <w:spacing w:after="0" w:line="170" w:lineRule="exact"/>
        <w:rPr>
          <w:rFonts w:ascii="Arial" w:cs="Arial" w:eastAsia="Arial" w:hAnsi="Arial"/>
          <w:sz w:val="18"/>
          <w:szCs w:val="18"/>
          <w:color w:val="auto"/>
        </w:rPr>
      </w:pPr>
    </w:p>
    <w:p>
      <w:pPr>
        <w:jc w:val="both"/>
        <w:ind w:left="660" w:right="20" w:hanging="328"/>
        <w:spacing w:after="0" w:line="31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event of a merger pursuant to which holders of our Common Stock will receive a cash payment for each share surrendered in the merger, make or provide for a cash payment to the participants equal to the difference between the merger price times the number of shares of our Common Stock subject to such outstanding options, and the aggregate exercise price of all such outstanding options, in exchange for the termination of such options;</w:t>
      </w:r>
    </w:p>
    <w:p>
      <w:pPr>
        <w:spacing w:after="0" w:line="14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outstanding awards shall be assumed or substituted by the successor corporation, become realizable or deliverable, or restrictions applicable to an award will lapse, in whole or in part, prior to or upon the merger or reorganization event; and</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stock grants and in lieu of any of the foregoing, our Board of Directors or an authorized committee may provide that, upon consummation of the transaction, each outstanding stock grant shall be terminated in exchange for payment of an amount equal to the consideration payable upon consummation of such transaction to a holder of the number of shares of Common Stock comprising such award (to the extent such stock grant is no longer subject to any forfeiture or repurchase rights then in effect or, at the discretion of our Board of Directors or an authorized committee, all forfeiture and repurchase rights being waived upon such transaction).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 foregoing, in the event the Corporate Transaction also constitutes a Change of Control, then all Options outstanding on the date of the Corporate Transaction shall have vesting acceleration until the next vesting date, unless otherwise determined by the Administrator.</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Amendment and Termination. </w:t>
      </w:r>
      <w:r>
        <w:rPr>
          <w:rFonts w:ascii="Arial" w:cs="Arial" w:eastAsia="Arial" w:hAnsi="Arial"/>
          <w:sz w:val="17"/>
          <w:szCs w:val="17"/>
          <w:color w:val="auto"/>
        </w:rPr>
        <w:t>Our Plan may be amended by our stockholders. It may also be amended by our Board of Directors, provided that any</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approved by our Board of Directors which is of a scope that requires stockholder approval as required by the rules of The NASDAQ Stock Market, in order to ensure favorable federal income tax treatment for any incentive stock options under Code Section 422, or for any other reason is subject to obtaining such stockholder approval. In addition, if The NASDAQ Stock Market amends its corporate governance rules so that such rules no longer require stockholder approval of “material amendments” of equity compensation plans, then, from and after the effective date of such an amendment to The NASDAQ Stock Market rules, no amendment of the Plan which (i) materially increases the number of shares to be issued under the Plan (other than to reflect a reorganization, stock split, merger, spin off or similar transaction); (ii) materially increases the benefits to participants, including any material change to: (a) permit a repricing (or decrease in exercise price) of outstanding options, (b) reduce the price at which awards may be offered, or (c) extend the duration of the Plan; (iii) materially expands the class of participants eligible to participate in the Plan; or (iv) expands the types of awards provided under the Plan shall become effective unless stockholder approval is obtained. However, no such action may adversely affect any rights under any outstanding award without the holder’s consent.</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Duration of Plan</w:t>
      </w:r>
      <w:r>
        <w:rPr>
          <w:rFonts w:ascii="Arial" w:cs="Arial" w:eastAsia="Arial" w:hAnsi="Arial"/>
          <w:sz w:val="18"/>
          <w:szCs w:val="18"/>
          <w:color w:val="auto"/>
        </w:rPr>
        <w:t>. The Plan will expire by its terms on the date which is ten years from the earlier of the date of its adoption by the Board of Directors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its approval by our stockholders.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Federal Income Tax Considerations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material federal income tax consequences of the issuance and exercise of stock options and other awards under the Plan, based on the current provisions of the Code and regulations, are as follows. Changes to these laws could alter the tax consequences described below. This summary assumes that all awards granted under the Plan are exempt from or comply with, the rules under Section 409A of the Code related to nonqualified deferred compensation.</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Incentive Stock Options: </w:t>
      </w:r>
      <w:r>
        <w:rPr>
          <w:rFonts w:ascii="Arial" w:cs="Arial" w:eastAsia="Arial" w:hAnsi="Arial"/>
          <w:sz w:val="17"/>
          <w:szCs w:val="17"/>
          <w:color w:val="auto"/>
        </w:rPr>
        <w:t>Incentive stock options are intended to qualify for treatment under Section 422 of the Code. An incentive stock option does not</w:t>
      </w:r>
      <w:r>
        <w:rPr>
          <w:rFonts w:ascii="Arial" w:cs="Arial" w:eastAsia="Arial" w:hAnsi="Arial"/>
          <w:sz w:val="17"/>
          <w:szCs w:val="17"/>
          <w:b w:val="1"/>
          <w:bCs w:val="1"/>
          <w:color w:val="auto"/>
        </w:rPr>
        <w:t xml:space="preserve"> </w:t>
      </w:r>
      <w:r>
        <w:rPr>
          <w:rFonts w:ascii="Arial" w:cs="Arial" w:eastAsia="Arial" w:hAnsi="Arial"/>
          <w:sz w:val="17"/>
          <w:szCs w:val="17"/>
          <w:color w:val="auto"/>
        </w:rPr>
        <w:t>result in taxable income to the optionee or deduction to us at the time it is granted or exercised, provided that no disposition is made by the optionee of the shares acquired pursuant to the option within two years after the date of grant of the option nor within one year after the date of issuance of shares to the optionee (referred to as the “ISO holding period”). However, the difference between the fair market value of the shares on the date of exercise and the option price will be an item of tax preference includible in “alternative minimum taxable income” of the optionee. Upon disposition of the shares after the expiration of the ISO holding period, the optionee will generally recognize long term capital gain or loss based on the difference between the disposition proceeds and the option price paid for the shares. If the shares are disposed of prior to the expiration of the ISO holding period, the optionee generally will recognize taxable compensation, and we will have a corresponding deduction, in the year of the disposition, equal to the excess of the fair market value of the shares on the date of exercise of the option over the option price. Any additional gain realized on the disposition will normally constitute capital gain. If the amount realized upon such a disqualifying disposition is less than fair market value of the shares on the date of exercise, the amount of compensation income will be limited to the excess of the amount realized over the optionee’s adjusted basis in the shares.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Non-Qualified Options: </w:t>
      </w:r>
      <w:r>
        <w:rPr>
          <w:rFonts w:ascii="Arial" w:cs="Arial" w:eastAsia="Arial" w:hAnsi="Arial"/>
          <w:sz w:val="18"/>
          <w:szCs w:val="18"/>
          <w:color w:val="auto"/>
        </w:rPr>
        <w:t>Options otherwise qualifying as incentive stock options, to the extent the aggregate fair market value of shares with respect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such options are first exercisable by an individual in any calendar year exceeds $100,000, and options designated as non-qualified options will be treated as options that are not incentive stock options.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non-qualified option ordinarily will not result in income to the optionee or deduction to us at the time of grant. The optionee will recognize compensation income at the time of exercise of such non-qualified option in an amount equal to the excess of the then value of the shares over the option price per share. Such compensation income of optionees may be subject to withholding taxes, and a deduction may then be allowable to us in an amount equal to the optionee’s compensation income.</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An optionee’s initial basis in shares so acquired will be the amount paid on exercise of the non-qualified option plus the amount of any corresponding compensation income. Any gain or loss as a result of a subsequent disposition of the shares so acquired will be capital gain or loss.</w:t>
      </w:r>
    </w:p>
    <w:p>
      <w:pPr>
        <w:spacing w:after="0" w:line="1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Stock Grants: </w:t>
      </w:r>
      <w:r>
        <w:rPr>
          <w:rFonts w:ascii="Arial" w:cs="Arial" w:eastAsia="Arial" w:hAnsi="Arial"/>
          <w:sz w:val="18"/>
          <w:szCs w:val="18"/>
          <w:color w:val="auto"/>
        </w:rPr>
        <w:t>With respect to stock grants under our Plan that result in the issuance of shares that are either not restricted as to transferability or not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a substantial risk of forfeiture, the grantee must generally recognize ordinary income equal to the fair market value of shares received. Thus, deferral of the time of issuance will generally result in the deferral of the time the grantee will be liable for income taxes with respect to such issuance. We generally will be entitled to a deduction in an amount equal to the ordinary income recognized by the grantee.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stock grants involving the issuance of shares that are restricted as to transferability and subject to a substantial risk of forfeiture, the grantee must generally recognize ordinary income equal to the fair market value of the shares received at the first time the shares become transferable or are not subject to a substantial risk of forfeiture, whichever occurs earlier. A grantee may elect to be taxed at the time of receipt of shares rather than upon lapse of restrictions on transferability or substantial risk of forfeiture, but if the grantee subsequently forfeits such shares, the grantee would not be entitled to any tax deduction, including as a capital loss, for the value of the shares on which he previously paid tax. The grantee must file such election with the Internal Revenue Service within 30 days of the receipt of the shares. We generally will be entitled to a deduction in an amount equal to the ordinary income recognized by the grantee.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both"/>
        <w:spacing w:after="0" w:line="347" w:lineRule="auto"/>
        <w:rPr>
          <w:sz w:val="20"/>
          <w:szCs w:val="20"/>
          <w:color w:val="auto"/>
        </w:rPr>
      </w:pPr>
      <w:r>
        <w:rPr>
          <w:rFonts w:ascii="Arial" w:cs="Arial" w:eastAsia="Arial" w:hAnsi="Arial"/>
          <w:sz w:val="16"/>
          <w:szCs w:val="16"/>
          <w:b w:val="1"/>
          <w:bCs w:val="1"/>
          <w:color w:val="auto"/>
        </w:rPr>
        <w:t>Stock Units</w:t>
      </w:r>
      <w:r>
        <w:rPr>
          <w:rFonts w:ascii="Arial" w:cs="Arial" w:eastAsia="Arial" w:hAnsi="Arial"/>
          <w:sz w:val="16"/>
          <w:szCs w:val="16"/>
          <w:color w:val="auto"/>
        </w:rPr>
        <w:t>: The grantee recognizes no income until the issuance of the shares. At that time, the grantee must generally recognize ordinary income equal to</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market value of the shares received. We generally will be entitled to a deduction in an amount equal to the ordinary income recognized by the grantee.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amounts of future grants under the Plan are not determinable and will be granted at the sole discretion of the Compensation Committee or other delegated persons. We cannot determine at this time either the persons who will receive such awards under the Plan or the amount or types of any such awards.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On July 26, 2019, the closing market price per share of our Common Stock was $1.28, as reported by The Nasdaq Stock Market.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affirmative vote of the holders of a majority of the shares of our Common Stock, Series D Preferred Stock voting on an as-converted basis and Series E Preferred Stock voting on an as-converted basis present and entitled to vote on the matter either in person or by proxy at the annual meeting is required for the adoption of our Plan.</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A VOTE TO APPROVE THE AMENDMENT TO THE 2012 EMPLOYEE, DIRECTOR AND CONSULTANT EQUITY INCENTIVE PLAN TO INCREASE THE NUMBER OF SHARES AVAILABLE THEREUNDER BY 2,165,000 SHARES.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PROPOSAL 6: REVERSE STOCK SPLIT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our 2019 annual meeting of stockholders, holders of our Common Stock are being asked to approve the proposal that our Amended and Restated Certificate of Incorporation, as amended (the “Charter”) be amended to effect a reverse stock split of the issued and outstanding shares of Common Stock (such split to combine a number of outstanding shares of our Common Stock between 1-for-2 and 1-for-25, such number consisting of only whole shares, into one (1) share of Common Stock). The full text of the proposed amendment to our Charter is attached to this proxy statement as Appendix D. If approved by the stockholders, the reverse stock split would become effective at a time, and at a ratio, to be designated by the Board of Directors. The Board of Directors may effect only one reverse stock split as a result of this authorization. The Board of Directors’ decision as to whether and when to effect the reverse stock split will be based on a number of factors, including market conditions, existing and expected trading prices for our Common Stock and the continued listing requirements of The Nasdaq Capital Market. Even if the stockholders approve the reverse stock split, we reserve the right not to effect the reverse stock split if the Board of Directors does not deem it to be in the best interests of us and our stockholders to effect the reverse stock split. The reverse stock split, if authorized pursuant to this resolution and if deemed by the Board of Directors to be in the best interests of us and our stockholders, will be effected, if at all, at a time that is not later than March 9, 2020.</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proposed amendment to our Charter to effect the reverse stock split, as more fully described below, will effect the reverse stock split but will not change the number of authorized shares of Common Stock or preferred stock, or the par value of Common Stock or preferred stock. As of the date of this proxy statement, we do not have any current arrangements or understandings relating to the issuance of any additional shares of Common Stock following the reverse stock split.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July 29, 2019, the Board of Directors approved the proposal authorizing the reverse stock split for the following reasons:</w:t>
      </w:r>
    </w:p>
    <w:p>
      <w:pPr>
        <w:spacing w:after="0" w:line="225" w:lineRule="exact"/>
        <w:rPr>
          <w:sz w:val="20"/>
          <w:szCs w:val="20"/>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Board of Directors believes that effecting the reverse stock split may be an effective means of maintaining compliance with the bid price requirement for continued listing of our Common Stock on The Nasdaq Capital Market;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Board of Directors believes that a higher stock price may help generate investor interest in us, including interest among institutional investors.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reverse stock split successfully increases the per share price of our Common Stock and facilitates the continued listing of our Common Stock on The Nasdaq Capital Market, as to which no assurance can be given, the Board of Directors believes this increase may facilitate future financings, enhance our ability to transact with our securities and increase the appetite of third parties with whom we may be negotiating for purposes of evaluating potential strategic alternatives.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Requirements for Continued Listing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listed on The Nasdaq Capital Market under the symbol “XSPA.” One of the requirements for continued listing on The Nasdaq Capital Market is maintenance of a minimum closing bid price of $1.00. On July 26, 2019, the closing market price per share of our Common Stock was $1.28, as reported by the Nasdaq Capital Market.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plan to maintain compliance with the Nasdaq Listing Rules includes effecting the reverse stock split for which we are seeking stockholder approval in this Proposal 6. We cannot assure you that our share price will comply with the requirements for continued listing of our Common Stock on the Nasdaq Capital Market in the future or that we will comply with the other continued listing requirements. If our Common Stock loses its status on the Nasdaq Capital Market, our Common Stock would likely trade in the over-the-counter market.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both"/>
        <w:spacing w:after="0" w:line="279" w:lineRule="auto"/>
        <w:rPr>
          <w:sz w:val="20"/>
          <w:szCs w:val="20"/>
          <w:color w:val="auto"/>
        </w:rPr>
      </w:pPr>
      <w:r>
        <w:rPr>
          <w:rFonts w:ascii="Arial" w:cs="Arial" w:eastAsia="Arial" w:hAnsi="Arial"/>
          <w:sz w:val="17"/>
          <w:szCs w:val="17"/>
          <w:color w:val="auto"/>
        </w:rPr>
        <w:t>If our shares were to trade on the over-the-counter market, selling our Common Stock could be more difficult because smaller quantities of shares would likely be bought and sold, and transactions could be delayed. In addition, in the event our Common Stock is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Such delisting from The Nasdaq Capital Market and continued or further declines in our share price could also greatly impair our ability to raise additional necessary capital through equity or debt financing, and could significantly increase the ownership dilution to stockholders caused by our issuing equity in financing or other transactions.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light of the factors mentioned above, our Board of Directors approved the reverse stock split as a potential means of increasing the share price of our Common Stock to ensure that it remains above $1.00 per share and of maintaining the share price of our Common Stock above $1.00 per share in compliance with Nasdaq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Increased Investor Interest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approving the proposal authorizing the reverse stock split, the Board of Directors considered that our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risks associated with the reverse stock split, including that the reverse stock split may not result in a sustained increase in the per share price of our Common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cannot predict whether the reverse stock split will increase the market price for our Common Stock on a sustained basis. The history of similar stock split combinations for companies in like circumstances is varied. There is no assurance that:</w:t>
      </w:r>
    </w:p>
    <w:p>
      <w:pPr>
        <w:spacing w:after="0" w:line="170" w:lineRule="exact"/>
        <w:rPr>
          <w:sz w:val="20"/>
          <w:szCs w:val="20"/>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price per share of our Common Stock after the reverse stock split will rise in proportion to the reduction in the number of shares of our Common Stock outstanding before the reverse stock split;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attract brokers and investors who do not trade in lower priced stocks;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conduct future financings will be enhanced;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price per share will either exceed or remain in excess of the $1.00 minimum bid price as required by Nasdaq, or that we will otherwise meet the requirements of Nasdaq for continued inclusion for trading on the Nasdaq Capital Market.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market price of our Common Stock will also be based 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a reverse stock split. Furthermore, the liquidity of our Common Stock could be adversely affected by the reduced number of shares that would be outstanding after the reverse stock split.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Effects of the Reverse Stock Split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stockholders approve the proposal to authorize the Board of Directors to implement the reverse stock split and the Board of Directors implements the reverse stock split, we will amend the existing provision of Article Fourth of our Amended and Restated Certificate of Incorporation by adding the following paragraphs: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spacing w:after="0" w:line="269" w:lineRule="auto"/>
        <w:rPr>
          <w:sz w:val="20"/>
          <w:szCs w:val="20"/>
          <w:color w:val="auto"/>
        </w:rPr>
      </w:pPr>
      <w:r>
        <w:rPr>
          <w:rFonts w:ascii="Arial" w:cs="Arial" w:eastAsia="Arial" w:hAnsi="Arial"/>
          <w:sz w:val="17"/>
          <w:szCs w:val="17"/>
          <w:color w:val="auto"/>
        </w:rPr>
        <w:t>“(3) 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 the treasury of the Corporation immediately prior to the Effective Time are reclassified into a smaller number of shares such that each [ ] shares of issued Common Stock immediately prior to the Effective Time is reclassified into one (1) share of Common Stock. Notwithstanding the immediately preceding sentence, no fractional shares shall be issued as a result of the reverse stock split. Instead, any stockholder who would otherwise be entitled to a fractional share of our Common Stock as a result of the reclassification shall be entitled to receive a cash payment equal to the product of such resulting fractional interest in one share of our Common Stock multiplied by the closing trading price of our Common Stock on the trading day immediately preceding the effective date of the reverse stock split.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80" w:lineRule="exact"/>
        <w:rPr>
          <w:sz w:val="20"/>
          <w:szCs w:val="20"/>
          <w:color w:val="auto"/>
        </w:rPr>
      </w:pPr>
    </w:p>
    <w:p>
      <w:pPr>
        <w:jc w:val="both"/>
        <w:ind w:firstLine="8"/>
        <w:spacing w:after="0" w:line="271" w:lineRule="auto"/>
        <w:tabs>
          <w:tab w:leader="none" w:pos="265" w:val="left"/>
        </w:tabs>
        <w:numPr>
          <w:ilvl w:val="0"/>
          <w:numId w:val="40"/>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reverse stock split will be effected simultaneously for all issued and outstanding shares of Common Stock and the exchange ratio will be the same for all issued and outstanding shares of Common Stock. The reverse stock split will affect all of our stockholders uniformly and will not affect any stockholder’s percentage ownership interests in the Company, except to the extent that cash payments are made in lieu of fractional shares. Common Stock issued pursuant to the reverse stock split will remain fully paid and nonassessable. The reverse stock split will not affect the Company continuing to be subject to the periodic reporting requirements of the Exchange Act. Following the reverse stock split, our Common Stock will continue to be listed on the Nasdaq Capital Market, under the symbol “XSPA,” although it would receive a new CUSIP number.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approving this amendment, stockholders will approve the combination of any whole number of shares of Common Stock between and including two (2) and twenty-five (25) and into one (1) share. The certificate of amendment to be filed with the Secretary of State of the State of Delaware will include only that number determined by the Board of Directors to be in the best interests of the Company and its stockholders. The Board of Directors will not implement any amendment providing for a different split ratio.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Effecting Reverse Stock Split and Exchange of Stock Certificates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certificate of amendment is approved by our stockholders, and if at such time the Board of Directors still believes that a reverse stock split is in the best interests of the Company and its stockholders, the Board of Directors will determine the ratio of the reverse stock split to be implemented. We will file the certificate of amendment with the Secretary of State of the State of Delaware at such time as the Board of Directors has determined the appropriate effective time for the reverse stock split. The Board of Directors may delay effecting the reverse stock split, if at all, until a time that is not later than March 9, 2020, without re-soliciting stockholder approval. The reverse stock split will become effective on the date of filing of the certificate of amendment with the Secretary of State of the State of Delaware. Beginning on the effective date of the split, each certificate representing pre-split shares will be deemed for all corporate purposes to evidence ownership of post-split shares.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Book-Entry Shares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reverse stock split is effected, stockholders who hold uncertificated shares (i.e., shares held in book-entry form and not 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Shares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soon as practicable after the effective date of the split, stockholders will be notified that the reverse stock split has been effected. We expect that our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STOCKHOLDERS SHOULD NOT DESTROY ANY STOCK CERTIFICATE(S) AND SHOULD NOT SUBMIT ANY CERTIFICATE(S) UNTIL REQUESTED TO DO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 fractional shares will be issued in connection with the reverse stock split. Stockholders of record on the effective date of the split who otherwise would be entitled to receive fractional shares because they hold a number of pre-split shares not evenly divisible by the number of pre-split shares for which each post-split share is to be exchanged, will in lieu of a fractional share, be entitled upon surrender to the exchange agent of certificates representing such pre-split shares, if any, to receive payment in cash in lieu of any such resulting fractional shares of Common Stock as the post-reverse split amounts of Common Stock will be rounded down to the nearest full share. Such cash payment in lieu of a fractional share of Common Stock will be calculated by multiplying such fractional interest in one share of Common Stock by the closing trading price of our Common Stock on the trading day immediately preceding the effective date of the reverse stock split, and rounded to the nearest cent. No fractional shares will be issued in connection with the reverse stock split.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reverse stock split will not affect the Common Stock capital account on our balance sheet. However, because the par value of our Common Stock will remain unchanged on the effective date of the split, the components that make up the Common Stock capital account will change by offsetting amounts. Based on the number of shares of Common Stock outstanding on July 26, 2019 and depending on the size of the reverse stock split the Board of Directors decides to implement, the stated capital component will be reduced to an amount between $1,166.77 and $14,584.60, and the additional paid-in capital component will be increased with the amount by which the stated capital is reduced. The per share net income or loss and net book value of our Common Stock will be increased because there will be fewer shares of Common Stock outstanding. Prior periods’ per share amounts will be restated to reflect the reverse stock split.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Par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proposed amendment to our Charter will not affect the par value of our Common Stock, which will remain at $0.01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Going Private Transaction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Notwithstanding the decrease in the number of outstanding shares following the proposed reverse stock split, our Board of Directors does not intend for this transaction to be the first step in a “going private transaction” within the meaning of Rule 13e-3 of the Exchange Act.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Potential Anti-Takeover Effect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Board of Directors or contemplating a tender offer or other transaction for the combination of the Company with another company), the reverse stock split proposal is not being proposed in response to any effort of which we are aware to accumulate shares of our Common Stock or obtain control of the Company, nor is it part of a plan by management to recommend a series of similar amendments to the Board of Directors and stockholders. Other than the reverse stock split proposal, the Board of Directors does not currently contemplate recommending the adoption of any other actions that could be construed to affect the ability of third parties to take over or change control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Dissenters’ Rights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Delaware General Corporation Law, our stockholders are not entitled to dissenters’ rights with respect to the reverse stock split, and we will not independently provide stockholders with any such right.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Reverse Stock Split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not intended as tax or legal advice. Each holder should seek advice based on his, her or its particular circumstances from an independent tax advisor.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describes the anticipated material United States federal income tax consequences to “U.S. holders” (as defined below) of our capital stock relating to the reverse stock split. This discussion is based upon the Internal Revenue Code of 1986, as amended (the “Code”), Treasury Regulations promulgated thereunder, judicial authorities, published positions of the Internal Revenue Service (“IRS”), and other applicable authorities, all as currently in effect and all of which are subject to change or differing interpretations (possibly with retroactive effect). We have not obtained a ruling from the IRS or an opinion of legal or tax counsel with respect to the tax consequences of the reverse stock split and there can be no assurance the IRS will not challenge the statements set forth below or that a court would not sustain any such challenge. The following discussion is for information purposes only and is not intended as tax or legal advice.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discussion, the term “U.S. holder” means a beneficial owner of our capital stock that is for United States federal income tax purposes:</w:t>
      </w:r>
    </w:p>
    <w:p>
      <w:pPr>
        <w:spacing w:after="0" w:line="248"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firstLine="8"/>
        <w:spacing w:after="0" w:line="277" w:lineRule="auto"/>
        <w:tabs>
          <w:tab w:leader="none" w:pos="26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organized under the laws of the United States, any state or the District of Columbia;</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estate with income subject to United States federal income tax regardless of its source; or</w:t>
      </w:r>
    </w:p>
    <w:p>
      <w:pPr>
        <w:spacing w:after="0" w:line="225" w:lineRule="exact"/>
        <w:rPr>
          <w:rFonts w:ascii="Arial" w:cs="Arial" w:eastAsia="Arial" w:hAnsi="Arial"/>
          <w:sz w:val="18"/>
          <w:szCs w:val="18"/>
          <w:color w:val="auto"/>
        </w:rPr>
      </w:pPr>
    </w:p>
    <w:p>
      <w:pPr>
        <w:ind w:firstLine="8"/>
        <w:spacing w:after="0" w:line="277" w:lineRule="auto"/>
        <w:tabs>
          <w:tab w:leader="none" w:pos="30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trust that (a) is subject to primary supervision by a United States court and for which United States persons control all substantial decisions or (b) has a valid election in effect under applicable Treasury Regulations to be treated as a United States person.</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discussion assumes that a U.S. holder holds our capital stock as a capital asset within the meaning of Code Section 1221. This discussion does not address all of the tax consequences that may be relevant to a particular stockholder or to stockholders that are subject to special treatment under United States federal income tax laws including, but not limited to, financial institutions, tax-exempt organizations, insurance companies, regulated investment companies, persons that are broker-dealers, traders in securities who elect the mark-to-market method of accounting for their securities, or stockholders holding their shares of our capital stock as part of a “straddle,” “hedge,” “conversion transaction” or other integrated transaction. In addition, this discussion does not address other United States federal taxes (such as gift or estate taxes or alternative minimum taxes), the tax consequences of the reverse stock split under state, local or foreign tax laws or certain tax reporting requirements that may be applicable with respect to the reverse stock split.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both"/>
        <w:spacing w:after="0" w:line="264"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is a stockholder, the tax treatment of a partner in the partnership or any equity owner of such other entity will generally depend upon the status of the person and the activities of the partnership or other entity treated as a partnership for United States federal income tax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the Reverse Stock Split Generally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reverse stock split should qualify as a “recapitalization” under Section 368(a)(1)(E) of the Code. Accordingly:</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U.S. holder will not recognize any gain or loss as a result of the reverse stock split.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U.S. holder’s aggregate tax basis in his, her or its post-reverse stock split shares will be equal to the aggregate tax basis in the pre-reverse stock split shares exchanged therefor.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U.S. holder’s holding period for the post-reverse stock split shares will include the period during which such stockholder held the pre-reverse stock split shares surrendered in the reverse stock split.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Treasury Regulations promulgated under the Code provide detailed rules for allocating the tax basis and holding period of the shares of our Common Stock surrendered to the shares of our Common Stock received pursuant to the reverse stock split. Holders of shares of our Common Stock who acquired their shares on different dates and at different prices should consult their tax advisors regarding the allocation of the tax basis and holding period of such shares among their post-reverse stock split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Directors and Executive Officers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directors and executive officers have no substantial interests, directly or indirectly, in the matters set forth in this proposal except to the extent of their ownership of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Reservation of Right to Abandon Reverse Stock Split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reserve the right to not file the Certificate of Amendment and to abandon any reverse stock split without further action by our stockholders at any time before the effectiveness of the filing with the Secretary of the State of Delaware of the Certificate of Amendment, even if the authority to effect these amendments is approved by our stockholders at the annual meeting. By voting in favor of a reverse stock split, you are expressly also authorizing the Board of Directors to delay, not proceed with, and abandon, these proposed amendments if it should so decide, in its sole discretion, that such action is in the best interests of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affirmative vote of the holders of a majority of the shares of our Common Stock, Series D Preferred Stock voting on an as-converted basis and Series E Preferred Stock voting on an as-converted basis having voting power outstanding on the Record Date is required to approve the amendment to our Charter to effect a reverse stock split of our Common Stock.</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THE BOARD OF DIRECTORS RECOMMENDS A VOTE TO AUTHORIZE THE BOARD OF DIRECTORS IN ITS DISCRETION TO AMEND THE AMENDED AND RESTATED CERTIFICATE OF INCORPORATION, AS AMENDED, TO EFFECT A REVERSE STOCK SPLIT OF THE ISSUED AND OUTSTANDING SHARES OF OUR COMMON STOCK (SUCH SPLIT TO COMBINE A NUMBER OF OUTSTANDING SHARES OF OUR COMMON STOCK BETWEEN 1-FOR-25 AND 1-FOR-2, SUCH NUMBER CONSISTING OF ONLY WHOLE SHARES, INTO ONE</w:t>
      </w:r>
    </w:p>
    <w:p>
      <w:pPr>
        <w:spacing w:after="0" w:line="3" w:lineRule="exact"/>
        <w:rPr>
          <w:sz w:val="20"/>
          <w:szCs w:val="20"/>
          <w:color w:val="auto"/>
        </w:rPr>
      </w:pPr>
    </w:p>
    <w:p>
      <w:pPr>
        <w:ind w:right="20" w:firstLine="8"/>
        <w:spacing w:after="0" w:line="261" w:lineRule="auto"/>
        <w:tabs>
          <w:tab w:leader="none" w:pos="268"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SHARE OF OUR COMMON STOCK), AND PROXIES SOLICITED BY THE BOARD OF DIRECTORS WILL BE VOTED IN FAVOR OF THE AMENDMENT UNLESS A STOCKHOLDER INDICATES OTHERWISE ON THE PROXY.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PROPOSAL 7: ADVISORY VOTE ON APPROVAL OF EXECUTIVE COMPENSATION AS DISCLOSED IN THIS 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7)</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seeking your advisory vote as required by Section 14A of the Securities Exchange Act of 1934, as amended, on the approval of the compensation of our named executive officers as described in the compensation tables and related material contained in this proxy statement. Because your vote is advisory, it will not be binding on our Compensation Committee or our Board of Directors. However, the Compensation Committee and the Board of Directors will review the voting results and take them into consideration when making future decisions regarding executive compensation. Currently, we have determined to hold an advisory vote to approve the compensation of our named executive officers annually and anticipate that the next such advisory vote will occur at the 2020 annual meeting of stockholders.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 consists of these general elements:</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fixed portion of compensation, in the form of a base salary, to retain and provide a base level of compensation to our named executive officers;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long-term performance element in the form of equity, to incentivize our named executive officers to achieve superior corporate performance.</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14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financial performance and the contribution of each individual to our financial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individual performance, including past and expected contribution to our corporate goals and execution of our business plan and strategy;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long-term needs and operational goals, including attracting and retaining key management personnel.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rules of the SEC, the following resolution, commonly known as a “say-on-pay” vote, is being submitted for a stockholder vote at the 2019 annual meeting:</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“RESOLVED, that the compensation paid to the named executive officers of XpresSpa Group, Inc., as disclosed pursuant to the compensation disclosure rules of the Securities and Exchange Commission, the compensation tables and the related material disclosed in the proxy statement, is hereby APPROVED.”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affirmative vote of the holders of a majority of the shares of Common Stock, Series D Preferred Stock voting on an as-converted basis and Series E Preferred Stock voting on an as-converted basis present and entitled to vote on the matter either in person or by proxy at the annual meeting is required to approve, on an advisory basis, the compensation of our named executive officers, as described in this proxy statement.</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A VOTE TO APPROVE THE COMPENSATION OF OUR NAMED EXECUTIVE OFFICERS, AND PROXIES SOLICITED BY THE BOARD OF DIRECTORS WILL BE VOTED IN FAVOR OF SUCH APPROVAL UNLESS A STOCKHOLDER INDICATES OTHERWISE ON THE PROXY.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center"/>
        <w:spacing w:after="0" w:line="282" w:lineRule="auto"/>
        <w:rPr>
          <w:sz w:val="20"/>
          <w:szCs w:val="20"/>
          <w:color w:val="auto"/>
        </w:rPr>
      </w:pPr>
      <w:r>
        <w:rPr>
          <w:rFonts w:ascii="Arial" w:cs="Arial" w:eastAsia="Arial" w:hAnsi="Arial"/>
          <w:sz w:val="18"/>
          <w:szCs w:val="18"/>
          <w:b w:val="1"/>
          <w:bCs w:val="1"/>
          <w:color w:val="auto"/>
        </w:rPr>
        <w:t>PROPOSAL 8: ADVISORY VOTE ON APPROVAL OF THE FREQUENCY OF HOLDING AN ADVISORY VOTE ON THE COMPENSATION OF OUR NAMED EXECUTIVE OFFICERS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8)</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seeking your input with regard to the frequency of holding future stockholder advisory votes on the compensation of our named executive officers. In particular, we are asking whether the advisory vote on the compensation of our named executive officers (Notice Item 7) should occur every year, every two years or every three years. Because your vote is advisory, it will not be binding on our Compensation Committee or our Board of Directors. However, the Compensation Committee and our Board of Directors will review the voting results and take them into consideration when making future decisions regarding how frequently it should present the advisory vote on the compensation of our named executive officers to our stockholders.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Compensation Committee, Board of Directors and management believe that it is appropriate and in our best interests for our stockholders to vote in favor of an advisory vote each year on the compensation of our named executive officers. An advisory vote each year will permit our stockholders to provide annual feedback to us on our compensation policies, practices and compensation awards for our named executive officers. This is consistent with our policy of giving stockholders the opportunity to voice concerns with management or our Board of Directors. An annual advisory vote will give our Board of Directors, our Compensation Committee and management more timely feedback from the stockholders to allow us to evaluate and adjust, when we consider appropriate, the compensation of our named executive officers.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proxy card provides stockholders with the opportunity to choose among four options (holding the vote every one, two or three years, or abstaining) and, therefore, stockholders will not be voting to approve or disapprove our Board of Directors’ recommendation. The frequency of holding an advisory vote on the compensation of our named executive officers receiving the largest number of votes cast — every year, every two years or every three years — will be the frequency approved, on an advisory basis, by our stockholders. However, because the vote on the frequency of holding future advisory votes on the compensation of our named executive officers is not binding, if none of the frequency options receives a majority vote, the option receiving the greatest number of votes will be considered the frequency preferred by our stockholders.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OUR BOARD OF DIRECTORS RECOMMENDS A VOTE TO APPROVE, ON AN ADVISORY BASIS, THE FREQUENCY OF HOLDING A VOTE ON THE COMPENSATION OF OUR NAMED EXECUTIVE OFFICERS EVERY YEAR, AND PROXIES SOLICITED BY OUR BOARD OF DIRECTORS WILL BE VOTED IN FAVOR OF SUCH FREQUENCY UNLESS A STOCKHOLDER INDICATES OTHERWISE ON THE PROXY CARD.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jc w:val="center"/>
        <w:spacing w:after="0" w:line="282" w:lineRule="auto"/>
        <w:rPr>
          <w:sz w:val="20"/>
          <w:szCs w:val="20"/>
          <w:color w:val="auto"/>
        </w:rPr>
      </w:pPr>
      <w:r>
        <w:rPr>
          <w:rFonts w:ascii="Arial" w:cs="Arial" w:eastAsia="Arial" w:hAnsi="Arial"/>
          <w:sz w:val="18"/>
          <w:szCs w:val="18"/>
          <w:b w:val="1"/>
          <w:bCs w:val="1"/>
          <w:color w:val="auto"/>
        </w:rPr>
        <w:t>PROPOSAL 9: APPROVAL OF THE ADJOURNMENT OF THE ANNUAL MEETING, IF NECESSARY, TO SOLICIT ADDITIONAL PROXIES IF THERE ARE NOT SUFFICIENT VOTES IN FAVOR OF PROPOSALS 2 THROUGH 7</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Item 9)</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asking our stockholders to vote on a proposal to approve the adjournment of the annual meeting, if necessary, to solicit additional proxies if there are not sufficient votes in favor of Proposals 2 through 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Approval of the adjournment of the annual meeting, if necessary, to solicit additional proxies if there are not sufficient votes in favor of the Proposals 2 through 7 requires the affirmative vote of the holders of a majority of the shares of Common Stock, Series D Preferred Stock voting on an as-converted basis and Series E Preferred Stock voting on an as-converted basis present and entitled to vote on the matter either in person or by proxy at the annual meeting.</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RECOMMENDS A VOTE “FOR” THE ADJOURNMENT OF THE ANNUAL MEETING, IF NECESSARY, TO SOLICIT ADDITIONAL PROXIES IF THERE ARE NOT SUFFICIENT VOTES IN FAVOR OF PROPOSALS 2 THROUGH 7.</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PREFERRED STOCKHOLDER PROPOSAL: ELECTION OF DIRECTORS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July 29, 2019 the Board of Directors nominated Andrew R. Heyer for election by the holders of Series D Preferred Stock at the annual meeting. If he is elected, Mr. Heyer will serve on our Board of Directors until the 2020 annual meeting of stockholders and until his successor has been elected and qualified.</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authority to vote for Mr. Heyer is withheld, the shares represented by the enclosed proxy will be voted FOR the election as directors of Andrew R. Heyer. In the event that Mr. Heyer becomes unable or unwilling to serve, the shares represented by the enclosed proxy will be voted for the election of such other person as the Board of Directors may nominate in Mr. Heyer’s place. We have no reason to believe that Mr. Heyer will be unable or unwilling to serve as a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plurality of the shares voted for each nominee at the annual meeting is required to elect each nominee as a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DOES NOT MAKE A RECOMMENDATION IN FAVOR OF OR AGAINST THE ELECTION OF ANDREW 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HEYER AS DIRECTOR.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have adopted a code of conduct and ethics that applies to all of our employees, including our CEO and chief financial and accounting officers. The text of the code of conduct and ethics is posted on the “Investors — Corporate Governance” section of our website at </w:t>
      </w:r>
      <w:r>
        <w:rPr>
          <w:rFonts w:ascii="Arial" w:cs="Arial" w:eastAsia="Arial" w:hAnsi="Arial"/>
          <w:sz w:val="16"/>
          <w:szCs w:val="16"/>
          <w:u w:val="single" w:color="auto"/>
          <w:color w:val="auto"/>
        </w:rPr>
        <w:t>www.xpresspagroup.com</w:t>
      </w:r>
      <w:r>
        <w:rPr>
          <w:rFonts w:ascii="Arial" w:cs="Arial" w:eastAsia="Arial" w:hAnsi="Arial"/>
          <w:sz w:val="16"/>
          <w:szCs w:val="16"/>
          <w:color w:val="auto"/>
        </w:rPr>
        <w:t>, and will be made</w:t>
      </w:r>
    </w:p>
    <w:p>
      <w:pPr>
        <w:jc w:val="both"/>
        <w:spacing w:after="0" w:line="259" w:lineRule="auto"/>
        <w:rPr>
          <w:sz w:val="20"/>
          <w:szCs w:val="20"/>
          <w:color w:val="auto"/>
        </w:rPr>
      </w:pPr>
      <w:r>
        <w:rPr>
          <w:rFonts w:ascii="Arial" w:cs="Arial" w:eastAsia="Arial" w:hAnsi="Arial"/>
          <w:sz w:val="16"/>
          <w:szCs w:val="16"/>
          <w:color w:val="auto"/>
        </w:rPr>
        <w:t>available to stockholders without charge, upon request, in writing to the Corporate Secretary at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10017. Disclosure regarding any amendments to, or waivers from, provisions of the code of conduct and ethics that apply to our directors and/or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Nasdaq Stock Market.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AND NOMINATIONS FOR DIRECTOR</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be considered for inclusion in the proxy statement relating to our 2020 annual meeting of stockholders, we must receive stockholder proposals (other than for director nominations) no later than April 11, 2020, which is 120 days prior to the date that is one year from this year’s mailing date. To be considered for presentation at the 2020 annual meeting, although not included in the proxy statement, proposals (including director nominations that are not requested to be included in our proxy statement) must be received no earlier than May 26, 2020, which is 75 days prior to the date that is one year from this year’s mailing date and no later than June 25, 2020, which is 45 days prior to the date that is one year from this year’s mailing date. Proposals that are not received in a timely manner will not be voted on at the 2020 annual meeting. If a proposal is received on time, the proxies that management solicits for the meeting may still exercise discretionary voting authority on the proposal under circumstances consistent with the proxy rules of the SEC. All stockholder proposals should be marked for the attention of Tracy Oats at Broadridge Financial Solutions, Inc., 51 Mercedes Way, Edgewood, New Jersey 11717.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2019</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FORMS OF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453390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AMENDMENT TO EFFECT INCREASE IN AUTHORIZED SHARES</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Section 242 of the General Corporation Law of the State of Delaware, XpresSpa Group, Inc., a corporation organized and existing under the laws of the State of Delaware (the “Corporation”), does hereby certify as follows:</w:t>
      </w:r>
    </w:p>
    <w:p>
      <w:pPr>
        <w:spacing w:after="0" w:line="170" w:lineRule="exact"/>
        <w:rPr>
          <w:sz w:val="20"/>
          <w:szCs w:val="20"/>
          <w:color w:val="auto"/>
        </w:rPr>
      </w:pPr>
    </w:p>
    <w:p>
      <w:pPr>
        <w:jc w:val="both"/>
        <w:ind w:firstLine="278"/>
        <w:spacing w:after="0" w:line="257" w:lineRule="auto"/>
        <w:tabs>
          <w:tab w:leader="none" w:pos="4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name of the Corporation is XpresSpa Group,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6, 2016. The name of the Corporation was changed to XpresSpa Group, Inc. by filing a Certificate of Amendment to the Certificate of Incorporation with the Secretary of State of the State of Delaware on January 5, 2018.</w:t>
      </w:r>
    </w:p>
    <w:p>
      <w:pPr>
        <w:spacing w:after="0" w:line="188" w:lineRule="exact"/>
        <w:rPr>
          <w:rFonts w:ascii="Arial" w:cs="Arial" w:eastAsia="Arial" w:hAnsi="Arial"/>
          <w:sz w:val="18"/>
          <w:szCs w:val="18"/>
          <w:color w:val="auto"/>
        </w:rPr>
      </w:pPr>
    </w:p>
    <w:p>
      <w:pPr>
        <w:jc w:val="both"/>
        <w:ind w:firstLine="278"/>
        <w:spacing w:after="0" w:line="302" w:lineRule="auto"/>
        <w:tabs>
          <w:tab w:leader="none" w:pos="47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154"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second sentence of Article Fourth of the Corporation’s Amended and Restated Certificate of Incorporation is hereby amended and restated in its entirety to read as follows:</w:t>
      </w:r>
    </w:p>
    <w:p>
      <w:pPr>
        <w:spacing w:after="0" w:line="170" w:lineRule="exact"/>
        <w:rPr>
          <w:sz w:val="20"/>
          <w:szCs w:val="20"/>
          <w:color w:val="auto"/>
        </w:rPr>
      </w:pPr>
    </w:p>
    <w:p>
      <w:pPr>
        <w:ind w:firstLine="270"/>
        <w:spacing w:after="0" w:line="308" w:lineRule="auto"/>
        <w:rPr>
          <w:sz w:val="20"/>
          <w:szCs w:val="20"/>
          <w:color w:val="auto"/>
        </w:rPr>
      </w:pPr>
      <w:r>
        <w:rPr>
          <w:rFonts w:ascii="Arial" w:cs="Arial" w:eastAsia="Arial" w:hAnsi="Arial"/>
          <w:sz w:val="17"/>
          <w:szCs w:val="17"/>
          <w:color w:val="auto"/>
        </w:rPr>
        <w:t>“The total number of shares the Corporation shall have the authority to issue is one hundred sixty million (160,000,000) shares, one hundred fifty million (150,000,000) shares of which shall be Common Stock and ten million (10,000,000) shares of which shall be Preferred Stock.”</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Certificate of Amendment shall be effective on [  ] at [  ], Eastern Time.</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Corporation has caused this Certificate of Amendment to be signed by its Chief Executive Officer on this [  ] day of [  ].</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2012 EMPLOYEE, DIRECTOR AND CONSULTANT EQUITY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453390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ON [  ] )</w:t>
      </w:r>
    </w:p>
    <w:p>
      <w:pPr>
        <w:spacing w:after="0" w:line="9" w:lineRule="exact"/>
        <w:rPr>
          <w:sz w:val="20"/>
          <w:szCs w:val="20"/>
          <w:color w:val="auto"/>
        </w:rPr>
      </w:pPr>
    </w:p>
    <w:p>
      <w:pPr>
        <w:ind w:left="460" w:hanging="18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otherwise specified or unless the context otherwise requires, the following terms, as used in this XpresSpa Group, Inc. 2012 Employee, Director and Consultant Equity Incentive Plan, have the following meanings: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means the Board of Directors, unless it has delegated power to act on its behalf to the Committee, in which case the Administrator means the Committee.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 corporation which, for purposes of Section 424 of the Code, is a parent or subsidiary of the Company, direct or indirect.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an agreement between the Company and a Participant delivered pursuant to the Plan and pertaining to a Stock Right, in such form as the Administrator shall approve.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means the Board of Directors of the Company.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means the occurrence of any of the following events:</w:t>
      </w:r>
    </w:p>
    <w:p>
      <w:pPr>
        <w:spacing w:after="0" w:line="225" w:lineRule="exact"/>
        <w:rPr>
          <w:sz w:val="20"/>
          <w:szCs w:val="20"/>
          <w:color w:val="auto"/>
        </w:rPr>
      </w:pPr>
    </w:p>
    <w:p>
      <w:pPr>
        <w:jc w:val="both"/>
        <w:ind w:left="980" w:hanging="324"/>
        <w:spacing w:after="0" w:line="25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Any “Person” (as such term is used in Sections 13(d) and 14(d) of the Exchange Act) becomes the “Beneficial Owner”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188"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Merger/Sale of Assets</w:t>
      </w:r>
      <w:r>
        <w:rPr>
          <w:rFonts w:ascii="Arial" w:cs="Arial" w:eastAsia="Arial" w:hAnsi="Arial"/>
          <w:sz w:val="17"/>
          <w:szCs w:val="17"/>
          <w:color w:val="auto"/>
        </w:rPr>
        <w:t>. (A) A merger or consolidation of the Company whether or not approved by the Board of Directors, other than a merger</w:t>
      </w:r>
      <w:r>
        <w:rPr>
          <w:rFonts w:ascii="Arial" w:cs="Arial" w:eastAsia="Arial" w:hAnsi="Arial"/>
          <w:sz w:val="17"/>
          <w:szCs w:val="17"/>
          <w:i w:val="1"/>
          <w:iCs w:val="1"/>
          <w:color w:val="auto"/>
        </w:rPr>
        <w:t xml:space="preserve"> </w:t>
      </w:r>
      <w:r>
        <w:rPr>
          <w:rFonts w:ascii="Arial" w:cs="Arial" w:eastAsia="Arial" w:hAnsi="Arial"/>
          <w:sz w:val="17"/>
          <w:szCs w:val="17"/>
          <w:color w:val="auto"/>
        </w:rPr>
        <w:t>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178"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Change in Board Composition</w:t>
      </w:r>
      <w:r>
        <w:rPr>
          <w:rFonts w:ascii="Arial" w:cs="Arial" w:eastAsia="Arial" w:hAnsi="Arial"/>
          <w:sz w:val="18"/>
          <w:szCs w:val="18"/>
          <w:color w:val="auto"/>
        </w:rPr>
        <w:t>. A change in the composition of the Board of Directors, as a result of which fewer than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are Incumbent Directors. “Incumbent Directors” shall mean directors who either (A) are directors of the Company as of the effective date of the Plan, which is the date of its approval by the shareholders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 of Control” shall be interpreted, if applicable, in a manner, and limited to the extent necessary, so that it will not cause adverse tax consequences under Section 409A.”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xml:space="preserve"> means the United States Internal Revenue Code of 1986, as amended including any successor statute, regulation and guidance thereto.</w:t>
      </w:r>
    </w:p>
    <w:p>
      <w:pPr>
        <w:spacing w:after="0" w:line="237" w:lineRule="exact"/>
        <w:rPr>
          <w:sz w:val="20"/>
          <w:szCs w:val="20"/>
          <w:color w:val="auto"/>
        </w:rPr>
      </w:pPr>
    </w:p>
    <w:p>
      <w:pPr>
        <w:jc w:val="both"/>
        <w:ind w:firstLine="324"/>
        <w:spacing w:after="0" w:line="280" w:lineRule="auto"/>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of the Board of Directors to which the Board of Directors has delegated power to act under or pursuant to the provisions of the Plan.</w:t>
      </w:r>
      <w:r>
        <w:rPr>
          <w:rFonts w:ascii="Arial" w:cs="Arial" w:eastAsia="Arial" w:hAnsi="Arial"/>
          <w:sz w:val="30"/>
          <w:szCs w:val="30"/>
          <w:color w:val="auto"/>
          <w:vertAlign w:val="superscript"/>
        </w:rPr>
        <w:t>1</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means shares of the Company’s common stock, $0.01 par value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XpresSpa Group, Inc., a Delaware corporation.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means permanent and total disability as defined in Section 22(e)(3) of the Code.</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u w:val="single" w:color="auto"/>
          <w:color w:val="auto"/>
        </w:rPr>
        <w:t>Employee</w:t>
      </w:r>
      <w:r>
        <w:rPr>
          <w:rFonts w:ascii="Arial" w:cs="Arial" w:eastAsia="Arial" w:hAnsi="Arial"/>
          <w:sz w:val="17"/>
          <w:szCs w:val="17"/>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a Share of Common Stock means:</w:t>
      </w:r>
    </w:p>
    <w:p>
      <w:pPr>
        <w:spacing w:after="0" w:line="225" w:lineRule="exact"/>
        <w:rPr>
          <w:sz w:val="20"/>
          <w:szCs w:val="20"/>
          <w:color w:val="auto"/>
        </w:rPr>
      </w:pPr>
    </w:p>
    <w:p>
      <w:pPr>
        <w:jc w:val="both"/>
        <w:ind w:firstLine="332"/>
        <w:spacing w:after="0" w:line="286" w:lineRule="auto"/>
        <w:tabs>
          <w:tab w:leader="none" w:pos="5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165" w:lineRule="exact"/>
        <w:rPr>
          <w:rFonts w:ascii="Arial" w:cs="Arial" w:eastAsia="Arial" w:hAnsi="Arial"/>
          <w:sz w:val="17"/>
          <w:szCs w:val="17"/>
          <w:color w:val="auto"/>
        </w:rPr>
      </w:pPr>
    </w:p>
    <w:p>
      <w:pPr>
        <w:jc w:val="both"/>
        <w:ind w:firstLine="332"/>
        <w:spacing w:after="0" w:line="302" w:lineRule="auto"/>
        <w:tabs>
          <w:tab w:leader="none" w:pos="59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spacing w:after="0" w:line="154" w:lineRule="exact"/>
        <w:rPr>
          <w:rFonts w:ascii="Arial" w:cs="Arial" w:eastAsia="Arial" w:hAnsi="Arial"/>
          <w:sz w:val="16"/>
          <w:szCs w:val="16"/>
          <w:color w:val="auto"/>
        </w:rPr>
      </w:pPr>
    </w:p>
    <w:p>
      <w:pPr>
        <w:ind w:firstLine="332"/>
        <w:spacing w:after="0" w:line="342" w:lineRule="auto"/>
        <w:tabs>
          <w:tab w:leader="none" w:pos="583"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Common Stock is neither listed on a national securities exchange nor traded in the over-the-counter market, such value as the Administrator, in good faith, shall determine. This value will be based on an external valuation in compliance with the applicable laws of the taxing jurisdiction.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intended to qualify as an incentive stock option under Section 422 of the Code.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Non-Qualified Option</w:t>
      </w:r>
      <w:r>
        <w:rPr>
          <w:rFonts w:ascii="Arial" w:cs="Arial" w:eastAsia="Arial" w:hAnsi="Arial"/>
          <w:sz w:val="18"/>
          <w:szCs w:val="18"/>
          <w:color w:val="auto"/>
        </w:rPr>
        <w:t xml:space="preserve"> means an option which is not intended to qualify as an 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3" w:lineRule="exact"/>
        <w:rPr>
          <w:sz w:val="20"/>
          <w:szCs w:val="20"/>
          <w:color w:val="auto"/>
        </w:rPr>
      </w:pPr>
    </w:p>
    <w:p>
      <w:pPr>
        <w:ind w:firstLine="8"/>
        <w:spacing w:after="0" w:line="194" w:lineRule="auto"/>
        <w:tabs>
          <w:tab w:leader="none" w:pos="139" w:val="left"/>
        </w:tabs>
        <w:numPr>
          <w:ilvl w:val="0"/>
          <w:numId w:val="52"/>
        </w:numPr>
        <w:rPr>
          <w:rFonts w:ascii="Arial" w:cs="Arial" w:eastAsia="Arial" w:hAnsi="Arial"/>
          <w:sz w:val="30"/>
          <w:szCs w:val="30"/>
          <w:color w:val="auto"/>
          <w:vertAlign w:val="superscript"/>
        </w:rPr>
      </w:pPr>
      <w:r>
        <w:rPr>
          <w:rFonts w:ascii="Arial" w:cs="Arial" w:eastAsia="Arial" w:hAnsi="Arial"/>
          <w:sz w:val="18"/>
          <w:szCs w:val="18"/>
          <w:color w:val="auto"/>
        </w:rPr>
        <w:t>The Committee should be comprised of “disinterested persons” as defined under Rule 16b-3 of the Exchange Act and “outside directors” as defined in Section 162(m)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ind w:left="340"/>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 ISO or Non-Qualified Option granted under the Plan.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XpresSpa Group, Inc. 2012 Employee, Director and Consultant Equity Incentive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Securities Act of 1933, as amended.</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Stock-Based Award</w:t>
      </w:r>
      <w:r>
        <w:rPr>
          <w:rFonts w:ascii="Arial" w:cs="Arial" w:eastAsia="Arial" w:hAnsi="Arial"/>
          <w:sz w:val="16"/>
          <w:szCs w:val="16"/>
          <w:color w:val="auto"/>
        </w:rPr>
        <w:t xml:space="preserve"> means a grant by the Company under the Plan of an equity award or an equity based award which is not an Option or a Stock Grant.</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Grant</w:t>
      </w:r>
      <w:r>
        <w:rPr>
          <w:rFonts w:ascii="Arial" w:cs="Arial" w:eastAsia="Arial" w:hAnsi="Arial"/>
          <w:sz w:val="18"/>
          <w:szCs w:val="18"/>
          <w:color w:val="auto"/>
        </w:rPr>
        <w:t xml:space="preserve"> means a grant by the Company of Shares under the Plan.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Stock Right</w:t>
      </w:r>
      <w:r>
        <w:rPr>
          <w:rFonts w:ascii="Arial" w:cs="Arial" w:eastAsia="Arial" w:hAnsi="Arial"/>
          <w:sz w:val="18"/>
          <w:szCs w:val="18"/>
          <w:color w:val="auto"/>
        </w:rPr>
        <w:t xml:space="preserve"> means a right to Shares or the value of Shares of the Company granted pursuant to the Plan — an ISO, a Non-Qualified Option, a Stock Grant or a Stock-Based Award.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Survivor</w:t>
      </w:r>
      <w:r>
        <w:rPr>
          <w:rFonts w:ascii="Arial" w:cs="Arial" w:eastAsia="Arial" w:hAnsi="Arial"/>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170" w:lineRule="exact"/>
        <w:rPr>
          <w:sz w:val="20"/>
          <w:szCs w:val="20"/>
          <w:color w:val="auto"/>
        </w:rPr>
      </w:pPr>
    </w:p>
    <w:p>
      <w:pPr>
        <w:ind w:left="520" w:hanging="188"/>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187" w:lineRule="exact"/>
        <w:rPr>
          <w:sz w:val="20"/>
          <w:szCs w:val="20"/>
          <w:color w:val="auto"/>
        </w:rPr>
      </w:pPr>
    </w:p>
    <w:p>
      <w:pPr>
        <w:ind w:left="520" w:hanging="188"/>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225" w:lineRule="exact"/>
        <w:rPr>
          <w:sz w:val="20"/>
          <w:szCs w:val="20"/>
          <w:color w:val="auto"/>
        </w:rPr>
      </w:pPr>
    </w:p>
    <w:p>
      <w:pPr>
        <w:jc w:val="both"/>
        <w:ind w:firstLine="332"/>
        <w:spacing w:after="0" w:line="273" w:lineRule="auto"/>
        <w:tabs>
          <w:tab w:leader="none" w:pos="569"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number of Shares which may be issued from time to time pursuant to this Plan shall be the sum of: (i) 2,500,000 shares of Common Stock and (ii) any shares of Common Stock that are represented by awards granted under the Company’s 2006 Stock Option Plan that are forfeited, expire or are cancelled without delivery of shares of Common Stock or which result in the forfeiture of shares of Common Stock back to the Company on or after the date of the Plan approval by the shareholders of the Company, or the equivalent of such number of Shares after the Administrator, in its sole discretion, has interpreted the effect of any stock split, stock dividend, combination, recapitalization or similar transaction in accordance with Paragraph 24 of this Plan; provided, however, that no more than 1.5 mm shares shall be added to the Plan pursuant to subsection (ii).</w:t>
      </w:r>
    </w:p>
    <w:p>
      <w:pPr>
        <w:spacing w:after="0" w:line="178" w:lineRule="exact"/>
        <w:rPr>
          <w:rFonts w:ascii="Arial" w:cs="Arial" w:eastAsia="Arial" w:hAnsi="Arial"/>
          <w:sz w:val="17"/>
          <w:szCs w:val="17"/>
          <w:color w:val="auto"/>
        </w:rPr>
      </w:pPr>
    </w:p>
    <w:p>
      <w:pPr>
        <w:jc w:val="both"/>
        <w:ind w:firstLine="332"/>
        <w:spacing w:after="0" w:line="291" w:lineRule="auto"/>
        <w:tabs>
          <w:tab w:leader="none" w:pos="587"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Company’s or an Affiliate’s tax 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ind w:left="520" w:hanging="188"/>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170" w:lineRule="exact"/>
        <w:rPr>
          <w:sz w:val="20"/>
          <w:szCs w:val="20"/>
          <w:color w:val="auto"/>
        </w:rPr>
      </w:pPr>
    </w:p>
    <w:p>
      <w:pPr>
        <w:ind w:firstLine="332"/>
        <w:spacing w:after="0" w:line="277" w:lineRule="auto"/>
        <w:tabs>
          <w:tab w:leader="none" w:pos="59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Interpret the provisions of the Plan and all Stock Rights and to make all rules and determinations which it deems necessary or advisable for the administration of the Plan;</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Determine which Employees, directors and Consultants shall be granted Stock Rights;</w:t>
      </w:r>
    </w:p>
    <w:p>
      <w:pPr>
        <w:spacing w:after="0" w:line="225" w:lineRule="exact"/>
        <w:rPr>
          <w:rFonts w:ascii="Arial" w:cs="Arial" w:eastAsia="Arial" w:hAnsi="Arial"/>
          <w:sz w:val="18"/>
          <w:szCs w:val="18"/>
          <w:color w:val="auto"/>
        </w:rPr>
      </w:pPr>
    </w:p>
    <w:p>
      <w:pPr>
        <w:ind w:firstLine="332"/>
        <w:spacing w:after="0" w:line="277" w:lineRule="auto"/>
        <w:tabs>
          <w:tab w:leader="none" w:pos="5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Determine the number of Shares for which a Stock Right or Stock Rights shall be granted, provided, however, that in no event shall Stock Rights with respect to more than 4.0 mm Shares be granted to any Participant in any fiscal year;</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Specify the terms and conditions upon which a Stock Right or Stock Rights may be granted;</w:t>
      </w:r>
    </w:p>
    <w:p>
      <w:pPr>
        <w:spacing w:after="0" w:line="225" w:lineRule="exact"/>
        <w:rPr>
          <w:rFonts w:ascii="Arial" w:cs="Arial" w:eastAsia="Arial" w:hAnsi="Arial"/>
          <w:sz w:val="18"/>
          <w:szCs w:val="18"/>
          <w:color w:val="auto"/>
        </w:rPr>
      </w:pPr>
    </w:p>
    <w:p>
      <w:pPr>
        <w:jc w:val="both"/>
        <w:ind w:firstLine="332"/>
        <w:spacing w:after="0" w:line="273" w:lineRule="auto"/>
        <w:tabs>
          <w:tab w:leader="none" w:pos="57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Amend any term or condition of any outstanding Stock Right, including, without limitation, to accelerate the vesting schedule or extend the expiration date up to eighteen months from termination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 and</w:t>
      </w:r>
    </w:p>
    <w:p>
      <w:pPr>
        <w:spacing w:after="0" w:line="178" w:lineRule="exact"/>
        <w:rPr>
          <w:rFonts w:ascii="Arial" w:cs="Arial" w:eastAsia="Arial" w:hAnsi="Arial"/>
          <w:sz w:val="17"/>
          <w:szCs w:val="17"/>
          <w:color w:val="auto"/>
        </w:rPr>
      </w:pPr>
    </w:p>
    <w:p>
      <w:pPr>
        <w:jc w:val="both"/>
        <w:ind w:firstLine="332"/>
        <w:spacing w:after="0" w:line="286" w:lineRule="auto"/>
        <w:tabs>
          <w:tab w:leader="none" w:pos="575" w:val="left"/>
        </w:tabs>
        <w:numPr>
          <w:ilvl w:val="0"/>
          <w:numId w:val="57"/>
        </w:numPr>
        <w:rPr>
          <w:rFonts w:ascii="Arial" w:cs="Arial" w:eastAsia="Arial" w:hAnsi="Arial"/>
          <w:sz w:val="17"/>
          <w:szCs w:val="17"/>
          <w:color w:val="auto"/>
        </w:rPr>
      </w:pPr>
      <w:r>
        <w:rPr>
          <w:rFonts w:ascii="Arial" w:cs="Arial" w:eastAsia="Arial" w:hAnsi="Arial"/>
          <w:sz w:val="17"/>
          <w:szCs w:val="17"/>
          <w:color w:val="auto"/>
        </w:rPr>
        <w:t>Adopt any appendices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appendices may include additional restrictions or conditions applicable to Stock Rights or Shares issuable pursuant to a Stock Right;</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188" w:lineRule="exact"/>
        <w:rPr>
          <w:sz w:val="20"/>
          <w:szCs w:val="20"/>
          <w:color w:val="auto"/>
        </w:rPr>
      </w:pPr>
    </w:p>
    <w:p>
      <w:pPr>
        <w:ind w:left="520" w:hanging="188"/>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ELIGIBILITY FOR PARTICIPATION.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jc w:val="both"/>
        <w:ind w:firstLine="324"/>
        <w:spacing w:after="0" w:line="259" w:lineRule="auto"/>
        <w:rPr>
          <w:sz w:val="20"/>
          <w:szCs w:val="20"/>
          <w:color w:val="auto"/>
        </w:rPr>
      </w:pPr>
      <w:r>
        <w:rPr>
          <w:rFonts w:ascii="Arial" w:cs="Arial" w:eastAsia="Arial" w:hAnsi="Arial"/>
          <w:sz w:val="18"/>
          <w:szCs w:val="18"/>
          <w:color w:val="auto"/>
        </w:rPr>
        <w:t>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187" w:lineRule="exact"/>
        <w:rPr>
          <w:sz w:val="20"/>
          <w:szCs w:val="20"/>
          <w:color w:val="auto"/>
        </w:rPr>
      </w:pPr>
    </w:p>
    <w:p>
      <w:pPr>
        <w:ind w:left="520" w:hanging="188"/>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154" w:lineRule="exact"/>
        <w:rPr>
          <w:sz w:val="20"/>
          <w:szCs w:val="20"/>
          <w:color w:val="auto"/>
        </w:rPr>
      </w:pPr>
    </w:p>
    <w:p>
      <w:pPr>
        <w:ind w:firstLine="332"/>
        <w:spacing w:after="0" w:line="308" w:lineRule="auto"/>
        <w:tabs>
          <w:tab w:leader="none" w:pos="582"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Non-Qualified Options</w:t>
      </w:r>
      <w:r>
        <w:rPr>
          <w:rFonts w:ascii="Arial" w:cs="Arial" w:eastAsia="Arial" w:hAnsi="Arial"/>
          <w:sz w:val="17"/>
          <w:szCs w:val="17"/>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146" w:lineRule="exact"/>
        <w:rPr>
          <w:rFonts w:ascii="Arial" w:cs="Arial" w:eastAsia="Arial" w:hAnsi="Arial"/>
          <w:sz w:val="17"/>
          <w:szCs w:val="17"/>
          <w:color w:val="auto"/>
        </w:rPr>
      </w:pPr>
    </w:p>
    <w:p>
      <w:pPr>
        <w:jc w:val="both"/>
        <w:ind w:left="980" w:hanging="324"/>
        <w:spacing w:after="0" w:line="302" w:lineRule="auto"/>
        <w:tabs>
          <w:tab w:leader="none" w:pos="980"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Each Option Agreement shall state the exercise price (per share) of the Shares covered by each Option, which exercise price shall be determined by the Administrator and shall be at least equal to the Fair Market Value per share of Common Stock on the date of grant of the Option provided, that if the exercise price is less than Fair Market Value, the terms of such Option must comply with the requirements of Section 409A of the Code unless granted to a Consultant or to a non U.S. person as to whom Section 409A of the Code does not apply.</w:t>
      </w:r>
    </w:p>
    <w:p>
      <w:pPr>
        <w:spacing w:after="0" w:line="154" w:lineRule="exact"/>
        <w:rPr>
          <w:rFonts w:ascii="Arial" w:cs="Arial" w:eastAsia="Arial" w:hAnsi="Arial"/>
          <w:sz w:val="16"/>
          <w:szCs w:val="16"/>
          <w:color w:val="auto"/>
        </w:rPr>
      </w:pPr>
    </w:p>
    <w:p>
      <w:pPr>
        <w:ind w:left="980" w:hanging="324"/>
        <w:spacing w:after="0"/>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xml:space="preserve"> Each Option Agreement shall state the number of Shares to which it pertains.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Option Periods</w:t>
      </w:r>
      <w:r>
        <w:rPr>
          <w:rFonts w:ascii="Arial" w:cs="Arial" w:eastAsia="Arial" w:hAnsi="Arial"/>
          <w:sz w:val="18"/>
          <w:szCs w:val="18"/>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Option Conditions</w:t>
      </w:r>
      <w:r>
        <w:rPr>
          <w:rFonts w:ascii="Arial" w:cs="Arial" w:eastAsia="Arial" w:hAnsi="Arial"/>
          <w:sz w:val="17"/>
          <w:szCs w:val="17"/>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147"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Participant’s or the Participant’s Survivors’ right to sell or transfer the Shares may be restricted;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Participant or the Participant’s Survivors may be required to execute letters of investment intent and must also acknowledge that the Shares will bear legends noting any applicable restrictions.</w:t>
      </w:r>
    </w:p>
    <w:p>
      <w:pPr>
        <w:spacing w:after="0" w:line="170" w:lineRule="exact"/>
        <w:rPr>
          <w:sz w:val="20"/>
          <w:szCs w:val="20"/>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Each Option shall terminate not more than ten years from the date of the grant or at such earlier time as the Option Agreement may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both"/>
        <w:ind w:firstLine="332"/>
        <w:spacing w:after="0" w:line="286" w:lineRule="auto"/>
        <w:tabs>
          <w:tab w:leader="none" w:pos="579"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ISOs</w:t>
      </w:r>
      <w:r>
        <w:rPr>
          <w:rFonts w:ascii="Arial" w:cs="Arial" w:eastAsia="Arial" w:hAnsi="Arial"/>
          <w:sz w:val="17"/>
          <w:szCs w:val="17"/>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165" w:lineRule="exact"/>
        <w:rPr>
          <w:rFonts w:ascii="Arial" w:cs="Arial" w:eastAsia="Arial" w:hAnsi="Arial"/>
          <w:sz w:val="17"/>
          <w:szCs w:val="17"/>
          <w:color w:val="auto"/>
        </w:rPr>
      </w:pPr>
    </w:p>
    <w:p>
      <w:pPr>
        <w:ind w:left="980" w:right="400" w:hanging="324"/>
        <w:spacing w:after="0" w:line="277"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Minimum standards</w:t>
      </w:r>
      <w:r>
        <w:rPr>
          <w:rFonts w:ascii="Arial" w:cs="Arial" w:eastAsia="Arial" w:hAnsi="Arial"/>
          <w:sz w:val="18"/>
          <w:szCs w:val="18"/>
          <w:color w:val="auto"/>
        </w:rPr>
        <w:t>: The ISO shall meet the minimum standards required of Non-Qualified Options, as described in Paragraph 6(a) above, except clause (i) and (v) thereunder.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Immediately before the ISO is granted, if the Participant owns, directly or by reason of the applicable attribution rules in Section 424(d) of the Code:</w:t>
      </w:r>
    </w:p>
    <w:p>
      <w:pPr>
        <w:spacing w:after="0" w:line="170" w:lineRule="exact"/>
        <w:rPr>
          <w:sz w:val="20"/>
          <w:szCs w:val="20"/>
          <w:color w:val="auto"/>
        </w:rPr>
      </w:pPr>
    </w:p>
    <w:p>
      <w:pPr>
        <w:jc w:val="both"/>
        <w:ind w:left="980" w:right="80" w:hanging="324"/>
        <w:spacing w:after="0" w:line="342"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10% </w:t>
      </w:r>
      <w:r>
        <w:rPr>
          <w:rFonts w:ascii="Arial" w:cs="Arial" w:eastAsia="Arial" w:hAnsi="Arial"/>
          <w:sz w:val="16"/>
          <w:szCs w:val="16"/>
          <w:u w:val="single" w:color="auto"/>
          <w:color w:val="auto"/>
        </w:rPr>
        <w:t>or less</w:t>
      </w:r>
      <w:r>
        <w:rPr>
          <w:rFonts w:ascii="Arial" w:cs="Arial" w:eastAsia="Arial" w:hAnsi="Arial"/>
          <w:sz w:val="16"/>
          <w:szCs w:val="16"/>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123" w:lineRule="exact"/>
        <w:rPr>
          <w:rFonts w:ascii="Arial" w:cs="Arial" w:eastAsia="Arial" w:hAnsi="Arial"/>
          <w:sz w:val="16"/>
          <w:szCs w:val="16"/>
          <w:color w:val="auto"/>
        </w:rPr>
      </w:pPr>
    </w:p>
    <w:p>
      <w:pPr>
        <w:jc w:val="both"/>
        <w:ind w:left="980" w:right="360" w:hanging="324"/>
        <w:spacing w:after="0" w:line="264"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u w:val="single" w:color="auto"/>
          <w:color w:val="auto"/>
        </w:rPr>
        <w:t>Term of Option</w:t>
      </w:r>
      <w:r>
        <w:rPr>
          <w:rFonts w:ascii="Arial" w:cs="Arial" w:eastAsia="Arial" w:hAnsi="Arial"/>
          <w:sz w:val="18"/>
          <w:szCs w:val="18"/>
          <w:color w:val="auto"/>
        </w:rPr>
        <w:t>: For Participants who own:</w:t>
      </w:r>
    </w:p>
    <w:p>
      <w:pPr>
        <w:spacing w:after="0" w:line="225" w:lineRule="exact"/>
        <w:rPr>
          <w:sz w:val="20"/>
          <w:szCs w:val="20"/>
          <w:color w:val="auto"/>
        </w:rPr>
      </w:pPr>
    </w:p>
    <w:p>
      <w:pPr>
        <w:ind w:left="980" w:right="26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170"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170" w:lineRule="exact"/>
        <w:rPr>
          <w:sz w:val="20"/>
          <w:szCs w:val="20"/>
          <w:color w:val="auto"/>
        </w:rPr>
      </w:pPr>
    </w:p>
    <w:p>
      <w:pPr>
        <w:ind w:left="980" w:right="220" w:hanging="324"/>
        <w:spacing w:after="0" w:line="259"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Limitation on Yearly Exercise</w:t>
      </w:r>
      <w:r>
        <w:rPr>
          <w:rFonts w:ascii="Arial" w:cs="Arial" w:eastAsia="Arial" w:hAnsi="Arial"/>
          <w:sz w:val="18"/>
          <w:szCs w:val="18"/>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w:t>
      </w:r>
    </w:p>
    <w:p>
      <w:pPr>
        <w:spacing w:after="0" w:line="186" w:lineRule="exact"/>
        <w:rPr>
          <w:rFonts w:ascii="Arial" w:cs="Arial" w:eastAsia="Arial" w:hAnsi="Arial"/>
          <w:sz w:val="18"/>
          <w:szCs w:val="18"/>
          <w:color w:val="auto"/>
        </w:rPr>
      </w:pPr>
    </w:p>
    <w:p>
      <w:pPr>
        <w:ind w:left="520" w:hanging="188"/>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GRANTS.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166" w:lineRule="exact"/>
        <w:rPr>
          <w:sz w:val="20"/>
          <w:szCs w:val="20"/>
          <w:color w:val="auto"/>
        </w:rPr>
      </w:pPr>
    </w:p>
    <w:p>
      <w:pPr>
        <w:jc w:val="both"/>
        <w:ind w:firstLine="332"/>
        <w:spacing w:after="0" w:line="264" w:lineRule="auto"/>
        <w:tabs>
          <w:tab w:leader="none" w:pos="573"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w:t>
      </w:r>
    </w:p>
    <w:p>
      <w:pPr>
        <w:spacing w:after="0" w:line="181" w:lineRule="exact"/>
        <w:rPr>
          <w:rFonts w:ascii="Arial" w:cs="Arial" w:eastAsia="Arial" w:hAnsi="Arial"/>
          <w:sz w:val="18"/>
          <w:szCs w:val="18"/>
          <w:color w:val="auto"/>
        </w:rPr>
      </w:pPr>
    </w:p>
    <w:p>
      <w:pPr>
        <w:ind w:left="580" w:hanging="248"/>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Agreement shall state the number of Shares to which the Stock Grant pertains; and</w:t>
      </w:r>
    </w:p>
    <w:p>
      <w:pPr>
        <w:spacing w:after="0" w:line="225" w:lineRule="exact"/>
        <w:rPr>
          <w:rFonts w:ascii="Arial" w:cs="Arial" w:eastAsia="Arial" w:hAnsi="Arial"/>
          <w:sz w:val="18"/>
          <w:szCs w:val="18"/>
          <w:color w:val="auto"/>
        </w:rPr>
      </w:pPr>
    </w:p>
    <w:p>
      <w:pPr>
        <w:ind w:firstLine="332"/>
        <w:spacing w:after="0" w:line="277" w:lineRule="auto"/>
        <w:tabs>
          <w:tab w:leader="none" w:pos="574"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Agreement shall include the terms of any right of the Company to restrict or reacquire the Shares subject to the Stock Grant, including the time and events upon which such rights shall accrue and the purchase price therefor,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ind w:left="520" w:hanging="188"/>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OTHER STOCK-BASED AWARDS.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Administrator shall have the right to grant other Stock-Based Awards based upon the Common Stock having such terms and conditions as the Administrator may determine, including,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intends that the Plan and any Stock-Based Awards granted hereunder be exempt from the application of Section 409A of the Code or meet the requirements of paragraphs (2), (3) and (4) of subsection (a) 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affect the intent as described in this Paragraph 8.</w:t>
      </w:r>
    </w:p>
    <w:p>
      <w:pPr>
        <w:spacing w:after="0" w:line="171" w:lineRule="exact"/>
        <w:rPr>
          <w:sz w:val="20"/>
          <w:szCs w:val="20"/>
          <w:color w:val="auto"/>
        </w:rPr>
      </w:pPr>
    </w:p>
    <w:p>
      <w:pPr>
        <w:ind w:left="520" w:hanging="188"/>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EXERCISE OF OPTIONS AND ISSUE OF SHARES.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(b), (c), and (d) above or (f)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1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188" w:lineRule="exact"/>
        <w:rPr>
          <w:sz w:val="20"/>
          <w:szCs w:val="20"/>
          <w:color w:val="auto"/>
        </w:rPr>
      </w:pPr>
    </w:p>
    <w:p>
      <w:pPr>
        <w:ind w:left="600" w:hanging="268"/>
        <w:spacing w:after="0"/>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PAYMENT IN CONNECTION WITH THE ISSUANCE OF STOCK GRANTS AND STOCK-BASED AWARDS AND ISSUE OF SHARES.</w:t>
      </w:r>
    </w:p>
    <w:p>
      <w:pPr>
        <w:spacing w:after="0" w:line="22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w:t>
      </w:r>
    </w:p>
    <w:p>
      <w:pPr>
        <w:jc w:val="both"/>
        <w:spacing w:after="0" w:line="231" w:lineRule="auto"/>
        <w:rPr>
          <w:sz w:val="20"/>
          <w:szCs w:val="20"/>
          <w:color w:val="auto"/>
        </w:rPr>
      </w:pPr>
      <w:r>
        <w:rPr>
          <w:rFonts w:ascii="Arial" w:cs="Arial" w:eastAsia="Arial" w:hAnsi="Arial"/>
          <w:sz w:val="17"/>
          <w:szCs w:val="17"/>
          <w:color w:val="auto"/>
        </w:rPr>
        <w:t>Common Stock held for at least six months (if required to avoid negative accounting treatment) and</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having a Fair Market Value equal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8097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both"/>
        <w:ind w:firstLine="8"/>
        <w:spacing w:after="0" w:line="218" w:lineRule="auto"/>
        <w:tabs>
          <w:tab w:leader="none" w:pos="128" w:val="left"/>
        </w:tabs>
        <w:numPr>
          <w:ilvl w:val="0"/>
          <w:numId w:val="72"/>
        </w:numPr>
        <w:rPr>
          <w:rFonts w:ascii="Arial" w:cs="Arial" w:eastAsia="Arial" w:hAnsi="Arial"/>
          <w:sz w:val="30"/>
          <w:szCs w:val="30"/>
          <w:color w:val="auto"/>
          <w:vertAlign w:val="superscript"/>
        </w:rPr>
      </w:pPr>
      <w:r>
        <w:rPr>
          <w:rFonts w:ascii="Arial" w:cs="Arial" w:eastAsia="Arial" w:hAnsi="Arial"/>
          <w:sz w:val="18"/>
          <w:szCs w:val="18"/>
          <w:color w:val="auto"/>
        </w:rPr>
        <w:t>If an employee uses previously owned shares to pay for a stock purchase and those shares have not been held by the employee for at least six months, the company will incur a variable accounting charge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jc w:val="both"/>
        <w:ind w:firstLine="324"/>
        <w:spacing w:after="0" w:line="257" w:lineRule="auto"/>
        <w:rPr>
          <w:sz w:val="20"/>
          <w:szCs w:val="20"/>
          <w:color w:val="auto"/>
        </w:rPr>
      </w:pPr>
      <w:r>
        <w:rPr>
          <w:rFonts w:ascii="Arial" w:cs="Arial" w:eastAsia="Arial" w:hAnsi="Arial"/>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188" w:lineRule="exact"/>
        <w:rPr>
          <w:sz w:val="20"/>
          <w:szCs w:val="20"/>
          <w:color w:val="auto"/>
        </w:rPr>
      </w:pPr>
    </w:p>
    <w:p>
      <w:pPr>
        <w:ind w:left="600" w:hanging="268"/>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166" w:lineRule="exact"/>
        <w:rPr>
          <w:sz w:val="20"/>
          <w:szCs w:val="20"/>
          <w:color w:val="auto"/>
        </w:rPr>
      </w:pPr>
    </w:p>
    <w:p>
      <w:pPr>
        <w:ind w:left="600" w:hanging="268"/>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ASSIGNABILITY AND TRANSFERABILITY OF STOCK RIGHTS.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182" w:lineRule="exact"/>
        <w:rPr>
          <w:sz w:val="20"/>
          <w:szCs w:val="20"/>
          <w:color w:val="auto"/>
        </w:rPr>
      </w:pPr>
    </w:p>
    <w:p>
      <w:pPr>
        <w:ind w:left="600" w:hanging="268"/>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OTHER THAN FOR CAUSE OR DEATH OR DISABILITY.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Except as otherwise provided in a Participant’s Option Agreement, in the event of a termination of service (whether as an Employee, director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Consultant) with the Company or an Affiliate before the Participant has exercised an Option, the following rules apply:</w:t>
      </w:r>
    </w:p>
    <w:p>
      <w:pPr>
        <w:spacing w:after="0" w:line="211" w:lineRule="exact"/>
        <w:rPr>
          <w:sz w:val="20"/>
          <w:szCs w:val="20"/>
          <w:color w:val="auto"/>
        </w:rPr>
      </w:pPr>
    </w:p>
    <w:p>
      <w:pPr>
        <w:jc w:val="both"/>
        <w:ind w:firstLine="332"/>
        <w:spacing w:after="0" w:line="255" w:lineRule="auto"/>
        <w:tabs>
          <w:tab w:leader="none" w:pos="588"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 and in no event later than eighteen months after the Participant’s termination of employment. In addition, the Administrator may extend the period in which the Participant is eligible to exercise any vested Options but in no event may an Option be exercised later than eighteen months after the Participant’s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ind w:firstLine="332"/>
        <w:spacing w:after="0" w:line="277" w:lineRule="auto"/>
        <w:tabs>
          <w:tab w:leader="none" w:pos="583"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Except as provided in Subparagraph (c) below, or Paragraph 15 or 16, in no event may an Option intended to be an ISO, be exercised later than three months after the Participant’s termination of employment.</w:t>
      </w:r>
    </w:p>
    <w:p>
      <w:pPr>
        <w:spacing w:after="0" w:line="170" w:lineRule="exact"/>
        <w:rPr>
          <w:rFonts w:ascii="Arial" w:cs="Arial" w:eastAsia="Arial" w:hAnsi="Arial"/>
          <w:sz w:val="18"/>
          <w:szCs w:val="18"/>
          <w:color w:val="auto"/>
        </w:rPr>
      </w:pPr>
    </w:p>
    <w:p>
      <w:pPr>
        <w:jc w:val="both"/>
        <w:ind w:firstLine="332"/>
        <w:spacing w:after="0" w:line="257" w:lineRule="auto"/>
        <w:tabs>
          <w:tab w:leader="none" w:pos="58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eighteen months after the date of the Participant’s termination of service or twelve months in the case of an ISO, but in no event after the date of expiration of the term of the Option.</w:t>
      </w:r>
    </w:p>
    <w:p>
      <w:pPr>
        <w:spacing w:after="0" w:line="188" w:lineRule="exact"/>
        <w:rPr>
          <w:rFonts w:ascii="Arial" w:cs="Arial" w:eastAsia="Arial" w:hAnsi="Arial"/>
          <w:sz w:val="18"/>
          <w:szCs w:val="18"/>
          <w:color w:val="auto"/>
        </w:rPr>
      </w:pPr>
    </w:p>
    <w:p>
      <w:pPr>
        <w:jc w:val="both"/>
        <w:ind w:firstLine="332"/>
        <w:spacing w:after="0" w:line="259" w:lineRule="auto"/>
        <w:tabs>
          <w:tab w:leader="none" w:pos="6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186" w:lineRule="exact"/>
        <w:rPr>
          <w:rFonts w:ascii="Arial" w:cs="Arial" w:eastAsia="Arial" w:hAnsi="Arial"/>
          <w:sz w:val="18"/>
          <w:szCs w:val="18"/>
          <w:color w:val="auto"/>
        </w:rPr>
      </w:pPr>
    </w:p>
    <w:p>
      <w:pPr>
        <w:jc w:val="both"/>
        <w:ind w:firstLine="332"/>
        <w:spacing w:after="0" w:line="278" w:lineRule="auto"/>
        <w:tabs>
          <w:tab w:leader="none" w:pos="581"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 shall cause such ISO to become a Non-Qualified Option on the 181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following such leave of absence.</w:t>
      </w:r>
    </w:p>
    <w:p>
      <w:pPr>
        <w:spacing w:after="0" w:line="48" w:lineRule="exact"/>
        <w:rPr>
          <w:rFonts w:ascii="Arial" w:cs="Arial" w:eastAsia="Arial" w:hAnsi="Arial"/>
          <w:sz w:val="17"/>
          <w:szCs w:val="17"/>
          <w:color w:val="auto"/>
        </w:rPr>
      </w:pPr>
    </w:p>
    <w:p>
      <w:pPr>
        <w:jc w:val="both"/>
        <w:ind w:firstLine="332"/>
        <w:spacing w:after="0" w:line="264" w:lineRule="auto"/>
        <w:tabs>
          <w:tab w:leader="none" w:pos="5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81" w:lineRule="exact"/>
        <w:rPr>
          <w:sz w:val="20"/>
          <w:szCs w:val="20"/>
          <w:color w:val="auto"/>
        </w:rPr>
      </w:pPr>
    </w:p>
    <w:p>
      <w:pPr>
        <w:ind w:left="600" w:hanging="268"/>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FOR CAUSE.</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124" w:lineRule="exact"/>
        <w:rPr>
          <w:sz w:val="20"/>
          <w:szCs w:val="20"/>
          <w:color w:val="auto"/>
        </w:rPr>
      </w:pPr>
    </w:p>
    <w:p>
      <w:pPr>
        <w:ind w:firstLine="332"/>
        <w:spacing w:after="0" w:line="277" w:lineRule="auto"/>
        <w:tabs>
          <w:tab w:leader="none" w:pos="59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outstanding and unexercised Options as of the time the Participant is notified his or her service is terminated for Cause will immediately be forfeited.</w:t>
      </w:r>
    </w:p>
    <w:p>
      <w:pPr>
        <w:spacing w:after="0" w:line="170" w:lineRule="exact"/>
        <w:rPr>
          <w:rFonts w:ascii="Arial" w:cs="Arial" w:eastAsia="Arial" w:hAnsi="Arial"/>
          <w:sz w:val="18"/>
          <w:szCs w:val="18"/>
          <w:color w:val="auto"/>
        </w:rPr>
      </w:pPr>
    </w:p>
    <w:p>
      <w:pPr>
        <w:jc w:val="both"/>
        <w:ind w:firstLine="332"/>
        <w:spacing w:after="0" w:line="259" w:lineRule="auto"/>
        <w:tabs>
          <w:tab w:leader="none" w:pos="5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ind w:left="340" w:right="4980" w:hanging="8"/>
        <w:spacing w:after="0" w:line="530" w:lineRule="auto"/>
        <w:tabs>
          <w:tab w:leader="none" w:pos="61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 xml:space="preserve">EFFECT ON OPTIONS OF TERMINATION OF SERVICE FOR DISABILITY. </w:t>
      </w:r>
      <w:r>
        <w:rPr>
          <w:rFonts w:ascii="Arial" w:cs="Arial" w:eastAsia="Arial" w:hAnsi="Arial"/>
          <w:sz w:val="17"/>
          <w:szCs w:val="17"/>
          <w:color w:val="auto"/>
        </w:rPr>
        <w:t>Except as otherwise provided in a Participant’s Option Agreement:</w:t>
      </w:r>
    </w:p>
    <w:p>
      <w:pPr>
        <w:spacing w:after="0" w:line="1" w:lineRule="exact"/>
        <w:rPr>
          <w:sz w:val="20"/>
          <w:szCs w:val="20"/>
          <w:color w:val="auto"/>
        </w:rPr>
      </w:pPr>
    </w:p>
    <w:p>
      <w:pPr>
        <w:ind w:right="20" w:firstLine="332"/>
        <w:spacing w:after="0" w:line="277" w:lineRule="auto"/>
        <w:tabs>
          <w:tab w:leader="none" w:pos="589"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by reason of Disability may exercise any Option granted to such Participant:</w:t>
      </w:r>
    </w:p>
    <w:p>
      <w:pPr>
        <w:spacing w:after="0" w:line="170" w:lineRule="exact"/>
        <w:rPr>
          <w:rFonts w:ascii="Arial" w:cs="Arial" w:eastAsia="Arial" w:hAnsi="Arial"/>
          <w:sz w:val="18"/>
          <w:szCs w:val="18"/>
          <w:color w:val="auto"/>
        </w:rPr>
      </w:pPr>
    </w:p>
    <w:p>
      <w:pPr>
        <w:ind w:left="980" w:right="340" w:hanging="324"/>
        <w:spacing w:after="0" w:line="277"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the Participant’s termination of service due to Disability; and</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186" w:lineRule="exact"/>
        <w:rPr>
          <w:rFonts w:ascii="Arial" w:cs="Arial" w:eastAsia="Arial" w:hAnsi="Arial"/>
          <w:sz w:val="18"/>
          <w:szCs w:val="18"/>
          <w:color w:val="auto"/>
        </w:rPr>
      </w:pPr>
    </w:p>
    <w:p>
      <w:pPr>
        <w:jc w:val="both"/>
        <w:ind w:firstLine="332"/>
        <w:spacing w:after="0" w:line="259" w:lineRule="auto"/>
        <w:tabs>
          <w:tab w:leader="none" w:pos="581"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186" w:lineRule="exact"/>
        <w:rPr>
          <w:rFonts w:ascii="Arial" w:cs="Arial" w:eastAsia="Arial" w:hAnsi="Arial"/>
          <w:sz w:val="18"/>
          <w:szCs w:val="18"/>
          <w:color w:val="auto"/>
        </w:rPr>
      </w:pPr>
    </w:p>
    <w:p>
      <w:pPr>
        <w:jc w:val="both"/>
        <w:ind w:firstLine="332"/>
        <w:spacing w:after="0" w:line="259" w:lineRule="auto"/>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87" w:lineRule="exact"/>
        <w:rPr>
          <w:sz w:val="20"/>
          <w:szCs w:val="20"/>
          <w:color w:val="auto"/>
        </w:rPr>
      </w:pPr>
    </w:p>
    <w:p>
      <w:pPr>
        <w:ind w:left="340" w:right="3680" w:hanging="8"/>
        <w:spacing w:after="0" w:line="501" w:lineRule="auto"/>
        <w:tabs>
          <w:tab w:leader="none" w:pos="61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 xml:space="preserve">EFFECT ON OPTIONS OF DEATH WHILE AN EMPLOYEE, DIRECTOR OR CONSULTANT. </w:t>
      </w:r>
      <w:r>
        <w:rPr>
          <w:rFonts w:ascii="Arial" w:cs="Arial" w:eastAsia="Arial" w:hAnsi="Arial"/>
          <w:sz w:val="18"/>
          <w:szCs w:val="18"/>
          <w:color w:val="auto"/>
        </w:rPr>
        <w:t>Except as otherwise provided in a Participant’s Option Agreement:</w:t>
      </w:r>
    </w:p>
    <w:p>
      <w:pPr>
        <w:ind w:firstLine="332"/>
        <w:spacing w:after="0" w:line="277" w:lineRule="auto"/>
        <w:tabs>
          <w:tab w:leader="none" w:pos="5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event of the death of a Participant while the Participant is an Employee, director or Consultant of the Company or of an Affiliate, such Option may be exercised by the Participant’s Survivors: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death; and</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81" w:lineRule="exact"/>
        <w:rPr>
          <w:rFonts w:ascii="Arial" w:cs="Arial" w:eastAsia="Arial" w:hAnsi="Arial"/>
          <w:sz w:val="18"/>
          <w:szCs w:val="18"/>
          <w:color w:val="auto"/>
        </w:rPr>
      </w:pPr>
    </w:p>
    <w:p>
      <w:pPr>
        <w:jc w:val="both"/>
        <w:ind w:firstLine="332"/>
        <w:spacing w:after="0" w:line="312" w:lineRule="auto"/>
        <w:tabs>
          <w:tab w:leader="none" w:pos="588"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47" w:lineRule="exact"/>
        <w:rPr>
          <w:sz w:val="20"/>
          <w:szCs w:val="20"/>
          <w:color w:val="auto"/>
        </w:rPr>
      </w:pPr>
    </w:p>
    <w:p>
      <w:pPr>
        <w:ind w:left="600" w:hanging="268"/>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 ON STOCK GRANTS AND STOCK-BASED AWARDS.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purposes of this Paragraph 17 and Paragraph 18 below, a Participant to whom a Stock Grant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jc w:val="both"/>
        <w:ind w:right="20" w:firstLine="324"/>
        <w:spacing w:after="0" w:line="264" w:lineRule="auto"/>
        <w:rPr>
          <w:sz w:val="20"/>
          <w:szCs w:val="20"/>
          <w:color w:val="auto"/>
        </w:rPr>
      </w:pPr>
      <w:r>
        <w:rPr>
          <w:rFonts w:ascii="Arial" w:cs="Arial" w:eastAsia="Arial" w:hAnsi="Arial"/>
          <w:sz w:val="18"/>
          <w:szCs w:val="18"/>
          <w:color w:val="auto"/>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181" w:lineRule="exact"/>
        <w:rPr>
          <w:sz w:val="20"/>
          <w:szCs w:val="20"/>
          <w:color w:val="auto"/>
        </w:rPr>
      </w:pPr>
    </w:p>
    <w:p>
      <w:pPr>
        <w:ind w:left="600" w:hanging="268"/>
        <w:spacing w:after="0"/>
        <w:tabs>
          <w:tab w:leader="none" w:pos="6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OTHER THAN FOR CAUSE OR DEATH OR DISABILITY.</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shall have lapsed, then the Company shall have the right to cancel or repurchase that number of Shares subject to a Stock Grant as to which the Company’s forfeiture or repurchase rights have not lapsed.</w:t>
      </w:r>
    </w:p>
    <w:p>
      <w:pPr>
        <w:spacing w:after="0" w:line="171" w:lineRule="exact"/>
        <w:rPr>
          <w:sz w:val="20"/>
          <w:szCs w:val="20"/>
          <w:color w:val="auto"/>
        </w:rPr>
      </w:pPr>
    </w:p>
    <w:p>
      <w:pPr>
        <w:ind w:left="600" w:hanging="268"/>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CAUSE.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Except as otherwise provided in a Participant’s Stock Grant Agreement, the following rules apply if the Participant’s service (whether as an Employee, director or Consultant) with the Company or an Affiliate is terminated for Cause:</w:t>
      </w:r>
    </w:p>
    <w:p>
      <w:pPr>
        <w:spacing w:after="0" w:line="170" w:lineRule="exact"/>
        <w:rPr>
          <w:sz w:val="20"/>
          <w:szCs w:val="20"/>
          <w:color w:val="auto"/>
        </w:rPr>
      </w:pPr>
    </w:p>
    <w:p>
      <w:pPr>
        <w:ind w:firstLine="332"/>
        <w:spacing w:after="0" w:line="277" w:lineRule="auto"/>
        <w:tabs>
          <w:tab w:leader="none" w:pos="594"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Shares subject to any Stock Grant whether or not then subject to forfeiture or repurchase shall be immediately subject to repurchase by the Company at par value.</w:t>
      </w:r>
    </w:p>
    <w:p>
      <w:pPr>
        <w:spacing w:after="0" w:line="170" w:lineRule="exact"/>
        <w:rPr>
          <w:rFonts w:ascii="Arial" w:cs="Arial" w:eastAsia="Arial" w:hAnsi="Arial"/>
          <w:sz w:val="18"/>
          <w:szCs w:val="18"/>
          <w:color w:val="auto"/>
        </w:rPr>
      </w:pPr>
    </w:p>
    <w:p>
      <w:pPr>
        <w:jc w:val="both"/>
        <w:ind w:firstLine="332"/>
        <w:spacing w:after="0" w:line="302" w:lineRule="auto"/>
        <w:tabs>
          <w:tab w:leader="none" w:pos="586" w:val="left"/>
        </w:tabs>
        <w:numPr>
          <w:ilvl w:val="0"/>
          <w:numId w:val="87"/>
        </w:numPr>
        <w:rPr>
          <w:rFonts w:ascii="Arial" w:cs="Arial" w:eastAsia="Arial" w:hAnsi="Arial"/>
          <w:sz w:val="16"/>
          <w:szCs w:val="16"/>
          <w:color w:val="auto"/>
        </w:rPr>
      </w:pPr>
      <w:r>
        <w:rPr>
          <w:rFonts w:ascii="Arial" w:cs="Arial" w:eastAsia="Arial" w:hAnsi="Arial"/>
          <w:sz w:val="16"/>
          <w:szCs w:val="16"/>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154" w:lineRule="exact"/>
        <w:rPr>
          <w:sz w:val="20"/>
          <w:szCs w:val="20"/>
          <w:color w:val="auto"/>
        </w:rPr>
      </w:pPr>
    </w:p>
    <w:p>
      <w:pPr>
        <w:ind w:left="600" w:hanging="268"/>
        <w:spacing w:after="0"/>
        <w:tabs>
          <w:tab w:leader="none" w:pos="6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DISABILITY.</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87" w:lineRule="exact"/>
        <w:rPr>
          <w:sz w:val="20"/>
          <w:szCs w:val="20"/>
          <w:color w:val="auto"/>
        </w:rPr>
      </w:pPr>
    </w:p>
    <w:p>
      <w:pPr>
        <w:ind w:left="600" w:hanging="268"/>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DEATH WHILE AN EMPLOYEE, DIRECTOR OR CONSULTANT.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left="600" w:hanging="268"/>
        <w:spacing w:after="0"/>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170" w:lineRule="exact"/>
        <w:rPr>
          <w:sz w:val="20"/>
          <w:szCs w:val="20"/>
          <w:color w:val="auto"/>
        </w:rPr>
      </w:pPr>
    </w:p>
    <w:p>
      <w:pPr>
        <w:jc w:val="both"/>
        <w:ind w:firstLine="332"/>
        <w:spacing w:after="0" w:line="259" w:lineRule="auto"/>
        <w:tabs>
          <w:tab w:leader="none" w:pos="57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187" w:lineRule="exact"/>
        <w:rPr>
          <w:sz w:val="20"/>
          <w:szCs w:val="20"/>
          <w:color w:val="auto"/>
        </w:rPr>
      </w:pPr>
    </w:p>
    <w:p>
      <w:pPr>
        <w:ind w:firstLine="332"/>
        <w:spacing w:after="0" w:line="277" w:lineRule="auto"/>
        <w:tabs>
          <w:tab w:leader="none" w:pos="588"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the discretion of the Administrator, the Company shall have received an opinion of its counsel that the Shares may be issued in compliance with the Securities Act without registration thereunder.</w:t>
      </w:r>
    </w:p>
    <w:p>
      <w:pPr>
        <w:spacing w:after="0" w:line="170" w:lineRule="exact"/>
        <w:rPr>
          <w:sz w:val="20"/>
          <w:szCs w:val="20"/>
          <w:color w:val="auto"/>
        </w:rPr>
      </w:pPr>
    </w:p>
    <w:p>
      <w:pPr>
        <w:ind w:left="600" w:hanging="268"/>
        <w:spacing w:after="0"/>
        <w:tabs>
          <w:tab w:leader="none" w:pos="6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 OF THE COMPANY.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189" w:lineRule="exact"/>
        <w:rPr>
          <w:sz w:val="20"/>
          <w:szCs w:val="20"/>
          <w:color w:val="auto"/>
        </w:rPr>
      </w:pPr>
    </w:p>
    <w:p>
      <w:pPr>
        <w:ind w:left="600" w:hanging="268"/>
        <w:spacing w:after="0"/>
        <w:tabs>
          <w:tab w:leader="none" w:pos="6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ADJUSTMENTS.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170" w:lineRule="exact"/>
        <w:rPr>
          <w:sz w:val="20"/>
          <w:szCs w:val="20"/>
          <w:color w:val="auto"/>
        </w:rPr>
      </w:pPr>
    </w:p>
    <w:p>
      <w:pPr>
        <w:jc w:val="both"/>
        <w:ind w:firstLine="332"/>
        <w:spacing w:after="0" w:line="273" w:lineRule="auto"/>
        <w:tabs>
          <w:tab w:leader="none" w:pos="569"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Stock Dividends and Stock Splits</w:t>
      </w:r>
      <w:r>
        <w:rPr>
          <w:rFonts w:ascii="Arial" w:cs="Arial" w:eastAsia="Arial" w:hAnsi="Arial"/>
          <w:sz w:val="17"/>
          <w:szCs w:val="17"/>
          <w:color w:val="auto"/>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 3(a) and 4(c) shall also be proportionately adjusted upon the occurrence of such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jc w:val="both"/>
        <w:ind w:firstLine="332"/>
        <w:spacing w:after="0" w:line="268" w:lineRule="auto"/>
        <w:tabs>
          <w:tab w:leader="none" w:pos="606"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xml:space="preserve">. If the Company is to be consolidated with or acquired by another entity in a merger, 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vested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7"/>
          <w:szCs w:val="17"/>
          <w:u w:val="single" w:color="auto"/>
          <w:color w:val="auto"/>
        </w:rPr>
        <w:t>less the aggregate</w:t>
      </w:r>
      <w:r>
        <w:rPr>
          <w:rFonts w:ascii="Arial" w:cs="Arial" w:eastAsia="Arial" w:hAnsi="Arial"/>
          <w:sz w:val="17"/>
          <w:szCs w:val="17"/>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18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Notwithstanding the foregoing, in the event the Corporate Transaction also constitutes a Change of Control, then all Options outstanding on the date of the Corporate Transaction shall have vesting acceleration until the next vesting date, unless otherwise agreed upon with the Administrator.</w:t>
      </w:r>
    </w:p>
    <w:p>
      <w:pPr>
        <w:spacing w:after="0" w:line="1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170" w:lineRule="exact"/>
        <w:rPr>
          <w:sz w:val="20"/>
          <w:szCs w:val="20"/>
          <w:color w:val="auto"/>
        </w:rPr>
      </w:pPr>
    </w:p>
    <w:p>
      <w:pPr>
        <w:jc w:val="both"/>
        <w:ind w:firstLine="332"/>
        <w:spacing w:after="0" w:line="257" w:lineRule="auto"/>
        <w:tabs>
          <w:tab w:leader="none" w:pos="569"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Recapitalization or Reorganization</w:t>
      </w:r>
      <w:r>
        <w:rPr>
          <w:rFonts w:ascii="Arial" w:cs="Arial" w:eastAsia="Arial" w:hAnsi="Arial"/>
          <w:sz w:val="18"/>
          <w:szCs w:val="18"/>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88" w:lineRule="exact"/>
        <w:rPr>
          <w:rFonts w:ascii="Arial" w:cs="Arial" w:eastAsia="Arial" w:hAnsi="Arial"/>
          <w:sz w:val="18"/>
          <w:szCs w:val="18"/>
          <w:color w:val="auto"/>
        </w:rPr>
      </w:pPr>
    </w:p>
    <w:p>
      <w:pPr>
        <w:jc w:val="both"/>
        <w:ind w:firstLine="332"/>
        <w:spacing w:after="0" w:line="259" w:lineRule="auto"/>
        <w:tabs>
          <w:tab w:leader="none" w:pos="59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Adjustments to Stock-Based Awards</w:t>
      </w:r>
      <w:r>
        <w:rPr>
          <w:rFonts w:ascii="Arial" w:cs="Arial" w:eastAsia="Arial" w:hAnsi="Arial"/>
          <w:sz w:val="18"/>
          <w:szCs w:val="18"/>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Change of Control and, subject to Paragraph 4, its determination shall be conclusive.</w:t>
      </w:r>
    </w:p>
    <w:p>
      <w:pPr>
        <w:spacing w:after="0" w:line="186" w:lineRule="exact"/>
        <w:rPr>
          <w:rFonts w:ascii="Arial" w:cs="Arial" w:eastAsia="Arial" w:hAnsi="Arial"/>
          <w:sz w:val="18"/>
          <w:szCs w:val="18"/>
          <w:color w:val="auto"/>
        </w:rPr>
      </w:pPr>
    </w:p>
    <w:p>
      <w:pPr>
        <w:jc w:val="both"/>
        <w:ind w:firstLine="332"/>
        <w:spacing w:after="0" w:line="271" w:lineRule="auto"/>
        <w:tabs>
          <w:tab w:leader="none" w:pos="596"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Modification of Options</w:t>
      </w:r>
      <w:r>
        <w:rPr>
          <w:rFonts w:ascii="Arial" w:cs="Arial" w:eastAsia="Arial" w:hAnsi="Arial"/>
          <w:sz w:val="17"/>
          <w:szCs w:val="17"/>
          <w:color w:val="auto"/>
        </w:rPr>
        <w:t>. Notwithstanding the foregoing, any adjustments made 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ind w:left="600" w:hanging="268"/>
        <w:spacing w:after="0"/>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ISSUANCES OF SECURITIES.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87" w:lineRule="exact"/>
        <w:rPr>
          <w:sz w:val="20"/>
          <w:szCs w:val="20"/>
          <w:color w:val="auto"/>
        </w:rPr>
      </w:pPr>
    </w:p>
    <w:p>
      <w:pPr>
        <w:ind w:left="600" w:hanging="268"/>
        <w:spacing w:after="0"/>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FRACTIONAL SHARES.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 fractional shares shall be issued under the Plan and the person exercising a Stock Right shall receive from the Company cash in lieu of such fractional shares equal to the Fair Market Value thereof.</w:t>
      </w:r>
    </w:p>
    <w:p>
      <w:pPr>
        <w:spacing w:after="0" w:line="170" w:lineRule="exact"/>
        <w:rPr>
          <w:sz w:val="20"/>
          <w:szCs w:val="20"/>
          <w:color w:val="auto"/>
        </w:rPr>
      </w:pPr>
    </w:p>
    <w:p>
      <w:pPr>
        <w:ind w:left="600" w:hanging="268"/>
        <w:spacing w:after="0"/>
        <w:tabs>
          <w:tab w:leader="none" w:pos="6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CONVERSION OF ISOs INTO NON-QUALIFIED OPTIONS; TERMINATION OF ISOs.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Administrator, at the written request of any Participant, may in its discretion take such actions as may be necessary to convert such Participant’s ISOs (or any portions thereof) that have not been exercised on the date of conversion into Non-Qualified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Non-Qualified Options as the Administrator in its discretion may determine, provided that such conditions shall not be inconsistent with this Plan. Nothing in the Plan shall be deemed to give any Participant the right to have such Participant’s ISOs converted into Non-Qualified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192" w:lineRule="exact"/>
        <w:rPr>
          <w:sz w:val="20"/>
          <w:szCs w:val="20"/>
          <w:color w:val="auto"/>
        </w:rPr>
      </w:pPr>
    </w:p>
    <w:p>
      <w:pPr>
        <w:ind w:left="600" w:hanging="268"/>
        <w:spacing w:after="0"/>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WITHHOLDING.</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169" w:lineRule="exact"/>
        <w:rPr>
          <w:sz w:val="20"/>
          <w:szCs w:val="20"/>
          <w:color w:val="auto"/>
        </w:rPr>
      </w:pPr>
    </w:p>
    <w:p>
      <w:pPr>
        <w:ind w:left="600" w:hanging="268"/>
        <w:spacing w:after="0"/>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NOTICE TO COMPANY OF DISQUALIFYING DISPOSITION.</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Each Employee who receives an ISO must agree to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ind w:left="600" w:hanging="268"/>
        <w:spacing w:after="0"/>
        <w:tabs>
          <w:tab w:leader="none" w:pos="6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Plan will terminate on the date which is ten years from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187" w:lineRule="exact"/>
        <w:rPr>
          <w:sz w:val="20"/>
          <w:szCs w:val="20"/>
          <w:color w:val="auto"/>
        </w:rPr>
      </w:pPr>
    </w:p>
    <w:p>
      <w:pPr>
        <w:ind w:left="600" w:hanging="268"/>
        <w:spacing w:after="0"/>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AGREEMENTS.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In addition, if NYSE Amex amends its corporate governance rules so that such rules no longer require stockholder approval of “material amendments” of equity compensation plans, then, from and after the effective date of such an amendment to such rules, no amendment of the Plan which (i) materially increases the number of shares to be issued under the Plan (other than to reflect a reorganization, stock split, merger, spin-off or similar transaction); (ii) materially increases the benefits to Participants, including any material change to: (a) permit a repricing (or decrease in exercise price) of outstanding Options, (b) reduce the price at which Shares or Options may be offered, or (c) extend the duration of the Plan; (iii) materially expands the class of Participants eligible to participate in the Plan; or (iv) expands the types of awards provided under the Plan shall become effective unless stockholder approval is obtained.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169" w:lineRule="exact"/>
        <w:rPr>
          <w:sz w:val="20"/>
          <w:szCs w:val="20"/>
          <w:color w:val="auto"/>
        </w:rPr>
      </w:pPr>
    </w:p>
    <w:p>
      <w:pPr>
        <w:ind w:left="600" w:hanging="268"/>
        <w:spacing w:after="0"/>
        <w:tabs>
          <w:tab w:leader="none" w:pos="6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EMPLOYMENT OR OTHER RELATIONSHIP.</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181" w:lineRule="exact"/>
        <w:rPr>
          <w:sz w:val="20"/>
          <w:szCs w:val="20"/>
          <w:color w:val="auto"/>
        </w:rPr>
      </w:pPr>
    </w:p>
    <w:p>
      <w:pPr>
        <w:ind w:left="600" w:hanging="268"/>
        <w:spacing w:after="0"/>
        <w:tabs>
          <w:tab w:leader="none" w:pos="6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Plan shall be construed and enforced in accordance with the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 — ISRAEL</w:t>
      </w:r>
    </w:p>
    <w:p>
      <w:pPr>
        <w:spacing w:after="0" w:line="229" w:lineRule="exact"/>
        <w:rPr>
          <w:sz w:val="20"/>
          <w:szCs w:val="20"/>
          <w:color w:val="auto"/>
        </w:rPr>
      </w:pPr>
    </w:p>
    <w:p>
      <w:pPr>
        <w:ind w:left="560" w:hanging="322"/>
        <w:spacing w:after="0"/>
        <w:tabs>
          <w:tab w:leader="none" w:pos="5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NAME AND EFFECTIVE DATE</w:t>
      </w:r>
    </w:p>
    <w:p>
      <w:pPr>
        <w:spacing w:after="0" w:line="221" w:lineRule="exact"/>
        <w:rPr>
          <w:sz w:val="20"/>
          <w:szCs w:val="20"/>
          <w:color w:val="auto"/>
        </w:rPr>
      </w:pPr>
    </w:p>
    <w:p>
      <w:pPr>
        <w:jc w:val="both"/>
        <w:ind w:left="380" w:hanging="323"/>
        <w:spacing w:after="0" w:line="266" w:lineRule="auto"/>
        <w:rPr>
          <w:sz w:val="20"/>
          <w:szCs w:val="20"/>
          <w:color w:val="auto"/>
        </w:rPr>
      </w:pPr>
      <w:r>
        <w:rPr>
          <w:rFonts w:ascii="Arial" w:cs="Arial" w:eastAsia="Arial" w:hAnsi="Arial"/>
          <w:sz w:val="18"/>
          <w:szCs w:val="18"/>
          <w:color w:val="auto"/>
        </w:rPr>
        <w:t>1.1 This Appendix A (the “</w:t>
      </w:r>
      <w:r>
        <w:rPr>
          <w:rFonts w:ascii="Arial" w:cs="Arial" w:eastAsia="Arial" w:hAnsi="Arial"/>
          <w:sz w:val="18"/>
          <w:szCs w:val="18"/>
          <w:b w:val="1"/>
          <w:bCs w:val="1"/>
          <w:color w:val="auto"/>
        </w:rPr>
        <w:t>Appendix</w:t>
      </w:r>
      <w:r>
        <w:rPr>
          <w:rFonts w:ascii="Arial" w:cs="Arial" w:eastAsia="Arial" w:hAnsi="Arial"/>
          <w:sz w:val="18"/>
          <w:szCs w:val="18"/>
          <w:color w:val="auto"/>
        </w:rPr>
        <w:t>”) to the XpresSpa Group, Inc. 2012 Employee, Director and Consultant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shall apply only to individuals who are granted Stock Grants, Stock Rights or Options who are residents of the State of Israel for tax purposes, or are otherwise subject to taxation in Israel with respect to Options.</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1.2 This Appendix shall be effective as of September 12, 2012.</w:t>
      </w:r>
    </w:p>
    <w:p>
      <w:pPr>
        <w:spacing w:after="0" w:line="225" w:lineRule="exact"/>
        <w:rPr>
          <w:sz w:val="20"/>
          <w:szCs w:val="20"/>
          <w:color w:val="auto"/>
        </w:rPr>
      </w:pPr>
    </w:p>
    <w:p>
      <w:pPr>
        <w:ind w:left="1040" w:hanging="330"/>
        <w:spacing w:after="0"/>
        <w:tabs>
          <w:tab w:leader="none" w:pos="10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PURPOSE</w:t>
      </w:r>
    </w:p>
    <w:p>
      <w:pPr>
        <w:spacing w:after="0" w:line="225" w:lineRule="exact"/>
        <w:rPr>
          <w:sz w:val="20"/>
          <w:szCs w:val="20"/>
          <w:color w:val="auto"/>
        </w:rPr>
      </w:pPr>
    </w:p>
    <w:p>
      <w:pPr>
        <w:jc w:val="both"/>
        <w:ind w:left="380" w:hanging="323"/>
        <w:spacing w:after="0" w:line="259" w:lineRule="auto"/>
        <w:rPr>
          <w:sz w:val="20"/>
          <w:szCs w:val="20"/>
          <w:color w:val="auto"/>
        </w:rPr>
      </w:pPr>
      <w:r>
        <w:rPr>
          <w:rFonts w:ascii="Arial" w:cs="Arial" w:eastAsia="Arial" w:hAnsi="Arial"/>
          <w:sz w:val="18"/>
          <w:szCs w:val="18"/>
          <w:color w:val="auto"/>
        </w:rPr>
        <w:t>2.1 This Appendix applies to Stock Grants, Stock Rights or Options granted to Israeli Participants under the Plan and such Stock Grants, Stock Rights and Options shall comply with Amendment no. 132 of the Israeli Tax Ordinance which is effective with respect to Options granted as of January 1, 2003 and may or may not contain such terms as will qualify such options for the special tax treatment under Section 102(b) of the Ordinance and the Rules (“</w:t>
      </w:r>
      <w:r>
        <w:rPr>
          <w:rFonts w:ascii="Arial" w:cs="Arial" w:eastAsia="Arial" w:hAnsi="Arial"/>
          <w:sz w:val="18"/>
          <w:szCs w:val="18"/>
          <w:b w:val="1"/>
          <w:bCs w:val="1"/>
          <w:color w:val="auto"/>
        </w:rPr>
        <w:t>102</w:t>
      </w:r>
      <w:r>
        <w:rPr>
          <w:rFonts w:ascii="Arial" w:cs="Arial" w:eastAsia="Arial" w:hAnsi="Arial"/>
          <w:sz w:val="18"/>
          <w:szCs w:val="18"/>
          <w:color w:val="auto"/>
        </w:rPr>
        <w:t xml:space="preserve"> </w:t>
      </w:r>
      <w:r>
        <w:rPr>
          <w:rFonts w:ascii="Arial" w:cs="Arial" w:eastAsia="Arial" w:hAnsi="Arial"/>
          <w:sz w:val="18"/>
          <w:szCs w:val="18"/>
          <w:b w:val="1"/>
          <w:bCs w:val="1"/>
          <w:color w:val="auto"/>
        </w:rPr>
        <w:t>Options</w:t>
      </w:r>
      <w:r>
        <w:rPr>
          <w:rFonts w:ascii="Arial" w:cs="Arial" w:eastAsia="Arial" w:hAnsi="Arial"/>
          <w:sz w:val="18"/>
          <w:szCs w:val="18"/>
          <w:color w:val="auto"/>
        </w:rPr>
        <w:t>”).</w:t>
      </w:r>
    </w:p>
    <w:p>
      <w:pPr>
        <w:spacing w:after="0" w:line="187" w:lineRule="exact"/>
        <w:rPr>
          <w:sz w:val="20"/>
          <w:szCs w:val="20"/>
          <w:color w:val="auto"/>
        </w:rPr>
      </w:pPr>
    </w:p>
    <w:p>
      <w:pPr>
        <w:jc w:val="both"/>
        <w:ind w:left="340" w:hanging="269"/>
        <w:spacing w:after="0" w:line="264" w:lineRule="auto"/>
        <w:rPr>
          <w:sz w:val="20"/>
          <w:szCs w:val="20"/>
          <w:color w:val="auto"/>
        </w:rPr>
      </w:pPr>
      <w:r>
        <w:rPr>
          <w:rFonts w:ascii="Arial" w:cs="Arial" w:eastAsia="Arial" w:hAnsi="Arial"/>
          <w:sz w:val="18"/>
          <w:szCs w:val="18"/>
          <w:color w:val="auto"/>
        </w:rPr>
        <w:t>2.2 The purpose of this Appendix is to establish certain rules and limitations applicable to Stock Grants, Stock Rights and Options that may be granted under the Plan from time to time, in compliance with securities and other applicable laws currently in force in the State of Israel. Except as otherwise provided by this Appendix, all grants made pursuant to this Appendix shall be governed by the terms of the Plan.</w:t>
      </w:r>
    </w:p>
    <w:p>
      <w:pPr>
        <w:spacing w:after="0" w:line="181" w:lineRule="exact"/>
        <w:rPr>
          <w:sz w:val="20"/>
          <w:szCs w:val="20"/>
          <w:color w:val="auto"/>
        </w:rPr>
      </w:pPr>
    </w:p>
    <w:p>
      <w:pPr>
        <w:ind w:left="840" w:hanging="332"/>
        <w:spacing w:after="0"/>
        <w:tabs>
          <w:tab w:leader="none" w:pos="8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380" w:right="20" w:hanging="323"/>
        <w:spacing w:after="0" w:line="277" w:lineRule="auto"/>
        <w:rPr>
          <w:sz w:val="20"/>
          <w:szCs w:val="20"/>
          <w:color w:val="auto"/>
        </w:rPr>
      </w:pPr>
      <w:r>
        <w:rPr>
          <w:rFonts w:ascii="Arial" w:cs="Arial" w:eastAsia="Arial" w:hAnsi="Arial"/>
          <w:sz w:val="18"/>
          <w:szCs w:val="18"/>
          <w:color w:val="auto"/>
        </w:rPr>
        <w:t>3.1 Capitalized Terms not otherwise defined herein shall have the meanings assigned in the Plan. The following additional terms will apply to grants made pursuant to this Appendix:</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3(i)</w:t>
      </w:r>
      <w:r>
        <w:rPr>
          <w:rFonts w:ascii="Arial" w:cs="Arial" w:eastAsia="Arial" w:hAnsi="Arial"/>
          <w:sz w:val="18"/>
          <w:szCs w:val="18"/>
          <w:color w:val="auto"/>
        </w:rPr>
        <w:t xml:space="preserve"> Stock Grants, Stock Rights or </w:t>
      </w:r>
      <w:r>
        <w:rPr>
          <w:rFonts w:ascii="Arial" w:cs="Arial" w:eastAsia="Arial" w:hAnsi="Arial"/>
          <w:sz w:val="18"/>
          <w:szCs w:val="18"/>
          <w:b w:val="1"/>
          <w:bCs w:val="1"/>
          <w:color w:val="auto"/>
        </w:rPr>
        <w:t>Option</w:t>
      </w:r>
      <w:r>
        <w:rPr>
          <w:rFonts w:ascii="Arial" w:cs="Arial" w:eastAsia="Arial" w:hAnsi="Arial"/>
          <w:sz w:val="18"/>
          <w:szCs w:val="18"/>
          <w:color w:val="auto"/>
        </w:rPr>
        <w:t>” means a Stock Grants, Stock Rights or an Option granted under the terms of Section 3(i) of the Ordinance to persons which do not qualify as “employees” under the provisions of Section 102.</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 Track Election</w:t>
      </w:r>
      <w:r>
        <w:rPr>
          <w:rFonts w:ascii="Arial" w:cs="Arial" w:eastAsia="Arial" w:hAnsi="Arial"/>
          <w:sz w:val="18"/>
          <w:szCs w:val="18"/>
          <w:color w:val="auto"/>
        </w:rPr>
        <w:t>” means the right of the Company to prefer either the “Capital Track” (as set under Section 102(b)(2)), or the “Ordinary Income Track” (as set under Section 102(b)(1)), but subject to the provisions of Section 102(g) of the Ordinance.</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w:t>
      </w:r>
      <w:r>
        <w:rPr>
          <w:rFonts w:ascii="Arial" w:cs="Arial" w:eastAsia="Arial" w:hAnsi="Arial"/>
          <w:sz w:val="18"/>
          <w:szCs w:val="18"/>
          <w:color w:val="auto"/>
        </w:rPr>
        <w:t xml:space="preserve"> Stock Grant, Stock Right or an </w:t>
      </w:r>
      <w:r>
        <w:rPr>
          <w:rFonts w:ascii="Arial" w:cs="Arial" w:eastAsia="Arial" w:hAnsi="Arial"/>
          <w:sz w:val="18"/>
          <w:szCs w:val="18"/>
          <w:b w:val="1"/>
          <w:bCs w:val="1"/>
          <w:color w:val="auto"/>
        </w:rPr>
        <w:t>Option</w:t>
      </w:r>
      <w:r>
        <w:rPr>
          <w:rFonts w:ascii="Arial" w:cs="Arial" w:eastAsia="Arial" w:hAnsi="Arial"/>
          <w:sz w:val="18"/>
          <w:szCs w:val="18"/>
          <w:color w:val="auto"/>
        </w:rPr>
        <w:t>” means a Stock Grant, Stock Right or an Option intended to qualify, under the provisions of Section 102(b) of the Ordinance (including the Section 102(b) Choice of Track), as either:</w:t>
      </w:r>
    </w:p>
    <w:p>
      <w:pPr>
        <w:spacing w:after="0" w:line="162"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102(b)(2) Option</w:t>
      </w:r>
      <w:r>
        <w:rPr>
          <w:rFonts w:ascii="Arial" w:cs="Arial" w:eastAsia="Arial" w:hAnsi="Arial"/>
          <w:sz w:val="18"/>
          <w:szCs w:val="18"/>
          <w:color w:val="auto"/>
        </w:rPr>
        <w:t>” for the special tax treatments under the “Capital Track”,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102(b)(1) Option</w:t>
      </w:r>
      <w:r>
        <w:rPr>
          <w:rFonts w:ascii="Arial" w:cs="Arial" w:eastAsia="Arial" w:hAnsi="Arial"/>
          <w:sz w:val="18"/>
          <w:szCs w:val="18"/>
          <w:color w:val="auto"/>
        </w:rPr>
        <w:t>” for the special tax treatments under the “Ordinary Income Track”.</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“employing company” within the meaning of Section 102 of the Ordinance which includes (i) any company which is a Controlling Person of the Company, or (ii) that the Company is a Controlling Person of such company, or (iii) that the Company and such company are controlled by the same Controlling Person, as such term may be amended from time to time.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Controlling Person</w:t>
      </w:r>
      <w:r>
        <w:rPr>
          <w:rFonts w:ascii="Arial" w:cs="Arial" w:eastAsia="Arial" w:hAnsi="Arial"/>
          <w:sz w:val="17"/>
          <w:szCs w:val="17"/>
          <w:color w:val="auto"/>
        </w:rPr>
        <w:t>” shall have the meaning ascribed to such definition under Section 102 of the Ordinance, as may be amended from time to time.</w:t>
      </w:r>
    </w:p>
    <w:p>
      <w:pPr>
        <w:spacing w:after="0" w:line="237"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or “</w:t>
      </w:r>
      <w:r>
        <w:rPr>
          <w:rFonts w:ascii="Arial" w:cs="Arial" w:eastAsia="Arial" w:hAnsi="Arial"/>
          <w:sz w:val="16"/>
          <w:szCs w:val="16"/>
          <w:b w:val="1"/>
          <w:bCs w:val="1"/>
          <w:color w:val="auto"/>
        </w:rPr>
        <w:t>employee</w:t>
      </w:r>
      <w:r>
        <w:rPr>
          <w:rFonts w:ascii="Arial" w:cs="Arial" w:eastAsia="Arial" w:hAnsi="Arial"/>
          <w:sz w:val="16"/>
          <w:szCs w:val="16"/>
          <w:color w:val="auto"/>
        </w:rPr>
        <w:t>” for the purposes of Section 102 to the Ordinance shall mean a person who is employed by the Company or its Affiliates, including an officer and a director but excluding a Controlling Person, as such term may be amended from time to time under Section 102 of the Ordinance.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of the 102(b)(2) Option, 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 In all other cases Fair Market Value shall be as defined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Ordinance”</w:t>
      </w:r>
      <w:r>
        <w:rPr>
          <w:rFonts w:ascii="Arial" w:cs="Arial" w:eastAsia="Arial" w:hAnsi="Arial"/>
          <w:sz w:val="18"/>
          <w:szCs w:val="18"/>
          <w:color w:val="auto"/>
        </w:rPr>
        <w:t xml:space="preserve"> means the Israeli Income Tax Ordinance (New Version), 5721-1961, and the rules, regulations, orders or procedures promulgated thereunder and any amendments thereto, including specifically the Rules, all as may be amended from time to time.</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w:t>
      </w:r>
      <w:r>
        <w:rPr>
          <w:rFonts w:ascii="Arial" w:cs="Arial" w:eastAsia="Arial" w:hAnsi="Arial"/>
          <w:sz w:val="18"/>
          <w:szCs w:val="18"/>
          <w:color w:val="auto"/>
        </w:rPr>
        <w:t>” means rights issued or distributed in respect of Shares issued pursuant to exercise of Stock Grants, Stock Rights or Options under the Appendix, including bonus shares but excluding cash dividends.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xml:space="preserve"> means the Income Tax Rules (Tax Benefits in Share Issuances to Employees) 5763-2003.</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Unapproved 102 Options</w:t>
      </w:r>
      <w:r>
        <w:rPr>
          <w:rFonts w:ascii="Arial" w:cs="Arial" w:eastAsia="Arial" w:hAnsi="Arial"/>
          <w:sz w:val="18"/>
          <w:szCs w:val="18"/>
          <w:color w:val="auto"/>
        </w:rPr>
        <w:t>” means 102 Stock Grants, Stock Rights or Options granted pursuant to Section 102(c) of the Ordinance and not held in trust by a Trustee.</w:t>
      </w:r>
    </w:p>
    <w:p>
      <w:pPr>
        <w:spacing w:after="0" w:line="166" w:lineRule="exact"/>
        <w:rPr>
          <w:sz w:val="20"/>
          <w:szCs w:val="20"/>
          <w:color w:val="auto"/>
        </w:rPr>
      </w:pPr>
    </w:p>
    <w:p>
      <w:pPr>
        <w:ind w:left="540" w:hanging="329"/>
        <w:spacing w:after="0"/>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DESIGNATION OF PARTICIPANTS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persons eligible for participation under the Appendix as recipients of Stock Grants, Stock Rights or Options shall include any Employees (including officers), directors and consultants of the Company or of any Affiliate of the Company who are residents of the State of Israel or those who are deemed to be residents of the State of Israel for the payment of tax. The grant of a Stock Grant, Stock Rights or Option hereunder shall neither entitle the recipient thereof to participate nor disqualify him from participating in, any other grant of Stock Grant, Stock Right or Options pursuant to the Appendix, the Plan or any other equity plan of the Company or any of its Affiliates. Notwithstanding the foregoing, no 102 Stock Grants, Stock Rights or Options shall be granted to any individual who is not an Employee of the Company or of an Affiliate of the Company, or which otherwise does not qualify as an “employee” under Section 102(a) to the Ordinance. 3(i) Options may be granted only to non-Employees.</w:t>
      </w:r>
    </w:p>
    <w:p>
      <w:pPr>
        <w:spacing w:after="0" w:line="178" w:lineRule="exact"/>
        <w:rPr>
          <w:sz w:val="20"/>
          <w:szCs w:val="20"/>
          <w:color w:val="auto"/>
        </w:rPr>
      </w:pPr>
    </w:p>
    <w:p>
      <w:pPr>
        <w:ind w:left="460" w:hanging="330"/>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DESIGNATION OF OPTIONS PURSUANT TO SECTION 102</w:t>
      </w:r>
    </w:p>
    <w:p>
      <w:pPr>
        <w:spacing w:after="0" w:line="225" w:lineRule="exact"/>
        <w:rPr>
          <w:sz w:val="20"/>
          <w:szCs w:val="20"/>
          <w:color w:val="auto"/>
        </w:rPr>
      </w:pPr>
    </w:p>
    <w:p>
      <w:pPr>
        <w:jc w:val="both"/>
        <w:ind w:left="380" w:hanging="323"/>
        <w:spacing w:after="0" w:line="277" w:lineRule="auto"/>
        <w:rPr>
          <w:sz w:val="20"/>
          <w:szCs w:val="20"/>
          <w:color w:val="auto"/>
        </w:rPr>
      </w:pPr>
      <w:r>
        <w:rPr>
          <w:rFonts w:ascii="Arial" w:cs="Arial" w:eastAsia="Arial" w:hAnsi="Arial"/>
          <w:sz w:val="18"/>
          <w:szCs w:val="18"/>
          <w:color w:val="auto"/>
        </w:rPr>
        <w:t>5.1 The Company may designate Stock Grants, Stock Rights or Options granted to Employees pursuant to Section 102 of the Ordinance as Unapproved 102 Options or 102(b) Options.</w:t>
      </w:r>
    </w:p>
    <w:p>
      <w:pPr>
        <w:spacing w:after="0" w:line="170" w:lineRule="exact"/>
        <w:rPr>
          <w:sz w:val="20"/>
          <w:szCs w:val="20"/>
          <w:color w:val="auto"/>
        </w:rPr>
      </w:pPr>
    </w:p>
    <w:p>
      <w:pPr>
        <w:jc w:val="both"/>
        <w:ind w:left="380" w:right="20" w:hanging="323"/>
        <w:spacing w:after="0" w:line="277" w:lineRule="auto"/>
        <w:rPr>
          <w:sz w:val="20"/>
          <w:szCs w:val="20"/>
          <w:color w:val="auto"/>
        </w:rPr>
      </w:pPr>
      <w:r>
        <w:rPr>
          <w:rFonts w:ascii="Arial" w:cs="Arial" w:eastAsia="Arial" w:hAnsi="Arial"/>
          <w:sz w:val="18"/>
          <w:szCs w:val="18"/>
          <w:color w:val="auto"/>
        </w:rPr>
        <w:t>5.2 The grant of 102(b) Stock Grants, Stock Rights or Options shall be made under this Appendix and shall be conditioned upon the approval of this Appendix by the Israeli Tax Authorities (the “</w:t>
      </w:r>
      <w:r>
        <w:rPr>
          <w:rFonts w:ascii="Arial" w:cs="Arial" w:eastAsia="Arial" w:hAnsi="Arial"/>
          <w:sz w:val="18"/>
          <w:szCs w:val="18"/>
          <w:b w:val="1"/>
          <w:bCs w:val="1"/>
          <w:color w:val="auto"/>
        </w:rPr>
        <w:t>ITA</w:t>
      </w:r>
      <w:r>
        <w:rPr>
          <w:rFonts w:ascii="Arial" w:cs="Arial" w:eastAsia="Arial" w:hAnsi="Arial"/>
          <w:sz w:val="18"/>
          <w:szCs w:val="18"/>
          <w:color w:val="auto"/>
        </w:rPr>
        <w:t>”).</w:t>
      </w:r>
    </w:p>
    <w:p>
      <w:pPr>
        <w:spacing w:after="0" w:line="170" w:lineRule="exact"/>
        <w:rPr>
          <w:sz w:val="20"/>
          <w:szCs w:val="20"/>
          <w:color w:val="auto"/>
        </w:rPr>
      </w:pPr>
    </w:p>
    <w:p>
      <w:pPr>
        <w:jc w:val="both"/>
        <w:ind w:left="380" w:hanging="323"/>
        <w:spacing w:after="0" w:line="277" w:lineRule="auto"/>
        <w:rPr>
          <w:sz w:val="20"/>
          <w:szCs w:val="20"/>
          <w:color w:val="auto"/>
        </w:rPr>
      </w:pPr>
      <w:r>
        <w:rPr>
          <w:rFonts w:ascii="Arial" w:cs="Arial" w:eastAsia="Arial" w:hAnsi="Arial"/>
          <w:sz w:val="18"/>
          <w:szCs w:val="18"/>
          <w:color w:val="auto"/>
        </w:rPr>
        <w:t>5.3 102(b) Stock Grants, Stock Rights or Options may either be classified as 102(b)(2) Stock Grants, Stock Rights or Options under the capital gain tax Track or 102(b)(1) Stock Grants, Stock or Options under the Ordinary Income Track.</w:t>
      </w:r>
    </w:p>
    <w:p>
      <w:pPr>
        <w:spacing w:after="0" w:line="170" w:lineRule="exact"/>
        <w:rPr>
          <w:sz w:val="20"/>
          <w:szCs w:val="20"/>
          <w:color w:val="auto"/>
        </w:rPr>
      </w:pPr>
    </w:p>
    <w:p>
      <w:pPr>
        <w:jc w:val="both"/>
        <w:ind w:left="380" w:hanging="323"/>
        <w:spacing w:after="0" w:line="253" w:lineRule="auto"/>
        <w:rPr>
          <w:sz w:val="20"/>
          <w:szCs w:val="20"/>
          <w:color w:val="auto"/>
        </w:rPr>
      </w:pPr>
      <w:r>
        <w:rPr>
          <w:rFonts w:ascii="Arial" w:cs="Arial" w:eastAsia="Arial" w:hAnsi="Arial"/>
          <w:sz w:val="18"/>
          <w:szCs w:val="18"/>
          <w:color w:val="auto"/>
        </w:rPr>
        <w:t>5.4 The Company’s election of the type of 102(b) Stock Grants, Stock Rights or Options as 102(b)(2) Stock Grants, Stock or Options or 102(b)(1) Stock Grants, Stock Rights or Options granted to Employees (the “</w:t>
      </w:r>
      <w:r>
        <w:rPr>
          <w:rFonts w:ascii="Arial" w:cs="Arial" w:eastAsia="Arial" w:hAnsi="Arial"/>
          <w:sz w:val="18"/>
          <w:szCs w:val="18"/>
          <w:b w:val="1"/>
          <w:bCs w:val="1"/>
          <w:color w:val="auto"/>
        </w:rPr>
        <w:t>Election</w:t>
      </w:r>
      <w:r>
        <w:rPr>
          <w:rFonts w:ascii="Arial" w:cs="Arial" w:eastAsia="Arial" w:hAnsi="Arial"/>
          <w:sz w:val="18"/>
          <w:szCs w:val="18"/>
          <w:color w:val="auto"/>
        </w:rPr>
        <w:t>”), shall be appropriately filed with the ITA before the date of grant of 102(b) Stock Grants, Stock Rights or Options. Such Election shall become effective beginning the first date of grant of 102(b) Option under this Appendix and shall remain in effect at least until the end of the year following the year during which the Company first granted 102(b) Stock Grants, Stock Rights or Options or such other period as shall be determined from time to time under Section 102 of the Ordinance and the Rules, regulation and orders promulgated thereunder. The Election shall obligate the Company to grant only the type of 102(b) Stock Grants, Stock Rights or Option it has elected, and shall apply to all Participants who were granted 102(b) Options during the period indicated herein, all in accordance with the provisions of Section 102(g) of the Ordinance. For the avoidance of doubt, such Election shall not prevent the Company from granting Unapproved 102 tock Grants, Stock Rights or Option simultaneously.</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8"/>
          <w:szCs w:val="18"/>
          <w:color w:val="auto"/>
        </w:rPr>
        <w:t>5.5 All 102(b) Stock Grants, Stock Rights or Options must be held in trust by a Trustee, as described in Section 6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jc w:val="both"/>
        <w:ind w:hanging="323"/>
        <w:spacing w:after="0" w:line="277" w:lineRule="auto"/>
        <w:rPr>
          <w:sz w:val="20"/>
          <w:szCs w:val="20"/>
          <w:color w:val="auto"/>
        </w:rPr>
      </w:pPr>
      <w:r>
        <w:rPr>
          <w:rFonts w:ascii="Arial" w:cs="Arial" w:eastAsia="Arial" w:hAnsi="Arial"/>
          <w:sz w:val="18"/>
          <w:szCs w:val="18"/>
          <w:color w:val="auto"/>
        </w:rPr>
        <w:t>5.6 For the avoidance of doubt, the designation of Unapproved 102 Options and 102(b) Stock Grants, Stock Rights or Options shall be subject to the terms and conditions set forth in Section 102 of the Ordinance and Rules, regulations and orders promulgated thereunder.</w:t>
      </w:r>
    </w:p>
    <w:p>
      <w:pPr>
        <w:spacing w:after="0" w:line="170" w:lineRule="exact"/>
        <w:rPr>
          <w:sz w:val="20"/>
          <w:szCs w:val="20"/>
          <w:color w:val="auto"/>
        </w:rPr>
      </w:pPr>
    </w:p>
    <w:p>
      <w:pPr>
        <w:jc w:val="both"/>
        <w:ind w:hanging="323"/>
        <w:spacing w:after="0" w:line="257" w:lineRule="auto"/>
        <w:rPr>
          <w:sz w:val="20"/>
          <w:szCs w:val="20"/>
          <w:color w:val="auto"/>
        </w:rPr>
      </w:pPr>
      <w:r>
        <w:rPr>
          <w:rFonts w:ascii="Arial" w:cs="Arial" w:eastAsia="Arial" w:hAnsi="Arial"/>
          <w:sz w:val="18"/>
          <w:szCs w:val="18"/>
          <w:color w:val="auto"/>
        </w:rPr>
        <w:t>5.7 With regards to 102(b) Stock Grants, Stock Rights or Options, the provisions of the Appendix and/or the Option Agreement shall be subject to the provisions of Section 102 of the Ordinance and the Tax Assessing Officer’s permit, and the said provisions and permit shall be deemed an integral part of the Plan, the Appendix and of the Option Agreement. Any provision of Section 102 of the Ordinance and/or the said permit which is necessary in order to receive and/or to keep any tax benefit pursuant to Section 102 of the Ordinance, which is not expressly specified in the Plan, Appendix or the Option Agreement, shall be considered binding upon the Company and the Participants.</w:t>
      </w:r>
    </w:p>
    <w:p>
      <w:pPr>
        <w:spacing w:after="0" w:line="188" w:lineRule="exact"/>
        <w:rPr>
          <w:sz w:val="20"/>
          <w:szCs w:val="20"/>
          <w:color w:val="auto"/>
        </w:rPr>
      </w:pPr>
    </w:p>
    <w:p>
      <w:pPr>
        <w:ind w:left="660" w:hanging="330"/>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TRUSTEE</w:t>
      </w:r>
    </w:p>
    <w:p>
      <w:pPr>
        <w:spacing w:after="0" w:line="225" w:lineRule="exact"/>
        <w:rPr>
          <w:sz w:val="20"/>
          <w:szCs w:val="20"/>
          <w:color w:val="auto"/>
        </w:rPr>
      </w:pPr>
    </w:p>
    <w:p>
      <w:pPr>
        <w:jc w:val="both"/>
        <w:ind w:hanging="323"/>
        <w:spacing w:after="0" w:line="286" w:lineRule="auto"/>
        <w:rPr>
          <w:sz w:val="20"/>
          <w:szCs w:val="20"/>
          <w:color w:val="auto"/>
        </w:rPr>
      </w:pPr>
      <w:r>
        <w:rPr>
          <w:rFonts w:ascii="Arial" w:cs="Arial" w:eastAsia="Arial" w:hAnsi="Arial"/>
          <w:sz w:val="16"/>
          <w:szCs w:val="16"/>
          <w:color w:val="auto"/>
        </w:rPr>
        <w:t>6.1 The 102(b) Stock Grants, Stock Rights or Options which shall be granted to Participants and/or any Shares issued upon exercise of such 102(b) Stock Grants, Stock Rights or Options and/or any other shares received subsequently following any realization of rights resulting from a 102(b) Stock Grants, Stock Rights or Option or Rights resulting from Shares issued upon exercise of a 102(b) Option, including without limitation bonus shares, shall be allocated or issued to a trustee nominated by the Board of Directors or the Administrator, as required by law, and approved in accordance with the provisions of Section 102 of the Ordinance (the “</w:t>
      </w:r>
      <w:r>
        <w:rPr>
          <w:rFonts w:ascii="Arial" w:cs="Arial" w:eastAsia="Arial" w:hAnsi="Arial"/>
          <w:sz w:val="16"/>
          <w:szCs w:val="16"/>
          <w:b w:val="1"/>
          <w:bCs w:val="1"/>
          <w:color w:val="auto"/>
        </w:rPr>
        <w:t>Trustee</w:t>
      </w:r>
      <w:r>
        <w:rPr>
          <w:rFonts w:ascii="Arial" w:cs="Arial" w:eastAsia="Arial" w:hAnsi="Arial"/>
          <w:sz w:val="16"/>
          <w:szCs w:val="16"/>
          <w:color w:val="auto"/>
        </w:rPr>
        <w:t>”) for such period of time, at least the minimum period required by Section 102 or any regulations, rules or orders or procedures promulgated thereunder. The Board of Directors or the Administrator, as applicable, shall determine and approve the terms of engagement of the Trustee, and shall be authorized to designate from time to time a new Trustee and replace either of them at its sole discretion, and in the event of replacement of any existing Trustee, to instruct the transfer of all 102(b) Stock Grants, Stock Rights or Options and Shares held by such Trustee at such time to its successor. The Trustee will hold such 102(b) Stock Grants, Stock Rights or Options or Shares resulting from the exercise thereof in accordance with the provisions of the Ordinance and the Rules promulgated thereunder, the trust agreement and any other instructions the Board of Directors or the Administrator, as applicable, may issue to him/it from time to time (so long as they do not contradict the Ordinance and the Rules promulgated thereunder). Thereafter, the Trustee will transfer the 102(b) Stock Grants, Stock Rights or Options or the Shares, as the case may be, to the Participants upon his/her demand, subject to any deduction or withholding of taxes required under the Ordinance, the Rules or any other applicable law. In the case the requirements for Approved 102 Options are not met, then the Approved 102 Stock Grants, Stock Rights or Options may be regarded as Unapproved 102 Options, all in accordance with the provisions of Section 102.</w:t>
      </w:r>
    </w:p>
    <w:p>
      <w:pPr>
        <w:spacing w:after="0" w:line="169" w:lineRule="exact"/>
        <w:rPr>
          <w:sz w:val="20"/>
          <w:szCs w:val="20"/>
          <w:color w:val="auto"/>
        </w:rPr>
      </w:pPr>
    </w:p>
    <w:p>
      <w:pPr>
        <w:jc w:val="both"/>
        <w:ind w:hanging="323"/>
        <w:spacing w:after="0" w:line="259" w:lineRule="auto"/>
        <w:rPr>
          <w:sz w:val="20"/>
          <w:szCs w:val="20"/>
          <w:color w:val="auto"/>
        </w:rPr>
      </w:pPr>
      <w:r>
        <w:rPr>
          <w:rFonts w:ascii="Arial" w:cs="Arial" w:eastAsia="Arial" w:hAnsi="Arial"/>
          <w:sz w:val="18"/>
          <w:szCs w:val="18"/>
          <w:color w:val="auto"/>
        </w:rPr>
        <w:t>6.2 Anything to the contrary notwithstanding, the Trustee shall not release any 102(b) Options which were not already exercised into Shares by the Participant or release any Shares issued upon exercise of such 102(b) Stock Grants, Stock Rights or Options prior to the full payment of the Participant’s tax liabilities arising from such 102(b) Stock Grants, Stock Rights or Options which were granted to him and/or any Shares issued upon exercise of such 102(b) Stock Grants, Stock Rights or Options.</w:t>
      </w:r>
    </w:p>
    <w:p>
      <w:pPr>
        <w:spacing w:after="0" w:line="187" w:lineRule="exact"/>
        <w:rPr>
          <w:sz w:val="20"/>
          <w:szCs w:val="20"/>
          <w:color w:val="auto"/>
        </w:rPr>
      </w:pPr>
    </w:p>
    <w:p>
      <w:pPr>
        <w:jc w:val="both"/>
        <w:ind w:hanging="323"/>
        <w:spacing w:after="0" w:line="259" w:lineRule="auto"/>
        <w:rPr>
          <w:sz w:val="20"/>
          <w:szCs w:val="20"/>
          <w:color w:val="auto"/>
        </w:rPr>
      </w:pPr>
      <w:r>
        <w:rPr>
          <w:rFonts w:ascii="Arial" w:cs="Arial" w:eastAsia="Arial" w:hAnsi="Arial"/>
          <w:sz w:val="18"/>
          <w:szCs w:val="18"/>
          <w:color w:val="auto"/>
        </w:rPr>
        <w:t>6.3 Upon receipt of a 102(b) Stock Grants, Stock Rights or Option, the Participant will sign the Stock Grants, Stock Rights or Option Agreement or an applicable option award which shall be deemed as the Participant’s undertaking to exempt the Trustee from any liability in respect of any action or decision duly taken and bona fide executed in relation with the Plan and the Appendix, or any 102(b) Stock Grants, Stock Rights or Option or Share granted to him thereunder.</w:t>
      </w:r>
    </w:p>
    <w:p>
      <w:pPr>
        <w:spacing w:after="0" w:line="187" w:lineRule="exact"/>
        <w:rPr>
          <w:sz w:val="20"/>
          <w:szCs w:val="20"/>
          <w:color w:val="auto"/>
        </w:rPr>
      </w:pPr>
    </w:p>
    <w:p>
      <w:pPr>
        <w:jc w:val="both"/>
        <w:ind w:hanging="323"/>
        <w:spacing w:after="0" w:line="259" w:lineRule="auto"/>
        <w:rPr>
          <w:sz w:val="20"/>
          <w:szCs w:val="20"/>
          <w:color w:val="auto"/>
        </w:rPr>
      </w:pPr>
      <w:r>
        <w:rPr>
          <w:rFonts w:ascii="Arial" w:cs="Arial" w:eastAsia="Arial" w:hAnsi="Arial"/>
          <w:sz w:val="18"/>
          <w:szCs w:val="18"/>
          <w:color w:val="auto"/>
        </w:rPr>
        <w:t>6.4 Subject to applicable law, the Board of Directors or the Administrator shall be entitled to revise, amend or replace the terms of the trust agreement with the Trustee, to the extent that same (i) do not adversely affect any rights of a Participant under any valid and outstanding 102(b) Stock Grants, Stock Rights or Option, which are expressly provided for in this Appendix or the respective Option Agreement with such Participant, or is (ii) necessary or desirable in the light of any change or replacement of Section 102 of the Ordinance.</w:t>
      </w:r>
    </w:p>
    <w:p>
      <w:pPr>
        <w:spacing w:after="0" w:line="187" w:lineRule="exact"/>
        <w:rPr>
          <w:sz w:val="20"/>
          <w:szCs w:val="20"/>
          <w:color w:val="auto"/>
        </w:rPr>
      </w:pPr>
    </w:p>
    <w:p>
      <w:pPr>
        <w:jc w:val="both"/>
        <w:ind w:hanging="323"/>
        <w:spacing w:after="0" w:line="255" w:lineRule="auto"/>
        <w:rPr>
          <w:sz w:val="20"/>
          <w:szCs w:val="20"/>
          <w:color w:val="auto"/>
        </w:rPr>
      </w:pPr>
      <w:r>
        <w:rPr>
          <w:rFonts w:ascii="Arial" w:cs="Arial" w:eastAsia="Arial" w:hAnsi="Arial"/>
          <w:sz w:val="18"/>
          <w:szCs w:val="18"/>
          <w:color w:val="auto"/>
        </w:rPr>
        <w:t>6.5 Any and all Rights with respect to a 102(b) Stock Grants, Stock Rights or Option shall be issued or distributed, as the case may be, to the Trustee and held thereby. Such Rights will not be sold or transferred until the lapse of the minimum period permitted by applicable law, and such Rights shall be subject to the taxation track which is applicable to such Shares issued pursuant to the exercise of a 102(b) Stock Grants, Stock Rights or Option hereunder. Notwithstanding the aforesaid, Shares issued pursuant to the exercise of 102(b) Stock Grants, Stock Rights or Options hereunder or Rights may be sold or transferred, and the Trustee may release such Shares issued pursuant to the exercise of 102(b) Stock Grants, Stock Rights or Options hereunder (or the applicable option award) or Rights from trust, prior to the lapse of the transferred until the lapse of the minimum period permitted by applicable law</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421005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8" w:right="239" w:bottom="1440" w:gutter="0" w:footer="0" w:header="0"/>
        </w:sectPr>
      </w:pPr>
    </w:p>
    <w:bookmarkStart w:id="85" w:name="page86"/>
    <w:bookmarkEnd w:id="85"/>
    <w:p>
      <w:pPr>
        <w:jc w:val="both"/>
        <w:ind w:left="380" w:hanging="323"/>
        <w:spacing w:after="0" w:line="312" w:lineRule="auto"/>
        <w:rPr>
          <w:sz w:val="20"/>
          <w:szCs w:val="20"/>
          <w:color w:val="auto"/>
        </w:rPr>
      </w:pPr>
      <w:r>
        <w:rPr>
          <w:rFonts w:ascii="Arial" w:cs="Arial" w:eastAsia="Arial" w:hAnsi="Arial"/>
          <w:sz w:val="16"/>
          <w:szCs w:val="16"/>
          <w:color w:val="auto"/>
        </w:rPr>
        <w:t>6.6 During the period in which Shares, issued to the Trustee on behalf of a Participant upon exercise of a 102(b) Stock Grants, Stock Rights or Option, are held by the Trustee, the cash dividends paid with respect thereto shall be paid directly to the Participant; all subject to the provisions of applicable law including in particular the provisions of Section 102 and the rules, regulations or orders promulgated thereunder and Section 6.2 above.</w:t>
      </w:r>
    </w:p>
    <w:p>
      <w:pPr>
        <w:spacing w:after="0" w:line="147" w:lineRule="exact"/>
        <w:rPr>
          <w:sz w:val="20"/>
          <w:szCs w:val="20"/>
          <w:color w:val="auto"/>
        </w:rPr>
      </w:pPr>
    </w:p>
    <w:p>
      <w:pPr>
        <w:jc w:val="both"/>
        <w:ind w:left="380" w:hanging="323"/>
        <w:spacing w:after="0" w:line="277" w:lineRule="auto"/>
        <w:rPr>
          <w:sz w:val="20"/>
          <w:szCs w:val="20"/>
          <w:color w:val="auto"/>
        </w:rPr>
      </w:pPr>
      <w:r>
        <w:rPr>
          <w:rFonts w:ascii="Arial" w:cs="Arial" w:eastAsia="Arial" w:hAnsi="Arial"/>
          <w:sz w:val="18"/>
          <w:szCs w:val="18"/>
          <w:color w:val="auto"/>
        </w:rPr>
        <w:t>6.7 As long as Shares are held by the Trustee in favor of the Participant, then all rights the last possesses over the Shares are personal, cannot be transferred, assigned, pledged or mortgaged, other than by will or laws of descent and distribution.</w:t>
      </w:r>
    </w:p>
    <w:p>
      <w:pPr>
        <w:spacing w:after="0" w:line="170" w:lineRule="exact"/>
        <w:rPr>
          <w:sz w:val="20"/>
          <w:szCs w:val="20"/>
          <w:color w:val="auto"/>
        </w:rPr>
      </w:pPr>
    </w:p>
    <w:p>
      <w:pPr>
        <w:ind w:left="440" w:hanging="324"/>
        <w:spacing w:after="0"/>
        <w:tabs>
          <w:tab w:leader="none" w:pos="4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SHARES RESERVED FOR THE PLAN; RESTRICTION THEREON</w:t>
      </w:r>
    </w:p>
    <w:p>
      <w:pPr>
        <w:spacing w:after="0" w:line="225" w:lineRule="exact"/>
        <w:rPr>
          <w:sz w:val="20"/>
          <w:szCs w:val="20"/>
          <w:color w:val="auto"/>
        </w:rPr>
      </w:pPr>
    </w:p>
    <w:p>
      <w:pPr>
        <w:jc w:val="both"/>
        <w:ind w:left="380" w:hanging="323"/>
        <w:spacing w:after="0" w:line="271" w:lineRule="auto"/>
        <w:rPr>
          <w:sz w:val="20"/>
          <w:szCs w:val="20"/>
          <w:color w:val="auto"/>
        </w:rPr>
      </w:pPr>
      <w:r>
        <w:rPr>
          <w:rFonts w:ascii="Arial" w:cs="Arial" w:eastAsia="Arial" w:hAnsi="Arial"/>
          <w:sz w:val="17"/>
          <w:szCs w:val="17"/>
          <w:color w:val="auto"/>
        </w:rPr>
        <w:t>7.1 Each Stock Grant, Stock Right or Option granted pursuant to this Appendix, shall be evidenced by an Option Agreement between the Company and the Participant, in such form as the Board of Directors or the Administrator, as applicable, shall from time to time approve. Each Stock Grants, Stock Rights or Option Agreement shall state a number of the Shares to which the Option relates and the type of Stock Grants, Stock Rights or Option granted thereunder (whether a 102(b)(1) Stock Grants, Stock Rights or Option, 102(b)(2) Stock Grants, Stock Rights or Option, Other 102 Stock Grants, Stock Rights or Option, or a 3(i) Stock Grants, Stock Rights or Option, the purchase price per Share and the vesting schedule to which such Stock Grants, Stock Rights or Option shall become exercisable. Stock Grants, Stock Rights or Options may be granted at any time after this Appendix has been approved by the Company, subject to any further approval or consent required under Section 102 of the Ordinance or the Rules, in case of 102(b) Stock Grants, Stock Rights or Options, and other applicable law.</w:t>
      </w:r>
    </w:p>
    <w:p>
      <w:pPr>
        <w:spacing w:after="0" w:line="179" w:lineRule="exact"/>
        <w:rPr>
          <w:sz w:val="20"/>
          <w:szCs w:val="20"/>
          <w:color w:val="auto"/>
        </w:rPr>
      </w:pPr>
    </w:p>
    <w:p>
      <w:pPr>
        <w:jc w:val="both"/>
        <w:ind w:left="380" w:hanging="323"/>
        <w:spacing w:after="0" w:line="273" w:lineRule="auto"/>
        <w:rPr>
          <w:sz w:val="20"/>
          <w:szCs w:val="20"/>
          <w:color w:val="auto"/>
        </w:rPr>
      </w:pPr>
      <w:r>
        <w:rPr>
          <w:rFonts w:ascii="Arial" w:cs="Arial" w:eastAsia="Arial" w:hAnsi="Arial"/>
          <w:sz w:val="17"/>
          <w:szCs w:val="17"/>
          <w:color w:val="auto"/>
        </w:rPr>
        <w:t>7.3 Each Stock Grants, Stock Rights or Option Agreement evidencing 102(b) Stock Grants, Stock Rights or Options shall include (i) an approval and acknowledgment by the Participant of the agreement of the Company with the Trustee (as may be amended from time to time), (ii) a declaration that the Participant is familiar with the provisions of Section 102 and the “Capital Track” (if applicable) and (iii) an undertaking not to sell or transfer the Stock Grants, Stock Rights or Options and/or the Shares issued pursuant to the exercise of Stock Grants, Stock Rights or Options prior to the lapse of the period in which the Stock Grants, Stock Rights or Options and/or such Shares are held in trust, unless the Participant pays all taxes, which may arise in connection with such sale and/or transfer (as provided in Section 6.5 above).</w:t>
      </w:r>
    </w:p>
    <w:p>
      <w:pPr>
        <w:spacing w:after="0" w:line="178" w:lineRule="exact"/>
        <w:rPr>
          <w:sz w:val="20"/>
          <w:szCs w:val="20"/>
          <w:color w:val="auto"/>
        </w:rPr>
      </w:pPr>
    </w:p>
    <w:p>
      <w:pPr>
        <w:ind w:left="540" w:hanging="329"/>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AMENDMENTS OR TERMINATION</w:t>
      </w:r>
    </w:p>
    <w:p>
      <w:pPr>
        <w:spacing w:after="0" w:line="225" w:lineRule="exact"/>
        <w:rPr>
          <w:sz w:val="20"/>
          <w:szCs w:val="20"/>
          <w:color w:val="auto"/>
        </w:rPr>
      </w:pPr>
    </w:p>
    <w:p>
      <w:pPr>
        <w:jc w:val="both"/>
        <w:ind w:left="380" w:hanging="323"/>
        <w:spacing w:after="0" w:line="259" w:lineRule="auto"/>
        <w:rPr>
          <w:sz w:val="20"/>
          <w:szCs w:val="20"/>
          <w:color w:val="auto"/>
        </w:rPr>
      </w:pPr>
      <w:r>
        <w:rPr>
          <w:rFonts w:ascii="Arial" w:cs="Arial" w:eastAsia="Arial" w:hAnsi="Arial"/>
          <w:sz w:val="18"/>
          <w:szCs w:val="18"/>
          <w:color w:val="auto"/>
        </w:rPr>
        <w:t>8.1 The Board of Directors or the Administrator, as required by law, may, at any time and from time to time, amend, alter or discontinue this Appendix, except that no amendment or alteration shall be made which would impair the rights of the holder of any share and/or Stock Grants, Stock Rights or Option granted, if and to the extent such rights are specifically set forth under the applicable Stock Grants, Stock Rights or Option Agreement, without such Participant's written consent.</w:t>
      </w:r>
    </w:p>
    <w:p>
      <w:pPr>
        <w:spacing w:after="0" w:line="187" w:lineRule="exact"/>
        <w:rPr>
          <w:sz w:val="20"/>
          <w:szCs w:val="20"/>
          <w:color w:val="auto"/>
        </w:rPr>
      </w:pPr>
    </w:p>
    <w:p>
      <w:pPr>
        <w:ind w:left="560" w:hanging="322"/>
        <w:spacing w:after="0"/>
        <w:tabs>
          <w:tab w:leader="none" w:pos="5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GOVERNMENT REGULATION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Appendix and the granting and exercise of Stock Grants, Stock Rights or Options hereunder, and the obligation of the Company to sell and deliver Shares under such Options, shall be subject to all applicable laws, rules and regulations of the State of Israel and of the United States, if applicable, and to such approvals by any governmental agencies as may be required.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 CONTINUANCE OF EMPLOYMENT OR HIRED SERVICES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Neither the Plan nor the Stock Grants, Stock Rights or Option Agreement with the Participant shall impose any obligation on the Company or an Affiliate thereof, to continue any Participant in its employ, or the hiring by the Company of the Participant’s services and nothing in the Plan or in any Stock Grants, Stock Rights or Option granted pursuant thereto shall confer upon any Participant any right to continue in the employ or service of the Company or an Affiliate thereof or restrict the right of the Company or an Affiliate thereof to terminate such employment or service hiring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ind w:left="260"/>
        <w:spacing w:after="0"/>
        <w:rPr>
          <w:sz w:val="20"/>
          <w:szCs w:val="20"/>
          <w:color w:val="auto"/>
        </w:rPr>
      </w:pPr>
      <w:r>
        <w:rPr>
          <w:rFonts w:ascii="Arial" w:cs="Arial" w:eastAsia="Arial" w:hAnsi="Arial"/>
          <w:sz w:val="18"/>
          <w:szCs w:val="18"/>
          <w:color w:val="auto"/>
        </w:rPr>
        <w:t>11. TAX CONSEQUENCES</w:t>
      </w:r>
    </w:p>
    <w:p>
      <w:pPr>
        <w:spacing w:after="0" w:line="225" w:lineRule="exact"/>
        <w:rPr>
          <w:sz w:val="20"/>
          <w:szCs w:val="20"/>
          <w:color w:val="auto"/>
        </w:rPr>
      </w:pPr>
    </w:p>
    <w:p>
      <w:pPr>
        <w:jc w:val="both"/>
        <w:ind w:left="320" w:hanging="323"/>
        <w:spacing w:after="0" w:line="293" w:lineRule="auto"/>
        <w:rPr>
          <w:sz w:val="20"/>
          <w:szCs w:val="20"/>
          <w:color w:val="auto"/>
        </w:rPr>
      </w:pPr>
      <w:r>
        <w:rPr>
          <w:rFonts w:ascii="Arial" w:cs="Arial" w:eastAsia="Arial" w:hAnsi="Arial"/>
          <w:sz w:val="16"/>
          <w:szCs w:val="16"/>
          <w:color w:val="auto"/>
        </w:rPr>
        <w:t>11.1To the extent permitted by applicable law, any tax consequences arising from the grant or exercise of any Stock Grants, Stock Rights or Option, from the payment for Shares covered thereby or from any other event or act (of the Company, its Affiliates, the Trustee or the Participant), hereunder, shall be borne solely by the Participant. The Company and/or the Trustee (where applicable) shall withhold taxes according to the requirements under the applicable laws, rules, and regulations, including the withholding of taxes at source. Furthermore, the Participant shall agree to indemnify the Company and the Trustee (where applicable) and hold them harmless against and from any and all liability for any such tax or interest or penalty thereon, including without limitation, liabilities relating to the necessity to withhold, or to have withheld, any such tax from any payment made to the Participant.</w:t>
      </w:r>
    </w:p>
    <w:p>
      <w:pPr>
        <w:spacing w:after="0" w:line="165" w:lineRule="exact"/>
        <w:rPr>
          <w:sz w:val="20"/>
          <w:szCs w:val="20"/>
          <w:color w:val="auto"/>
        </w:rPr>
      </w:pPr>
    </w:p>
    <w:p>
      <w:pPr>
        <w:jc w:val="both"/>
        <w:ind w:left="320" w:hanging="323"/>
        <w:spacing w:after="0" w:line="277" w:lineRule="auto"/>
        <w:rPr>
          <w:sz w:val="20"/>
          <w:szCs w:val="20"/>
          <w:color w:val="auto"/>
        </w:rPr>
      </w:pPr>
      <w:r>
        <w:rPr>
          <w:rFonts w:ascii="Arial" w:cs="Arial" w:eastAsia="Arial" w:hAnsi="Arial"/>
          <w:sz w:val="18"/>
          <w:szCs w:val="18"/>
          <w:color w:val="auto"/>
        </w:rPr>
        <w:t>11.2The Board of Directors, the Administrator and/or the Trustee shall not be required to release any Share certificate, issued upon exercise of Stock Grants, Stock Rights or Option, to a Participant, until all required payments have been fully made.</w:t>
      </w:r>
    </w:p>
    <w:p>
      <w:pPr>
        <w:spacing w:after="0" w:line="170" w:lineRule="exact"/>
        <w:rPr>
          <w:sz w:val="20"/>
          <w:szCs w:val="20"/>
          <w:color w:val="auto"/>
        </w:rPr>
      </w:pPr>
    </w:p>
    <w:p>
      <w:pPr>
        <w:jc w:val="both"/>
        <w:ind w:left="320" w:hanging="323"/>
        <w:spacing w:after="0" w:line="277" w:lineRule="auto"/>
        <w:rPr>
          <w:sz w:val="20"/>
          <w:szCs w:val="20"/>
          <w:color w:val="auto"/>
        </w:rPr>
      </w:pPr>
      <w:r>
        <w:rPr>
          <w:rFonts w:ascii="Arial" w:cs="Arial" w:eastAsia="Arial" w:hAnsi="Arial"/>
          <w:sz w:val="18"/>
          <w:szCs w:val="18"/>
          <w:color w:val="auto"/>
        </w:rPr>
        <w:t>11.3Notwithstanding anything herein to the contrary, this Appendix shall be governed by the provisions of the Ordinance, the rules promulgated thereunder, and any other applicable Israeli laws.</w:t>
      </w:r>
    </w:p>
    <w:p>
      <w:pPr>
        <w:spacing w:after="0" w:line="170" w:lineRule="exact"/>
        <w:rPr>
          <w:sz w:val="20"/>
          <w:szCs w:val="20"/>
          <w:color w:val="auto"/>
        </w:rPr>
      </w:pPr>
    </w:p>
    <w:p>
      <w:pPr>
        <w:jc w:val="both"/>
        <w:ind w:left="320" w:hanging="323"/>
        <w:spacing w:after="0" w:line="279" w:lineRule="auto"/>
        <w:rPr>
          <w:sz w:val="20"/>
          <w:szCs w:val="20"/>
          <w:color w:val="auto"/>
        </w:rPr>
      </w:pPr>
      <w:r>
        <w:rPr>
          <w:rFonts w:ascii="Arial" w:cs="Arial" w:eastAsia="Arial" w:hAnsi="Arial"/>
          <w:sz w:val="17"/>
          <w:szCs w:val="17"/>
          <w:color w:val="auto"/>
        </w:rPr>
        <w:t>11.4Following the grant of Stock Grants, Stock Rights or Options under this Appendix and in any case in which the Participant shall stop being considered as an “Israeli Resident”, as defined in the Ordinance, the Company may, if and to the extent the Ordinance and/or the rules promulgated thereunder shall impose such obligation on the Company, to withhold all applicable taxes from the Participant, to remit the amount withheld to the appropriate Israeli tax authorities and to report to such Participant the amount so withheld and paid to said tax authorities.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443865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9"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APPENDIX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AMENDMENT TO EFFECT REVERSE STOCK SPLIT</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Section 242 of the General Corporation Law of the State of Delaware, XpresSpa Group, Inc., a corporation organized and existing under the laws of the State of Delaware (the “Corporation”), does hereby certify as follows:</w:t>
      </w:r>
    </w:p>
    <w:p>
      <w:pPr>
        <w:spacing w:after="0" w:line="170" w:lineRule="exact"/>
        <w:rPr>
          <w:sz w:val="20"/>
          <w:szCs w:val="20"/>
          <w:color w:val="auto"/>
        </w:rPr>
      </w:pPr>
    </w:p>
    <w:p>
      <w:pPr>
        <w:jc w:val="both"/>
        <w:ind w:firstLine="332"/>
        <w:spacing w:after="0" w:line="257" w:lineRule="auto"/>
        <w:tabs>
          <w:tab w:leader="none" w:pos="51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name of the Corporation is XpresSpa Group,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6, 2016. The name of the Corporation was changed to XpresSpa Group, Inc. by filing a Certificate of Amendment to the Certificate of Incorporation with the Secretary of State of the State of Delaware on January 5, 2018.</w:t>
      </w:r>
    </w:p>
    <w:p>
      <w:pPr>
        <w:spacing w:after="0" w:line="188" w:lineRule="exact"/>
        <w:rPr>
          <w:rFonts w:ascii="Arial" w:cs="Arial" w:eastAsia="Arial" w:hAnsi="Arial"/>
          <w:sz w:val="18"/>
          <w:szCs w:val="18"/>
          <w:color w:val="auto"/>
        </w:rPr>
      </w:pPr>
    </w:p>
    <w:p>
      <w:pPr>
        <w:jc w:val="both"/>
        <w:ind w:firstLine="332"/>
        <w:spacing w:after="0" w:line="302" w:lineRule="auto"/>
        <w:tabs>
          <w:tab w:leader="none" w:pos="52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Sections (3) and (4) of Article Fourth are hereby amended and restated in their entirety as follows: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“(3) 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 the treasury of the Corporation immediately prior to the Effective Time are reclassified into a smaller number of shares such that each [ ] shares of issued Common Stock immediately prior to the Effective Time is reclassified into one (1) share of Common Stock. Notwithstanding the immediately preceding sentence, no fractional shares shall be issued as a result of the reverse stock split. Instead, any stockholder who would otherwise be entitled to a fractional share of our Common Stock as a result of the reclassification shall be entitled to receive a cash payment equal to the product of such resulting fractional interest in one share of our Common Stock multiplied by the closing trading price of our Common Stock on the trading day immediately preceding the effective date of the reverse stock split.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80" w:lineRule="exact"/>
        <w:rPr>
          <w:sz w:val="20"/>
          <w:szCs w:val="20"/>
          <w:color w:val="auto"/>
        </w:rPr>
      </w:pPr>
    </w:p>
    <w:p>
      <w:pPr>
        <w:jc w:val="both"/>
        <w:ind w:firstLine="332"/>
        <w:spacing w:after="0" w:line="271" w:lineRule="auto"/>
        <w:tabs>
          <w:tab w:leader="none" w:pos="62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Certificate of Amendment shall be effective on [  ] at [  ],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ind w:left="3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Corporation has caused this Certificate of Amendment to be signed by its Chief Executive Officer on this [  ] day of [</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20"/>
      </w:cols>
      <w:pgMar w:left="24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lvl w:ilvl="1">
      <w:lvlJc w:val="left"/>
      <w:lvlText w:val="%2)"/>
      <w:numFmt w:val="decimal"/>
      <w:start w:val="1"/>
    </w:lvl>
  </w:abstractNum>
  <w:abstractNum w:abstractNumId="4">
    <w:nsid w:val="3F6AB60F"/>
    <w:multiLevelType w:val="hybridMultilevel"/>
    <w:lvl w:ilvl="0">
      <w:lvlJc w:val="left"/>
      <w:lvlText w:val="%1."/>
      <w:numFmt w:val="decimal"/>
      <w:start w:val="1"/>
    </w:lvl>
    <w:lvl w:ilvl="1">
      <w:lvlJc w:val="left"/>
      <w:lvlText w:val="%2."/>
      <w:numFmt w:val="lowerLetter"/>
      <w:start w:val="1"/>
    </w:lvl>
  </w:abstractNum>
  <w:abstractNum w:abstractNumId="5">
    <w:nsid w:val="61574095"/>
    <w:multiLevelType w:val="hybridMultilevel"/>
    <w:lvl w:ilvl="0">
      <w:lvlJc w:val="left"/>
      <w:lvlText w:val="%1."/>
      <w:numFmt w:val="decimal"/>
      <w:start w:val="6"/>
    </w:lvl>
  </w:abstractNum>
  <w:abstractNum w:abstractNumId="6">
    <w:nsid w:val="7E0C57B1"/>
    <w:multiLevelType w:val="hybridMultilevel"/>
    <w:lvl w:ilvl="0">
      <w:lvlJc w:val="left"/>
      <w:lvlText w:val="%1."/>
      <w:numFmt w:val="decimal"/>
      <w:start w:val="1"/>
    </w:lvl>
    <w:lvl w:ilvl="1">
      <w:lvlJc w:val="left"/>
      <w:lvlText w:val="%2."/>
      <w:numFmt w:val="lowerLetter"/>
      <w:start w:val="1"/>
    </w:lvl>
  </w:abstractNum>
  <w:abstractNum w:abstractNumId="7">
    <w:nsid w:val="77AE35EB"/>
    <w:multiLevelType w:val="hybridMultilevel"/>
    <w:lvl w:ilvl="0">
      <w:lvlJc w:val="left"/>
      <w:lvlText w:val="%1."/>
      <w:numFmt w:val="decimal"/>
      <w:start w:val="6"/>
    </w:lvl>
  </w:abstractNum>
  <w:abstractNum w:abstractNumId="8">
    <w:nsid w:val="579BE4F1"/>
    <w:multiLevelType w:val="hybridMultilevel"/>
    <w:lvl w:ilvl="0">
      <w:lvlJc w:val="left"/>
      <w:lvlText w:val="(%1)"/>
      <w:numFmt w:val="lowerLetter"/>
      <w:start w:val="2"/>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lvl w:ilvl="1">
      <w:lvlJc w:val="left"/>
      <w:lvlText w:val="o"/>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1."/>
      <w:numFmt w:val="decimal"/>
      <w:start w:val="9"/>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1)"/>
      <w:numFmt w:val="decimal"/>
      <w:start w:val="1"/>
    </w:lvl>
  </w:abstractNum>
  <w:abstractNum w:abstractNumId="18">
    <w:nsid w:val="100F8FCA"/>
    <w:multiLevelType w:val="hybridMultilevel"/>
    <w:lvl w:ilvl="0">
      <w:lvlJc w:val="left"/>
      <w:lvlText w:val="(%1)"/>
      <w:numFmt w:val="decimal"/>
      <w:start w:val="2"/>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1)"/>
      <w:numFmt w:val="decimal"/>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1)"/>
      <w:numFmt w:val="decimal"/>
      <w:start w:val="1"/>
    </w:lvl>
  </w:abstractNum>
  <w:abstractNum w:abstractNumId="23">
    <w:nsid w:val="799D0247"/>
    <w:multiLevelType w:val="hybridMultilevel"/>
    <w:lvl w:ilvl="0">
      <w:lvlJc w:val="left"/>
      <w:lvlText w:val="(%1)"/>
      <w:numFmt w:val="decimal"/>
      <w:start w:val="5"/>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1)"/>
      <w:numFmt w:val="decimal"/>
      <w:start w:val="1"/>
    </w:lvl>
  </w:abstractNum>
  <w:abstractNum w:abstractNumId="27">
    <w:nsid w:val="1EBA5D23"/>
    <w:multiLevelType w:val="hybridMultilevel"/>
    <w:lvl w:ilvl="0">
      <w:lvlJc w:val="left"/>
      <w:lvlText w:val="(%1)"/>
      <w:numFmt w:val="decimal"/>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1)"/>
      <w:numFmt w:val="decimal"/>
      <w:start w:val="1"/>
    </w:lvl>
  </w:abstractNum>
  <w:abstractNum w:abstractNumId="30">
    <w:nsid w:val="540A471C"/>
    <w:multiLevelType w:val="hybridMultilevel"/>
    <w:lvl w:ilvl="0">
      <w:lvlJc w:val="left"/>
      <w:lvlText w:val="(%1)"/>
      <w:numFmt w:val="lowerRoman"/>
      <w:start w:val="1"/>
    </w:lvl>
  </w:abstractNum>
  <w:abstractNum w:abstractNumId="31">
    <w:nsid w:val="7BD3EE7B"/>
    <w:multiLevelType w:val="hybridMultilevel"/>
    <w:lvl w:ilvl="0">
      <w:lvlJc w:val="left"/>
      <w:lvlText w:val="(%1)"/>
      <w:numFmt w:val="lowerRoman"/>
      <w:start w:val="1"/>
    </w:lvl>
  </w:abstractNum>
  <w:abstractNum w:abstractNumId="32">
    <w:nsid w:val="51D9C564"/>
    <w:multiLevelType w:val="hybridMultilevel"/>
    <w:lvl w:ilvl="0">
      <w:lvlJc w:val="left"/>
      <w:lvlText w:val="(%1)"/>
      <w:numFmt w:val="lowerRoman"/>
      <w:start w:val="4"/>
    </w:lvl>
  </w:abstractNum>
  <w:abstractNum w:abstractNumId="33">
    <w:nsid w:val="613EFDC5"/>
    <w:multiLevelType w:val="hybridMultilevel"/>
    <w:lvl w:ilvl="0">
      <w:lvlJc w:val="left"/>
      <w:lvlText w:val="(%1)"/>
      <w:numFmt w:val="lowerRoman"/>
      <w:start w:val="2"/>
    </w:lvl>
  </w:abstractNum>
  <w:abstractNum w:abstractNumId="34">
    <w:nsid w:val="BF72B14"/>
    <w:multiLevelType w:val="hybridMultilevel"/>
    <w:lvl w:ilvl="0">
      <w:lvlJc w:val="left"/>
      <w:lvlText w:val="(%1)"/>
      <w:numFmt w:val="lowerRoman"/>
      <w:start w:val="2"/>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1)"/>
      <w:numFmt w:val="decimal"/>
      <w:start w:val="4"/>
    </w:lvl>
  </w:abstractNum>
  <w:abstractNum w:abstractNumId="40">
    <w:nsid w:val="3B0FD379"/>
    <w:multiLevelType w:val="hybridMultilevel"/>
    <w:lvl w:ilvl="0">
      <w:lvlJc w:val="left"/>
      <w:lvlText w:val="(%1)"/>
      <w:numFmt w:val="lowerRoman"/>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1)"/>
      <w:numFmt w:val="decimal"/>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1."/>
      <w:numFmt w:val="decimal"/>
      <w:start w:val="1"/>
    </w:lvl>
  </w:abstractNum>
  <w:abstractNum w:abstractNumId="47">
    <w:nsid w:val="1A27709E"/>
    <w:multiLevelType w:val="hybridMultilevel"/>
    <w:lvl w:ilvl="0">
      <w:lvlJc w:val="left"/>
      <w:lvlText w:val="%1."/>
      <w:numFmt w:val="decimal"/>
      <w:start w:val="1"/>
    </w:lvl>
  </w:abstractNum>
  <w:abstractNum w:abstractNumId="48">
    <w:nsid w:val="71EA1109"/>
    <w:multiLevelType w:val="hybridMultilevel"/>
    <w:lvl w:ilvl="0">
      <w:lvlJc w:val="left"/>
      <w:lvlText w:val="(%1)"/>
      <w:numFmt w:val="lowerRoman"/>
      <w:start w:val="1"/>
    </w:lvl>
  </w:abstractNum>
  <w:abstractNum w:abstractNumId="49">
    <w:nsid w:val="100F59DC"/>
    <w:multiLevelType w:val="hybridMultilevel"/>
    <w:lvl w:ilvl="0">
      <w:lvlJc w:val="left"/>
      <w:lvlText w:val="(%1)"/>
      <w:numFmt w:val="lowerRoman"/>
      <w:start w:val="4"/>
    </w:lvl>
  </w:abstractNum>
  <w:abstractNum w:abstractNumId="50">
    <w:nsid w:val="7FB7E0AA"/>
    <w:multiLevelType w:val="hybridMultilevel"/>
    <w:lvl w:ilvl="0">
      <w:lvlJc w:val="left"/>
      <w:lvlText w:val="(%1)"/>
      <w:numFmt w:val="decimal"/>
      <w:start w:val="1"/>
    </w:lvl>
  </w:abstractNum>
  <w:abstractNum w:abstractNumId="51">
    <w:nsid w:val="6EB5BD4"/>
    <w:multiLevelType w:val="hybridMultilevel"/>
    <w:lvl w:ilvl="0">
      <w:lvlJc w:val="left"/>
      <w:lvlText w:val="1"/>
      <w:numFmt w:val="bullet"/>
      <w:start w:val="1"/>
    </w:lvl>
  </w:abstractNum>
  <w:abstractNum w:abstractNumId="52">
    <w:nsid w:val="6F6DD9AC"/>
    <w:multiLevelType w:val="hybridMultilevel"/>
    <w:lvl w:ilvl="0">
      <w:lvlJc w:val="left"/>
      <w:lvlText w:val="%1."/>
      <w:numFmt w:val="decimal"/>
      <w:start w:val="2"/>
    </w:lvl>
  </w:abstractNum>
  <w:abstractNum w:abstractNumId="53">
    <w:nsid w:val="94211F2"/>
    <w:multiLevelType w:val="hybridMultilevel"/>
    <w:lvl w:ilvl="0">
      <w:lvlJc w:val="left"/>
      <w:lvlText w:val="%1."/>
      <w:numFmt w:val="decimal"/>
      <w:start w:val="3"/>
    </w:lvl>
  </w:abstractNum>
  <w:abstractNum w:abstractNumId="54">
    <w:nsid w:val="885E1B"/>
    <w:multiLevelType w:val="hybridMultilevel"/>
    <w:lvl w:ilvl="0">
      <w:lvlJc w:val="left"/>
      <w:lvlText w:val="(%1)"/>
      <w:numFmt w:val="lowerLetter"/>
      <w:start w:val="1"/>
    </w:lvl>
  </w:abstractNum>
  <w:abstractNum w:abstractNumId="55">
    <w:nsid w:val="76272110"/>
    <w:multiLevelType w:val="hybridMultilevel"/>
    <w:lvl w:ilvl="0">
      <w:lvlJc w:val="left"/>
      <w:lvlText w:val="%1."/>
      <w:numFmt w:val="decimal"/>
      <w:start w:val="4"/>
    </w:lvl>
  </w:abstractNum>
  <w:abstractNum w:abstractNumId="56">
    <w:nsid w:val="4C04A8AF"/>
    <w:multiLevelType w:val="hybridMultilevel"/>
    <w:lvl w:ilvl="0">
      <w:lvlJc w:val="left"/>
      <w:lvlText w:val="(%1)"/>
      <w:numFmt w:val="lowerLetter"/>
      <w:start w:val="1"/>
    </w:lvl>
  </w:abstractNum>
  <w:abstractNum w:abstractNumId="57">
    <w:nsid w:val="1716703B"/>
    <w:multiLevelType w:val="hybridMultilevel"/>
    <w:lvl w:ilvl="0">
      <w:lvlJc w:val="left"/>
      <w:lvlText w:val="%1."/>
      <w:numFmt w:val="decimal"/>
      <w:start w:val="5"/>
    </w:lvl>
  </w:abstractNum>
  <w:abstractNum w:abstractNumId="58">
    <w:nsid w:val="14E17E33"/>
    <w:multiLevelType w:val="hybridMultilevel"/>
    <w:lvl w:ilvl="0">
      <w:lvlJc w:val="left"/>
      <w:lvlText w:val="%1."/>
      <w:numFmt w:val="decimal"/>
      <w:start w:val="6"/>
    </w:lvl>
  </w:abstractNum>
  <w:abstractNum w:abstractNumId="59">
    <w:nsid w:val="3222E7CD"/>
    <w:multiLevelType w:val="hybridMultilevel"/>
    <w:lvl w:ilvl="0">
      <w:lvlJc w:val="left"/>
      <w:lvlText w:val="(%1)"/>
      <w:numFmt w:val="lowerLetter"/>
      <w:start w:val="1"/>
    </w:lvl>
    <w:lvl w:ilvl="1">
      <w:lvlJc w:val="left"/>
      <w:lvlText w:val="(%2)"/>
      <w:numFmt w:val="lowerRoman"/>
      <w:start w:val="1"/>
    </w:lvl>
  </w:abstractNum>
  <w:abstractNum w:abstractNumId="60">
    <w:nsid w:val="74DE0EE3"/>
    <w:multiLevelType w:val="hybridMultilevel"/>
    <w:lvl w:ilvl="0">
      <w:lvlJc w:val="left"/>
      <w:lvlText w:val="%1."/>
      <w:numFmt w:val="upperLetter"/>
      <w:start w:val="1"/>
    </w:lvl>
  </w:abstractNum>
  <w:abstractNum w:abstractNumId="61">
    <w:nsid w:val="68EBC550"/>
    <w:multiLevelType w:val="hybridMultilevel"/>
    <w:lvl w:ilvl="0">
      <w:lvlJc w:val="left"/>
      <w:lvlText w:val="(%1)"/>
      <w:numFmt w:val="lowerRoman"/>
      <w:start w:val="5"/>
    </w:lvl>
  </w:abstractNum>
  <w:abstractNum w:abstractNumId="62">
    <w:nsid w:val="2DF6D648"/>
    <w:multiLevelType w:val="hybridMultilevel"/>
    <w:lvl w:ilvl="0">
      <w:lvlJc w:val="left"/>
      <w:lvlText w:val="(%1)"/>
      <w:numFmt w:val="lowerLetter"/>
      <w:start w:val="2"/>
    </w:lvl>
    <w:lvl w:ilvl="1">
      <w:lvlJc w:val="left"/>
      <w:lvlText w:val="(%2)"/>
      <w:numFmt w:val="lowerRoman"/>
      <w:start w:val="1"/>
    </w:lvl>
  </w:abstractNum>
  <w:abstractNum w:abstractNumId="63">
    <w:nsid w:val="46B7D447"/>
    <w:multiLevelType w:val="hybridMultilevel"/>
    <w:lvl w:ilvl="0">
      <w:lvlJc w:val="left"/>
      <w:lvlText w:val="%1."/>
      <w:numFmt w:val="upperLetter"/>
      <w:start w:val="1"/>
    </w:lvl>
  </w:abstractNum>
  <w:abstractNum w:abstractNumId="64">
    <w:nsid w:val="4A2AC315"/>
    <w:multiLevelType w:val="hybridMultilevel"/>
    <w:lvl w:ilvl="0">
      <w:lvlJc w:val="left"/>
      <w:lvlText w:val="%1."/>
      <w:numFmt w:val="upperLetter"/>
      <w:start w:val="1"/>
    </w:lvl>
  </w:abstractNum>
  <w:abstractNum w:abstractNumId="65">
    <w:nsid w:val="39EE015C"/>
    <w:multiLevelType w:val="hybridMultilevel"/>
    <w:lvl w:ilvl="0">
      <w:lvlJc w:val="left"/>
      <w:lvlText w:val="%1"/>
      <w:numFmt w:val="decimal"/>
      <w:start w:val="1"/>
    </w:lvl>
    <w:lvl w:ilvl="1">
      <w:lvlJc w:val="left"/>
      <w:lvlText w:val="(%2)"/>
      <w:numFmt w:val="lowerRoman"/>
      <w:start w:val="4"/>
    </w:lvl>
  </w:abstractNum>
  <w:abstractNum w:abstractNumId="66">
    <w:nsid w:val="57FC4FBB"/>
    <w:multiLevelType w:val="hybridMultilevel"/>
    <w:lvl w:ilvl="0">
      <w:lvlJc w:val="left"/>
      <w:lvlText w:val="%1."/>
      <w:numFmt w:val="decimal"/>
      <w:start w:val="7"/>
    </w:lvl>
    <w:lvl w:ilvl="1">
      <w:lvlJc w:val="left"/>
      <w:lvlText w:val="%2"/>
      <w:numFmt w:val="lowerRoman"/>
      <w:start w:val="1"/>
    </w:lvl>
  </w:abstractNum>
  <w:abstractNum w:abstractNumId="67">
    <w:nsid w:val="CC1016F"/>
    <w:multiLevelType w:val="hybridMultilevel"/>
    <w:lvl w:ilvl="0">
      <w:lvlJc w:val="left"/>
      <w:lvlText w:val="(%1)"/>
      <w:numFmt w:val="lowerLetter"/>
      <w:start w:val="1"/>
    </w:lvl>
  </w:abstractNum>
  <w:abstractNum w:abstractNumId="68">
    <w:nsid w:val="43F18422"/>
    <w:multiLevelType w:val="hybridMultilevel"/>
    <w:lvl w:ilvl="0">
      <w:lvlJc w:val="left"/>
      <w:lvlText w:val="%1."/>
      <w:numFmt w:val="decimal"/>
      <w:start w:val="8"/>
    </w:lvl>
  </w:abstractNum>
  <w:abstractNum w:abstractNumId="69">
    <w:nsid w:val="60EF0119"/>
    <w:multiLevelType w:val="hybridMultilevel"/>
    <w:lvl w:ilvl="0">
      <w:lvlJc w:val="left"/>
      <w:lvlText w:val="%1."/>
      <w:numFmt w:val="decimal"/>
      <w:start w:val="9"/>
    </w:lvl>
  </w:abstractNum>
  <w:abstractNum w:abstractNumId="70">
    <w:nsid w:val="26F324BA"/>
    <w:multiLevelType w:val="hybridMultilevel"/>
    <w:lvl w:ilvl="0">
      <w:lvlJc w:val="left"/>
      <w:lvlText w:val="%1."/>
      <w:numFmt w:val="decimal"/>
      <w:start w:val="10"/>
    </w:lvl>
  </w:abstractNum>
  <w:abstractNum w:abstractNumId="71">
    <w:nsid w:val="7F01579B"/>
    <w:multiLevelType w:val="hybridMultilevel"/>
    <w:lvl w:ilvl="0">
      <w:lvlJc w:val="left"/>
      <w:lvlText w:val="2"/>
      <w:numFmt w:val="bullet"/>
      <w:start w:val="1"/>
    </w:lvl>
  </w:abstractNum>
  <w:abstractNum w:abstractNumId="72">
    <w:nsid w:val="49DA307D"/>
    <w:multiLevelType w:val="hybridMultilevel"/>
    <w:lvl w:ilvl="0">
      <w:lvlJc w:val="left"/>
      <w:lvlText w:val="%1."/>
      <w:numFmt w:val="decimal"/>
      <w:start w:val="11"/>
    </w:lvl>
  </w:abstractNum>
  <w:abstractNum w:abstractNumId="73">
    <w:nsid w:val="7055A5F5"/>
    <w:multiLevelType w:val="hybridMultilevel"/>
    <w:lvl w:ilvl="0">
      <w:lvlJc w:val="left"/>
      <w:lvlText w:val="%1."/>
      <w:numFmt w:val="decimal"/>
      <w:start w:val="12"/>
    </w:lvl>
  </w:abstractNum>
  <w:abstractNum w:abstractNumId="74">
    <w:nsid w:val="5FB8370B"/>
    <w:multiLevelType w:val="hybridMultilevel"/>
    <w:lvl w:ilvl="0">
      <w:lvlJc w:val="left"/>
      <w:lvlText w:val="%1."/>
      <w:numFmt w:val="decimal"/>
      <w:start w:val="13"/>
    </w:lvl>
  </w:abstractNum>
  <w:abstractNum w:abstractNumId="75">
    <w:nsid w:val="50801EE1"/>
    <w:multiLevelType w:val="hybridMultilevel"/>
    <w:lvl w:ilvl="0">
      <w:lvlJc w:val="left"/>
      <w:lvlText w:val="(%1)"/>
      <w:numFmt w:val="lowerLetter"/>
      <w:start w:val="1"/>
    </w:lvl>
  </w:abstractNum>
  <w:abstractNum w:abstractNumId="76">
    <w:nsid w:val="488AC1A"/>
    <w:multiLevelType w:val="hybridMultilevel"/>
    <w:lvl w:ilvl="0">
      <w:lvlJc w:val="left"/>
      <w:lvlText w:val="(%1)"/>
      <w:numFmt w:val="lowerLetter"/>
      <w:start w:val="2"/>
    </w:lvl>
  </w:abstractNum>
  <w:abstractNum w:abstractNumId="77">
    <w:nsid w:val="5FB8011C"/>
    <w:multiLevelType w:val="hybridMultilevel"/>
    <w:lvl w:ilvl="0">
      <w:lvlJc w:val="left"/>
      <w:lvlText w:val="%1."/>
      <w:numFmt w:val="decimal"/>
      <w:start w:val="14"/>
    </w:lvl>
  </w:abstractNum>
  <w:abstractNum w:abstractNumId="78">
    <w:nsid w:val="6AA78F7F"/>
    <w:multiLevelType w:val="hybridMultilevel"/>
    <w:lvl w:ilvl="0">
      <w:lvlJc w:val="left"/>
      <w:lvlText w:val="(%1)"/>
      <w:numFmt w:val="lowerLetter"/>
      <w:start w:val="1"/>
    </w:lvl>
  </w:abstractNum>
  <w:abstractNum w:abstractNumId="79">
    <w:nsid w:val="7672BD23"/>
    <w:multiLevelType w:val="hybridMultilevel"/>
    <w:lvl w:ilvl="0">
      <w:lvlJc w:val="left"/>
      <w:lvlText w:val="%1."/>
      <w:numFmt w:val="decimal"/>
      <w:start w:val="15"/>
    </w:lvl>
  </w:abstractNum>
  <w:abstractNum w:abstractNumId="80">
    <w:nsid w:val="6FC75AF8"/>
    <w:multiLevelType w:val="hybridMultilevel"/>
    <w:lvl w:ilvl="0">
      <w:lvlJc w:val="left"/>
      <w:lvlText w:val="(%1)"/>
      <w:numFmt w:val="lowerLetter"/>
      <w:start w:val="1"/>
    </w:lvl>
    <w:lvl w:ilvl="1">
      <w:lvlJc w:val="left"/>
      <w:lvlText w:val="(%2)"/>
      <w:numFmt w:val="lowerRoman"/>
      <w:start w:val="1"/>
    </w:lvl>
  </w:abstractNum>
  <w:abstractNum w:abstractNumId="81">
    <w:nsid w:val="6A5F7029"/>
    <w:multiLevelType w:val="hybridMultilevel"/>
    <w:lvl w:ilvl="0">
      <w:lvlJc w:val="left"/>
      <w:lvlText w:val="%1."/>
      <w:numFmt w:val="decimal"/>
      <w:start w:val="16"/>
    </w:lvl>
  </w:abstractNum>
  <w:abstractNum w:abstractNumId="82">
    <w:nsid w:val="7D5E18F8"/>
    <w:multiLevelType w:val="hybridMultilevel"/>
    <w:lvl w:ilvl="0">
      <w:lvlJc w:val="left"/>
      <w:lvlText w:val="(%1)"/>
      <w:numFmt w:val="lowerLetter"/>
      <w:start w:val="1"/>
    </w:lvl>
    <w:lvl w:ilvl="1">
      <w:lvlJc w:val="left"/>
      <w:lvlText w:val="(%2)"/>
      <w:numFmt w:val="lowerRoman"/>
      <w:start w:val="1"/>
    </w:lvl>
  </w:abstractNum>
  <w:abstractNum w:abstractNumId="83">
    <w:nsid w:val="5F3534A4"/>
    <w:multiLevelType w:val="hybridMultilevel"/>
    <w:lvl w:ilvl="0">
      <w:lvlJc w:val="left"/>
      <w:lvlText w:val="%1."/>
      <w:numFmt w:val="decimal"/>
      <w:start w:val="17"/>
    </w:lvl>
  </w:abstractNum>
  <w:abstractNum w:abstractNumId="84">
    <w:nsid w:val="73A1821B"/>
    <w:multiLevelType w:val="hybridMultilevel"/>
    <w:lvl w:ilvl="0">
      <w:lvlJc w:val="left"/>
      <w:lvlText w:val="%1."/>
      <w:numFmt w:val="decimal"/>
      <w:start w:val="18"/>
    </w:lvl>
  </w:abstractNum>
  <w:abstractNum w:abstractNumId="85">
    <w:nsid w:val="7DE67713"/>
    <w:multiLevelType w:val="hybridMultilevel"/>
    <w:lvl w:ilvl="0">
      <w:lvlJc w:val="left"/>
      <w:lvlText w:val="%1."/>
      <w:numFmt w:val="decimal"/>
      <w:start w:val="19"/>
    </w:lvl>
  </w:abstractNum>
  <w:abstractNum w:abstractNumId="86">
    <w:nsid w:val="555C55B5"/>
    <w:multiLevelType w:val="hybridMultilevel"/>
    <w:lvl w:ilvl="0">
      <w:lvlJc w:val="left"/>
      <w:lvlText w:val="(%1)"/>
      <w:numFmt w:val="lowerLetter"/>
      <w:start w:val="1"/>
    </w:lvl>
  </w:abstractNum>
  <w:abstractNum w:abstractNumId="87">
    <w:nsid w:val="3FA62ACA"/>
    <w:multiLevelType w:val="hybridMultilevel"/>
    <w:lvl w:ilvl="0">
      <w:lvlJc w:val="left"/>
      <w:lvlText w:val="%1."/>
      <w:numFmt w:val="decimal"/>
      <w:start w:val="20"/>
    </w:lvl>
  </w:abstractNum>
  <w:abstractNum w:abstractNumId="88">
    <w:nsid w:val="14FCE74E"/>
    <w:multiLevelType w:val="hybridMultilevel"/>
    <w:lvl w:ilvl="0">
      <w:lvlJc w:val="left"/>
      <w:lvlText w:val="%1."/>
      <w:numFmt w:val="decimal"/>
      <w:start w:val="21"/>
    </w:lvl>
  </w:abstractNum>
  <w:abstractNum w:abstractNumId="89">
    <w:nsid w:val="6A3DD3E8"/>
    <w:multiLevelType w:val="hybridMultilevel"/>
    <w:lvl w:ilvl="0">
      <w:lvlJc w:val="left"/>
      <w:lvlText w:val="%1."/>
      <w:numFmt w:val="decimal"/>
      <w:start w:val="22"/>
    </w:lvl>
  </w:abstractNum>
  <w:abstractNum w:abstractNumId="90">
    <w:nsid w:val="71C91298"/>
    <w:multiLevelType w:val="hybridMultilevel"/>
    <w:lvl w:ilvl="0">
      <w:lvlJc w:val="left"/>
      <w:lvlText w:val="(%1)"/>
      <w:numFmt w:val="lowerLetter"/>
      <w:start w:val="1"/>
    </w:lvl>
  </w:abstractNum>
  <w:abstractNum w:abstractNumId="91">
    <w:nsid w:val="9DAF632"/>
    <w:multiLevelType w:val="hybridMultilevel"/>
    <w:lvl w:ilvl="0">
      <w:lvlJc w:val="left"/>
      <w:lvlText w:val="(%1)"/>
      <w:numFmt w:val="lowerLetter"/>
      <w:start w:val="2"/>
    </w:lvl>
  </w:abstractNum>
  <w:abstractNum w:abstractNumId="92">
    <w:nsid w:val="53299938"/>
    <w:multiLevelType w:val="hybridMultilevel"/>
    <w:lvl w:ilvl="0">
      <w:lvlJc w:val="left"/>
      <w:lvlText w:val="%1."/>
      <w:numFmt w:val="decimal"/>
      <w:start w:val="23"/>
    </w:lvl>
  </w:abstractNum>
  <w:abstractNum w:abstractNumId="93">
    <w:nsid w:val="1FBFE8E0"/>
    <w:multiLevelType w:val="hybridMultilevel"/>
    <w:lvl w:ilvl="0">
      <w:lvlJc w:val="left"/>
      <w:lvlText w:val="%1."/>
      <w:numFmt w:val="decimal"/>
      <w:start w:val="24"/>
    </w:lvl>
  </w:abstractNum>
  <w:abstractNum w:abstractNumId="94">
    <w:nsid w:val="5092CA79"/>
    <w:multiLevelType w:val="hybridMultilevel"/>
    <w:lvl w:ilvl="0">
      <w:lvlJc w:val="left"/>
      <w:lvlText w:val="(%1)"/>
      <w:numFmt w:val="lowerLetter"/>
      <w:start w:val="1"/>
    </w:lvl>
  </w:abstractNum>
  <w:abstractNum w:abstractNumId="95">
    <w:nsid w:val="1D545C4D"/>
    <w:multiLevelType w:val="hybridMultilevel"/>
    <w:lvl w:ilvl="0">
      <w:lvlJc w:val="left"/>
      <w:lvlText w:val="(%1)"/>
      <w:numFmt w:val="lowerLetter"/>
      <w:start w:val="2"/>
    </w:lvl>
  </w:abstractNum>
  <w:abstractNum w:abstractNumId="96">
    <w:nsid w:val="59ADEA3D"/>
    <w:multiLevelType w:val="hybridMultilevel"/>
    <w:lvl w:ilvl="0">
      <w:lvlJc w:val="left"/>
      <w:lvlText w:val="(%1)"/>
      <w:numFmt w:val="lowerLetter"/>
      <w:start w:val="3"/>
    </w:lvl>
  </w:abstractNum>
  <w:abstractNum w:abstractNumId="97">
    <w:nsid w:val="288F1A34"/>
    <w:multiLevelType w:val="hybridMultilevel"/>
    <w:lvl w:ilvl="0">
      <w:lvlJc w:val="left"/>
      <w:lvlText w:val="%1."/>
      <w:numFmt w:val="decimal"/>
      <w:start w:val="25"/>
    </w:lvl>
  </w:abstractNum>
  <w:abstractNum w:abstractNumId="98">
    <w:nsid w:val="2A155DBC"/>
    <w:multiLevelType w:val="hybridMultilevel"/>
    <w:lvl w:ilvl="0">
      <w:lvlJc w:val="left"/>
      <w:lvlText w:val="%1."/>
      <w:numFmt w:val="decimal"/>
      <w:start w:val="26"/>
    </w:lvl>
  </w:abstractNum>
  <w:abstractNum w:abstractNumId="99">
    <w:nsid w:val="1D9F6E5F"/>
    <w:multiLevelType w:val="hybridMultilevel"/>
    <w:lvl w:ilvl="0">
      <w:lvlJc w:val="left"/>
      <w:lvlText w:val="%1."/>
      <w:numFmt w:val="decimal"/>
      <w:start w:val="27"/>
    </w:lvl>
  </w:abstractNum>
  <w:abstractNum w:abstractNumId="100">
    <w:nsid w:val="97E1B4E"/>
    <w:multiLevelType w:val="hybridMultilevel"/>
    <w:lvl w:ilvl="0">
      <w:lvlJc w:val="left"/>
      <w:lvlText w:val="%1."/>
      <w:numFmt w:val="decimal"/>
      <w:start w:val="28"/>
    </w:lvl>
  </w:abstractNum>
  <w:abstractNum w:abstractNumId="101">
    <w:nsid w:val="51088277"/>
    <w:multiLevelType w:val="hybridMultilevel"/>
    <w:lvl w:ilvl="0">
      <w:lvlJc w:val="left"/>
      <w:lvlText w:val="%1."/>
      <w:numFmt w:val="decimal"/>
      <w:start w:val="29"/>
    </w:lvl>
  </w:abstractNum>
  <w:abstractNum w:abstractNumId="102">
    <w:nsid w:val="1CA0C5FA"/>
    <w:multiLevelType w:val="hybridMultilevel"/>
    <w:lvl w:ilvl="0">
      <w:lvlJc w:val="left"/>
      <w:lvlText w:val="%1."/>
      <w:numFmt w:val="decimal"/>
      <w:start w:val="30"/>
    </w:lvl>
  </w:abstractNum>
  <w:abstractNum w:abstractNumId="103">
    <w:nsid w:val="53584BCB"/>
    <w:multiLevelType w:val="hybridMultilevel"/>
    <w:lvl w:ilvl="0">
      <w:lvlJc w:val="left"/>
      <w:lvlText w:val="%1."/>
      <w:numFmt w:val="decimal"/>
      <w:start w:val="31"/>
    </w:lvl>
  </w:abstractNum>
  <w:abstractNum w:abstractNumId="104">
    <w:nsid w:val="415E286C"/>
    <w:multiLevelType w:val="hybridMultilevel"/>
    <w:lvl w:ilvl="0">
      <w:lvlJc w:val="left"/>
      <w:lvlText w:val="%1."/>
      <w:numFmt w:val="decimal"/>
      <w:start w:val="32"/>
    </w:lvl>
  </w:abstractNum>
  <w:abstractNum w:abstractNumId="105">
    <w:nsid w:val="7C58FD05"/>
    <w:multiLevelType w:val="hybridMultilevel"/>
    <w:lvl w:ilvl="0">
      <w:lvlJc w:val="left"/>
      <w:lvlText w:val="%1."/>
      <w:numFmt w:val="decimal"/>
      <w:start w:val="33"/>
    </w:lvl>
  </w:abstractNum>
  <w:abstractNum w:abstractNumId="106">
    <w:nsid w:val="23D86AAC"/>
    <w:multiLevelType w:val="hybridMultilevel"/>
    <w:lvl w:ilvl="0">
      <w:lvlJc w:val="left"/>
      <w:lvlText w:val="%1."/>
      <w:numFmt w:val="decimal"/>
      <w:start w:val="1"/>
    </w:lvl>
  </w:abstractNum>
  <w:abstractNum w:abstractNumId="107">
    <w:nsid w:val="45E6D486"/>
    <w:multiLevelType w:val="hybridMultilevel"/>
    <w:lvl w:ilvl="0">
      <w:lvlJc w:val="left"/>
      <w:lvlText w:val="%1."/>
      <w:numFmt w:val="decimal"/>
      <w:start w:val="2"/>
    </w:lvl>
  </w:abstractNum>
  <w:abstractNum w:abstractNumId="108">
    <w:nsid w:val="5C10FE21"/>
    <w:multiLevelType w:val="hybridMultilevel"/>
    <w:lvl w:ilvl="0">
      <w:lvlJc w:val="left"/>
      <w:lvlText w:val="%1."/>
      <w:numFmt w:val="decimal"/>
      <w:start w:val="3"/>
    </w:lvl>
  </w:abstractNum>
  <w:abstractNum w:abstractNumId="109">
    <w:nsid w:val="E7FFA2B"/>
    <w:multiLevelType w:val="hybridMultilevel"/>
    <w:lvl w:ilvl="0">
      <w:lvlJc w:val="left"/>
      <w:lvlText w:val="(%1)"/>
      <w:numFmt w:val="lowerRoman"/>
      <w:start w:val="1"/>
    </w:lvl>
  </w:abstractNum>
  <w:abstractNum w:abstractNumId="110">
    <w:nsid w:val="3C5991AA"/>
    <w:multiLevelType w:val="hybridMultilevel"/>
    <w:lvl w:ilvl="0">
      <w:lvlJc w:val="left"/>
      <w:lvlText w:val="%1."/>
      <w:numFmt w:val="decimal"/>
      <w:start w:val="4"/>
    </w:lvl>
  </w:abstractNum>
  <w:abstractNum w:abstractNumId="111">
    <w:nsid w:val="4BD8591A"/>
    <w:multiLevelType w:val="hybridMultilevel"/>
    <w:lvl w:ilvl="0">
      <w:lvlJc w:val="left"/>
      <w:lvlText w:val="%1."/>
      <w:numFmt w:val="decimal"/>
      <w:start w:val="5"/>
    </w:lvl>
  </w:abstractNum>
  <w:abstractNum w:abstractNumId="112">
    <w:nsid w:val="78DF6A55"/>
    <w:multiLevelType w:val="hybridMultilevel"/>
    <w:lvl w:ilvl="0">
      <w:lvlJc w:val="left"/>
      <w:lvlText w:val="%1."/>
      <w:numFmt w:val="decimal"/>
      <w:start w:val="6"/>
    </w:lvl>
  </w:abstractNum>
  <w:abstractNum w:abstractNumId="113">
    <w:nsid w:val="39B7AAA2"/>
    <w:multiLevelType w:val="hybridMultilevel"/>
    <w:lvl w:ilvl="0">
      <w:lvlJc w:val="left"/>
      <w:lvlText w:val="%1."/>
      <w:numFmt w:val="decimal"/>
      <w:start w:val="7"/>
    </w:lvl>
  </w:abstractNum>
  <w:abstractNum w:abstractNumId="114">
    <w:nsid w:val="2B0D8DBE"/>
    <w:multiLevelType w:val="hybridMultilevel"/>
    <w:lvl w:ilvl="0">
      <w:lvlJc w:val="left"/>
      <w:lvlText w:val="%1."/>
      <w:numFmt w:val="decimal"/>
      <w:start w:val="8"/>
    </w:lvl>
  </w:abstractNum>
  <w:abstractNum w:abstractNumId="115">
    <w:nsid w:val="6C80EC70"/>
    <w:multiLevelType w:val="hybridMultilevel"/>
    <w:lvl w:ilvl="0">
      <w:lvlJc w:val="left"/>
      <w:lvlText w:val="%1."/>
      <w:numFmt w:val="decimal"/>
      <w:start w:val="9"/>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2019-12-20T15:51:48Z</dcterms:created>
  <dcterms:modified xsi:type="dcterms:W3CDTF">2019-12-20T15:51:48Z</dcterms:modified>
</cp:coreProperties>
</file>