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19,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001-34785</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44 W. 28th Street</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6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600" w:firstLine="8"/>
        <w:spacing w:after="0" w:line="224" w:lineRule="exact"/>
        <w:tabs>
          <w:tab w:leader="none" w:pos="20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jc w:val="both"/>
        <w:ind w:right="3000"/>
        <w:spacing w:after="0" w:line="225"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previously disclosed, on March 12, 2012, Vringo, Inc. (the “</w:t>
      </w:r>
      <w:r>
        <w:rPr>
          <w:rFonts w:ascii="Arial" w:cs="Arial" w:eastAsia="Arial" w:hAnsi="Arial"/>
          <w:sz w:val="18"/>
          <w:szCs w:val="18"/>
          <w:u w:val="single" w:color="auto"/>
          <w:color w:val="auto"/>
        </w:rPr>
        <w:t>Company</w:t>
      </w:r>
      <w:r>
        <w:rPr>
          <w:rFonts w:ascii="Arial" w:cs="Arial" w:eastAsia="Arial" w:hAnsi="Arial"/>
          <w:sz w:val="18"/>
          <w:szCs w:val="18"/>
          <w:color w:val="auto"/>
        </w:rPr>
        <w:t>”), VIP Merger Sub, Inc., a wholly-owned subsidiary of the Company (“</w:t>
      </w:r>
      <w:r>
        <w:rPr>
          <w:rFonts w:ascii="Arial" w:cs="Arial" w:eastAsia="Arial" w:hAnsi="Arial"/>
          <w:sz w:val="18"/>
          <w:szCs w:val="18"/>
          <w:u w:val="single" w:color="auto"/>
          <w:color w:val="auto"/>
        </w:rPr>
        <w:t>Merger Sub</w:t>
      </w:r>
      <w:r>
        <w:rPr>
          <w:rFonts w:ascii="Arial" w:cs="Arial" w:eastAsia="Arial" w:hAnsi="Arial"/>
          <w:sz w:val="18"/>
          <w:szCs w:val="18"/>
          <w:color w:val="auto"/>
        </w:rPr>
        <w:t>”), and Innovate/Protect, Inc. (“</w:t>
      </w:r>
      <w:r>
        <w:rPr>
          <w:rFonts w:ascii="Arial" w:cs="Arial" w:eastAsia="Arial" w:hAnsi="Arial"/>
          <w:sz w:val="18"/>
          <w:szCs w:val="18"/>
          <w:u w:val="single" w:color="auto"/>
          <w:color w:val="auto"/>
        </w:rPr>
        <w:t>Innovate/Protect</w:t>
      </w:r>
      <w:r>
        <w:rPr>
          <w:rFonts w:ascii="Arial" w:cs="Arial" w:eastAsia="Arial" w:hAnsi="Arial"/>
          <w:sz w:val="18"/>
          <w:szCs w:val="18"/>
          <w:color w:val="auto"/>
        </w:rPr>
        <w:t>”) entered into a merger agreement (as may be amended or modified,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Innovate/Protect will merge with and into Merger Sub, with Merger Sub surviving the merger as a wholly-owned subsidiary of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The consummation of the Merger with Innovate/Protect is subject to stockholders’ approval and other closing conditions. A copy of the Merger Agreement was filed as Exhibit 2.1 to the Company’s Current Report on Form 8-K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March 14, 2012 and is incorporated herein by reference.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Current Report on Form 8-K is being filed to provide (i) the unaudited pro forma consolidated statement of operation for the three month period ended March 31, 2012, (ii) the unaudited pro forma consolidated balance sheets, as of March 31, 2012 and (iii) the unaudited pro forma consolidated statement of operation, for the period from June 8, 2011 (date of inception of Innovate/Protect) through December 31, 2011.</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filed with the SEC a registration statement on Form S-3 for the resale of up to 2,672,756 shares and subsequently amended to 2,526,289 shares of common stock issued and issuable upon exercise of warrants held by certain security holders named therein which has not yet become effective. No securities may be sold nor offers to buy securities be accepted prior to the time the registration statement becomes effective.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This report does not constitute an offer to sell or the solicitation of an offer to buy any securities of the Company, or Innovate/Protect or the solicitation of any vote or approval. In connection with the proposed Merger, the Company filed a Registration Statement on Form S-4 with the SEC on April 6, 2012, subsequently amended on May 17, 2012, June 1, 2012 and June 12, 2012, which includes a preliminary proxy statement/prospectus of the Company. These materials are not yet final and will be further amended. The proxy statement/prospectus contains important information about the Company, Innovate/Protect, the Merger and related matters. The Company will mail or otherwise deliver the proxy statement/prospectus to its stockholders and the stockholders of Innovate/Protect once it is final. </w:t>
      </w:r>
      <w:r>
        <w:rPr>
          <w:rFonts w:ascii="Arial" w:cs="Arial" w:eastAsia="Arial" w:hAnsi="Arial"/>
          <w:sz w:val="16"/>
          <w:szCs w:val="16"/>
          <w:b w:val="1"/>
          <w:bCs w:val="1"/>
          <w:color w:val="auto"/>
        </w:rPr>
        <w:t>Investors and security holders of the Company and Innovate/Protect are urged to read carefully the</w:t>
      </w:r>
      <w:r>
        <w:rPr>
          <w:rFonts w:ascii="Arial" w:cs="Arial" w:eastAsia="Arial" w:hAnsi="Arial"/>
          <w:sz w:val="16"/>
          <w:szCs w:val="16"/>
          <w:color w:val="auto"/>
        </w:rPr>
        <w:t xml:space="preserve"> </w:t>
      </w:r>
      <w:r>
        <w:rPr>
          <w:rFonts w:ascii="Arial" w:cs="Arial" w:eastAsia="Arial" w:hAnsi="Arial"/>
          <w:sz w:val="16"/>
          <w:szCs w:val="16"/>
          <w:b w:val="1"/>
          <w:bCs w:val="1"/>
          <w:color w:val="auto"/>
        </w:rPr>
        <w:t>proxy statement/prospectus relating to the merger (including any amendments or supplements thereto) in its entirety when it is available, because it will contain important information about the Company, Innovate/Protect and the proposed transaction.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Investors and security holders of the Company will be able to obtain free copies of the proxy statement/prospectus for the proposed merger (when it is available) and other documents filed with the SEC by the Company through the website maintained by the SEC at www.sec.gov. In addition, investors and security holders of the Company and Innovate/Protect will be able to obtain free copies of the proxy statement/prospectus for the proposed merger (when it is available) by contacting Vringo, Inc., Attn.: Cliff Weinstein, VP Corporate Development, at 44 W. 28th Street, New York, New York 10001, or by e-mail at cliff@vringo.com. Investors and security holders of Innovate/Protect will also be able to obtain free copies of the proxy statement/prospectus for the merger by contacting Innovate/Protect, Attn.: Chief Operating Officer, 380 Madison Avenue, 22nd Floor, New York, NY 10017, or by e-mail at info@innovateprotect.com.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Statements in this report regarding the proposed Merger between the Company and Innovate/Protect; the expected timetable for completing the transaction; the potential value created by the proposed Merger for the Company’s and Innovate/Protect’s stockholders; the potential of the combined companies’ technology platform; the Company’s respective or combined ability to raise capital to fund our combined operations and business plan; the continued listing of the Company’s or the combined company’s securities on the NYSE Amex; market acceptance of the Company’s products; our collective ability to protect our intellectual property rights; competition from other providers and products; our ability to license and monetize the patents owned by Innovate/Protect, including the outcome of the litigation against online search firms and other companies; the combined company’s management and board of directors; and any other statements about the Company’s or Innovate/Protect’s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the Company and Innovate/Protect may not be able to complete the proposed transaction; the inability to realize the potential value created by the proposed merger for the Company’s and Innovate/Protect’s stockholders; our respective or combined inability to raise capital to fund our combined operations and business plan; the Company’s or the combined company’s inability to maintain the listing of our securities on the NYSE Amex; the potential lack of market acceptance of the Company’s products; our collective inability to protect our intellectual property rights; potential competition from other providers and products; our inability to license and monetize the patents owned by Innovate/Protect, including the outcome of the litigation against online search firms and other companies; and other risks and uncertainties more fully described in the Company’s Annual Report on Form 10-K for the year ended December 31, 2011 and its Quarterly Report on Form 10-Q for the quarter ended March 31, 2012, as filed with the SEC, as well as the other filings that the Company makes with the SEC. Investors and stockholders are also urged to read the risk factors set forth in the proxy statement/prospectus carefully.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 statements in this report reflect our expectations and beliefs as of the date of this report. The Company anticipates that subsequent events and developments will cause its expectations and beliefs to change. However, while the Company may elect to update these forward-looking statements publicly at some point in the future, the company specifically disclaims any obligation to do so, whether as a result of new information, future events or otherwise. These forward-looking statements should not be relied upon as representing the Company’s views as of any date after the date of this release.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unaudited pro forma combined financial statements reflecting the Merger are filed herewith as Exhibit 99.1.</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6"/>
          <w:szCs w:val="16"/>
          <w:color w:val="auto"/>
        </w:rPr>
        <w:t>Unaudited Pro Forma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3160" w:type="dxa"/>
            <w:vAlign w:val="bottom"/>
            <w:gridSpan w:val="2"/>
          </w:tcPr>
          <w:p>
            <w:pPr>
              <w:ind w:left="1860"/>
              <w:spacing w:after="0"/>
              <w:rPr>
                <w:sz w:val="20"/>
                <w:szCs w:val="20"/>
                <w:color w:val="auto"/>
              </w:rPr>
            </w:pPr>
            <w:r>
              <w:rPr>
                <w:rFonts w:ascii="Arial" w:cs="Arial" w:eastAsia="Arial" w:hAnsi="Arial"/>
                <w:sz w:val="18"/>
                <w:szCs w:val="18"/>
                <w:b w:val="1"/>
                <w:bCs w:val="1"/>
                <w:color w:val="auto"/>
              </w:rPr>
              <w:t>VRINGO, INC.</w:t>
            </w:r>
          </w:p>
        </w:tc>
        <w:tc>
          <w:tcPr>
            <w:tcW w:w="4860" w:type="dxa"/>
            <w:vAlign w:val="bottom"/>
          </w:tcPr>
          <w:p>
            <w:pPr>
              <w:spacing w:after="0"/>
              <w:rPr>
                <w:sz w:val="20"/>
                <w:szCs w:val="20"/>
                <w:color w:val="auto"/>
              </w:rPr>
            </w:pPr>
          </w:p>
        </w:tc>
      </w:tr>
      <w:tr>
        <w:trPr>
          <w:trHeight w:val="648"/>
        </w:trPr>
        <w:tc>
          <w:tcPr>
            <w:tcW w:w="3400" w:type="dxa"/>
            <w:vAlign w:val="bottom"/>
          </w:tcPr>
          <w:p>
            <w:pPr>
              <w:spacing w:after="0"/>
              <w:rPr>
                <w:sz w:val="20"/>
                <w:szCs w:val="20"/>
                <w:color w:val="auto"/>
              </w:rPr>
            </w:pPr>
            <w:r>
              <w:rPr>
                <w:rFonts w:ascii="Arial" w:cs="Arial" w:eastAsia="Arial" w:hAnsi="Arial"/>
                <w:sz w:val="18"/>
                <w:szCs w:val="18"/>
                <w:color w:val="auto"/>
              </w:rPr>
              <w:t>Dated: June 19, 2012</w:t>
            </w:r>
          </w:p>
        </w:tc>
        <w:tc>
          <w:tcPr>
            <w:tcW w:w="8020" w:type="dxa"/>
            <w:vAlign w:val="bottom"/>
            <w:gridSpan w:val="3"/>
          </w:tcPr>
          <w:p>
            <w:pPr>
              <w:ind w:left="1860"/>
              <w:spacing w:after="0"/>
              <w:rPr>
                <w:sz w:val="20"/>
                <w:szCs w:val="20"/>
                <w:color w:val="auto"/>
              </w:rPr>
            </w:pPr>
            <w:r>
              <w:rPr>
                <w:rFonts w:ascii="Arial" w:cs="Arial" w:eastAsia="Arial" w:hAnsi="Arial"/>
                <w:sz w:val="18"/>
                <w:szCs w:val="18"/>
                <w:color w:val="auto"/>
              </w:rPr>
              <w:t>By:  /s/ Andrew D. Perlman</w:t>
            </w:r>
          </w:p>
        </w:tc>
      </w:tr>
      <w:tr>
        <w:trPr>
          <w:trHeight w:val="195"/>
        </w:trPr>
        <w:tc>
          <w:tcPr>
            <w:tcW w:w="3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ind w:left="80"/>
              <w:spacing w:after="0"/>
              <w:rPr>
                <w:sz w:val="20"/>
                <w:szCs w:val="20"/>
                <w:color w:val="auto"/>
              </w:rPr>
            </w:pPr>
            <w:r>
              <w:rPr>
                <w:rFonts w:ascii="Arial" w:cs="Arial" w:eastAsia="Arial" w:hAnsi="Arial"/>
                <w:sz w:val="18"/>
                <w:szCs w:val="18"/>
                <w:color w:val="auto"/>
              </w:rPr>
              <w:t>Chief Executive Officer and President</w:t>
            </w:r>
          </w:p>
        </w:tc>
      </w:tr>
      <w:tr>
        <w:trPr>
          <w:trHeight w:val="648"/>
        </w:trPr>
        <w:tc>
          <w:tcPr>
            <w:tcW w:w="34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Unaudited Pro Forma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unaudited pro forma combined financial data is intended to show how the Merger might have affected historical financial statements if the Merger had been completed on June 8, 2011, for the purposes of the statements of operations, and March 31, 2012, for the purposes of the balance sheet, and was prepared based on the historical financial position and results of operations reported by Vringo and Innovate/Protect.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U.S. Generally Accepted Accounting Principles (hereafter — GAAP), require that for each business combination, one of the combining entities shall be identified as the acquirer, and the existence of a controlling financial interest shall be used to identify the acquirer in a business combination. In a business combination effected primarily by exchanging equity interests, the acquirer usually is the entity that issues its equity interests. However, it is sometimes not clear which party is the acquirer. In these situations, the acquirer for accounting purposes may not be the legal acquirer (i.e., the entity that issues its equity interest to effect the business combination).</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a business combination has occurred, but it is not clear which of the combining entities is the acquirer, GAAP requires considering additional factors in making that determination. No hierarchy is provided to explain how to assess factors that influence the identification of the acquirer in a business combination, effectively concluding that no one of the criteria is more significant than any other. However, the more significant the differential in the voting interest of the combining entities, the more difficult it is to conclude that the entity with the largest voting interest is not the acquirer.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Based on the aforementioned, and after taking in consideration all relevant facts and circumstances (which included, among others, the composition of the senior management and the governing body of the combined entity, relative size of the entities prior to the Merger), we came to a conclusion that, in light of the significant differential in the voting interest of the combining entities (both on current holdings basis and on diluted basis), Innovate/Protect is the accounting acquirer, as it is defined in FASB Topic ASC 805 “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result, the Merger will be accounted for as a reverse acquisition. In the post-combination consolidated financial statements, Innovate/Protect’s assets and liabilities will be presented at its pre-combination amounts, and Vringo’s assets and liabilities will be recorded and measured at fair value. In addition, the consolidated equity will reflect Vringo’s common and preferred stock, at par value, as Vringo is the legal acquirer. The total consolidated equity will consist of Innovate/Protect’s equity just before the merger, plus the fair value of assumed assets of Vringo, net, as well as, adjustments to equity caused by the consummation of the Merger, as per the guidance for business combinations in ASC 805.</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unaudited pro forma combined financial statements were prepared in accordance with the regulations of the SEC. The pro forma adjustments reflecting the completion of the Merger are based upon the acquisition method of accounting in accordance with GAAP, and upon the assumptions set forth in the notes to the unaudited pro forma combined financial statements.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unaudited pro forma combined balance sheet as of March 31, 2012, combines the historical balance sheets of Vringo and Innovate/Protect as of March 31, 2012 and gives pro forma effect to the Merger as if it had been completed on March 31, 2012.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both"/>
        <w:ind w:firstLine="648"/>
        <w:spacing w:after="0" w:line="259" w:lineRule="auto"/>
        <w:rPr>
          <w:sz w:val="20"/>
          <w:szCs w:val="20"/>
          <w:color w:val="auto"/>
        </w:rPr>
      </w:pPr>
      <w:r>
        <w:rPr>
          <w:rFonts w:ascii="Arial" w:cs="Arial" w:eastAsia="Arial" w:hAnsi="Arial"/>
          <w:sz w:val="18"/>
          <w:szCs w:val="18"/>
          <w:color w:val="auto"/>
        </w:rPr>
        <w:t>The unaudited pro forma combined statements of operations for the periods from June 8, 2011 through December 31, 2011 and from March 31, 2012 combine the historical statements of operations of Vringo for the period from June 8, 2011 to December 31, 2011 and from January 1, 2012 to March 31, 2012 and of Innovate/Protect from inception (June 8, 2011) to December 31, 2011 and from January 1, 2012 to March 31, 2012 and gives pro forma effect to the Merger as if it had been completed on June 8, 2011.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financial data has been adjusted to give pro forma effect to events that are (i) directly attributable to the Merger, (ii) factually supportable, and</w:t>
      </w:r>
    </w:p>
    <w:p>
      <w:pPr>
        <w:spacing w:after="0" w:line="46" w:lineRule="exact"/>
        <w:rPr>
          <w:sz w:val="20"/>
          <w:szCs w:val="20"/>
          <w:color w:val="auto"/>
        </w:rPr>
      </w:pPr>
    </w:p>
    <w:p>
      <w:pPr>
        <w:jc w:val="both"/>
        <w:ind w:firstLine="8"/>
        <w:spacing w:after="0" w:line="255" w:lineRule="auto"/>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the statements of operations, expected to have a continuing impact on the combined results. The pro forma adjustments are preliminary and based on management’s estimates of the fair value and useful lives of the assets acquired and liabilities assumed and have been prepared to illustrate the estimated effect of the acquisition and certain other adjustments.</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unaudited pro forma combined financial statements are presented for illustrative purposes only, and are not necessarily indicative of the financial condition or results of operations of future periods or the financial condition or results of operations that actually would have been realized had the entities been combined during the periods presented. In addition, as explained in more detail in the accompanying notes to the unaudited pro forma combined financial statements, the preliminary acquisition-date fair value of the identifiable assets acquired and liabilities assumed reflected in the unaudited pro forma combined financial statements is subject to adjustment and may vary from the actual amounts that will be recorded upon completion of the Merger.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Preliminary Purchase Price Allocation: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Pro Forma Unaudited Consolidated Financial Information reflects the allocation of the preliminarily estimated purchase price of $66.0 million to the assets acquired and liabilities assumed of Vringo. The fair value of the consideration issued to former shareholders of Innovate/Protect is based on price of Vringo’s share of common stock on May 25, 2012, as well as the fair value of other outstanding equity instruments. A preliminary determination of the fair values of certain acquired assets and assumed liabilities of Vringo was based on a $3.39 share price, as basis for valuation:</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 net of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Long-term deposit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assets acquired</w:t>
      </w:r>
    </w:p>
    <w:p>
      <w:pPr>
        <w:spacing w:after="0" w:line="23" w:lineRule="exact"/>
        <w:rPr>
          <w:sz w:val="20"/>
          <w:szCs w:val="20"/>
          <w:color w:val="auto"/>
        </w:rPr>
      </w:pPr>
    </w:p>
    <w:p>
      <w:pPr>
        <w:ind w:left="180" w:right="720" w:hanging="179"/>
        <w:spacing w:after="0" w:line="258" w:lineRule="auto"/>
        <w:rPr>
          <w:sz w:val="20"/>
          <w:szCs w:val="20"/>
          <w:color w:val="auto"/>
        </w:rPr>
      </w:pPr>
      <w:r>
        <w:rPr>
          <w:rFonts w:ascii="Arial" w:cs="Arial" w:eastAsia="Arial" w:hAnsi="Arial"/>
          <w:sz w:val="18"/>
          <w:szCs w:val="18"/>
          <w:color w:val="auto"/>
        </w:rPr>
        <w:t>Fair value of outstanding warrants granted by Vringo prior to the Merger, classified as a long-term derivative liability, in these consolidated pro forma financial statements,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liabilities assumed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80" w:right="320" w:hanging="179"/>
        <w:spacing w:after="0" w:line="258" w:lineRule="auto"/>
        <w:rPr>
          <w:sz w:val="20"/>
          <w:szCs w:val="20"/>
          <w:color w:val="auto"/>
        </w:rPr>
      </w:pPr>
      <w:r>
        <w:rPr>
          <w:rFonts w:ascii="Arial" w:cs="Arial" w:eastAsia="Arial" w:hAnsi="Arial"/>
          <w:sz w:val="18"/>
          <w:szCs w:val="18"/>
          <w:color w:val="auto"/>
        </w:rPr>
        <w:t>Fair value of vested stock options granted to employees, management and consultants, classified as equity in these consolidated pro forma financial statements, see note 1</w:t>
      </w:r>
    </w:p>
    <w:p>
      <w:pPr>
        <w:spacing w:after="0" w:line="1" w:lineRule="exact"/>
        <w:rPr>
          <w:sz w:val="20"/>
          <w:szCs w:val="20"/>
          <w:color w:val="auto"/>
        </w:rPr>
      </w:pPr>
    </w:p>
    <w:p>
      <w:pPr>
        <w:ind w:left="180" w:right="80" w:hanging="179"/>
        <w:spacing w:after="0" w:line="250" w:lineRule="auto"/>
        <w:rPr>
          <w:sz w:val="20"/>
          <w:szCs w:val="20"/>
          <w:color w:val="auto"/>
        </w:rPr>
      </w:pPr>
      <w:r>
        <w:rPr>
          <w:rFonts w:ascii="Arial" w:cs="Arial" w:eastAsia="Arial" w:hAnsi="Arial"/>
          <w:sz w:val="18"/>
          <w:szCs w:val="18"/>
          <w:color w:val="auto"/>
        </w:rPr>
        <w:t>Fair value of outstanding warrants granted by Vringo prior to the Merger, classified as equity, in these consolidated pro forma financial statements,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80" w:hanging="179"/>
        <w:spacing w:after="0" w:line="250" w:lineRule="auto"/>
        <w:rPr>
          <w:sz w:val="20"/>
          <w:szCs w:val="20"/>
          <w:color w:val="auto"/>
        </w:rPr>
      </w:pPr>
      <w:r>
        <w:rPr>
          <w:rFonts w:ascii="Arial" w:cs="Arial" w:eastAsia="Arial" w:hAnsi="Arial"/>
          <w:sz w:val="18"/>
          <w:szCs w:val="18"/>
          <w:color w:val="auto"/>
        </w:rPr>
        <w:t>Fair value of Vringo common stock shares and $0.01 options granted to employees, management and consultants, classified as equity in these consolidated pro forma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 — in</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thousands)</w:t>
      </w:r>
    </w:p>
    <w:p>
      <w:pPr>
        <w:spacing w:after="0" w:line="4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2,716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133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10,906</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56,335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70,098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-130810</wp:posOffset>
            </wp:positionV>
            <wp:extent cx="7975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4,106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-130810</wp:posOffset>
            </wp:positionV>
            <wp:extent cx="7975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65,992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14605</wp:posOffset>
            </wp:positionV>
            <wp:extent cx="7975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6,734</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10,132</w:t>
      </w:r>
    </w:p>
    <w:p>
      <w:pPr>
        <w:spacing w:after="0" w:line="23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49,126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65,992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14605</wp:posOffset>
            </wp:positionV>
            <wp:extent cx="7975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0" w:space="460"/>
            <w:col w:w="1160"/>
          </w:cols>
          <w:pgMar w:left="240" w:top="908" w:right="239"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7" w:name="page8"/>
    <w:bookmarkEnd w:id="7"/>
    <w:p>
      <w:pPr>
        <w:jc w:val="both"/>
        <w:ind w:firstLine="648"/>
        <w:spacing w:after="0" w:line="259" w:lineRule="auto"/>
        <w:rPr>
          <w:sz w:val="20"/>
          <w:szCs w:val="20"/>
          <w:color w:val="auto"/>
        </w:rPr>
      </w:pPr>
      <w:r>
        <w:rPr>
          <w:rFonts w:ascii="Arial" w:cs="Arial" w:eastAsia="Arial" w:hAnsi="Arial"/>
          <w:sz w:val="18"/>
          <w:szCs w:val="18"/>
          <w:color w:val="auto"/>
        </w:rPr>
        <w:t>As mentioned above, the final fair value of the consideration, as well as certain acquired assets and assumed liabilities, will depend significantly on our future share price, as it is set on Merger consummation date. Consequently, the final fair value of consideration, and as a result, the final purchase price allocation, might significantly differ from the values presented in these consolidated pro forma statements. Possible changes due to fluctuations in our share price are reflected in the following sensitivity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Borders>
              <w:bottom w:val="single" w:sz="8" w:color="CCFFCC"/>
            </w:tcBorders>
          </w:tcPr>
          <w:p>
            <w:pPr>
              <w:spacing w:after="0"/>
              <w:rPr>
                <w:sz w:val="20"/>
                <w:szCs w:val="20"/>
                <w:color w:val="auto"/>
              </w:rPr>
            </w:pPr>
          </w:p>
        </w:tc>
        <w:tc>
          <w:tcPr>
            <w:tcW w:w="200" w:type="dxa"/>
            <w:vAlign w:val="bottom"/>
            <w:tcBorders>
              <w:bottom w:val="single" w:sz="8" w:color="CCFFC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5"/>
              </w:rPr>
              <w:t>($ — in thousands)</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r>
      <w:tr>
        <w:trPr>
          <w:trHeight w:val="223"/>
        </w:trPr>
        <w:tc>
          <w:tcPr>
            <w:tcW w:w="6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Vringo share price:</w:t>
            </w:r>
          </w:p>
        </w:tc>
        <w:tc>
          <w:tcPr>
            <w:tcW w:w="200" w:type="dxa"/>
            <w:vAlign w:val="bottom"/>
            <w:shd w:val="clear" w:color="auto" w:fill="CCFFCC"/>
          </w:tcPr>
          <w:p>
            <w:pPr>
              <w:spacing w:after="0"/>
              <w:rPr>
                <w:sz w:val="19"/>
                <w:szCs w:val="19"/>
                <w:color w:val="auto"/>
              </w:rPr>
            </w:pP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2.0</w:t>
            </w:r>
          </w:p>
        </w:tc>
        <w:tc>
          <w:tcPr>
            <w:tcW w:w="6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4.0</w:t>
            </w:r>
          </w:p>
        </w:tc>
        <w:tc>
          <w:tcPr>
            <w:tcW w:w="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FFCC"/>
          </w:tcPr>
          <w:p>
            <w:pPr>
              <w:spacing w:after="0"/>
              <w:rPr>
                <w:sz w:val="19"/>
                <w:szCs w:val="19"/>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Current assets, net of current liabilities</w:t>
            </w: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18"/>
                <w:szCs w:val="18"/>
                <w:color w:val="auto"/>
              </w:rPr>
            </w:pPr>
          </w:p>
        </w:tc>
      </w:tr>
      <w:tr>
        <w:trPr>
          <w:trHeight w:val="216"/>
        </w:trPr>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Long-term deposit</w:t>
            </w: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10,906</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10,906</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10,906</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25,183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69,804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92,892</w:t>
            </w:r>
          </w:p>
        </w:tc>
      </w:tr>
      <w:tr>
        <w:trPr>
          <w:trHeight w:val="210"/>
        </w:trPr>
        <w:tc>
          <w:tcPr>
            <w:tcW w:w="6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assets acquired:</w:t>
            </w:r>
          </w:p>
        </w:tc>
        <w:tc>
          <w:tcPr>
            <w:tcW w:w="20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bottom w:val="single" w:sz="8" w:color="auto"/>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38,946</w:t>
            </w: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bottom w:val="single" w:sz="8" w:color="auto"/>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83,567</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106,655</w:t>
            </w:r>
          </w:p>
        </w:tc>
        <w:tc>
          <w:tcPr>
            <w:tcW w:w="100" w:type="dxa"/>
            <w:vAlign w:val="bottom"/>
            <w:tcBorders>
              <w:top w:val="single" w:sz="8" w:color="CCFFCC"/>
            </w:tcBorders>
            <w:shd w:val="clear" w:color="auto" w:fill="CCFFCC"/>
          </w:tcPr>
          <w:p>
            <w:pPr>
              <w:spacing w:after="0"/>
              <w:rPr>
                <w:sz w:val="18"/>
                <w:szCs w:val="18"/>
                <w:color w:val="auto"/>
              </w:rPr>
            </w:pPr>
          </w:p>
        </w:tc>
      </w:tr>
      <w:tr>
        <w:trPr>
          <w:trHeight w:val="182"/>
        </w:trPr>
        <w:tc>
          <w:tcPr>
            <w:tcW w:w="6660" w:type="dxa"/>
            <w:vAlign w:val="bottom"/>
          </w:tcPr>
          <w:p>
            <w:pPr>
              <w:spacing w:after="0" w:line="182" w:lineRule="exact"/>
              <w:rPr>
                <w:sz w:val="20"/>
                <w:szCs w:val="20"/>
                <w:color w:val="auto"/>
              </w:rPr>
            </w:pPr>
            <w:r>
              <w:rPr>
                <w:rFonts w:ascii="Arial" w:cs="Arial" w:eastAsia="Arial" w:hAnsi="Arial"/>
                <w:sz w:val="18"/>
                <w:szCs w:val="18"/>
                <w:color w:val="auto"/>
                <w:w w:val="95"/>
              </w:rPr>
              <w:t>Fair value of outstanding warrants granted by Vringo prior to the Merger, classified as a</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6660" w:type="dxa"/>
            <w:vAlign w:val="bottom"/>
          </w:tcPr>
          <w:p>
            <w:pPr>
              <w:ind w:left="180"/>
              <w:spacing w:after="0"/>
              <w:rPr>
                <w:sz w:val="20"/>
                <w:szCs w:val="20"/>
                <w:color w:val="auto"/>
              </w:rPr>
            </w:pPr>
            <w:r>
              <w:rPr>
                <w:rFonts w:ascii="Arial" w:cs="Arial" w:eastAsia="Arial" w:hAnsi="Arial"/>
                <w:sz w:val="18"/>
                <w:szCs w:val="18"/>
                <w:color w:val="auto"/>
              </w:rPr>
              <w:t>long-term derivative liability</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1,936</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6,990</w:t>
            </w:r>
          </w:p>
        </w:tc>
      </w:tr>
      <w:tr>
        <w:trPr>
          <w:trHeight w:val="210"/>
        </w:trPr>
        <w:tc>
          <w:tcPr>
            <w:tcW w:w="6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liabilities assumed:</w:t>
            </w:r>
          </w:p>
        </w:tc>
        <w:tc>
          <w:tcPr>
            <w:tcW w:w="20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bottom w:val="single" w:sz="8" w:color="auto"/>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1,936</w:t>
            </w: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bottom w:val="single" w:sz="8" w:color="auto"/>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5,183</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6,990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66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estimated purchase price:</w:t>
            </w:r>
          </w:p>
        </w:tc>
        <w:tc>
          <w:tcPr>
            <w:tcW w:w="200" w:type="dxa"/>
            <w:vAlign w:val="bottom"/>
            <w:tcBorders>
              <w:bottom w:val="single" w:sz="8" w:color="CCFFC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37,010</w:t>
            </w:r>
          </w:p>
        </w:tc>
        <w:tc>
          <w:tcPr>
            <w:tcW w:w="120" w:type="dxa"/>
            <w:vAlign w:val="bottom"/>
            <w:tcBorders>
              <w:bottom w:val="single" w:sz="8" w:color="CCFFCC"/>
            </w:tcBorders>
          </w:tcPr>
          <w:p>
            <w:pPr>
              <w:spacing w:after="0"/>
              <w:rPr>
                <w:sz w:val="18"/>
                <w:szCs w:val="18"/>
                <w:color w:val="auto"/>
              </w:rPr>
            </w:pPr>
          </w:p>
        </w:tc>
        <w:tc>
          <w:tcPr>
            <w:tcW w:w="220" w:type="dxa"/>
            <w:vAlign w:val="bottom"/>
            <w:tcBorders>
              <w:bottom w:val="single" w:sz="8" w:color="CCFFC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78,384</w:t>
            </w:r>
          </w:p>
        </w:tc>
        <w:tc>
          <w:tcPr>
            <w:tcW w:w="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99,665</w:t>
            </w:r>
          </w:p>
        </w:tc>
        <w:tc>
          <w:tcPr>
            <w:tcW w:w="100" w:type="dxa"/>
            <w:vAlign w:val="bottom"/>
            <w:tcBorders>
              <w:bottom w:val="single" w:sz="8" w:color="CCFFCC"/>
            </w:tcBorders>
          </w:tcPr>
          <w:p>
            <w:pPr>
              <w:spacing w:after="0"/>
              <w:rPr>
                <w:sz w:val="18"/>
                <w:szCs w:val="18"/>
                <w:color w:val="auto"/>
              </w:rPr>
            </w:pPr>
          </w:p>
        </w:tc>
      </w:tr>
      <w:tr>
        <w:trPr>
          <w:trHeight w:val="182"/>
        </w:trPr>
        <w:tc>
          <w:tcPr>
            <w:tcW w:w="6660" w:type="dxa"/>
            <w:vAlign w:val="bottom"/>
            <w:shd w:val="clear" w:color="auto" w:fill="CCFFCC"/>
          </w:tcPr>
          <w:p>
            <w:pPr>
              <w:spacing w:after="0" w:line="182" w:lineRule="exact"/>
              <w:rPr>
                <w:sz w:val="20"/>
                <w:szCs w:val="20"/>
                <w:color w:val="auto"/>
              </w:rPr>
            </w:pPr>
            <w:r>
              <w:rPr>
                <w:rFonts w:ascii="Arial" w:cs="Arial" w:eastAsia="Arial" w:hAnsi="Arial"/>
                <w:sz w:val="18"/>
                <w:szCs w:val="18"/>
                <w:color w:val="auto"/>
                <w:w w:val="92"/>
              </w:rPr>
              <w:t>Fair value of stock options granted to employees, management and consultants, classified</w:t>
            </w:r>
          </w:p>
        </w:tc>
        <w:tc>
          <w:tcPr>
            <w:tcW w:w="20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r>
      <w:tr>
        <w:trPr>
          <w:trHeight w:val="230"/>
        </w:trPr>
        <w:tc>
          <w:tcPr>
            <w:tcW w:w="6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as equity in these consolidated pro forma financial statements</w:t>
            </w:r>
          </w:p>
        </w:tc>
        <w:tc>
          <w:tcPr>
            <w:tcW w:w="20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3,051</w:t>
            </w:r>
          </w:p>
        </w:tc>
        <w:tc>
          <w:tcPr>
            <w:tcW w:w="22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7,257</w:t>
            </w:r>
          </w:p>
        </w:tc>
        <w:tc>
          <w:tcPr>
            <w:tcW w:w="12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9,502</w:t>
            </w:r>
          </w:p>
        </w:tc>
      </w:tr>
      <w:tr>
        <w:trPr>
          <w:trHeight w:val="202"/>
        </w:trPr>
        <w:tc>
          <w:tcPr>
            <w:tcW w:w="6660" w:type="dxa"/>
            <w:vAlign w:val="bottom"/>
          </w:tcPr>
          <w:p>
            <w:pPr>
              <w:spacing w:after="0" w:line="201" w:lineRule="exact"/>
              <w:rPr>
                <w:sz w:val="20"/>
                <w:szCs w:val="20"/>
                <w:color w:val="auto"/>
              </w:rPr>
            </w:pPr>
            <w:r>
              <w:rPr>
                <w:rFonts w:ascii="Arial" w:cs="Arial" w:eastAsia="Arial" w:hAnsi="Arial"/>
                <w:sz w:val="18"/>
                <w:szCs w:val="18"/>
                <w:color w:val="auto"/>
                <w:w w:val="97"/>
              </w:rPr>
              <w:t>Fair value of outstanding warrants granted by Vringo prior to the Merger, classified as</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rPr>
              <w:t>equity, in these consolidated pro forma financial statements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4,740</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12,689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17,115</w:t>
            </w:r>
          </w:p>
        </w:tc>
      </w:tr>
      <w:tr>
        <w:trPr>
          <w:trHeight w:val="202"/>
        </w:trPr>
        <w:tc>
          <w:tcPr>
            <w:tcW w:w="66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Fair value of Vringo common stock shares and $0.01 options granted to employees,</w:t>
            </w:r>
          </w:p>
        </w:tc>
        <w:tc>
          <w:tcPr>
            <w:tcW w:w="20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16"/>
        </w:trPr>
        <w:tc>
          <w:tcPr>
            <w:tcW w:w="666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8"/>
              </w:rPr>
              <w:t>management and consultants, classified as equity in these consolidated pro forma</w:t>
            </w: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44"/>
        </w:trPr>
        <w:tc>
          <w:tcPr>
            <w:tcW w:w="6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financial statements</w:t>
            </w:r>
          </w:p>
        </w:tc>
        <w:tc>
          <w:tcPr>
            <w:tcW w:w="2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29,219</w:t>
            </w:r>
          </w:p>
        </w:tc>
        <w:tc>
          <w:tcPr>
            <w:tcW w:w="2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58,438</w:t>
            </w: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73,048</w:t>
            </w:r>
          </w:p>
        </w:tc>
      </w:tr>
      <w:tr>
        <w:trPr>
          <w:trHeight w:val="210"/>
        </w:trPr>
        <w:tc>
          <w:tcPr>
            <w:tcW w:w="6660" w:type="dxa"/>
            <w:vAlign w:val="bottom"/>
          </w:tcPr>
          <w:p>
            <w:pPr>
              <w:spacing w:after="0"/>
              <w:rPr>
                <w:sz w:val="20"/>
                <w:szCs w:val="20"/>
                <w:color w:val="auto"/>
              </w:rPr>
            </w:pPr>
            <w:r>
              <w:rPr>
                <w:rFonts w:ascii="Arial" w:cs="Arial" w:eastAsia="Arial" w:hAnsi="Arial"/>
                <w:sz w:val="18"/>
                <w:szCs w:val="18"/>
                <w:b w:val="1"/>
                <w:bCs w:val="1"/>
                <w:color w:val="auto"/>
              </w:rPr>
              <w:t>Total estimated purchase price:</w:t>
            </w:r>
          </w:p>
        </w:tc>
        <w:tc>
          <w:tcPr>
            <w:tcW w:w="2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99,665</w:t>
            </w:r>
          </w:p>
        </w:tc>
        <w:tc>
          <w:tcPr>
            <w:tcW w:w="100" w:type="dxa"/>
            <w:vAlign w:val="bottom"/>
          </w:tcPr>
          <w:p>
            <w:pPr>
              <w:spacing w:after="0"/>
              <w:rPr>
                <w:sz w:val="18"/>
                <w:szCs w:val="18"/>
                <w:color w:val="auto"/>
              </w:rPr>
            </w:pPr>
          </w:p>
        </w:tc>
      </w:tr>
      <w:tr>
        <w:trPr>
          <w:trHeight w:val="642"/>
        </w:trPr>
        <w:tc>
          <w:tcPr>
            <w:tcW w:w="666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Unaudited Pro Forma Consolidated Statement of Operations, for the three month period ended March 31,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280" w:type="dxa"/>
            <w:vAlign w:val="bottom"/>
            <w:gridSpan w:val="4"/>
          </w:tcPr>
          <w:p>
            <w:pPr>
              <w:jc w:val="right"/>
              <w:ind w:right="1340"/>
              <w:spacing w:after="0"/>
              <w:rPr>
                <w:sz w:val="20"/>
                <w:szCs w:val="20"/>
                <w:color w:val="auto"/>
              </w:rPr>
            </w:pPr>
            <w:r>
              <w:rPr>
                <w:rFonts w:ascii="Arial" w:cs="Arial" w:eastAsia="Arial" w:hAnsi="Arial"/>
                <w:sz w:val="18"/>
                <w:szCs w:val="18"/>
                <w:b w:val="1"/>
                <w:bCs w:val="1"/>
                <w:color w:val="auto"/>
              </w:rPr>
              <w:t>Historical</w:t>
            </w:r>
          </w:p>
        </w:tc>
        <w:tc>
          <w:tcPr>
            <w:tcW w:w="164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Pro Forma</w:t>
            </w:r>
          </w:p>
        </w:tc>
        <w:tc>
          <w:tcPr>
            <w:tcW w:w="1480" w:type="dxa"/>
            <w:vAlign w:val="bottom"/>
          </w:tcPr>
          <w:p>
            <w:pPr>
              <w:spacing w:after="0"/>
              <w:rPr>
                <w:sz w:val="20"/>
                <w:szCs w:val="20"/>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Innovate/Protect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Vringo</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adjustments</w:t>
            </w:r>
          </w:p>
        </w:tc>
        <w:tc>
          <w:tcPr>
            <w:tcW w:w="1480" w:type="dxa"/>
            <w:vAlign w:val="bottom"/>
          </w:tcPr>
          <w:p>
            <w:pPr>
              <w:jc w:val="right"/>
              <w:ind w:right="630"/>
              <w:spacing w:after="0"/>
              <w:rPr>
                <w:sz w:val="20"/>
                <w:szCs w:val="20"/>
                <w:color w:val="auto"/>
              </w:rPr>
            </w:pPr>
            <w:r>
              <w:rPr>
                <w:rFonts w:ascii="Arial" w:cs="Arial" w:eastAsia="Arial" w:hAnsi="Arial"/>
                <w:sz w:val="18"/>
                <w:szCs w:val="18"/>
                <w:b w:val="1"/>
                <w:bCs w:val="1"/>
                <w:color w:val="auto"/>
              </w:rPr>
              <w:t>Notes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740" w:type="dxa"/>
            <w:vAlign w:val="bottom"/>
            <w:tcBorders>
              <w:top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w w:val="92"/>
              </w:rPr>
              <w:t>($ — in thousands, except share and per share data)</w:t>
            </w: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Revenue</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106</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Cost of revenue</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31</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454</w:t>
            </w: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485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Operating legal costs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1,172</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1,172</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Compensation</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378</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(378)</w:t>
            </w: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Amortization and depreciation</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156</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(156)</w:t>
            </w: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512</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512</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Marketing</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759</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759</w:t>
            </w: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162</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1,460</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534</w:t>
            </w: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2,156</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1,868</w:t>
            </w:r>
          </w:p>
        </w:tc>
        <w:tc>
          <w:tcPr>
            <w:tcW w:w="340" w:type="dxa"/>
            <w:vAlign w:val="bottom"/>
            <w:tcBorders>
              <w:bottom w:val="single" w:sz="8" w:color="CCFFCC"/>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2,762</w:t>
            </w:r>
          </w:p>
        </w:tc>
        <w:tc>
          <w:tcPr>
            <w:tcW w:w="34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w:t>
            </w:r>
          </w:p>
        </w:tc>
        <w:tc>
          <w:tcPr>
            <w:tcW w:w="400" w:type="dxa"/>
            <w:vAlign w:val="bottom"/>
            <w:tcBorders>
              <w:bottom w:val="single" w:sz="8" w:color="CCFFCC"/>
            </w:tcBorders>
          </w:tcPr>
          <w:p>
            <w:pPr>
              <w:spacing w:after="0"/>
              <w:rPr>
                <w:sz w:val="18"/>
                <w:szCs w:val="18"/>
                <w:color w:val="auto"/>
              </w:rPr>
            </w:pPr>
          </w:p>
        </w:tc>
        <w:tc>
          <w:tcPr>
            <w:tcW w:w="148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5,084</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loss:</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(1,868</w:t>
            </w:r>
          </w:p>
        </w:tc>
        <w:tc>
          <w:tcPr>
            <w:tcW w:w="340" w:type="dxa"/>
            <w:vAlign w:val="bottom"/>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(2,656</w:t>
            </w:r>
          </w:p>
        </w:tc>
        <w:tc>
          <w:tcPr>
            <w:tcW w:w="340" w:type="dxa"/>
            <w:vAlign w:val="bottom"/>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(454</w:t>
            </w:r>
          </w:p>
        </w:tc>
        <w:tc>
          <w:tcPr>
            <w:tcW w:w="400" w:type="dxa"/>
            <w:vAlign w:val="bottom"/>
            <w:shd w:val="clear" w:color="auto" w:fill="CCFFCC"/>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(4,978</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Issuance of non-preferential reload warrants</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(1,091)</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(1,091)</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Loss on revaluation of warrants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(411)</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(411)</w:t>
            </w: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Issuance of preferential reload warrants</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(1,476)</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(1,476)</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Loss before income taxes: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(1,872</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(5,624</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w:t>
            </w:r>
          </w:p>
        </w:tc>
        <w:tc>
          <w:tcPr>
            <w:tcW w:w="400" w:type="dxa"/>
            <w:vAlign w:val="bottom"/>
            <w:tcBorders>
              <w:bottom w:val="single" w:sz="8" w:color="CCFFCC"/>
            </w:tcBorders>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(7,950</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Income taxes</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340" w:type="dxa"/>
            <w:vAlign w:val="bottom"/>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63"/>
        </w:trPr>
        <w:tc>
          <w:tcPr>
            <w:tcW w:w="36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loss: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(1,872</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(5,644</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w:t>
            </w:r>
          </w:p>
        </w:tc>
        <w:tc>
          <w:tcPr>
            <w:tcW w:w="400" w:type="dxa"/>
            <w:vAlign w:val="bottom"/>
            <w:tcBorders>
              <w:bottom w:val="single" w:sz="8" w:color="CCFFCC"/>
            </w:tcBorders>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CCFFCC"/>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(7,970</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366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Basic and diluted net loss per common share</w:t>
            </w:r>
          </w:p>
        </w:tc>
        <w:tc>
          <w:tcPr>
            <w:tcW w:w="13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(0.43</w:t>
            </w:r>
          </w:p>
        </w:tc>
        <w:tc>
          <w:tcPr>
            <w:tcW w:w="340" w:type="dxa"/>
            <w:vAlign w:val="bottom"/>
            <w:tcBorders>
              <w:bottom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(0.46</w:t>
            </w:r>
          </w:p>
        </w:tc>
        <w:tc>
          <w:tcPr>
            <w:tcW w:w="340" w:type="dxa"/>
            <w:vAlign w:val="bottom"/>
            <w:tcBorders>
              <w:bottom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FFCC"/>
          </w:tcPr>
          <w:p>
            <w:pPr>
              <w:spacing w:after="0"/>
              <w:rPr>
                <w:sz w:val="17"/>
                <w:szCs w:val="17"/>
                <w:color w:val="auto"/>
              </w:rPr>
            </w:pPr>
          </w:p>
        </w:tc>
        <w:tc>
          <w:tcPr>
            <w:tcW w:w="400" w:type="dxa"/>
            <w:vAlign w:val="bottom"/>
            <w:tcBorders>
              <w:bottom w:val="single" w:sz="8" w:color="CCFFCC"/>
            </w:tcBorders>
            <w:shd w:val="clear" w:color="auto" w:fill="CCFFCC"/>
          </w:tcPr>
          <w:p>
            <w:pPr>
              <w:spacing w:after="0"/>
              <w:rPr>
                <w:sz w:val="17"/>
                <w:szCs w:val="17"/>
                <w:color w:val="auto"/>
              </w:rPr>
            </w:pPr>
          </w:p>
        </w:tc>
        <w:tc>
          <w:tcPr>
            <w:tcW w:w="1480" w:type="dxa"/>
            <w:vAlign w:val="bottom"/>
            <w:tcBorders>
              <w:bottom w:val="single" w:sz="8" w:color="CCFFCC"/>
            </w:tcBorders>
            <w:shd w:val="clear" w:color="auto" w:fill="CCFFCC"/>
          </w:tcPr>
          <w:p>
            <w:pPr>
              <w:jc w:val="right"/>
              <w:ind w:right="750"/>
              <w:spacing w:after="0" w:line="196" w:lineRule="exact"/>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(0.26</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shares used in computing</w:t>
            </w: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6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660" w:type="dxa"/>
            <w:vAlign w:val="bottom"/>
          </w:tcPr>
          <w:p>
            <w:pPr>
              <w:ind w:left="180"/>
              <w:spacing w:after="0"/>
              <w:rPr>
                <w:sz w:val="20"/>
                <w:szCs w:val="20"/>
                <w:color w:val="auto"/>
              </w:rPr>
            </w:pPr>
            <w:r>
              <w:rPr>
                <w:rFonts w:ascii="Arial" w:cs="Arial" w:eastAsia="Arial" w:hAnsi="Arial"/>
                <w:sz w:val="18"/>
                <w:szCs w:val="18"/>
                <w:color w:val="auto"/>
                <w:w w:val="96"/>
              </w:rPr>
              <w:t>basic and diluted net loss per common share</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4,635,117</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12,371,472</w:t>
            </w:r>
          </w:p>
        </w:tc>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30,484,641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w w:val="89"/>
              </w:rPr>
              <w:t>Unaudited Pro Forma Consolidated Balance Sheets, as of March 31, 2012:</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660" w:type="dxa"/>
            <w:vAlign w:val="bottom"/>
          </w:tcPr>
          <w:p>
            <w:pPr>
              <w:spacing w:after="0"/>
              <w:rPr>
                <w:sz w:val="24"/>
                <w:szCs w:val="24"/>
                <w:color w:val="auto"/>
              </w:rPr>
            </w:pPr>
          </w:p>
        </w:tc>
        <w:tc>
          <w:tcPr>
            <w:tcW w:w="2040" w:type="dxa"/>
            <w:vAlign w:val="bottom"/>
            <w:tcBorders>
              <w:bottom w:val="single" w:sz="8" w:color="auto"/>
            </w:tcBorders>
            <w:gridSpan w:val="3"/>
          </w:tcPr>
          <w:p>
            <w:pPr>
              <w:ind w:left="1100"/>
              <w:spacing w:after="0"/>
              <w:rPr>
                <w:sz w:val="20"/>
                <w:szCs w:val="20"/>
                <w:color w:val="auto"/>
              </w:rPr>
            </w:pPr>
            <w:r>
              <w:rPr>
                <w:rFonts w:ascii="Arial" w:cs="Arial" w:eastAsia="Arial" w:hAnsi="Arial"/>
                <w:sz w:val="18"/>
                <w:szCs w:val="18"/>
                <w:b w:val="1"/>
                <w:bCs w:val="1"/>
                <w:color w:val="auto"/>
              </w:rPr>
              <w:t>Historical</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Pro Forma</w:t>
            </w:r>
          </w:p>
        </w:tc>
        <w:tc>
          <w:tcPr>
            <w:tcW w:w="1480" w:type="dxa"/>
            <w:vAlign w:val="bottom"/>
          </w:tcPr>
          <w:p>
            <w:pPr>
              <w:spacing w:after="0"/>
              <w:rPr>
                <w:sz w:val="24"/>
                <w:szCs w:val="24"/>
                <w:color w:val="auto"/>
              </w:rPr>
            </w:pPr>
          </w:p>
        </w:tc>
        <w:tc>
          <w:tcPr>
            <w:tcW w:w="1360" w:type="dxa"/>
            <w:vAlign w:val="bottom"/>
            <w:gridSpan w:val="3"/>
            <w:vMerge w:val="restart"/>
          </w:tcPr>
          <w:p>
            <w:pPr>
              <w:jc w:val="right"/>
              <w:ind w:right="30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2040" w:type="dxa"/>
            <w:vAlign w:val="bottom"/>
            <w:gridSpan w:val="3"/>
          </w:tcPr>
          <w:p>
            <w:pPr>
              <w:ind w:left="20"/>
              <w:spacing w:after="0"/>
              <w:rPr>
                <w:sz w:val="20"/>
                <w:szCs w:val="20"/>
                <w:color w:val="auto"/>
              </w:rPr>
            </w:pPr>
            <w:r>
              <w:rPr>
                <w:rFonts w:ascii="Arial" w:cs="Arial" w:eastAsia="Arial" w:hAnsi="Arial"/>
                <w:sz w:val="18"/>
                <w:szCs w:val="18"/>
                <w:b w:val="1"/>
                <w:bCs w:val="1"/>
                <w:color w:val="auto"/>
              </w:rPr>
              <w:t>Innovate/Protect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7"/>
              </w:rPr>
              <w:t>Vringo</w:t>
            </w:r>
          </w:p>
        </w:tc>
        <w:tc>
          <w:tcPr>
            <w:tcW w:w="220" w:type="dxa"/>
            <w:vAlign w:val="bottom"/>
          </w:tcPr>
          <w:p>
            <w:pPr>
              <w:spacing w:after="0"/>
              <w:rPr>
                <w:sz w:val="20"/>
                <w:szCs w:val="20"/>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adjustments</w:t>
            </w:r>
          </w:p>
        </w:tc>
        <w:tc>
          <w:tcPr>
            <w:tcW w:w="1480" w:type="dxa"/>
            <w:vAlign w:val="bottom"/>
          </w:tcPr>
          <w:p>
            <w:pPr>
              <w:ind w:left="320"/>
              <w:spacing w:after="0"/>
              <w:rPr>
                <w:sz w:val="20"/>
                <w:szCs w:val="20"/>
                <w:color w:val="auto"/>
              </w:rPr>
            </w:pPr>
            <w:r>
              <w:rPr>
                <w:rFonts w:ascii="Arial" w:cs="Arial" w:eastAsia="Arial" w:hAnsi="Arial"/>
                <w:sz w:val="18"/>
                <w:szCs w:val="18"/>
                <w:b w:val="1"/>
                <w:bCs w:val="1"/>
                <w:color w:val="auto"/>
              </w:rPr>
              <w:t>Notes</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1"/>
              </w:rPr>
              <w:t>($ — in thousands)</w:t>
            </w:r>
          </w:p>
        </w:tc>
        <w:tc>
          <w:tcPr>
            <w:tcW w:w="14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3,980</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3,630</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7,610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04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152</w:t>
            </w: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40</w:t>
            </w:r>
          </w:p>
        </w:tc>
        <w:tc>
          <w:tcPr>
            <w:tcW w:w="38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144</w:t>
            </w:r>
          </w:p>
        </w:tc>
        <w:tc>
          <w:tcPr>
            <w:tcW w:w="220" w:type="dxa"/>
            <w:vAlign w:val="bottom"/>
            <w:shd w:val="clear" w:color="auto" w:fill="CCFFCC"/>
          </w:tcPr>
          <w:p>
            <w:pPr>
              <w:spacing w:after="0"/>
              <w:rPr>
                <w:sz w:val="19"/>
                <w:szCs w:val="19"/>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184</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4,020</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Long-term deposit</w:t>
            </w:r>
          </w:p>
        </w:tc>
        <w:tc>
          <w:tcPr>
            <w:tcW w:w="2040" w:type="dxa"/>
            <w:vAlign w:val="bottom"/>
            <w:gridSpan w:val="3"/>
            <w:shd w:val="clear" w:color="auto" w:fill="CCFFCC"/>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12</w:t>
            </w: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133</w:t>
            </w: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 net</w:t>
            </w:r>
          </w:p>
        </w:tc>
        <w:tc>
          <w:tcPr>
            <w:tcW w:w="16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2,912</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2,912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Technology</w:t>
            </w:r>
          </w:p>
        </w:tc>
        <w:tc>
          <w:tcPr>
            <w:tcW w:w="204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10,906</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10,906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2040" w:type="dxa"/>
            <w:vAlign w:val="bottom"/>
            <w:gridSpan w:val="3"/>
            <w:shd w:val="clear" w:color="auto" w:fill="CCFFCC"/>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56,335</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rPr>
              <w:t>1, *</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56,335</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6,944</w:t>
            </w:r>
          </w:p>
        </w:tc>
        <w:tc>
          <w:tcPr>
            <w:tcW w:w="340" w:type="dxa"/>
            <w:vAlign w:val="bottom"/>
            <w:tcBorders>
              <w:bottom w:val="single" w:sz="8" w:color="CCFFCC"/>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4,067</w:t>
            </w:r>
          </w:p>
        </w:tc>
        <w:tc>
          <w:tcPr>
            <w:tcW w:w="120" w:type="dxa"/>
            <w:vAlign w:val="bottom"/>
            <w:tcBorders>
              <w:bottom w:val="single" w:sz="8" w:color="CCFFCC"/>
            </w:tcBorders>
          </w:tcPr>
          <w:p>
            <w:pPr>
              <w:spacing w:after="0"/>
              <w:rPr>
                <w:sz w:val="22"/>
                <w:szCs w:val="22"/>
                <w:color w:val="auto"/>
              </w:rPr>
            </w:pPr>
          </w:p>
        </w:tc>
        <w:tc>
          <w:tcPr>
            <w:tcW w:w="220" w:type="dxa"/>
            <w:vAlign w:val="bottom"/>
            <w:tcBorders>
              <w:bottom w:val="single" w:sz="8" w:color="CCFFCC"/>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67,241</w:t>
            </w:r>
          </w:p>
        </w:tc>
        <w:tc>
          <w:tcPr>
            <w:tcW w:w="400" w:type="dxa"/>
            <w:vAlign w:val="bottom"/>
            <w:tcBorders>
              <w:bottom w:val="single" w:sz="8" w:color="CCFFCC"/>
            </w:tcBorders>
          </w:tcPr>
          <w:p>
            <w:pPr>
              <w:spacing w:after="0"/>
              <w:rPr>
                <w:sz w:val="22"/>
                <w:szCs w:val="22"/>
                <w:color w:val="auto"/>
              </w:rPr>
            </w:pPr>
          </w:p>
        </w:tc>
        <w:tc>
          <w:tcPr>
            <w:tcW w:w="1480" w:type="dxa"/>
            <w:vAlign w:val="bottom"/>
            <w:tcBorders>
              <w:bottom w:val="single" w:sz="8" w:color="CCFFCC"/>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78,252</w:t>
            </w:r>
          </w:p>
        </w:tc>
        <w:tc>
          <w:tcPr>
            <w:tcW w:w="2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FFCC"/>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3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Deferred tax liabilities, net – short-term</w:t>
            </w:r>
          </w:p>
        </w:tc>
        <w:tc>
          <w:tcPr>
            <w:tcW w:w="2040" w:type="dxa"/>
            <w:vAlign w:val="bottom"/>
            <w:gridSpan w:val="3"/>
            <w:shd w:val="clear" w:color="auto" w:fill="CCFFCC"/>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525</w:t>
            </w: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617</w:t>
            </w:r>
          </w:p>
        </w:tc>
        <w:tc>
          <w:tcPr>
            <w:tcW w:w="1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852</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79"/>
              </w:rPr>
              <w:t>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Accrued severance pay</w:t>
            </w:r>
          </w:p>
        </w:tc>
        <w:tc>
          <w:tcPr>
            <w:tcW w:w="2040" w:type="dxa"/>
            <w:vAlign w:val="bottom"/>
            <w:gridSpan w:val="3"/>
            <w:shd w:val="clear" w:color="auto" w:fill="CCFFCC"/>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233</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233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Accrued employee compensation</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341</w:t>
            </w: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357</w:t>
            </w: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Current portion, note payable – related party</w:t>
            </w:r>
          </w:p>
        </w:tc>
        <w:tc>
          <w:tcPr>
            <w:tcW w:w="16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2,000</w:t>
            </w:r>
          </w:p>
        </w:tc>
        <w:tc>
          <w:tcPr>
            <w:tcW w:w="38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FFCC"/>
          </w:tcPr>
          <w:p>
            <w:pPr>
              <w:spacing w:after="0"/>
              <w:rPr>
                <w:sz w:val="19"/>
                <w:szCs w:val="19"/>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2,000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2,866</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852</w:t>
            </w: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Long-term liabilities</w:t>
            </w:r>
          </w:p>
        </w:tc>
        <w:tc>
          <w:tcPr>
            <w:tcW w:w="1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Note payable – related party</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1,200</w:t>
            </w: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Derivative liabilities on account of warrants</w:t>
            </w:r>
          </w:p>
        </w:tc>
        <w:tc>
          <w:tcPr>
            <w:tcW w:w="2040" w:type="dxa"/>
            <w:vAlign w:val="bottom"/>
            <w:gridSpan w:val="3"/>
            <w:shd w:val="clear" w:color="auto" w:fill="CCFFCC"/>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1,836</w:t>
            </w:r>
          </w:p>
        </w:tc>
        <w:tc>
          <w:tcPr>
            <w:tcW w:w="186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21,733</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w w:val="79"/>
              </w:rPr>
              <w:t>5</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25,839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4,106</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rPr>
              <w:t>1, *</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spacing w:after="0"/>
              <w:rPr>
                <w:sz w:val="19"/>
                <w:szCs w:val="19"/>
                <w:color w:val="auto"/>
              </w:rPr>
            </w:pPr>
          </w:p>
        </w:tc>
        <w:tc>
          <w:tcPr>
            <w:tcW w:w="13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6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(1,836)</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long-term liabilities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24,003</w:t>
            </w: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27,039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Preferred stock, Series A Convertible, $0.0001</w:t>
            </w:r>
          </w:p>
        </w:tc>
        <w:tc>
          <w:tcPr>
            <w:tcW w:w="13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par value; 6,968 authorized and issued and</w:t>
            </w:r>
          </w:p>
        </w:tc>
        <w:tc>
          <w:tcPr>
            <w:tcW w:w="1660" w:type="dxa"/>
            <w:vAlign w:val="bottom"/>
            <w:gridSpan w:val="2"/>
            <w:vMerge w:val="restart"/>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1,761</w:t>
            </w:r>
          </w:p>
        </w:tc>
        <w:tc>
          <w:tcPr>
            <w:tcW w:w="380" w:type="dxa"/>
            <w:vAlign w:val="bottom"/>
            <w:shd w:val="clear" w:color="auto" w:fill="CCFFCC"/>
          </w:tcPr>
          <w:p>
            <w:pPr>
              <w:spacing w:after="0"/>
              <w:rPr>
                <w:sz w:val="18"/>
                <w:szCs w:val="18"/>
                <w:color w:val="auto"/>
              </w:rPr>
            </w:pPr>
          </w:p>
        </w:tc>
        <w:tc>
          <w:tcPr>
            <w:tcW w:w="102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3"/>
            <w:vMerge w:val="restart"/>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(1,761)</w:t>
            </w:r>
          </w:p>
        </w:tc>
        <w:tc>
          <w:tcPr>
            <w:tcW w:w="1480" w:type="dxa"/>
            <w:vAlign w:val="bottom"/>
            <w:shd w:val="clear" w:color="auto" w:fill="CCFFCC"/>
          </w:tcPr>
          <w:p>
            <w:pPr>
              <w:spacing w:after="0"/>
              <w:rPr>
                <w:sz w:val="18"/>
                <w:szCs w:val="18"/>
                <w:color w:val="auto"/>
              </w:rPr>
            </w:pPr>
          </w:p>
        </w:tc>
        <w:tc>
          <w:tcPr>
            <w:tcW w:w="1360" w:type="dxa"/>
            <w:vAlign w:val="bottom"/>
            <w:gridSpan w:val="3"/>
            <w:vMerge w:val="restart"/>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6,818 outstanding</w:t>
            </w:r>
          </w:p>
        </w:tc>
        <w:tc>
          <w:tcPr>
            <w:tcW w:w="1660" w:type="dxa"/>
            <w:vAlign w:val="bottom"/>
            <w:gridSpan w:val="2"/>
            <w:vMerge w:val="continue"/>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020" w:type="dxa"/>
            <w:vAlign w:val="bottom"/>
            <w:gridSpan w:val="2"/>
            <w:vMerge w:val="continue"/>
            <w:shd w:val="clear" w:color="auto" w:fill="CCFFCC"/>
          </w:tcPr>
          <w:p>
            <w:pPr>
              <w:spacing w:after="0"/>
              <w:rPr>
                <w:sz w:val="20"/>
                <w:szCs w:val="20"/>
                <w:color w:val="auto"/>
              </w:rPr>
            </w:pPr>
          </w:p>
        </w:tc>
        <w:tc>
          <w:tcPr>
            <w:tcW w:w="1860" w:type="dxa"/>
            <w:vAlign w:val="bottom"/>
            <w:gridSpan w:val="3"/>
            <w:vMerge w:val="continue"/>
            <w:shd w:val="clear" w:color="auto" w:fill="CCFFCC"/>
          </w:tcPr>
          <w:p>
            <w:pPr>
              <w:spacing w:after="0"/>
              <w:rPr>
                <w:sz w:val="20"/>
                <w:szCs w:val="20"/>
                <w:color w:val="auto"/>
              </w:rPr>
            </w:pP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w w:val="79"/>
              </w:rPr>
              <w:t>6</w:t>
            </w:r>
          </w:p>
        </w:tc>
        <w:tc>
          <w:tcPr>
            <w:tcW w:w="1360" w:type="dxa"/>
            <w:vAlign w:val="bottom"/>
            <w:gridSpan w:val="3"/>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Preferred stock, Series A Convertible, $0.01</w:t>
            </w:r>
          </w:p>
        </w:tc>
        <w:tc>
          <w:tcPr>
            <w:tcW w:w="13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5"/>
              </w:rPr>
              <w:t>par value per share; 6,818 authorized, issued</w:t>
            </w:r>
          </w:p>
        </w:tc>
        <w:tc>
          <w:tcPr>
            <w:tcW w:w="2040" w:type="dxa"/>
            <w:vAlign w:val="bottom"/>
            <w:gridSpan w:val="3"/>
            <w:vMerge w:val="restart"/>
            <w:shd w:val="clear" w:color="auto" w:fill="CCFFCC"/>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FFCC"/>
          </w:tcPr>
          <w:p>
            <w:pPr>
              <w:spacing w:after="0"/>
              <w:rPr>
                <w:sz w:val="18"/>
                <w:szCs w:val="18"/>
                <w:color w:val="auto"/>
              </w:rPr>
            </w:pPr>
          </w:p>
        </w:tc>
        <w:tc>
          <w:tcPr>
            <w:tcW w:w="1640" w:type="dxa"/>
            <w:vAlign w:val="bottom"/>
            <w:gridSpan w:val="2"/>
            <w:vMerge w:val="restart"/>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3"/>
            <w:vMerge w:val="restart"/>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and outstanding</w:t>
            </w:r>
          </w:p>
        </w:tc>
        <w:tc>
          <w:tcPr>
            <w:tcW w:w="2040" w:type="dxa"/>
            <w:vAlign w:val="bottom"/>
            <w:gridSpan w:val="3"/>
            <w:vMerge w:val="continue"/>
            <w:shd w:val="clear" w:color="auto" w:fill="CCFFCC"/>
          </w:tcPr>
          <w:p>
            <w:pPr>
              <w:spacing w:after="0"/>
              <w:rPr>
                <w:sz w:val="20"/>
                <w:szCs w:val="20"/>
                <w:color w:val="auto"/>
              </w:rPr>
            </w:pPr>
          </w:p>
        </w:tc>
        <w:tc>
          <w:tcPr>
            <w:tcW w:w="1020" w:type="dxa"/>
            <w:vAlign w:val="bottom"/>
            <w:gridSpan w:val="2"/>
            <w:vMerge w:val="continue"/>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640" w:type="dxa"/>
            <w:vAlign w:val="bottom"/>
            <w:gridSpan w:val="2"/>
            <w:vMerge w:val="continue"/>
            <w:shd w:val="clear" w:color="auto" w:fill="CCFFCC"/>
          </w:tcPr>
          <w:p>
            <w:pPr>
              <w:spacing w:after="0"/>
              <w:rPr>
                <w:sz w:val="20"/>
                <w:szCs w:val="20"/>
                <w:color w:val="auto"/>
              </w:rPr>
            </w:pP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w w:val="79"/>
              </w:rPr>
              <w:t>6</w:t>
            </w:r>
          </w:p>
        </w:tc>
        <w:tc>
          <w:tcPr>
            <w:tcW w:w="1360" w:type="dxa"/>
            <w:vAlign w:val="bottom"/>
            <w:gridSpan w:val="3"/>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Common stock, $0.01 par value per share,</w:t>
            </w: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150,000,000** authorized, 31,979,592</w:t>
            </w:r>
          </w:p>
        </w:tc>
        <w:tc>
          <w:tcPr>
            <w:tcW w:w="16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8"/>
                <w:szCs w:val="18"/>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139</w:t>
            </w:r>
          </w:p>
        </w:tc>
        <w:tc>
          <w:tcPr>
            <w:tcW w:w="1860" w:type="dxa"/>
            <w:vAlign w:val="bottom"/>
            <w:gridSpan w:val="3"/>
            <w:vMerge w:val="restart"/>
          </w:tcPr>
          <w:p>
            <w:pPr>
              <w:jc w:val="right"/>
              <w:ind w:right="340"/>
              <w:spacing w:after="0"/>
              <w:rPr>
                <w:sz w:val="20"/>
                <w:szCs w:val="20"/>
                <w:color w:val="auto"/>
              </w:rPr>
            </w:pPr>
            <w:r>
              <w:rPr>
                <w:rFonts w:ascii="Arial" w:cs="Arial" w:eastAsia="Arial" w:hAnsi="Arial"/>
                <w:sz w:val="18"/>
                <w:szCs w:val="18"/>
                <w:b w:val="1"/>
                <w:bCs w:val="1"/>
                <w:color w:val="auto"/>
              </w:rPr>
              <w:t>(1)</w:t>
            </w:r>
          </w:p>
        </w:tc>
        <w:tc>
          <w:tcPr>
            <w:tcW w:w="1480" w:type="dxa"/>
            <w:vAlign w:val="bottom"/>
          </w:tcPr>
          <w:p>
            <w:pPr>
              <w:spacing w:after="0"/>
              <w:rPr>
                <w:sz w:val="18"/>
                <w:szCs w:val="18"/>
                <w:color w:val="auto"/>
              </w:rPr>
            </w:pPr>
          </w:p>
        </w:tc>
        <w:tc>
          <w:tcPr>
            <w:tcW w:w="12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issued and outstanding</w:t>
            </w:r>
          </w:p>
        </w:tc>
        <w:tc>
          <w:tcPr>
            <w:tcW w:w="16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60" w:type="dxa"/>
            <w:vAlign w:val="bottom"/>
            <w:gridSpan w:val="3"/>
            <w:vMerge w:val="continue"/>
          </w:tcPr>
          <w:p>
            <w:pPr>
              <w:spacing w:after="0"/>
              <w:rPr>
                <w:sz w:val="20"/>
                <w:szCs w:val="20"/>
                <w:color w:val="auto"/>
              </w:rPr>
            </w:pP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79"/>
              </w:rPr>
              <w:t>7</w:t>
            </w:r>
          </w:p>
        </w:tc>
        <w:tc>
          <w:tcPr>
            <w:tcW w:w="12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6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181</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w w:val="79"/>
              </w:rPr>
              <w:t>7</w:t>
            </w: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5,742</w:t>
            </w: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44,072</w:t>
            </w:r>
          </w:p>
        </w:tc>
        <w:tc>
          <w:tcPr>
            <w:tcW w:w="1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(15,237)</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79"/>
              </w:rPr>
              <w:t>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51,443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6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6,734</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rPr>
              <w:t>1, *</w:t>
            </w: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10,132</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rPr>
              <w:t>1, *</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Accumulated deficit</w:t>
            </w:r>
          </w:p>
        </w:tc>
        <w:tc>
          <w:tcPr>
            <w:tcW w:w="16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(4,626)</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(43,190)</w:t>
            </w:r>
          </w:p>
        </w:tc>
        <w:tc>
          <w:tcPr>
            <w:tcW w:w="186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(852)</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w w:val="79"/>
              </w:rPr>
              <w:t>4</w:t>
            </w:r>
          </w:p>
        </w:tc>
        <w:tc>
          <w:tcPr>
            <w:tcW w:w="13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(5,478)</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43,190</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79"/>
              </w:rPr>
              <w:t>8</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1,117</w:t>
            </w:r>
          </w:p>
        </w:tc>
        <w:tc>
          <w:tcPr>
            <w:tcW w:w="34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1,021</w:t>
            </w: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44,147</w:t>
            </w:r>
          </w:p>
        </w:tc>
        <w:tc>
          <w:tcPr>
            <w:tcW w:w="40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46,285</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6,944</w:t>
            </w: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67,241</w:t>
            </w: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 to preliminary Purchase Price Allocation table on page 190 .</w:t>
      </w:r>
    </w:p>
    <w:p>
      <w:pPr>
        <w:spacing w:after="0" w:line="23" w:lineRule="exact"/>
        <w:rPr>
          <w:sz w:val="20"/>
          <w:szCs w:val="20"/>
          <w:color w:val="auto"/>
        </w:rPr>
      </w:pPr>
    </w:p>
    <w:p>
      <w:pPr>
        <w:ind w:left="34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in common stock $0.01 par value per share, from 28,000,000 to 150,000,000, is expected to take place at the stockholders’ meeting to approve the merger.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Notes to the Unaudited Pro Forma Consolidated Statements of Operations and Balance Sheet:</w:t>
      </w:r>
    </w:p>
    <w:p>
      <w:pPr>
        <w:spacing w:after="0" w:line="229" w:lineRule="exact"/>
        <w:rPr>
          <w:sz w:val="20"/>
          <w:szCs w:val="20"/>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pro-forma adjustment represents additional amortization expense, recorded in connection with amortizable intangible assets acquired in the Merger, assuming the acquisition of Vringo occurred on June 8, 2011:</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Three month period ended</w:t>
            </w:r>
          </w:p>
        </w:tc>
      </w:tr>
      <w:tr>
        <w:trPr>
          <w:trHeight w:val="234"/>
        </w:trPr>
        <w:tc>
          <w:tcPr>
            <w:tcW w:w="4740" w:type="dxa"/>
            <w:vAlign w:val="bottom"/>
          </w:tcPr>
          <w:p>
            <w:pPr>
              <w:spacing w:after="0"/>
              <w:rPr>
                <w:sz w:val="20"/>
                <w:szCs w:val="20"/>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Gross carrying amount</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March 31, 2012</w:t>
            </w:r>
          </w:p>
        </w:tc>
      </w:tr>
      <w:tr>
        <w:trPr>
          <w:trHeight w:val="210"/>
        </w:trPr>
        <w:tc>
          <w:tcPr>
            <w:tcW w:w="474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 in thousands)</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20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 in thousands)</w:t>
            </w:r>
          </w:p>
        </w:tc>
      </w:tr>
      <w:tr>
        <w:trPr>
          <w:trHeight w:val="216"/>
        </w:trPr>
        <w:tc>
          <w:tcPr>
            <w:tcW w:w="4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Cost of revenue:</w:t>
            </w:r>
          </w:p>
        </w:tc>
        <w:tc>
          <w:tcPr>
            <w:tcW w:w="1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60" w:type="dxa"/>
            <w:vAlign w:val="bottom"/>
            <w:shd w:val="clear" w:color="auto" w:fill="CCFFCC"/>
          </w:tcPr>
          <w:p>
            <w:pPr>
              <w:spacing w:after="0"/>
              <w:rPr>
                <w:sz w:val="18"/>
                <w:szCs w:val="18"/>
                <w:color w:val="auto"/>
              </w:rPr>
            </w:pPr>
          </w:p>
        </w:tc>
      </w:tr>
      <w:tr>
        <w:trPr>
          <w:trHeight w:val="216"/>
        </w:trPr>
        <w:tc>
          <w:tcPr>
            <w:tcW w:w="47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Technology</w:t>
            </w:r>
          </w:p>
        </w:tc>
        <w:tc>
          <w:tcPr>
            <w:tcW w:w="184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10,906</w:t>
            </w:r>
          </w:p>
        </w:tc>
        <w:tc>
          <w:tcPr>
            <w:tcW w:w="200" w:type="dxa"/>
            <w:vAlign w:val="bottom"/>
            <w:tcBorders>
              <w:bottom w:val="single" w:sz="8" w:color="CCFFCC"/>
            </w:tcBorders>
          </w:tcPr>
          <w:p>
            <w:pPr>
              <w:spacing w:after="0"/>
              <w:rPr>
                <w:sz w:val="18"/>
                <w:szCs w:val="18"/>
                <w:color w:val="auto"/>
              </w:rPr>
            </w:pPr>
          </w:p>
        </w:tc>
        <w:tc>
          <w:tcPr>
            <w:tcW w:w="102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FFCC"/>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r>
      <w:tr>
        <w:trPr>
          <w:trHeight w:val="210"/>
        </w:trPr>
        <w:tc>
          <w:tcPr>
            <w:tcW w:w="47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-290830</wp:posOffset>
            </wp:positionV>
            <wp:extent cx="508571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85715" cy="14605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Gross carrying</w:t>
            </w:r>
          </w:p>
        </w:tc>
        <w:tc>
          <w:tcPr>
            <w:tcW w:w="5760" w:type="dxa"/>
            <w:vAlign w:val="bottom"/>
          </w:tcPr>
          <w:p>
            <w:pPr>
              <w:ind w:left="1160"/>
              <w:spacing w:after="0"/>
              <w:rPr>
                <w:sz w:val="20"/>
                <w:szCs w:val="20"/>
                <w:color w:val="auto"/>
              </w:rPr>
            </w:pPr>
            <w:r>
              <w:rPr>
                <w:rFonts w:ascii="Arial" w:cs="Arial" w:eastAsia="Arial" w:hAnsi="Arial"/>
                <w:sz w:val="18"/>
                <w:szCs w:val="18"/>
                <w:b w:val="1"/>
                <w:bCs w:val="1"/>
                <w:color w:val="auto"/>
              </w:rPr>
              <w:t>Amortization of intangible assets and liabilities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amount</w:t>
            </w:r>
          </w:p>
        </w:tc>
        <w:tc>
          <w:tcPr>
            <w:tcW w:w="5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tcPr>
          <w:p>
            <w:pPr>
              <w:ind w:left="1420"/>
              <w:spacing w:after="0"/>
              <w:rPr>
                <w:sz w:val="20"/>
                <w:szCs w:val="20"/>
                <w:color w:val="auto"/>
              </w:rPr>
            </w:pPr>
            <w:r>
              <w:rPr>
                <w:rFonts w:ascii="Arial" w:cs="Arial" w:eastAsia="Arial" w:hAnsi="Arial"/>
                <w:sz w:val="18"/>
                <w:szCs w:val="18"/>
                <w:b w:val="1"/>
                <w:bCs w:val="1"/>
                <w:color w:val="auto"/>
              </w:rPr>
              <w:t>($ — in thousands)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Goodwill</w:t>
            </w:r>
          </w:p>
        </w:tc>
        <w:tc>
          <w:tcPr>
            <w:tcW w:w="14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56,335</w:t>
            </w:r>
          </w:p>
        </w:tc>
        <w:tc>
          <w:tcPr>
            <w:tcW w:w="576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2"/>
              </w:rPr>
              <w:t>Goodwill is reviewed for impairment at least annually in accordance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FFCC"/>
          </w:tcPr>
          <w:p>
            <w:pPr>
              <w:spacing w:after="0"/>
              <w:rPr>
                <w:sz w:val="20"/>
                <w:szCs w:val="20"/>
                <w:color w:val="auto"/>
              </w:rPr>
            </w:pPr>
          </w:p>
        </w:tc>
        <w:tc>
          <w:tcPr>
            <w:tcW w:w="1420" w:type="dxa"/>
            <w:vAlign w:val="bottom"/>
            <w:shd w:val="clear" w:color="auto" w:fill="CCFFCC"/>
          </w:tcPr>
          <w:p>
            <w:pPr>
              <w:spacing w:after="0"/>
              <w:rPr>
                <w:sz w:val="20"/>
                <w:szCs w:val="20"/>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provisions of ACS 350 “Intangibles, Goodwill and Other”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Fair value of vested stock options granted to</w:t>
            </w:r>
          </w:p>
        </w:tc>
        <w:tc>
          <w:tcPr>
            <w:tcW w:w="14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8"/>
              </w:rPr>
              <w:t>6,734</w:t>
            </w:r>
          </w:p>
        </w:tc>
        <w:tc>
          <w:tcPr>
            <w:tcW w:w="576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rPr>
              <w:t>Originally allocated fair value (which also reflects the impact of partial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w w:val="95"/>
              </w:rPr>
              <w:t>employees, management and consultants, classified as</w:t>
            </w:r>
          </w:p>
        </w:tc>
        <w:tc>
          <w:tcPr>
            <w:tcW w:w="1420" w:type="dxa"/>
            <w:vAlign w:val="bottom"/>
            <w:shd w:val="clear" w:color="auto" w:fill="CCFFCC"/>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acceleration of vesting of outstanding options granted to employees,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equity in these consolidated pro forma financial</w:t>
            </w:r>
          </w:p>
        </w:tc>
        <w:tc>
          <w:tcPr>
            <w:tcW w:w="1420" w:type="dxa"/>
            <w:vAlign w:val="bottom"/>
            <w:shd w:val="clear" w:color="auto" w:fill="CCFFCC"/>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2"/>
              </w:rPr>
              <w:t>management and consultants of Vringo triggered directly by the Merger) will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statements</w:t>
            </w:r>
          </w:p>
        </w:tc>
        <w:tc>
          <w:tcPr>
            <w:tcW w:w="1420" w:type="dxa"/>
            <w:vAlign w:val="bottom"/>
            <w:shd w:val="clear" w:color="auto" w:fill="CCFFCC"/>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be adjusted for options exercised. This adjustment will be recorded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FFCC"/>
          </w:tcPr>
          <w:p>
            <w:pPr>
              <w:spacing w:after="0"/>
              <w:rPr>
                <w:sz w:val="20"/>
                <w:szCs w:val="20"/>
                <w:color w:val="auto"/>
              </w:rPr>
            </w:pPr>
          </w:p>
        </w:tc>
        <w:tc>
          <w:tcPr>
            <w:tcW w:w="1420" w:type="dxa"/>
            <w:vAlign w:val="bottom"/>
            <w:shd w:val="clear" w:color="auto" w:fill="CCFFCC"/>
          </w:tcPr>
          <w:p>
            <w:pPr>
              <w:spacing w:after="0"/>
              <w:rPr>
                <w:sz w:val="20"/>
                <w:szCs w:val="20"/>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internal reclassification in additional paid-in capital.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Fair value of outstanding warrants granted by Vringo</w:t>
            </w:r>
          </w:p>
        </w:tc>
        <w:tc>
          <w:tcPr>
            <w:tcW w:w="14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8"/>
              </w:rPr>
              <w:t>4,106</w:t>
            </w:r>
          </w:p>
        </w:tc>
        <w:tc>
          <w:tcPr>
            <w:tcW w:w="576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5"/>
              </w:rPr>
              <w:t>Originally allocated fair value to warrants classified as a derivative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w w:val="96"/>
              </w:rPr>
              <w:t>prior to the Merger, classified as a long term derivative</w:t>
            </w:r>
          </w:p>
        </w:tc>
        <w:tc>
          <w:tcPr>
            <w:tcW w:w="1420" w:type="dxa"/>
            <w:vAlign w:val="bottom"/>
            <w:shd w:val="clear" w:color="auto" w:fill="CCFFCC"/>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will be adjusted at the end of each reporting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liability, as these warrants bear certain down-round</w:t>
            </w:r>
          </w:p>
        </w:tc>
        <w:tc>
          <w:tcPr>
            <w:tcW w:w="1420" w:type="dxa"/>
            <w:vAlign w:val="bottom"/>
            <w:shd w:val="clear" w:color="auto" w:fill="CCFFCC"/>
          </w:tcPr>
          <w:p>
            <w:pPr>
              <w:spacing w:after="0"/>
              <w:rPr>
                <w:sz w:val="18"/>
                <w:szCs w:val="18"/>
                <w:color w:val="auto"/>
              </w:rPr>
            </w:pPr>
          </w:p>
        </w:tc>
        <w:tc>
          <w:tcPr>
            <w:tcW w:w="57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protection clauses</w:t>
            </w:r>
          </w:p>
        </w:tc>
        <w:tc>
          <w:tcPr>
            <w:tcW w:w="1420" w:type="dxa"/>
            <w:vAlign w:val="bottom"/>
            <w:shd w:val="clear" w:color="auto" w:fill="CCFFCC"/>
          </w:tcPr>
          <w:p>
            <w:pPr>
              <w:spacing w:after="0"/>
              <w:rPr>
                <w:sz w:val="20"/>
                <w:szCs w:val="20"/>
                <w:color w:val="auto"/>
              </w:rPr>
            </w:pPr>
          </w:p>
        </w:tc>
        <w:tc>
          <w:tcPr>
            <w:tcW w:w="57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Fair value of outstanding warrants granted by Vringo</w:t>
            </w:r>
          </w:p>
        </w:tc>
        <w:tc>
          <w:tcPr>
            <w:tcW w:w="14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10,132</w:t>
            </w:r>
          </w:p>
        </w:tc>
        <w:tc>
          <w:tcPr>
            <w:tcW w:w="576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rPr>
              <w:t>Originally allocated fair value to warrants classified as equity will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prior to the Merger, classified as equity, in these</w:t>
            </w:r>
          </w:p>
        </w:tc>
        <w:tc>
          <w:tcPr>
            <w:tcW w:w="1420" w:type="dxa"/>
            <w:vAlign w:val="bottom"/>
            <w:shd w:val="clear" w:color="auto" w:fill="CCFFCC"/>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2"/>
              </w:rPr>
              <w:t>adjusted for warrants exercised. This adjustment will be recorded as internal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consolidated pro forma financial statements</w:t>
            </w:r>
          </w:p>
        </w:tc>
        <w:tc>
          <w:tcPr>
            <w:tcW w:w="1420" w:type="dxa"/>
            <w:vAlign w:val="bottom"/>
            <w:shd w:val="clear" w:color="auto" w:fill="CCFFCC"/>
          </w:tcPr>
          <w:p>
            <w:pPr>
              <w:spacing w:after="0"/>
              <w:rPr>
                <w:sz w:val="20"/>
                <w:szCs w:val="20"/>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reclassification in additional paid-in capital.</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18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Amortization and depreciation and capital acquisition costs, were reclassified into general and administrative: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Three month period</w:t>
            </w:r>
          </w:p>
        </w:tc>
        <w:tc>
          <w:tcPr>
            <w:tcW w:w="50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ended March 31, 2012</w:t>
            </w:r>
          </w:p>
        </w:tc>
        <w:tc>
          <w:tcPr>
            <w:tcW w:w="5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 in thousands)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66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534</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Compensation</w:t>
            </w:r>
          </w:p>
        </w:tc>
        <w:tc>
          <w:tcPr>
            <w:tcW w:w="6660" w:type="dxa"/>
            <w:vAlign w:val="bottom"/>
            <w:gridSpan w:val="3"/>
          </w:tcPr>
          <w:p>
            <w:pPr>
              <w:jc w:val="right"/>
              <w:ind w:right="40"/>
              <w:spacing w:after="0"/>
              <w:rPr>
                <w:sz w:val="20"/>
                <w:szCs w:val="20"/>
                <w:color w:val="auto"/>
              </w:rPr>
            </w:pPr>
            <w:r>
              <w:rPr>
                <w:rFonts w:ascii="Arial" w:cs="Arial" w:eastAsia="Arial" w:hAnsi="Arial"/>
                <w:sz w:val="18"/>
                <w:szCs w:val="18"/>
                <w:color w:val="auto"/>
              </w:rPr>
              <w:t>(378)</w:t>
            </w:r>
          </w:p>
        </w:tc>
        <w:tc>
          <w:tcPr>
            <w:tcW w:w="50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Amortization and depreciation</w:t>
            </w:r>
          </w:p>
        </w:tc>
        <w:tc>
          <w:tcPr>
            <w:tcW w:w="66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(156)</w:t>
            </w:r>
          </w:p>
        </w:tc>
        <w:tc>
          <w:tcPr>
            <w:tcW w:w="50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642"/>
        </w:trPr>
        <w:tc>
          <w:tcPr>
            <w:tcW w:w="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jc w:val="right"/>
              <w:ind w:right="2930"/>
              <w:spacing w:after="0"/>
              <w:rPr>
                <w:sz w:val="20"/>
                <w:szCs w:val="20"/>
                <w:color w:val="auto"/>
              </w:rPr>
            </w:pPr>
            <w:r>
              <w:rPr>
                <w:rFonts w:ascii="Arial" w:cs="Arial" w:eastAsia="Arial" w:hAnsi="Arial"/>
                <w:sz w:val="18"/>
                <w:szCs w:val="18"/>
                <w:color w:val="auto"/>
              </w:rPr>
              <w:t>6</w:t>
            </w:r>
          </w:p>
        </w:tc>
        <w:tc>
          <w:tcPr>
            <w:tcW w:w="2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both"/>
        <w:ind w:left="660" w:hanging="652"/>
        <w:spacing w:after="0" w:line="29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three month period ended March 31, 2012.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5176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loss attributable to common stock shares (basic and diluted):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5176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Weighted average of Vringo common stock shares, outstanding for the period:</w:t>
      </w:r>
    </w:p>
    <w:p>
      <w:pPr>
        <w:spacing w:after="0" w:line="9" w:lineRule="exact"/>
        <w:rPr>
          <w:sz w:val="20"/>
          <w:szCs w:val="20"/>
          <w:color w:val="auto"/>
        </w:rPr>
      </w:pPr>
    </w:p>
    <w:p>
      <w:pPr>
        <w:ind w:left="840" w:right="280" w:hanging="179"/>
        <w:spacing w:after="0" w:line="250" w:lineRule="auto"/>
        <w:rPr>
          <w:sz w:val="20"/>
          <w:szCs w:val="20"/>
          <w:color w:val="auto"/>
        </w:rPr>
      </w:pPr>
      <w:r>
        <w:rPr>
          <w:rFonts w:ascii="Arial" w:cs="Arial" w:eastAsia="Arial" w:hAnsi="Arial"/>
          <w:sz w:val="18"/>
          <w:szCs w:val="18"/>
          <w:color w:val="auto"/>
        </w:rPr>
        <w:t>Weighted average of Vringo common stock shares issued to former Innovate/Protect stockholders, outstanding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-273050</wp:posOffset>
            </wp:positionV>
            <wp:extent cx="6517640"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7640" cy="2832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Total common stock shares outstanding, after the Merger: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net losses per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51764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Three month period ended</w:t>
      </w:r>
    </w:p>
    <w:p>
      <w:pPr>
        <w:spacing w:after="0" w:line="5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both"/>
        <w:ind w:left="60" w:right="680" w:hanging="5"/>
        <w:spacing w:after="0" w:line="380" w:lineRule="auto"/>
        <w:rPr>
          <w:sz w:val="20"/>
          <w:szCs w:val="20"/>
          <w:color w:val="auto"/>
        </w:rPr>
      </w:pPr>
      <w:r>
        <w:rPr>
          <w:rFonts w:ascii="Arial" w:cs="Arial" w:eastAsia="Arial" w:hAnsi="Arial"/>
          <w:sz w:val="15"/>
          <w:szCs w:val="15"/>
          <w:b w:val="1"/>
          <w:bCs w:val="1"/>
          <w:color w:val="auto"/>
        </w:rPr>
        <w:t>($ —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-346075</wp:posOffset>
            </wp:positionV>
            <wp:extent cx="13633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81"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(7,970)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12,371,472</w:t>
      </w:r>
    </w:p>
    <w:p>
      <w:pPr>
        <w:spacing w:after="0" w:line="250"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18,113,169</w:t>
      </w:r>
    </w:p>
    <w:p>
      <w:pPr>
        <w:spacing w:after="0" w:line="23"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30,484,641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-130810</wp:posOffset>
            </wp:positionV>
            <wp:extent cx="13633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3"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14605</wp:posOffset>
            </wp:positionV>
            <wp:extent cx="13633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720"/>
            <w:col w:w="2700"/>
          </w:cols>
          <w:pgMar w:left="240" w:top="908" w:right="239" w:bottom="1440" w:gutter="0" w:footer="0" w:header="0"/>
          <w:type w:val="continuous"/>
        </w:sectPr>
      </w:pPr>
    </w:p>
    <w:p>
      <w:pPr>
        <w:spacing w:after="0" w:line="38" w:lineRule="exact"/>
        <w:rPr>
          <w:sz w:val="20"/>
          <w:szCs w:val="20"/>
          <w:color w:val="auto"/>
        </w:rPr>
      </w:pPr>
    </w:p>
    <w:p>
      <w:pPr>
        <w:ind w:left="660" w:right="2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adjustment represents direct, incremental costs of this Merger, which were not yet reflected in the historical financial statements of either company. These costs include mainly legal, accounting and filing fees.</w:t>
      </w:r>
    </w:p>
    <w:p>
      <w:pPr>
        <w:spacing w:after="0" w:line="170" w:lineRule="exact"/>
        <w:rPr>
          <w:rFonts w:ascii="Arial" w:cs="Arial" w:eastAsia="Arial" w:hAnsi="Arial"/>
          <w:sz w:val="18"/>
          <w:szCs w:val="18"/>
          <w:color w:val="auto"/>
        </w:rPr>
      </w:pPr>
    </w:p>
    <w:p>
      <w:pPr>
        <w:jc w:val="both"/>
        <w:ind w:left="660" w:hanging="652"/>
        <w:spacing w:after="0" w:line="27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According to the Merger Agreement, Vringo will grant former Innovate/Protect stockholders 16,809,838 warrants, at an exercise price of $1.76. 8,741,116 of these warrants bear down-round protection clauses; as a result, they will be classified as a long term derivative liability and recorded at fair value. Fair value, in the total amount of $21.7 million, was calculated using the Black-Scholes-Merton and the Monte-Carlo models, using the following assumptions: 77.96% expected volatility, a risk-free interest rate of 0.77%, estimated life of 5 years and no dividend yield. The fair value of our common stock, used for this valuation, was $3.39. We estimate there is a 30% probability that the down-round protection will be activated. Our valuation may significantly change, dependent on the deviation of actual future parameters (primarily our common stock price, that will be known on the date of the Merger), from those taken in our preliminary valuation. In these consolidated pro forma statements of operations we assume that fair value of these warrants did not change throughout the period presented.</w:t>
      </w:r>
    </w:p>
    <w:p>
      <w:pPr>
        <w:spacing w:after="0" w:line="178" w:lineRule="exact"/>
        <w:rPr>
          <w:rFonts w:ascii="Arial" w:cs="Arial" w:eastAsia="Arial" w:hAnsi="Arial"/>
          <w:sz w:val="17"/>
          <w:szCs w:val="17"/>
          <w:color w:val="auto"/>
        </w:rPr>
      </w:pPr>
    </w:p>
    <w:p>
      <w:pPr>
        <w:jc w:val="both"/>
        <w:ind w:left="660" w:hanging="652"/>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Series A Convertible Preferred stock shares, both pre and post-Merger, have certain liquidation preferences, and are otherwise convertible, at any time, at the option of the holder, subject to certain limitations. In addition, their conversion price may be subject to adjustments for anti-dilution and other corporate events. Also, under certain circumstances (as defined in the Certificate of Designations in each of the merging companies), these shares are entitled to participate in dividends, and vote, on an as converted basis.</w:t>
      </w:r>
    </w:p>
    <w:p>
      <w:pPr>
        <w:spacing w:after="0" w:line="171" w:lineRule="exact"/>
        <w:rPr>
          <w:rFonts w:ascii="Arial" w:cs="Arial" w:eastAsia="Arial" w:hAnsi="Arial"/>
          <w:sz w:val="17"/>
          <w:szCs w:val="17"/>
          <w:color w:val="auto"/>
        </w:rPr>
      </w:pPr>
    </w:p>
    <w:p>
      <w:pPr>
        <w:jc w:val="both"/>
        <w:ind w:left="660"/>
        <w:spacing w:after="0" w:line="255" w:lineRule="auto"/>
        <w:rPr>
          <w:rFonts w:ascii="Arial" w:cs="Arial" w:eastAsia="Arial" w:hAnsi="Arial"/>
          <w:sz w:val="17"/>
          <w:szCs w:val="17"/>
          <w:color w:val="auto"/>
        </w:rPr>
      </w:pPr>
      <w:r>
        <w:rPr>
          <w:rFonts w:ascii="Arial" w:cs="Arial" w:eastAsia="Arial" w:hAnsi="Arial"/>
          <w:sz w:val="18"/>
          <w:szCs w:val="18"/>
          <w:color w:val="auto"/>
        </w:rPr>
        <w:t>The 6,818 outstanding Series A Convertible Preferred stock shares, $0.0001 par value, issued by Innovate/Protect were classified as mezzanine equity, as the holder had the right to require the Company to redeem these shares in cash, upon occurrence of a triggering event which is outside the control of the company. The 6,818 Series A Convertible Preferred stock shares, $0.01 par value, to be issued by Vringo to former stockholders of Innovate/Protect, as part of this Merger, were classified as equity, as cash based redemption event is only triggered by events fully controlled by the company. As a result, in these pro forma consolidated financial statements, Innovate/Protect’s mezzanine equity, in the total amount of $1,761 thousand, was cancelled, as, according to GAAP, these pro forma consolidated financial statements will only include the 6,818 Series A Convertible Preferred stock, presented at par value.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2" w:name="page13"/>
    <w:bookmarkEnd w:id="12"/>
    <w:p>
      <w:pPr>
        <w:ind w:left="6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According to GAAP, the equity of the combined entity will reflect Vringo’s Common and Preferred stock, at par value, as Vringo is the legal acquirer. As a result, the common stock share number will be adjusted to include Vringo’s common stock shares, immediately after the merger:</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Vringo common stock outstanding as of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651764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660" w:right="2980"/>
        <w:spacing w:after="0" w:line="341" w:lineRule="auto"/>
        <w:rPr>
          <w:sz w:val="20"/>
          <w:szCs w:val="20"/>
          <w:color w:val="auto"/>
        </w:rPr>
      </w:pPr>
      <w:r>
        <w:rPr>
          <w:rFonts w:ascii="Arial" w:cs="Arial" w:eastAsia="Arial" w:hAnsi="Arial"/>
          <w:sz w:val="16"/>
          <w:szCs w:val="16"/>
          <w:color w:val="auto"/>
        </w:rPr>
        <w:t>Vringo common stock issued to former Innovate/Protect stockholders Total common stock outstanding, pursuant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-185420</wp:posOffset>
            </wp:positionV>
            <wp:extent cx="651764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13,866,423</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18,113,169</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31,979,592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36195</wp:posOffset>
            </wp:positionV>
            <wp:extent cx="11061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8640" w:space="720"/>
            <w:col w:w="2060"/>
          </w:cols>
          <w:pgMar w:left="240" w:top="908" w:right="239" w:bottom="1440" w:gutter="0" w:footer="0" w:header="0"/>
          <w:type w:val="continuous"/>
        </w:sectPr>
      </w:pPr>
    </w:p>
    <w:p>
      <w:pPr>
        <w:jc w:val="both"/>
        <w:ind w:left="660" w:hanging="652"/>
        <w:spacing w:after="0" w:line="273"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According to GAAP, in the post-combination consolidated financial statements, equity will reflect Innovate/Protect’s total equity just before the merger, plus the fair value of assumed assets of Vringo, net, as well as adjustments to equity caused by the consummation of the Merger (notes 4, 5 and 6). Specifically, in these consolidated pro forma financial statements, accumulated deficit will include only Innovate/Protect’s historical deficit, in the total amount of $4,626 thousand, plus adjustments reflected in Note 4. Vringo’s historical deficit, in the total amount of $43,190 thousand, will be cancelled upon consolidation. Finally, an adjustment to additional paid-in capital, in the total amount of $15,237 thousand was recorded, in order to adjust the total consolidated equity, as per the abovementioned GAAP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 Forma Consolidated Statement of Operations, for the period from June 8, 2011 (date of inception of Innovate/Protect) through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280" w:type="dxa"/>
            <w:vAlign w:val="bottom"/>
            <w:gridSpan w:val="4"/>
          </w:tcPr>
          <w:p>
            <w:pPr>
              <w:jc w:val="right"/>
              <w:ind w:right="1340"/>
              <w:spacing w:after="0"/>
              <w:rPr>
                <w:sz w:val="20"/>
                <w:szCs w:val="20"/>
                <w:color w:val="auto"/>
              </w:rPr>
            </w:pPr>
            <w:r>
              <w:rPr>
                <w:rFonts w:ascii="Arial" w:cs="Arial" w:eastAsia="Arial" w:hAnsi="Arial"/>
                <w:sz w:val="18"/>
                <w:szCs w:val="18"/>
                <w:b w:val="1"/>
                <w:bCs w:val="1"/>
                <w:color w:val="auto"/>
              </w:rPr>
              <w:t>Historical</w:t>
            </w:r>
          </w:p>
        </w:tc>
        <w:tc>
          <w:tcPr>
            <w:tcW w:w="164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Pro Forma</w:t>
            </w:r>
          </w:p>
        </w:tc>
        <w:tc>
          <w:tcPr>
            <w:tcW w:w="1480" w:type="dxa"/>
            <w:vAlign w:val="bottom"/>
          </w:tcPr>
          <w:p>
            <w:pPr>
              <w:spacing w:after="0"/>
              <w:rPr>
                <w:sz w:val="20"/>
                <w:szCs w:val="20"/>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Innovate/Protect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Vringo</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adjustments</w:t>
            </w:r>
          </w:p>
        </w:tc>
        <w:tc>
          <w:tcPr>
            <w:tcW w:w="1480" w:type="dxa"/>
            <w:vAlign w:val="bottom"/>
          </w:tcPr>
          <w:p>
            <w:pPr>
              <w:jc w:val="right"/>
              <w:ind w:right="630"/>
              <w:spacing w:after="0"/>
              <w:rPr>
                <w:sz w:val="20"/>
                <w:szCs w:val="20"/>
                <w:color w:val="auto"/>
              </w:rPr>
            </w:pPr>
            <w:r>
              <w:rPr>
                <w:rFonts w:ascii="Arial" w:cs="Arial" w:eastAsia="Arial" w:hAnsi="Arial"/>
                <w:sz w:val="18"/>
                <w:szCs w:val="18"/>
                <w:b w:val="1"/>
                <w:bCs w:val="1"/>
                <w:color w:val="auto"/>
              </w:rPr>
              <w:t>Notes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740" w:type="dxa"/>
            <w:vAlign w:val="bottom"/>
            <w:tcBorders>
              <w:top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w w:val="92"/>
              </w:rPr>
              <w:t>($ — in thousands, except share and per share data)</w:t>
            </w: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Revenue</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415</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415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Cost of revenue</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106</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1,026</w:t>
            </w: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1,132</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Operating legal costs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1,102</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1,102</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Compensation</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997</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(997)</w:t>
            </w: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Amortization and depreciation</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328</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(328)</w:t>
            </w: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Startup and capital acquisition costs</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106</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(106)</w:t>
            </w: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1,171</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1,171</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Marketing</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1,084</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1,084</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213</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1,610</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1,431</w:t>
            </w: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3,254</w:t>
            </w:r>
          </w:p>
        </w:tc>
        <w:tc>
          <w:tcPr>
            <w:tcW w:w="0" w:type="dxa"/>
            <w:vAlign w:val="bottom"/>
          </w:tcPr>
          <w:p>
            <w:pPr>
              <w:spacing w:after="0"/>
              <w:rPr>
                <w:sz w:val="1"/>
                <w:szCs w:val="1"/>
                <w:color w:val="auto"/>
              </w:rPr>
            </w:pPr>
          </w:p>
        </w:tc>
      </w:tr>
      <w:tr>
        <w:trPr>
          <w:trHeight w:val="210"/>
        </w:trPr>
        <w:tc>
          <w:tcPr>
            <w:tcW w:w="3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2,746</w:t>
            </w:r>
          </w:p>
        </w:tc>
        <w:tc>
          <w:tcPr>
            <w:tcW w:w="34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3,971</w:t>
            </w:r>
          </w:p>
        </w:tc>
        <w:tc>
          <w:tcPr>
            <w:tcW w:w="34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1,026</w:t>
            </w:r>
          </w:p>
        </w:tc>
        <w:tc>
          <w:tcPr>
            <w:tcW w:w="40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7,743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Operating loss: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(2,746</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(3,556</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w:t>
            </w:r>
          </w:p>
        </w:tc>
        <w:tc>
          <w:tcPr>
            <w:tcW w:w="400" w:type="dxa"/>
            <w:vAlign w:val="bottom"/>
            <w:tcBorders>
              <w:bottom w:val="single" w:sz="8" w:color="CCFFCC"/>
            </w:tcBorders>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(7,328</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Non-operating income (expense)</w:t>
            </w:r>
          </w:p>
        </w:tc>
        <w:tc>
          <w:tcPr>
            <w:tcW w:w="16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Interest and amortization of debt discount</w:t>
            </w:r>
          </w:p>
        </w:tc>
        <w:tc>
          <w:tcPr>
            <w:tcW w:w="16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(1,324)</w:t>
            </w:r>
          </w:p>
        </w:tc>
        <w:tc>
          <w:tcPr>
            <w:tcW w:w="16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7"/>
                <w:szCs w:val="17"/>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(1,324)</w:t>
            </w: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expense</w:t>
            </w:r>
          </w:p>
        </w:tc>
        <w:tc>
          <w:tcPr>
            <w:tcW w:w="1660" w:type="dxa"/>
            <w:vAlign w:val="bottom"/>
            <w:gridSpan w:val="2"/>
            <w:vMerge w:val="continue"/>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8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Loss on revaluation of warrants</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(934)</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(934)</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Gain on restructuring of venture loan</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963</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963</w:t>
            </w:r>
          </w:p>
        </w:tc>
        <w:tc>
          <w:tcPr>
            <w:tcW w:w="0" w:type="dxa"/>
            <w:vAlign w:val="bottom"/>
          </w:tcPr>
          <w:p>
            <w:pPr>
              <w:spacing w:after="0"/>
              <w:rPr>
                <w:sz w:val="1"/>
                <w:szCs w:val="1"/>
                <w:color w:val="auto"/>
              </w:rPr>
            </w:pPr>
          </w:p>
        </w:tc>
      </w:tr>
      <w:tr>
        <w:trPr>
          <w:trHeight w:val="210"/>
        </w:trPr>
        <w:tc>
          <w:tcPr>
            <w:tcW w:w="3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Loss before income taxes:</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(2,754</w:t>
            </w:r>
          </w:p>
        </w:tc>
        <w:tc>
          <w:tcPr>
            <w:tcW w:w="340" w:type="dxa"/>
            <w:vAlign w:val="bottom"/>
            <w:tcBorders>
              <w:top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(4,838</w:t>
            </w:r>
          </w:p>
        </w:tc>
        <w:tc>
          <w:tcPr>
            <w:tcW w:w="340" w:type="dxa"/>
            <w:vAlign w:val="bottom"/>
            <w:tcBorders>
              <w:top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(1,026</w:t>
            </w:r>
          </w:p>
        </w:tc>
        <w:tc>
          <w:tcPr>
            <w:tcW w:w="400" w:type="dxa"/>
            <w:vAlign w:val="bottom"/>
            <w:tcBorders>
              <w:top w:val="single" w:sz="8" w:color="CCFFCC"/>
            </w:tcBorders>
            <w:shd w:val="clear" w:color="auto" w:fill="CCFFCC"/>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(8,618</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Income taxes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FFC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FFCC"/>
            </w:tcBorders>
          </w:tcPr>
          <w:p>
            <w:pPr>
              <w:spacing w:after="0"/>
              <w:rPr>
                <w:sz w:val="18"/>
                <w:szCs w:val="18"/>
                <w:color w:val="auto"/>
              </w:rPr>
            </w:pPr>
          </w:p>
        </w:tc>
        <w:tc>
          <w:tcPr>
            <w:tcW w:w="148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loss:</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(2,754</w:t>
            </w:r>
          </w:p>
        </w:tc>
        <w:tc>
          <w:tcPr>
            <w:tcW w:w="340" w:type="dxa"/>
            <w:vAlign w:val="bottom"/>
            <w:tcBorders>
              <w:bottom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(4,899</w:t>
            </w:r>
          </w:p>
        </w:tc>
        <w:tc>
          <w:tcPr>
            <w:tcW w:w="340" w:type="dxa"/>
            <w:vAlign w:val="bottom"/>
            <w:tcBorders>
              <w:bottom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(1,026</w:t>
            </w:r>
          </w:p>
        </w:tc>
        <w:tc>
          <w:tcPr>
            <w:tcW w:w="400" w:type="dxa"/>
            <w:vAlign w:val="bottom"/>
            <w:tcBorders>
              <w:bottom w:val="single" w:sz="8" w:color="CCFFCC"/>
            </w:tcBorders>
            <w:shd w:val="clear" w:color="auto" w:fill="CCFFCC"/>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(8,679</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vMerge w:val="restart"/>
          </w:tcPr>
          <w:p>
            <w:pPr>
              <w:jc w:val="right"/>
              <w:ind w:right="750"/>
              <w:spacing w:after="0"/>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FFCC"/>
            </w:tcBorders>
            <w:vMerge w:val="continue"/>
          </w:tcPr>
          <w:p>
            <w:pPr>
              <w:spacing w:after="0"/>
              <w:rPr>
                <w:sz w:val="20"/>
                <w:szCs w:val="20"/>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(0.98</w:t>
            </w:r>
          </w:p>
        </w:tc>
        <w:tc>
          <w:tcPr>
            <w:tcW w:w="340" w:type="dxa"/>
            <w:vAlign w:val="bottom"/>
            <w:tcBorders>
              <w:bottom w:val="single" w:sz="8" w:color="CCFFCC"/>
            </w:tcBorders>
            <w:vMerge w:val="continue"/>
          </w:tcPr>
          <w:p>
            <w:pPr>
              <w:spacing w:after="0"/>
              <w:rPr>
                <w:sz w:val="20"/>
                <w:szCs w:val="20"/>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(0.70</w:t>
            </w:r>
          </w:p>
        </w:tc>
        <w:tc>
          <w:tcPr>
            <w:tcW w:w="340" w:type="dxa"/>
            <w:vAlign w:val="bottom"/>
            <w:tcBorders>
              <w:bottom w:val="single" w:sz="8" w:color="CCFFCC"/>
            </w:tcBorders>
            <w:vMerge w:val="continue"/>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0" w:type="dxa"/>
            <w:vAlign w:val="bottom"/>
            <w:tcBorders>
              <w:bottom w:val="single" w:sz="8" w:color="CCFFCC"/>
            </w:tcBorders>
          </w:tcPr>
          <w:p>
            <w:pPr>
              <w:spacing w:after="0"/>
              <w:rPr>
                <w:sz w:val="20"/>
                <w:szCs w:val="20"/>
                <w:color w:val="auto"/>
              </w:rPr>
            </w:pPr>
          </w:p>
        </w:tc>
        <w:tc>
          <w:tcPr>
            <w:tcW w:w="1480" w:type="dxa"/>
            <w:vAlign w:val="bottom"/>
            <w:tcBorders>
              <w:bottom w:val="single" w:sz="8" w:color="CCFFCC"/>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(0.35</w:t>
            </w:r>
          </w:p>
        </w:tc>
        <w:tc>
          <w:tcPr>
            <w:tcW w:w="100" w:type="dxa"/>
            <w:vAlign w:val="bottom"/>
            <w:tcBorders>
              <w:bottom w:val="single" w:sz="8" w:color="CCFFC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660" w:type="dxa"/>
            <w:vAlign w:val="bottom"/>
            <w:shd w:val="clear" w:color="auto" w:fill="CCFFCC"/>
          </w:tcPr>
          <w:p>
            <w:pPr>
              <w:spacing w:after="0" w:line="156" w:lineRule="exact"/>
              <w:rPr>
                <w:sz w:val="20"/>
                <w:szCs w:val="20"/>
                <w:color w:val="auto"/>
              </w:rPr>
            </w:pPr>
            <w:r>
              <w:rPr>
                <w:rFonts w:ascii="Arial" w:cs="Arial" w:eastAsia="Arial" w:hAnsi="Arial"/>
                <w:sz w:val="18"/>
                <w:szCs w:val="18"/>
                <w:color w:val="auto"/>
              </w:rPr>
              <w:t>Weighted average shares used in computing</w:t>
            </w:r>
          </w:p>
        </w:tc>
        <w:tc>
          <w:tcPr>
            <w:tcW w:w="1320" w:type="dxa"/>
            <w:vAlign w:val="bottom"/>
            <w:shd w:val="clear" w:color="auto" w:fill="CCFFCC"/>
          </w:tcPr>
          <w:p>
            <w:pPr>
              <w:spacing w:after="0"/>
              <w:rPr>
                <w:sz w:val="13"/>
                <w:szCs w:val="13"/>
                <w:color w:val="auto"/>
              </w:rPr>
            </w:pPr>
          </w:p>
        </w:tc>
        <w:tc>
          <w:tcPr>
            <w:tcW w:w="340" w:type="dxa"/>
            <w:vAlign w:val="bottom"/>
            <w:shd w:val="clear" w:color="auto" w:fill="CCFFCC"/>
          </w:tcPr>
          <w:p>
            <w:pPr>
              <w:spacing w:after="0"/>
              <w:rPr>
                <w:sz w:val="13"/>
                <w:szCs w:val="13"/>
                <w:color w:val="auto"/>
              </w:rPr>
            </w:pPr>
          </w:p>
        </w:tc>
        <w:tc>
          <w:tcPr>
            <w:tcW w:w="1280" w:type="dxa"/>
            <w:vAlign w:val="bottom"/>
            <w:shd w:val="clear" w:color="auto" w:fill="CCFFCC"/>
          </w:tcPr>
          <w:p>
            <w:pPr>
              <w:spacing w:after="0"/>
              <w:rPr>
                <w:sz w:val="13"/>
                <w:szCs w:val="13"/>
                <w:color w:val="auto"/>
              </w:rPr>
            </w:pPr>
          </w:p>
        </w:tc>
        <w:tc>
          <w:tcPr>
            <w:tcW w:w="340" w:type="dxa"/>
            <w:vAlign w:val="bottom"/>
            <w:shd w:val="clear" w:color="auto" w:fill="CCFFCC"/>
          </w:tcPr>
          <w:p>
            <w:pPr>
              <w:spacing w:after="0"/>
              <w:rPr>
                <w:sz w:val="13"/>
                <w:szCs w:val="13"/>
                <w:color w:val="auto"/>
              </w:rPr>
            </w:pPr>
          </w:p>
        </w:tc>
        <w:tc>
          <w:tcPr>
            <w:tcW w:w="1240" w:type="dxa"/>
            <w:vAlign w:val="bottom"/>
            <w:shd w:val="clear" w:color="auto" w:fill="CCFFCC"/>
          </w:tcPr>
          <w:p>
            <w:pPr>
              <w:spacing w:after="0"/>
              <w:rPr>
                <w:sz w:val="13"/>
                <w:szCs w:val="13"/>
                <w:color w:val="auto"/>
              </w:rPr>
            </w:pPr>
          </w:p>
        </w:tc>
        <w:tc>
          <w:tcPr>
            <w:tcW w:w="400" w:type="dxa"/>
            <w:vAlign w:val="bottom"/>
            <w:shd w:val="clear" w:color="auto" w:fill="CCFFCC"/>
          </w:tcPr>
          <w:p>
            <w:pPr>
              <w:spacing w:after="0"/>
              <w:rPr>
                <w:sz w:val="13"/>
                <w:szCs w:val="13"/>
                <w:color w:val="auto"/>
              </w:rPr>
            </w:pPr>
          </w:p>
        </w:tc>
        <w:tc>
          <w:tcPr>
            <w:tcW w:w="1480" w:type="dxa"/>
            <w:vAlign w:val="bottom"/>
            <w:shd w:val="clear" w:color="auto" w:fill="CCFFCC"/>
          </w:tcPr>
          <w:p>
            <w:pPr>
              <w:spacing w:after="0"/>
              <w:rPr>
                <w:sz w:val="13"/>
                <w:szCs w:val="13"/>
                <w:color w:val="auto"/>
              </w:rPr>
            </w:pPr>
          </w:p>
        </w:tc>
        <w:tc>
          <w:tcPr>
            <w:tcW w:w="12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6"/>
              </w:rPr>
              <w:t>basic and diluted net loss per common share</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2,802,100</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6,965,927</w:t>
            </w:r>
          </w:p>
        </w:tc>
        <w:tc>
          <w:tcPr>
            <w:tcW w:w="1240" w:type="dxa"/>
            <w:vAlign w:val="bottom"/>
            <w:shd w:val="clear" w:color="auto" w:fill="CCFFCC"/>
          </w:tcPr>
          <w:p>
            <w:pPr>
              <w:spacing w:after="0"/>
              <w:rPr>
                <w:sz w:val="22"/>
                <w:szCs w:val="22"/>
                <w:color w:val="auto"/>
              </w:rPr>
            </w:pPr>
          </w:p>
        </w:tc>
        <w:tc>
          <w:tcPr>
            <w:tcW w:w="400" w:type="dxa"/>
            <w:vAlign w:val="bottom"/>
            <w:shd w:val="clear" w:color="auto" w:fill="CCFFCC"/>
          </w:tcPr>
          <w:p>
            <w:pPr>
              <w:spacing w:after="0"/>
              <w:rPr>
                <w:sz w:val="22"/>
                <w:szCs w:val="22"/>
                <w:color w:val="auto"/>
              </w:rPr>
            </w:pP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25,079,096</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Notes to the Unaudited Pro Forma Consolidated Statements of Operations:</w:t>
      </w:r>
    </w:p>
    <w:p>
      <w:pPr>
        <w:spacing w:after="0" w:line="229" w:lineRule="exact"/>
        <w:rPr>
          <w:sz w:val="20"/>
          <w:szCs w:val="20"/>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pro-forma adjustment represents additional amortization expense, recorded in connection with amortizable intangible assets acquired in the Merger, assuming the acquisition of Vringo occurred on June 8, 2011:</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3"/>
              </w:rPr>
              <w:t>Period from</w:t>
            </w:r>
          </w:p>
        </w:tc>
      </w:tr>
      <w:tr>
        <w:trPr>
          <w:trHeight w:val="216"/>
        </w:trPr>
        <w:tc>
          <w:tcPr>
            <w:tcW w:w="4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9"/>
              </w:rPr>
              <w:t>June 8, 2011 through</w:t>
            </w:r>
          </w:p>
        </w:tc>
      </w:tr>
      <w:tr>
        <w:trPr>
          <w:trHeight w:val="234"/>
        </w:trPr>
        <w:tc>
          <w:tcPr>
            <w:tcW w:w="4740" w:type="dxa"/>
            <w:vAlign w:val="bottom"/>
          </w:tcPr>
          <w:p>
            <w:pPr>
              <w:spacing w:after="0"/>
              <w:rPr>
                <w:sz w:val="20"/>
                <w:szCs w:val="20"/>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Gross carrying amount</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 2011</w:t>
            </w:r>
          </w:p>
        </w:tc>
      </w:tr>
      <w:tr>
        <w:trPr>
          <w:trHeight w:val="210"/>
        </w:trPr>
        <w:tc>
          <w:tcPr>
            <w:tcW w:w="474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 in thousands)</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20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 in thousands)</w:t>
            </w:r>
          </w:p>
        </w:tc>
      </w:tr>
      <w:tr>
        <w:trPr>
          <w:trHeight w:val="216"/>
        </w:trPr>
        <w:tc>
          <w:tcPr>
            <w:tcW w:w="4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Cost of revenue:</w:t>
            </w:r>
          </w:p>
        </w:tc>
        <w:tc>
          <w:tcPr>
            <w:tcW w:w="1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60" w:type="dxa"/>
            <w:vAlign w:val="bottom"/>
            <w:shd w:val="clear" w:color="auto" w:fill="CCFFCC"/>
          </w:tcPr>
          <w:p>
            <w:pPr>
              <w:spacing w:after="0"/>
              <w:rPr>
                <w:sz w:val="18"/>
                <w:szCs w:val="18"/>
                <w:color w:val="auto"/>
              </w:rPr>
            </w:pPr>
          </w:p>
        </w:tc>
      </w:tr>
      <w:tr>
        <w:trPr>
          <w:trHeight w:val="216"/>
        </w:trPr>
        <w:tc>
          <w:tcPr>
            <w:tcW w:w="47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Technology</w:t>
            </w:r>
          </w:p>
        </w:tc>
        <w:tc>
          <w:tcPr>
            <w:tcW w:w="184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10,906</w:t>
            </w:r>
          </w:p>
        </w:tc>
        <w:tc>
          <w:tcPr>
            <w:tcW w:w="200" w:type="dxa"/>
            <w:vAlign w:val="bottom"/>
            <w:tcBorders>
              <w:bottom w:val="single" w:sz="8" w:color="CCFFCC"/>
            </w:tcBorders>
          </w:tcPr>
          <w:p>
            <w:pPr>
              <w:spacing w:after="0"/>
              <w:rPr>
                <w:sz w:val="18"/>
                <w:szCs w:val="18"/>
                <w:color w:val="auto"/>
              </w:rPr>
            </w:pPr>
          </w:p>
        </w:tc>
        <w:tc>
          <w:tcPr>
            <w:tcW w:w="102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FFCC"/>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r>
      <w:tr>
        <w:trPr>
          <w:trHeight w:val="210"/>
        </w:trPr>
        <w:tc>
          <w:tcPr>
            <w:tcW w:w="47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-290830</wp:posOffset>
            </wp:positionV>
            <wp:extent cx="508571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85715" cy="146050"/>
                    </a:xfrm>
                    <a:prstGeom prst="rect">
                      <a:avLst/>
                    </a:prstGeom>
                    <a:noFill/>
                  </pic:spPr>
                </pic:pic>
              </a:graphicData>
            </a:graphic>
          </wp:anchor>
        </w:drawing>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18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Amortization and depreciation, startup and capital acquisition costs, were reclassified into general and administrative:</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Period from June 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2011 through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88"/>
              </w:rPr>
              <w:t>December 31, 2011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1860" w:type="dxa"/>
            <w:vAlign w:val="bottom"/>
            <w:gridSpan w:val="2"/>
          </w:tcPr>
          <w:p>
            <w:pPr>
              <w:jc w:val="center"/>
              <w:ind w:right="40"/>
              <w:spacing w:after="0" w:line="195" w:lineRule="exact"/>
              <w:rPr>
                <w:sz w:val="20"/>
                <w:szCs w:val="20"/>
                <w:color w:val="auto"/>
              </w:rPr>
            </w:pPr>
            <w:r>
              <w:rPr>
                <w:rFonts w:ascii="Arial" w:cs="Arial" w:eastAsia="Arial" w:hAnsi="Arial"/>
                <w:sz w:val="18"/>
                <w:szCs w:val="18"/>
                <w:b w:val="1"/>
                <w:bCs w:val="1"/>
                <w:color w:val="auto"/>
                <w:w w:val="90"/>
              </w:rPr>
              <w:t>($ — in thousands)</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color w:val="auto"/>
              </w:rPr>
              <w:t>Compensation</w:t>
            </w:r>
          </w:p>
        </w:tc>
        <w:tc>
          <w:tcPr>
            <w:tcW w:w="1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Amortization and depreciation</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color w:val="auto"/>
              </w:rPr>
              <w:t>Startup and capital acquisition costs</w:t>
            </w:r>
          </w:p>
        </w:tc>
        <w:tc>
          <w:tcPr>
            <w:tcW w:w="1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shd w:val="clear" w:color="auto" w:fill="CCFFCC"/>
          </w:tcPr>
          <w:p>
            <w:pPr>
              <w:spacing w:after="0"/>
              <w:rPr>
                <w:sz w:val="17"/>
                <w:szCs w:val="17"/>
                <w:color w:val="auto"/>
              </w:rPr>
            </w:pPr>
          </w:p>
        </w:tc>
        <w:tc>
          <w:tcPr>
            <w:tcW w:w="1740" w:type="dxa"/>
            <w:vAlign w:val="bottom"/>
            <w:tcBorders>
              <w:bottom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652"/>
        <w:spacing w:after="0" w:line="29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period from June 8, 2011 through December 31, 2011.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Period from June 8,</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2011 through</w:t>
            </w:r>
          </w:p>
        </w:tc>
        <w:tc>
          <w:tcPr>
            <w:tcW w:w="50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8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88"/>
              </w:rPr>
              <w:t>December 31, 2011</w:t>
            </w:r>
          </w:p>
        </w:tc>
        <w:tc>
          <w:tcPr>
            <w:tcW w:w="500" w:type="dxa"/>
            <w:vAlign w:val="bottom"/>
          </w:tcPr>
          <w:p>
            <w:pPr>
              <w:spacing w:after="0"/>
              <w:rPr>
                <w:sz w:val="20"/>
                <w:szCs w:val="20"/>
                <w:color w:val="auto"/>
              </w:rPr>
            </w:pPr>
          </w:p>
        </w:tc>
      </w:tr>
      <w:tr>
        <w:trPr>
          <w:trHeight w:val="191"/>
        </w:trPr>
        <w:tc>
          <w:tcPr>
            <w:tcW w:w="66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186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89"/>
              </w:rPr>
              <w:t>($ — in thousands,</w:t>
            </w:r>
          </w:p>
        </w:tc>
        <w:tc>
          <w:tcPr>
            <w:tcW w:w="50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except share and per</w:t>
            </w:r>
          </w:p>
        </w:tc>
        <w:tc>
          <w:tcPr>
            <w:tcW w:w="50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8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share data)</w:t>
            </w:r>
          </w:p>
        </w:tc>
        <w:tc>
          <w:tcPr>
            <w:tcW w:w="50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8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Numerator:</w:t>
            </w:r>
          </w:p>
        </w:tc>
        <w:tc>
          <w:tcPr>
            <w:tcW w:w="1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loss attributable to common stock shares (basic and diluted):</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(8,679)</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Denominator:</w:t>
            </w:r>
          </w:p>
        </w:tc>
        <w:tc>
          <w:tcPr>
            <w:tcW w:w="1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Weighted average of Vringo common stock shares, outstanding for the period:</w:t>
            </w:r>
          </w:p>
        </w:tc>
        <w:tc>
          <w:tcPr>
            <w:tcW w:w="1740" w:type="dxa"/>
            <w:vAlign w:val="bottom"/>
          </w:tcPr>
          <w:p>
            <w:pPr>
              <w:jc w:val="right"/>
              <w:spacing w:after="0"/>
              <w:rPr>
                <w:sz w:val="20"/>
                <w:szCs w:val="20"/>
                <w:color w:val="auto"/>
              </w:rPr>
            </w:pPr>
            <w:r>
              <w:rPr>
                <w:rFonts w:ascii="Arial" w:cs="Arial" w:eastAsia="Arial" w:hAnsi="Arial"/>
                <w:sz w:val="18"/>
                <w:szCs w:val="18"/>
                <w:color w:val="auto"/>
              </w:rPr>
              <w:t>6,965,927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2"/>
        </w:trPr>
        <w:tc>
          <w:tcPr>
            <w:tcW w:w="660" w:type="dxa"/>
            <w:vAlign w:val="bottom"/>
          </w:tcPr>
          <w:p>
            <w:pPr>
              <w:spacing w:after="0"/>
              <w:rPr>
                <w:sz w:val="17"/>
                <w:szCs w:val="17"/>
                <w:color w:val="auto"/>
              </w:rPr>
            </w:pPr>
          </w:p>
        </w:tc>
        <w:tc>
          <w:tcPr>
            <w:tcW w:w="84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Weighted average of Vringo common stock shares issued to former Innovate/Protect stockholders, outstanding</w:t>
            </w:r>
          </w:p>
        </w:tc>
        <w:tc>
          <w:tcPr>
            <w:tcW w:w="17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00" w:type="dxa"/>
            <w:vAlign w:val="bottom"/>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84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 the period:</w:t>
            </w:r>
          </w:p>
        </w:tc>
        <w:tc>
          <w:tcPr>
            <w:tcW w:w="1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18,113,169</w:t>
            </w:r>
          </w:p>
        </w:tc>
        <w:tc>
          <w:tcPr>
            <w:tcW w:w="120" w:type="dxa"/>
            <w:vAlign w:val="bottom"/>
            <w:shd w:val="clear" w:color="auto" w:fill="CCFFCC"/>
          </w:tcPr>
          <w:p>
            <w:pPr>
              <w:spacing w:after="0"/>
              <w:rPr>
                <w:sz w:val="20"/>
                <w:szCs w:val="20"/>
                <w:color w:val="auto"/>
              </w:rPr>
            </w:pPr>
          </w:p>
        </w:tc>
        <w:tc>
          <w:tcPr>
            <w:tcW w:w="5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84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common stock shares outstanding, after the Merger:</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25,079,096</w:t>
            </w:r>
          </w:p>
        </w:tc>
        <w:tc>
          <w:tcPr>
            <w:tcW w:w="120" w:type="dxa"/>
            <w:vAlign w:val="bottom"/>
            <w:tcBorders>
              <w:bottom w:val="single" w:sz="8" w:color="CCFFCC"/>
            </w:tcBorders>
          </w:tcPr>
          <w:p>
            <w:pPr>
              <w:spacing w:after="0"/>
              <w:rPr>
                <w:sz w:val="18"/>
                <w:szCs w:val="18"/>
                <w:color w:val="auto"/>
              </w:rPr>
            </w:pPr>
          </w:p>
        </w:tc>
        <w:tc>
          <w:tcPr>
            <w:tcW w:w="5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8400" w:type="dxa"/>
            <w:vAlign w:val="bottom"/>
            <w:shd w:val="clear" w:color="auto" w:fill="CCFFCC"/>
          </w:tcPr>
          <w:p>
            <w:pPr>
              <w:spacing w:after="0"/>
              <w:rPr>
                <w:sz w:val="20"/>
                <w:szCs w:val="20"/>
                <w:color w:val="auto"/>
              </w:rPr>
            </w:pPr>
            <w:r>
              <w:rPr>
                <w:rFonts w:ascii="Arial" w:cs="Arial" w:eastAsia="Arial" w:hAnsi="Arial"/>
                <w:sz w:val="18"/>
                <w:szCs w:val="18"/>
                <w:color w:val="auto"/>
              </w:rPr>
              <w:t>Basic and diluted net losses per share of common stock:</w:t>
            </w:r>
          </w:p>
        </w:tc>
        <w:tc>
          <w:tcPr>
            <w:tcW w:w="1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r>
      <w:tr>
        <w:trPr>
          <w:trHeight w:val="642"/>
        </w:trPr>
        <w:tc>
          <w:tcPr>
            <w:tcW w:w="9060" w:type="dxa"/>
            <w:vAlign w:val="bottom"/>
            <w:tcBorders>
              <w:bottom w:val="single" w:sz="8" w:color="auto"/>
            </w:tcBorders>
            <w:gridSpan w:val="2"/>
          </w:tcPr>
          <w:p>
            <w:pPr>
              <w:jc w:val="right"/>
              <w:ind w:right="3210"/>
              <w:spacing w:after="0"/>
              <w:rPr>
                <w:sz w:val="20"/>
                <w:szCs w:val="20"/>
                <w:color w:val="auto"/>
              </w:rPr>
            </w:pPr>
            <w:r>
              <w:rPr>
                <w:rFonts w:ascii="Arial" w:cs="Arial" w:eastAsia="Arial" w:hAnsi="Arial"/>
                <w:sz w:val="18"/>
                <w:szCs w:val="18"/>
                <w:color w:val="auto"/>
              </w:rPr>
              <w:t>9</w:t>
            </w: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-719455</wp:posOffset>
            </wp:positionV>
            <wp:extent cx="651764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2"/>
    </w:lvl>
  </w:abstractNum>
  <w:abstractNum w:abstractNumId="2">
    <w:nsid w:val="5BD062C2"/>
    <w:multiLevelType w:val="hybridMultilevel"/>
    <w:lvl w:ilvl="0">
      <w:lvlJc w:val="left"/>
      <w:lvlText w:val="(%1)"/>
      <w:numFmt w:val="lowerLetter"/>
      <w:start w:val="4"/>
    </w:lvl>
  </w:abstractNum>
  <w:abstractNum w:abstractNumId="3">
    <w:nsid w:val="12200854"/>
    <w:multiLevelType w:val="hybridMultilevel"/>
    <w:lvl w:ilvl="0">
      <w:lvlJc w:val="left"/>
      <w:lvlText w:val="(%1)"/>
      <w:numFmt w:val="lowerRoman"/>
      <w:start w:val="3"/>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2"/>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1."/>
      <w:numFmt w:val="decimal"/>
      <w:start w:val="4"/>
    </w:lvl>
  </w:abstractNum>
  <w:abstractNum w:abstractNumId="10">
    <w:nsid w:val="3352255A"/>
    <w:multiLevelType w:val="hybridMultilevel"/>
    <w:lvl w:ilvl="0">
      <w:lvlJc w:val="left"/>
      <w:lvlText w:val="%1."/>
      <w:numFmt w:val="decimal"/>
      <w:start w:val="7"/>
    </w:lvl>
  </w:abstractNum>
  <w:abstractNum w:abstractNumId="11">
    <w:nsid w:val="109CF92E"/>
    <w:multiLevelType w:val="hybridMultilevel"/>
    <w:lvl w:ilvl="0">
      <w:lvlJc w:val="left"/>
      <w:lvlText w:val="%1."/>
      <w:numFmt w:val="decimal"/>
      <w:start w:val="8"/>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2"/>
    </w:lvl>
  </w:abstractNum>
  <w:abstractNum w:abstractNumId="14">
    <w:nsid w:val="1BEFD79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2019-12-09T18:36:51Z</dcterms:created>
  <dcterms:modified xsi:type="dcterms:W3CDTF">2019-12-09T18:36:51Z</dcterms:modified>
</cp:coreProperties>
</file>