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UNITED STATES</w:t>
      </w:r>
    </w:p>
    <w:p>
      <w:pPr>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38" w:lineRule="auto"/>
        <w:rPr>
          <w:sz w:val="20"/>
          <w:szCs w:val="20"/>
          <w:color w:val="auto"/>
        </w:rPr>
      </w:pPr>
      <w:r>
        <w:rPr>
          <w:rFonts w:ascii="Courier New" w:cs="Courier New" w:eastAsia="Courier New" w:hAnsi="Courier New"/>
          <w:sz w:val="18"/>
          <w:szCs w:val="18"/>
          <w:color w:val="auto"/>
        </w:rPr>
        <w:t>(Amendment No. 2)*</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XpresSpa Group, Inc.</w:t>
      </w:r>
    </w:p>
    <w:p>
      <w:pPr>
        <w:spacing w:after="0" w:line="238" w:lineRule="auto"/>
        <w:rPr>
          <w:sz w:val="20"/>
          <w:szCs w:val="20"/>
          <w:color w:val="auto"/>
        </w:rPr>
      </w:pPr>
      <w:r>
        <w:rPr>
          <w:rFonts w:ascii="Courier New" w:cs="Courier New" w:eastAsia="Courier New" w:hAnsi="Courier New"/>
          <w:sz w:val="18"/>
          <w:szCs w:val="18"/>
          <w:color w:val="auto"/>
        </w:rPr>
        <w:t>(Formerly known as Form Holdings Corporation)</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 $.01 Par Value</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98420U109</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June 30, 2018</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13G is filed:</w:t>
      </w:r>
    </w:p>
    <w:p>
      <w:pPr>
        <w:spacing w:after="0" w:line="207" w:lineRule="exact"/>
        <w:rPr>
          <w:sz w:val="24"/>
          <w:szCs w:val="24"/>
          <w:color w:val="auto"/>
        </w:rPr>
      </w:pPr>
    </w:p>
    <w:p>
      <w:pPr>
        <w:jc w:val="both"/>
        <w:ind w:right="8319" w:firstLine="8"/>
        <w:spacing w:after="0" w:line="279" w:lineRule="auto"/>
        <w:tabs>
          <w:tab w:leader="none" w:pos="527"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4" w:lineRule="exact"/>
        <w:rPr>
          <w:sz w:val="24"/>
          <w:szCs w:val="24"/>
          <w:color w:val="auto"/>
        </w:rPr>
      </w:pPr>
    </w:p>
    <w:p>
      <w:pPr>
        <w:ind w:right="251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98420U109</w:t>
      </w:r>
    </w:p>
    <w:p>
      <w:pPr>
        <w:spacing w:after="0" w:line="4" w:lineRule="exact"/>
        <w:rPr>
          <w:sz w:val="24"/>
          <w:szCs w:val="24"/>
          <w:color w:val="auto"/>
        </w:rPr>
      </w:pPr>
    </w:p>
    <w:p>
      <w:pPr>
        <w:ind w:right="2619" w:firstLine="8"/>
        <w:spacing w:after="0" w:line="235" w:lineRule="auto"/>
        <w:tabs>
          <w:tab w:leader="none" w:pos="843"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 I.R.S. Identification Nos. of Above Persons (entities only):</w:t>
      </w:r>
    </w:p>
    <w:p>
      <w:pPr>
        <w:spacing w:after="0" w:line="1" w:lineRule="exact"/>
        <w:rPr>
          <w:rFonts w:ascii="Courier New" w:cs="Courier New" w:eastAsia="Courier New" w:hAnsi="Courier New"/>
          <w:sz w:val="18"/>
          <w:szCs w:val="18"/>
          <w:color w:val="auto"/>
        </w:rPr>
      </w:pP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AWM Investment Company, Inc.</w:t>
      </w:r>
    </w:p>
    <w:p>
      <w:pPr>
        <w:ind w:left="860" w:hanging="852"/>
        <w:spacing w:after="0" w:line="238" w:lineRule="auto"/>
        <w:tabs>
          <w:tab w:leader="none" w:pos="8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(a)___</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(b)___</w:t>
      </w:r>
    </w:p>
    <w:p>
      <w:pPr>
        <w:ind w:left="860" w:hanging="852"/>
        <w:spacing w:after="0" w:line="238" w:lineRule="auto"/>
        <w:tabs>
          <w:tab w:leader="none" w:pos="8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8"/>
          <w:szCs w:val="18"/>
          <w:color w:val="auto"/>
        </w:rPr>
      </w:pPr>
    </w:p>
    <w:p>
      <w:pPr>
        <w:ind w:right="2839" w:firstLine="8"/>
        <w:spacing w:after="0" w:line="235" w:lineRule="auto"/>
        <w:tabs>
          <w:tab w:leader="none" w:pos="843"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 United States Number of Shares Beneficially</w:t>
      </w:r>
    </w:p>
    <w:p>
      <w:pPr>
        <w:spacing w:after="0" w:line="5" w:lineRule="exact"/>
        <w:rPr>
          <w:rFonts w:ascii="Courier New" w:cs="Courier New" w:eastAsia="Courier New" w:hAnsi="Courier New"/>
          <w:sz w:val="18"/>
          <w:szCs w:val="18"/>
          <w:color w:val="auto"/>
        </w:rPr>
      </w:pPr>
    </w:p>
    <w:p>
      <w:pPr>
        <w:ind w:right="7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Owned by Each Reporting Person With</w:t>
      </w:r>
    </w:p>
    <w:p>
      <w:pPr>
        <w:spacing w:after="0" w:line="202"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r>
        <w:rPr>
          <w:rFonts w:ascii="Courier New" w:cs="Courier New" w:eastAsia="Courier New" w:hAnsi="Courier New"/>
          <w:sz w:val="16"/>
          <w:szCs w:val="16"/>
          <w:color w:val="auto"/>
        </w:rPr>
        <w:t>0**</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540" w:type="dxa"/>
            <w:vAlign w:val="bottom"/>
          </w:tcPr>
          <w:p>
            <w:pPr>
              <w:spacing w:after="0"/>
              <w:rPr>
                <w:sz w:val="20"/>
                <w:szCs w:val="20"/>
                <w:color w:val="auto"/>
              </w:rPr>
            </w:pPr>
            <w:r>
              <w:rPr>
                <w:rFonts w:ascii="Courier New" w:cs="Courier New" w:eastAsia="Courier New" w:hAnsi="Courier New"/>
                <w:sz w:val="18"/>
                <w:szCs w:val="18"/>
                <w:color w:val="auto"/>
              </w:rPr>
              <w:t>(6) Shared Voting Power:</w:t>
            </w: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bl>
    <w:p>
      <w:pPr>
        <w:spacing w:after="0" w:line="201" w:lineRule="exact"/>
        <w:rPr>
          <w:sz w:val="24"/>
          <w:szCs w:val="24"/>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0**</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ind w:left="860" w:hanging="852"/>
        <w:spacing w:after="0" w:line="238" w:lineRule="auto"/>
        <w:tabs>
          <w:tab w:leader="none" w:pos="8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w:t>
      </w:r>
    </w:p>
    <w:p>
      <w:pPr>
        <w:spacing w:after="0" w:line="207" w:lineRule="exact"/>
        <w:rPr>
          <w:sz w:val="24"/>
          <w:szCs w:val="24"/>
          <w:color w:val="auto"/>
        </w:rPr>
      </w:pPr>
    </w:p>
    <w:p>
      <w:pPr>
        <w:ind w:right="2099" w:firstLine="8"/>
        <w:spacing w:after="0" w:line="235" w:lineRule="auto"/>
        <w:tabs>
          <w:tab w:leader="none" w:pos="843"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(See Instructions):</w:t>
      </w:r>
    </w:p>
    <w:tbl>
      <w:tblPr>
        <w:tblLayout w:type="fixed"/>
        <w:tblInd w:w="0" w:type="dxa"/>
        <w:tblCellMar>
          <w:top w:w="0" w:type="dxa"/>
          <w:left w:w="0" w:type="dxa"/>
          <w:bottom w:w="0" w:type="dxa"/>
          <w:right w:w="0" w:type="dxa"/>
        </w:tblCellMar>
      </w:tblPr>
      <w:tr>
        <w:trPr>
          <w:trHeight w:val="204"/>
        </w:trPr>
        <w:tc>
          <w:tcPr>
            <w:tcW w:w="640" w:type="dxa"/>
            <w:vAlign w:val="bottom"/>
          </w:tcPr>
          <w:p>
            <w:pPr>
              <w:jc w:val="right"/>
              <w:ind w:right="132"/>
              <w:spacing w:after="0"/>
              <w:rPr>
                <w:sz w:val="20"/>
                <w:szCs w:val="20"/>
                <w:color w:val="auto"/>
              </w:rPr>
            </w:pPr>
            <w:r>
              <w:rPr>
                <w:rFonts w:ascii="Courier New" w:cs="Courier New" w:eastAsia="Courier New" w:hAnsi="Courier New"/>
                <w:sz w:val="18"/>
                <w:szCs w:val="18"/>
                <w:color w:val="auto"/>
                <w:w w:val="92"/>
              </w:rPr>
              <w:t>(11)</w:t>
            </w:r>
          </w:p>
        </w:tc>
        <w:tc>
          <w:tcPr>
            <w:tcW w:w="1000" w:type="dxa"/>
            <w:vAlign w:val="bottom"/>
          </w:tcPr>
          <w:p>
            <w:pPr>
              <w:ind w:left="220"/>
              <w:spacing w:after="0"/>
              <w:rPr>
                <w:sz w:val="20"/>
                <w:szCs w:val="20"/>
                <w:color w:val="auto"/>
              </w:rPr>
            </w:pPr>
            <w:r>
              <w:rPr>
                <w:rFonts w:ascii="Courier New" w:cs="Courier New" w:eastAsia="Courier New" w:hAnsi="Courier New"/>
                <w:sz w:val="18"/>
                <w:szCs w:val="18"/>
                <w:color w:val="auto"/>
              </w:rPr>
              <w:t>Percent</w:t>
            </w:r>
          </w:p>
        </w:tc>
        <w:tc>
          <w:tcPr>
            <w:tcW w:w="4480" w:type="dxa"/>
            <w:vAlign w:val="bottom"/>
          </w:tcPr>
          <w:p>
            <w:pPr>
              <w:ind w:left="60"/>
              <w:spacing w:after="0"/>
              <w:rPr>
                <w:sz w:val="20"/>
                <w:szCs w:val="20"/>
                <w:color w:val="auto"/>
              </w:rPr>
            </w:pPr>
            <w:r>
              <w:rPr>
                <w:rFonts w:ascii="Courier New" w:cs="Courier New" w:eastAsia="Courier New" w:hAnsi="Courier New"/>
                <w:sz w:val="18"/>
                <w:szCs w:val="18"/>
                <w:color w:val="auto"/>
                <w:w w:val="96"/>
              </w:rPr>
              <w:t>of Class Represented by Amount in Row (9):</w:t>
            </w:r>
          </w:p>
        </w:tc>
        <w:tc>
          <w:tcPr>
            <w:tcW w:w="1680" w:type="dxa"/>
            <w:vAlign w:val="bottom"/>
          </w:tcPr>
          <w:p>
            <w:pPr>
              <w:jc w:val="right"/>
              <w:spacing w:after="0"/>
              <w:rPr>
                <w:sz w:val="20"/>
                <w:szCs w:val="20"/>
                <w:color w:val="auto"/>
              </w:rPr>
            </w:pPr>
            <w:r>
              <w:rPr>
                <w:rFonts w:ascii="Courier New" w:cs="Courier New" w:eastAsia="Courier New" w:hAnsi="Courier New"/>
                <w:sz w:val="18"/>
                <w:szCs w:val="18"/>
                <w:color w:val="auto"/>
              </w:rPr>
              <w:t>0.0%**</w:t>
            </w:r>
          </w:p>
        </w:tc>
      </w:tr>
      <w:tr>
        <w:trPr>
          <w:trHeight w:val="203"/>
        </w:trPr>
        <w:tc>
          <w:tcPr>
            <w:tcW w:w="6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2"/>
              </w:rPr>
              <w:t>(12)</w:t>
            </w:r>
          </w:p>
        </w:tc>
        <w:tc>
          <w:tcPr>
            <w:tcW w:w="1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Type of</w:t>
            </w:r>
          </w:p>
        </w:tc>
        <w:tc>
          <w:tcPr>
            <w:tcW w:w="4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Reporting Person (See Instructions):</w:t>
            </w:r>
          </w:p>
        </w:tc>
        <w:tc>
          <w:tcPr>
            <w:tcW w:w="1680" w:type="dxa"/>
            <w:vAlign w:val="bottom"/>
          </w:tcPr>
          <w:p>
            <w:pPr>
              <w:jc w:val="right"/>
              <w:ind w:right="1392"/>
              <w:spacing w:after="0" w:line="203" w:lineRule="exact"/>
              <w:rPr>
                <w:sz w:val="20"/>
                <w:szCs w:val="20"/>
                <w:color w:val="auto"/>
              </w:rPr>
            </w:pPr>
            <w:r>
              <w:rPr>
                <w:rFonts w:ascii="Courier New" w:cs="Courier New" w:eastAsia="Courier New" w:hAnsi="Courier New"/>
                <w:sz w:val="18"/>
                <w:szCs w:val="18"/>
                <w:color w:val="auto"/>
                <w:w w:val="83"/>
              </w:rPr>
              <w:t>IA</w:t>
            </w:r>
          </w:p>
        </w:tc>
      </w:tr>
    </w:tbl>
    <w:p>
      <w:pPr>
        <w:sectPr>
          <w:pgSz w:w="11900" w:h="16855" w:orient="portrait"/>
          <w:cols w:equalWidth="0" w:num="1">
            <w:col w:w="10219"/>
          </w:cols>
          <w:pgMar w:left="240" w:top="244" w:right="1440" w:bottom="0" w:gutter="0" w:footer="0" w:header="0"/>
        </w:sectPr>
      </w:pPr>
    </w:p>
    <w:bookmarkStart w:id="1" w:name="page2"/>
    <w:bookmarkEnd w:id="1"/>
    <w:p>
      <w:pPr>
        <w:ind w:right="2099"/>
        <w:spacing w:after="0" w:line="237" w:lineRule="auto"/>
        <w:rPr>
          <w:sz w:val="20"/>
          <w:szCs w:val="20"/>
          <w:color w:val="auto"/>
        </w:rPr>
      </w:pPr>
      <w:r>
        <w:rPr>
          <w:rFonts w:ascii="Courier New" w:cs="Courier New" w:eastAsia="Courier New" w:hAnsi="Courier New"/>
          <w:sz w:val="18"/>
          <w:szCs w:val="18"/>
          <w:color w:val="auto"/>
        </w:rPr>
        <w:t>**AWM Investment Company, Inc., a Delaware corporation (AWM), is the investment adviser to Special Situations Cayman Fund, L.P. (CAYMAN), Special Situations Fund III QP, L.P. (SSFQP), and Special Situations Private Equity Fund, L.P. (SSPE). (CAYMAN, SSFQP and SSPE will hereafter be referred to as the Funds.) As the investment adviser to the Funds, AWM holds sole voting and investment power over 0 Shares of Common Stock of the Issuer (the Shares) held by CAYMAN, 0 Shares of Common Stock held by SSFQP and 0 Shares of Common Stock held by SSPE. See Items 2 and 4 of this Schedule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tabs>
          <w:tab w:leader="none" w:pos="1260" w:val="left"/>
          <w:tab w:leader="none" w:pos="3040" w:val="left"/>
        </w:tabs>
        <w:rPr>
          <w:sz w:val="20"/>
          <w:szCs w:val="20"/>
          <w:color w:val="auto"/>
        </w:rPr>
      </w:pPr>
      <w:r>
        <w:rPr>
          <w:rFonts w:ascii="Courier New" w:cs="Courier New" w:eastAsia="Courier New" w:hAnsi="Courier New"/>
          <w:sz w:val="18"/>
          <w:szCs w:val="18"/>
          <w:color w:val="auto"/>
        </w:rPr>
        <w:t>Item 1(a).</w:t>
        <w:tab/>
        <w:t>Name Of Issuer:</w:t>
      </w:r>
      <w:r>
        <w:rPr>
          <w:sz w:val="20"/>
          <w:szCs w:val="20"/>
          <w:color w:val="auto"/>
        </w:rPr>
        <w:tab/>
      </w:r>
      <w:r>
        <w:rPr>
          <w:rFonts w:ascii="Courier New" w:cs="Courier New" w:eastAsia="Courier New" w:hAnsi="Courier New"/>
          <w:sz w:val="16"/>
          <w:szCs w:val="16"/>
          <w:color w:val="auto"/>
        </w:rPr>
        <w:t>XpresSpa Group, Inc.</w:t>
      </w:r>
    </w:p>
    <w:p>
      <w:pPr>
        <w:spacing w:after="0" w:line="207" w:lineRule="exact"/>
        <w:rPr>
          <w:sz w:val="20"/>
          <w:szCs w:val="20"/>
          <w:color w:val="auto"/>
        </w:rPr>
      </w:pPr>
    </w:p>
    <w:p>
      <w:pPr>
        <w:jc w:val="right"/>
        <w:ind w:right="3899"/>
        <w:spacing w:after="0" w:line="235" w:lineRule="auto"/>
        <w:rPr>
          <w:sz w:val="20"/>
          <w:szCs w:val="20"/>
          <w:color w:val="auto"/>
        </w:rPr>
      </w:pPr>
      <w:r>
        <w:rPr>
          <w:rFonts w:ascii="Courier New" w:cs="Courier New" w:eastAsia="Courier New" w:hAnsi="Courier New"/>
          <w:sz w:val="18"/>
          <w:szCs w:val="18"/>
          <w:color w:val="auto"/>
        </w:rPr>
        <w:t>Item 1(b).  Address of Issuer?s Principal Executive Offices: 780 Third Avenue -12th Floor, New York, NY 10017</w:t>
      </w:r>
    </w:p>
    <w:p>
      <w:pPr>
        <w:spacing w:after="0" w:line="203"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7" w:lineRule="exact"/>
        <w:rPr>
          <w:sz w:val="20"/>
          <w:szCs w:val="20"/>
          <w:color w:val="auto"/>
        </w:rPr>
      </w:pPr>
    </w:p>
    <w:p>
      <w:pPr>
        <w:ind w:right="2839"/>
        <w:spacing w:after="0" w:line="237" w:lineRule="auto"/>
        <w:rPr>
          <w:sz w:val="20"/>
          <w:szCs w:val="20"/>
          <w:color w:val="auto"/>
        </w:rPr>
      </w:pPr>
      <w:r>
        <w:rPr>
          <w:rFonts w:ascii="Courier New" w:cs="Courier New" w:eastAsia="Courier New" w:hAnsi="Courier New"/>
          <w:sz w:val="18"/>
          <w:szCs w:val="18"/>
          <w:color w:val="auto"/>
        </w:rPr>
        <w:t>The person filing this report is AWM Investment Company, Inc., a Delaware corporation (AWM), which is the investment adviser to Special Situations Cayman Fund, L.P., a Cayman Islands Limited Partnership (CAYMAN), Special Situations Fund III QP, L.P., a Delaware limited partnership (SSFQP) and Special Situations Private Equity Fund, L.P., a Delaware limited partnership (SSPE). (CAYMAN, SSFQP and SSPE, will hereafter be referred to as the Funds.) The principal business of each Fund is to invest in equity and equity-related securities and other securities of any kind or nature.</w:t>
      </w:r>
    </w:p>
    <w:p>
      <w:pPr>
        <w:spacing w:after="0" w:line="214" w:lineRule="exact"/>
        <w:rPr>
          <w:sz w:val="20"/>
          <w:szCs w:val="20"/>
          <w:color w:val="auto"/>
        </w:rPr>
      </w:pPr>
    </w:p>
    <w:p>
      <w:pPr>
        <w:ind w:right="2939"/>
        <w:spacing w:after="0" w:line="271" w:lineRule="auto"/>
        <w:rPr>
          <w:sz w:val="20"/>
          <w:szCs w:val="20"/>
          <w:color w:val="auto"/>
        </w:rPr>
      </w:pPr>
      <w:r>
        <w:rPr>
          <w:rFonts w:ascii="Courier New" w:cs="Courier New" w:eastAsia="Courier New" w:hAnsi="Courier New"/>
          <w:sz w:val="16"/>
          <w:szCs w:val="16"/>
          <w:color w:val="auto"/>
        </w:rPr>
        <w:t>Austin W. Marxe (Marxe), David M. Greenhouse (Greenhouse) and Adam C. Stettner (Stettner) are members of: SSCayman, L.L.C., a Delaware limited liability company (SSCAY) the general partner of CAYMAN; MGP Advisers Limited Partnership, a Delaware limited partnership (MGP), the general partner of SSFQP; and MG Advisers, L.L.C., a New York limited liability company (MG), the general partner of SSPE. Marxe, Greenhouse and Stettner are also controlling principals of AWM.</w:t>
      </w:r>
    </w:p>
    <w:p>
      <w:pPr>
        <w:spacing w:after="0" w:line="188"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Item 2(b). Address of Principal Business Office or, if None, Residence: The principal business address for AWM is c/o Special Situations Funds, 527 Madison Avenue, Suite 2600, New York, NY 10022. Item 2(c). Citizenship:</w:t>
      </w:r>
    </w:p>
    <w:p>
      <w:pPr>
        <w:spacing w:after="0"/>
        <w:rPr>
          <w:sz w:val="20"/>
          <w:szCs w:val="20"/>
          <w:color w:val="auto"/>
        </w:rPr>
      </w:pPr>
      <w:r>
        <w:rPr>
          <w:rFonts w:ascii="Courier New" w:cs="Courier New" w:eastAsia="Courier New" w:hAnsi="Courier New"/>
          <w:sz w:val="18"/>
          <w:szCs w:val="18"/>
          <w:color w:val="auto"/>
        </w:rPr>
        <w:t>AWM is a Delaware corporation.</w:t>
      </w:r>
    </w:p>
    <w:p>
      <w:pPr>
        <w:spacing w:after="0"/>
        <w:tabs>
          <w:tab w:leader="none" w:pos="1260" w:val="left"/>
          <w:tab w:leader="none" w:pos="4520" w:val="left"/>
        </w:tabs>
        <w:rPr>
          <w:sz w:val="20"/>
          <w:szCs w:val="20"/>
          <w:color w:val="auto"/>
        </w:rPr>
      </w:pPr>
      <w:r>
        <w:rPr>
          <w:rFonts w:ascii="Courier New" w:cs="Courier New" w:eastAsia="Courier New" w:hAnsi="Courier New"/>
          <w:sz w:val="18"/>
          <w:szCs w:val="18"/>
          <w:color w:val="auto"/>
        </w:rPr>
        <w:t>Item 2(d).</w:t>
        <w:tab/>
        <w:t>Title of Class of Securities:</w:t>
      </w:r>
      <w:r>
        <w:rPr>
          <w:sz w:val="20"/>
          <w:szCs w:val="20"/>
          <w:color w:val="auto"/>
        </w:rPr>
        <w:tab/>
      </w:r>
      <w:r>
        <w:rPr>
          <w:rFonts w:ascii="Courier New" w:cs="Courier New" w:eastAsia="Courier New" w:hAnsi="Courier New"/>
          <w:sz w:val="16"/>
          <w:szCs w:val="16"/>
          <w:color w:val="auto"/>
        </w:rPr>
        <w:t>Common Stock, $.01 Par Value</w:t>
      </w:r>
    </w:p>
    <w:p>
      <w:pPr>
        <w:spacing w:after="0"/>
        <w:tabs>
          <w:tab w:leader="none" w:pos="1260" w:val="left"/>
          <w:tab w:leader="none" w:pos="2520" w:val="left"/>
        </w:tabs>
        <w:rPr>
          <w:sz w:val="20"/>
          <w:szCs w:val="20"/>
          <w:color w:val="auto"/>
        </w:rPr>
      </w:pPr>
      <w:r>
        <w:rPr>
          <w:rFonts w:ascii="Courier New" w:cs="Courier New" w:eastAsia="Courier New" w:hAnsi="Courier New"/>
          <w:sz w:val="18"/>
          <w:szCs w:val="18"/>
          <w:color w:val="auto"/>
        </w:rPr>
        <w:t>Item 2(e).</w:t>
        <w:tab/>
        <w:t>CUSIP No.:</w:t>
      </w:r>
      <w:r>
        <w:rPr>
          <w:sz w:val="20"/>
          <w:szCs w:val="20"/>
          <w:color w:val="auto"/>
        </w:rPr>
        <w:tab/>
      </w:r>
      <w:r>
        <w:rPr>
          <w:rFonts w:ascii="Courier New" w:cs="Courier New" w:eastAsia="Courier New" w:hAnsi="Courier New"/>
          <w:sz w:val="16"/>
          <w:szCs w:val="16"/>
          <w:color w:val="auto"/>
        </w:rPr>
        <w:t>98420U109</w:t>
      </w:r>
    </w:p>
    <w:p>
      <w:pPr>
        <w:spacing w:after="0" w:line="200"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??240.13d-1(b) or 240.13d-</w:t>
      </w:r>
    </w:p>
    <w:p>
      <w:pPr>
        <w:spacing w:after="0" w:line="238" w:lineRule="auto"/>
        <w:rPr>
          <w:sz w:val="20"/>
          <w:szCs w:val="20"/>
          <w:color w:val="auto"/>
        </w:rPr>
      </w:pPr>
      <w:r>
        <w:rPr>
          <w:rFonts w:ascii="Courier New" w:cs="Courier New" w:eastAsia="Courier New" w:hAnsi="Courier New"/>
          <w:sz w:val="18"/>
          <w:szCs w:val="18"/>
          <w:color w:val="auto"/>
        </w:rPr>
        <w:t>2(b) or (c), check whether the Person Filing is a:</w:t>
      </w: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1" w:lineRule="exact"/>
        <w:rPr>
          <w:sz w:val="20"/>
          <w:szCs w:val="20"/>
          <w:color w:val="auto"/>
        </w:rPr>
      </w:pPr>
    </w:p>
    <w:p>
      <w:pPr>
        <w:ind w:left="1700" w:hanging="849"/>
        <w:spacing w:after="0"/>
        <w:tabs>
          <w:tab w:leader="none" w:pos="170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0**</w:t>
      </w:r>
    </w:p>
    <w:p>
      <w:pPr>
        <w:spacing w:after="0" w:line="201" w:lineRule="exact"/>
        <w:rPr>
          <w:rFonts w:ascii="Courier New" w:cs="Courier New" w:eastAsia="Courier New" w:hAnsi="Courier New"/>
          <w:sz w:val="18"/>
          <w:szCs w:val="18"/>
          <w:color w:val="auto"/>
        </w:rPr>
      </w:pPr>
    </w:p>
    <w:p>
      <w:pPr>
        <w:ind w:left="1700" w:hanging="849"/>
        <w:spacing w:after="0"/>
        <w:tabs>
          <w:tab w:leader="none" w:pos="170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0.0%**</w:t>
      </w:r>
    </w:p>
    <w:p>
      <w:pPr>
        <w:spacing w:after="0" w:line="206" w:lineRule="exact"/>
        <w:rPr>
          <w:rFonts w:ascii="Courier New" w:cs="Courier New" w:eastAsia="Courier New" w:hAnsi="Courier New"/>
          <w:sz w:val="18"/>
          <w:szCs w:val="18"/>
          <w:color w:val="auto"/>
        </w:rPr>
      </w:pPr>
    </w:p>
    <w:p>
      <w:pPr>
        <w:ind w:left="1700" w:right="3459" w:hanging="849"/>
        <w:spacing w:after="0" w:line="536" w:lineRule="auto"/>
        <w:tabs>
          <w:tab w:leader="none" w:pos="170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Number of Shares as to which the person has: (i)sole power to vote or to direct the vote: 0**</w:t>
      </w:r>
    </w:p>
    <w:p>
      <w:pPr>
        <w:ind w:left="2540" w:hanging="846"/>
        <w:spacing w:after="0"/>
        <w:tabs>
          <w:tab w:leader="none" w:pos="254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vote:0</w:t>
      </w:r>
    </w:p>
    <w:p>
      <w:pPr>
        <w:spacing w:after="0" w:line="201" w:lineRule="exact"/>
        <w:rPr>
          <w:rFonts w:ascii="Courier New" w:cs="Courier New" w:eastAsia="Courier New" w:hAnsi="Courier New"/>
          <w:sz w:val="18"/>
          <w:szCs w:val="18"/>
          <w:color w:val="auto"/>
        </w:rPr>
      </w:pPr>
    </w:p>
    <w:p>
      <w:pPr>
        <w:ind w:left="2540" w:hanging="846"/>
        <w:spacing w:after="0"/>
        <w:tabs>
          <w:tab w:leader="none" w:pos="254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spacing w:after="0" w:line="238" w:lineRule="auto"/>
        <w:rPr>
          <w:sz w:val="20"/>
          <w:szCs w:val="20"/>
          <w:color w:val="auto"/>
        </w:rPr>
      </w:pPr>
      <w:r>
        <w:rPr>
          <w:rFonts w:ascii="Courier New" w:cs="Courier New" w:eastAsia="Courier New" w:hAnsi="Courier New"/>
          <w:sz w:val="18"/>
          <w:szCs w:val="18"/>
          <w:color w:val="auto"/>
        </w:rPr>
        <w:t>0**</w:t>
      </w:r>
    </w:p>
    <w:p>
      <w:pPr>
        <w:spacing w:after="0" w:line="202" w:lineRule="exact"/>
        <w:rPr>
          <w:sz w:val="20"/>
          <w:szCs w:val="20"/>
          <w:color w:val="auto"/>
        </w:rPr>
      </w:pPr>
    </w:p>
    <w:p>
      <w:pPr>
        <w:jc w:val="both"/>
        <w:ind w:left="1700"/>
        <w:spacing w:after="0"/>
        <w:tabs>
          <w:tab w:leader="none" w:pos="2520" w:val="left"/>
        </w:tabs>
        <w:rPr>
          <w:sz w:val="20"/>
          <w:szCs w:val="20"/>
          <w:color w:val="auto"/>
        </w:rPr>
      </w:pPr>
      <w:r>
        <w:rPr>
          <w:rFonts w:ascii="Courier New" w:cs="Courier New" w:eastAsia="Courier New" w:hAnsi="Courier New"/>
          <w:sz w:val="18"/>
          <w:szCs w:val="18"/>
          <w:color w:val="auto"/>
        </w:rPr>
        <w:t>(iv)</w:t>
      </w:r>
      <w:r>
        <w:rPr>
          <w:sz w:val="20"/>
          <w:szCs w:val="20"/>
          <w:color w:val="auto"/>
        </w:rPr>
        <w:tab/>
      </w:r>
      <w:r>
        <w:rPr>
          <w:rFonts w:ascii="Courier New" w:cs="Courier New" w:eastAsia="Courier New" w:hAnsi="Courier New"/>
          <w:sz w:val="18"/>
          <w:szCs w:val="18"/>
          <w:color w:val="auto"/>
        </w:rPr>
        <w:t>shared power to dispose or to direct the disposition of</w:t>
      </w:r>
    </w:p>
    <w:p>
      <w:pPr>
        <w:spacing w:after="0" w:line="238" w:lineRule="auto"/>
        <w:rPr>
          <w:sz w:val="20"/>
          <w:szCs w:val="20"/>
          <w:color w:val="auto"/>
        </w:rPr>
      </w:pPr>
      <w:r>
        <w:rPr>
          <w:rFonts w:ascii="Courier New" w:cs="Courier New" w:eastAsia="Courier New" w:hAnsi="Courier New"/>
          <w:sz w:val="18"/>
          <w:szCs w:val="18"/>
          <w:color w:val="auto"/>
        </w:rPr>
        <w:t>0</w:t>
      </w:r>
    </w:p>
    <w:p>
      <w:pPr>
        <w:spacing w:after="0"/>
        <w:rPr>
          <w:sz w:val="20"/>
          <w:szCs w:val="20"/>
          <w:color w:val="auto"/>
        </w:rPr>
      </w:pPr>
      <w:r>
        <w:rPr>
          <w:rFonts w:ascii="Courier New" w:cs="Courier New" w:eastAsia="Courier New" w:hAnsi="Courier New"/>
          <w:sz w:val="18"/>
          <w:szCs w:val="18"/>
          <w:color w:val="auto"/>
        </w:rPr>
        <w:t>_____________________________________________________________________________</w:t>
      </w:r>
    </w:p>
    <w:p>
      <w:pPr>
        <w:spacing w:after="0" w:line="206" w:lineRule="exact"/>
        <w:rPr>
          <w:sz w:val="20"/>
          <w:szCs w:val="20"/>
          <w:color w:val="auto"/>
        </w:rPr>
      </w:pPr>
    </w:p>
    <w:p>
      <w:pPr>
        <w:ind w:right="2519" w:firstLine="8"/>
        <w:spacing w:after="0" w:line="290" w:lineRule="auto"/>
        <w:tabs>
          <w:tab w:leader="none" w:pos="316"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AWM is the investment adviser to each of the Funds. As the investment adviser to the Funds, AWM holds sole voting and investment power over 0</w:t>
      </w:r>
    </w:p>
    <w:p>
      <w:pPr>
        <w:sectPr>
          <w:pgSz w:w="11900" w:h="16838" w:orient="portrait"/>
          <w:cols w:equalWidth="0" w:num="1">
            <w:col w:w="10219"/>
          </w:cols>
          <w:pgMar w:left="240" w:top="344" w:right="1440" w:bottom="0" w:gutter="0" w:footer="0" w:header="0"/>
        </w:sectPr>
      </w:pPr>
    </w:p>
    <w:bookmarkStart w:id="2" w:name="page3"/>
    <w:bookmarkEnd w:id="2"/>
    <w:p>
      <w:pPr>
        <w:ind w:right="2099"/>
        <w:spacing w:after="0" w:line="273" w:lineRule="auto"/>
        <w:rPr>
          <w:sz w:val="20"/>
          <w:szCs w:val="20"/>
          <w:color w:val="auto"/>
        </w:rPr>
      </w:pPr>
      <w:r>
        <w:rPr>
          <w:rFonts w:ascii="Courier New" w:cs="Courier New" w:eastAsia="Courier New" w:hAnsi="Courier New"/>
          <w:sz w:val="16"/>
          <w:szCs w:val="16"/>
          <w:color w:val="auto"/>
        </w:rPr>
        <w:t>Shares of Common Stock of the Issuer (the Shares) held by CAYMAN, 0 Shares of Common Stock held by SSFQP and 0 Shares of Common Stock held by SSPE. Marxe, Greenhouse and Stettner are members of: SSCAY, the general partner of CAYMAN; MGP, the general partner of SSFQP; and MG, the general partner of SSPE. Marxe, Greenhouse and Stettner are also controlling principals of AWM.</w:t>
      </w:r>
    </w:p>
    <w:p>
      <w:pPr>
        <w:spacing w:after="0" w:line="38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7" w:lineRule="exact"/>
        <w:rPr>
          <w:sz w:val="20"/>
          <w:szCs w:val="20"/>
          <w:color w:val="auto"/>
        </w:rPr>
      </w:pPr>
    </w:p>
    <w:p>
      <w:pPr>
        <w:ind w:right="1879" w:firstLine="843"/>
        <w:spacing w:after="0" w:line="236"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X</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231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2099" w:firstLine="843"/>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999" w:firstLine="843"/>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July 6, 2018</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AWM INVESTMENT COMPANY, INC.</w:t>
      </w:r>
    </w:p>
    <w:p>
      <w:pPr>
        <w:sectPr>
          <w:pgSz w:w="11900" w:h="16838" w:orient="portrait"/>
          <w:cols w:equalWidth="0" w:num="1">
            <w:col w:w="10219"/>
          </w:cols>
          <w:pgMar w:left="240" w:top="142"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 David Greenhouse</w:t>
      </w:r>
    </w:p>
    <w:p>
      <w:pPr>
        <w:spacing w:after="0" w:line="238" w:lineRule="auto"/>
        <w:rPr>
          <w:sz w:val="20"/>
          <w:szCs w:val="20"/>
          <w:color w:val="auto"/>
        </w:rPr>
      </w:pPr>
      <w:r>
        <w:rPr>
          <w:rFonts w:ascii="Courier New" w:cs="Courier New" w:eastAsia="Courier New" w:hAnsi="Courier New"/>
          <w:sz w:val="18"/>
          <w:szCs w:val="18"/>
          <w:color w:val="auto"/>
        </w:rPr>
        <w:t>Name: David Greenhouse</w:t>
      </w:r>
    </w:p>
    <w:p>
      <w:pPr>
        <w:spacing w:after="0" w:line="5"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6"/>
          <w:szCs w:val="16"/>
          <w:color w:val="auto"/>
        </w:rPr>
        <w:t>Title:</w:t>
      </w:r>
      <w:r>
        <w:rPr>
          <w:sz w:val="20"/>
          <w:szCs w:val="20"/>
          <w:color w:val="auto"/>
        </w:rPr>
        <w:tab/>
      </w:r>
      <w:r>
        <w:rPr>
          <w:rFonts w:ascii="Courier New" w:cs="Courier New" w:eastAsia="Courier New" w:hAnsi="Courier New"/>
          <w:sz w:val="16"/>
          <w:szCs w:val="16"/>
          <w:color w:val="auto"/>
        </w:rPr>
        <w:t>Executive Vice President</w:t>
      </w:r>
    </w:p>
    <w:p>
      <w:pPr>
        <w:spacing w:after="0" w:line="200" w:lineRule="exact"/>
        <w:rPr>
          <w:sz w:val="20"/>
          <w:szCs w:val="20"/>
          <w:color w:val="auto"/>
        </w:rPr>
      </w:pPr>
    </w:p>
    <w:p>
      <w:pPr>
        <w:sectPr>
          <w:pgSz w:w="11900" w:h="16838" w:orient="portrait"/>
          <w:cols w:equalWidth="0" w:num="2">
            <w:col w:w="320" w:space="0"/>
            <w:col w:w="9899"/>
          </w:cols>
          <w:pgMar w:left="240" w:top="142" w:right="1440" w:bottom="1440" w:gutter="0" w:footer="0" w:header="0"/>
          <w:type w:val="continuous"/>
        </w:sectPr>
      </w:pPr>
    </w:p>
    <w:p>
      <w:pPr>
        <w:spacing w:after="0" w:line="200" w:lineRule="exact"/>
        <w:rPr>
          <w:sz w:val="20"/>
          <w:szCs w:val="20"/>
          <w:color w:val="auto"/>
        </w:rPr>
      </w:pPr>
    </w:p>
    <w:p>
      <w:pPr>
        <w:spacing w:after="0" w:line="229" w:lineRule="exact"/>
        <w:rPr>
          <w:sz w:val="20"/>
          <w:szCs w:val="20"/>
          <w:color w:val="auto"/>
        </w:rPr>
      </w:pPr>
    </w:p>
    <w:p>
      <w:pPr>
        <w:ind w:right="2939"/>
        <w:spacing w:after="0"/>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 -5-</w:t>
      </w:r>
    </w:p>
    <w:sectPr>
      <w:pgSz w:w="11900" w:h="16838" w:orient="portrait"/>
      <w:cols w:equalWidth="0" w:num="1">
        <w:col w:w="10219"/>
      </w:cols>
      <w:pgMar w:left="240" w:top="14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upperLetter"/>
      <w:start w:val="24"/>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decimal"/>
      <w:start w:val="7"/>
    </w:lvl>
  </w:abstractNum>
  <w:abstractNum w:abstractNumId="3">
    <w:nsid w:val="46E87CCD"/>
    <w:multiLevelType w:val="hybridMultilevel"/>
    <w:lvl w:ilvl="0">
      <w:lvlJc w:val="left"/>
      <w:lvlText w:val="(%1)"/>
      <w:numFmt w:val="decimal"/>
      <w:start w:val="10"/>
    </w:lvl>
  </w:abstractNum>
  <w:abstractNum w:abstractNumId="4">
    <w:nsid w:val="3D1B58BA"/>
    <w:multiLevelType w:val="hybridMultilevel"/>
    <w:lvl w:ilvl="0">
      <w:lvlJc w:val="left"/>
      <w:lvlText w:val="(%1)"/>
      <w:numFmt w:val="lowerLetter"/>
      <w:start w:val="1"/>
    </w:lvl>
    <w:lvl w:ilvl="1">
      <w:lvlJc w:val="left"/>
      <w:lvlText w:val="(%2)"/>
      <w:numFmt w:val="lowerRoman"/>
      <w:start w:val="2"/>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2019-12-07T09:34:01Z</dcterms:created>
  <dcterms:modified xsi:type="dcterms:W3CDTF">2019-12-07T09:34:01Z</dcterms:modified>
</cp:coreProperties>
</file>