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580390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820"/>
        <w:spacing w:after="0"/>
        <w:rPr>
          <w:sz w:val="20"/>
          <w:szCs w:val="20"/>
          <w:color w:val="auto"/>
        </w:rPr>
      </w:pPr>
      <w:r>
        <w:rPr>
          <w:rFonts w:ascii="Arial" w:cs="Arial" w:eastAsia="Arial" w:hAnsi="Arial"/>
          <w:sz w:val="20"/>
          <w:szCs w:val="20"/>
          <w:b w:val="1"/>
          <w:bCs w:val="1"/>
          <w:color w:val="auto"/>
        </w:rPr>
        <w:t>UNITED STATES</w:t>
      </w:r>
    </w:p>
    <w:p>
      <w:pPr>
        <w:jc w:val="center"/>
        <w:ind w:right="-820"/>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8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68580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SCHEDULE 14A</w:t>
      </w:r>
    </w:p>
    <w:p>
      <w:pPr>
        <w:spacing w:after="0" w:line="65"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w:t>
      </w:r>
    </w:p>
    <w:p>
      <w:pPr>
        <w:ind w:left="3980"/>
        <w:spacing w:after="0"/>
        <w:rPr>
          <w:sz w:val="20"/>
          <w:szCs w:val="20"/>
          <w:color w:val="auto"/>
        </w:rPr>
      </w:pPr>
      <w:r>
        <w:rPr>
          <w:rFonts w:ascii="Arial" w:cs="Arial" w:eastAsia="Arial" w:hAnsi="Arial"/>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2"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5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XpresSpa Group, Inc.</w:t>
      </w:r>
    </w:p>
    <w:p>
      <w:pPr>
        <w:spacing w:after="0" w:line="6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86360</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28" w:lineRule="exact"/>
        <w:rPr>
          <w:sz w:val="24"/>
          <w:szCs w:val="24"/>
          <w:color w:val="auto"/>
        </w:rPr>
      </w:pPr>
    </w:p>
    <w:p>
      <w:pPr>
        <w:ind w:left="29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8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1480" w:hanging="220"/>
        <w:spacing w:after="0"/>
        <w:tabs>
          <w:tab w:leader="none" w:pos="1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9"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72" w:lineRule="exact"/>
        <w:rPr>
          <w:rFonts w:ascii="Arial" w:cs="Arial" w:eastAsia="Arial" w:hAnsi="Arial"/>
          <w:sz w:val="17"/>
          <w:szCs w:val="17"/>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620" w:right="499" w:hanging="360"/>
        <w:spacing w:after="0" w:line="235" w:lineRule="auto"/>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rFonts w:ascii="MS PGothic" w:cs="MS PGothic" w:eastAsia="MS PGothic" w:hAnsi="MS PGothic"/>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980" w:hanging="360"/>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-3267710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-2916555</wp:posOffset>
            </wp:positionV>
            <wp:extent cx="475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-2616200</wp:posOffset>
            </wp:positionV>
            <wp:extent cx="4757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-2273300</wp:posOffset>
            </wp:positionV>
            <wp:extent cx="4757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-1913255</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-884555</wp:posOffset>
            </wp:positionV>
            <wp:extent cx="4757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-533400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-173355</wp:posOffset>
            </wp:positionV>
            <wp:extent cx="4757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177800</wp:posOffset>
            </wp:positionV>
            <wp:extent cx="4757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297815</wp:posOffset>
            </wp:positionV>
            <wp:extent cx="5212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340360</wp:posOffset>
            </wp:positionV>
            <wp:extent cx="5212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953770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494665</wp:posOffset>
            </wp:positionV>
            <wp:extent cx="24688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8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139"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August 20, 2021</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Stockholders:</w:t>
      </w:r>
    </w:p>
    <w:p>
      <w:pPr>
        <w:spacing w:after="0" w:line="14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You are cordially invited to attend the 2021 annual meeting of stockholders of XpresSpa Group, Inc. to be held at 11:00 a.m. Eastern time on Thursday, September 30, 2021.</w:t>
      </w:r>
    </w:p>
    <w:p>
      <w:pPr>
        <w:spacing w:after="0" w:line="103"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 xml:space="preserve">As a result of the continuing public health and travel risks and concerns due to COVID-19, the 2021 annual meeting will be a virtual meeting via live webcast on the internet. You will be able to attend the meeting, vote and submit your questions during the 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on your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or proxy card. You will not be able to attend the annual meeting in person.</w:t>
      </w:r>
    </w:p>
    <w:p>
      <w:pPr>
        <w:spacing w:after="0" w:line="120"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the accompanying proxy statement.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158" w:lineRule="exact"/>
        <w:rPr>
          <w:sz w:val="20"/>
          <w:szCs w:val="20"/>
          <w:color w:val="auto"/>
        </w:rPr>
      </w:pPr>
    </w:p>
    <w:p>
      <w:pPr>
        <w:ind w:left="1980" w:right="73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Douglas Satzman, Bruce T. Bernstein, Robert Weinstein, Donald E. Stout and Michael Lebowitz to our Board of Directors;</w:t>
      </w:r>
    </w:p>
    <w:p>
      <w:pPr>
        <w:spacing w:after="0" w:line="102"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Friedman LLP as our independent registered public accounting firm for the fiscal year ending December 31, 2021;</w:t>
      </w:r>
    </w:p>
    <w:p>
      <w:pPr>
        <w:spacing w:after="0" w:line="89" w:lineRule="exact"/>
        <w:rPr>
          <w:rFonts w:ascii="Arial" w:cs="Arial" w:eastAsia="Arial" w:hAnsi="Arial"/>
          <w:sz w:val="18"/>
          <w:szCs w:val="18"/>
          <w:color w:val="auto"/>
        </w:rPr>
      </w:pPr>
    </w:p>
    <w:p>
      <w:pPr>
        <w:jc w:val="both"/>
        <w:ind w:left="1980" w:right="419" w:hanging="360"/>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common stock by 100,000,000, from 150,000,000 to 250,000,000;</w:t>
      </w:r>
    </w:p>
    <w:p>
      <w:pPr>
        <w:spacing w:after="0" w:line="116"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accompanying proxy statement; and</w:t>
      </w:r>
    </w:p>
    <w:p>
      <w:pPr>
        <w:spacing w:after="0" w:line="102" w:lineRule="exact"/>
        <w:rPr>
          <w:rFonts w:ascii="Arial" w:cs="Arial" w:eastAsia="Arial" w:hAnsi="Arial"/>
          <w:sz w:val="18"/>
          <w:szCs w:val="18"/>
          <w:color w:val="auto"/>
        </w:rPr>
      </w:pPr>
    </w:p>
    <w:p>
      <w:pPr>
        <w:ind w:left="1980" w:right="1179" w:hanging="360"/>
        <w:spacing w:after="0" w:line="30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adjournment of our annual meeting of stockholders, if necessary, to solicit additional proxies if there are not sufficient votes in favor of proposals 2 through 4.</w:t>
      </w:r>
    </w:p>
    <w:p>
      <w:pPr>
        <w:spacing w:after="0" w:line="61" w:lineRule="exact"/>
        <w:rPr>
          <w:sz w:val="20"/>
          <w:szCs w:val="20"/>
          <w:color w:val="auto"/>
        </w:rPr>
      </w:pPr>
    </w:p>
    <w:p>
      <w:pPr>
        <w:ind w:left="1260" w:right="559" w:firstLine="3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transacted as may properly come before the annual meeting.</w:t>
      </w:r>
    </w:p>
    <w:p>
      <w:pPr>
        <w:spacing w:after="0" w:line="9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Thank you for your continued support of XpresSpa Group, Inc.</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593090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494665</wp:posOffset>
            </wp:positionV>
            <wp:extent cx="246888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8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58"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August 20, 2021</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81"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11:00 a.m., Eastern time</w:t>
      </w:r>
    </w:p>
    <w:p>
      <w:pPr>
        <w:spacing w:after="0" w:line="50"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30, 2021</w:t>
      </w:r>
    </w:p>
    <w:p>
      <w:pPr>
        <w:spacing w:after="0" w:line="63" w:lineRule="exact"/>
        <w:rPr>
          <w:sz w:val="20"/>
          <w:szCs w:val="20"/>
          <w:color w:val="auto"/>
        </w:rPr>
      </w:pPr>
    </w:p>
    <w:p>
      <w:pPr>
        <w:ind w:left="2120" w:right="479" w:hanging="859"/>
        <w:spacing w:after="0" w:line="231" w:lineRule="auto"/>
        <w:tabs>
          <w:tab w:leader="none" w:pos="2100" w:val="left"/>
        </w:tabs>
        <w:rPr>
          <w:sz w:val="20"/>
          <w:szCs w:val="20"/>
          <w:color w:val="auto"/>
        </w:rPr>
      </w:pPr>
      <w:r>
        <w:rPr>
          <w:rFonts w:ascii="Arial" w:cs="Arial" w:eastAsia="Arial" w:hAnsi="Arial"/>
          <w:sz w:val="18"/>
          <w:szCs w:val="18"/>
          <w:color w:val="auto"/>
        </w:rPr>
        <w:t>ACCESS:</w:t>
        <w:tab/>
        <w:t xml:space="preserve">The 2021 annual meeting will be a virtual meeting via live webcast on the Internet. You will be able to attend the annual meeting, vote and submit your questions during the 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included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notice of internet availability or proxy card.</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980" w:right="739" w:hanging="360"/>
        <w:spacing w:after="0" w:line="246"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Douglas Satzman, Bruce T. Bernstein, Robert Weinstein, Donald E. Stout and Michael Lebowitz to our Board of Directors;</w:t>
      </w:r>
    </w:p>
    <w:p>
      <w:pPr>
        <w:spacing w:after="0" w:line="34" w:lineRule="exact"/>
        <w:rPr>
          <w:rFonts w:ascii="Arial" w:cs="Arial" w:eastAsia="Arial" w:hAnsi="Arial"/>
          <w:sz w:val="18"/>
          <w:szCs w:val="18"/>
          <w:color w:val="auto"/>
        </w:rPr>
      </w:pPr>
    </w:p>
    <w:p>
      <w:pPr>
        <w:ind w:left="1980" w:right="599" w:hanging="360"/>
        <w:spacing w:after="0" w:line="246"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Friedman LLP as our independent registered public accounting firm for the fiscal year ending December 31, 2021;</w:t>
      </w:r>
    </w:p>
    <w:p>
      <w:pPr>
        <w:spacing w:after="0" w:line="21" w:lineRule="exact"/>
        <w:rPr>
          <w:rFonts w:ascii="Arial" w:cs="Arial" w:eastAsia="Arial" w:hAnsi="Arial"/>
          <w:sz w:val="18"/>
          <w:szCs w:val="18"/>
          <w:color w:val="auto"/>
        </w:rPr>
      </w:pPr>
    </w:p>
    <w:p>
      <w:pPr>
        <w:jc w:val="both"/>
        <w:ind w:left="1980" w:right="419" w:hanging="360"/>
        <w:spacing w:after="0" w:line="235"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common stock by 100,000,000, from 150,000,000 to 250,000,000;</w:t>
      </w:r>
    </w:p>
    <w:p>
      <w:pPr>
        <w:spacing w:after="0" w:line="26" w:lineRule="exact"/>
        <w:rPr>
          <w:rFonts w:ascii="Arial" w:cs="Arial" w:eastAsia="Arial" w:hAnsi="Arial"/>
          <w:sz w:val="18"/>
          <w:szCs w:val="18"/>
          <w:color w:val="auto"/>
        </w:rPr>
      </w:pPr>
    </w:p>
    <w:p>
      <w:pPr>
        <w:ind w:left="1980" w:right="599" w:hanging="360"/>
        <w:spacing w:after="0" w:line="246"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proxy statement; and</w:t>
      </w:r>
    </w:p>
    <w:p>
      <w:pPr>
        <w:spacing w:after="0" w:line="34" w:lineRule="exact"/>
        <w:rPr>
          <w:rFonts w:ascii="Arial" w:cs="Arial" w:eastAsia="Arial" w:hAnsi="Arial"/>
          <w:sz w:val="18"/>
          <w:szCs w:val="18"/>
          <w:color w:val="auto"/>
        </w:rPr>
      </w:pPr>
    </w:p>
    <w:p>
      <w:pPr>
        <w:ind w:left="1980" w:right="1179" w:hanging="360"/>
        <w:spacing w:after="0" w:line="273"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an adjournment of our annual meeting of stockholders, if necessary, to solicit additional proxies if there are not sufficient votes in favor of proposals 2 through 4.</w:t>
      </w:r>
    </w:p>
    <w:p>
      <w:pPr>
        <w:spacing w:after="0" w:line="1" w:lineRule="exact"/>
        <w:rPr>
          <w:sz w:val="20"/>
          <w:szCs w:val="20"/>
          <w:color w:val="auto"/>
        </w:rPr>
      </w:pPr>
    </w:p>
    <w:p>
      <w:pPr>
        <w:ind w:left="1260" w:right="559" w:firstLine="360"/>
        <w:spacing w:after="0" w:line="242" w:lineRule="auto"/>
        <w:rPr>
          <w:sz w:val="20"/>
          <w:szCs w:val="20"/>
          <w:color w:val="auto"/>
        </w:rPr>
      </w:pPr>
      <w:r>
        <w:rPr>
          <w:rFonts w:ascii="Arial" w:cs="Arial" w:eastAsia="Arial" w:hAnsi="Arial"/>
          <w:sz w:val="17"/>
          <w:szCs w:val="17"/>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(the “Notice”) containing instructions on how to access Annual Meeting materials via the Internet. The Notice also provides instructions on how to obtain paper copies if preferred.</w:t>
      </w:r>
    </w:p>
    <w:p>
      <w:pPr>
        <w:spacing w:after="0" w:line="27" w:lineRule="exact"/>
        <w:rPr>
          <w:sz w:val="20"/>
          <w:szCs w:val="20"/>
          <w:color w:val="auto"/>
        </w:rPr>
      </w:pPr>
    </w:p>
    <w:p>
      <w:pPr>
        <w:ind w:left="1260" w:right="499" w:firstLine="360"/>
        <w:spacing w:after="0" w:line="225" w:lineRule="auto"/>
        <w:rPr>
          <w:sz w:val="20"/>
          <w:szCs w:val="20"/>
          <w:color w:val="auto"/>
        </w:rPr>
      </w:pPr>
      <w:r>
        <w:rPr>
          <w:rFonts w:ascii="Arial" w:cs="Arial" w:eastAsia="Arial" w:hAnsi="Arial"/>
          <w:sz w:val="18"/>
          <w:szCs w:val="18"/>
          <w:color w:val="auto"/>
        </w:rPr>
        <w:t xml:space="preserve">You may vote if you were the record owner of XpresSpa Group, Inc. Common Stock at the close of business on August 13, 2021. A list of stockholders of record will be available for 10 days prior to the annual meeting at our headquarters, 254 West 31st Street, New York, New York 10011. If you would like to view the stockholder list, please contact Omar Haynes, Vice President, Treasury &amp; Finance, at (917) 261-3836 to schedule an appointment or for alternative arrangements to the extent office access is impracticable due to the COVID- 19 pandemic. In addition, a list of stockholders of record will be available during the annual meeting for inspection by stockholders of record for any legally valid purpose related to the annual at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w:t>
      </w:r>
    </w:p>
    <w:p>
      <w:pPr>
        <w:spacing w:after="0" w:line="37" w:lineRule="exact"/>
        <w:rPr>
          <w:sz w:val="20"/>
          <w:szCs w:val="20"/>
          <w:color w:val="auto"/>
        </w:rPr>
      </w:pPr>
    </w:p>
    <w:p>
      <w:pPr>
        <w:ind w:left="1260" w:right="439" w:firstLine="360"/>
        <w:spacing w:after="0" w:line="232"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meeting or not, we urge you to vote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Sincerely,</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Douglas Satzman</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SHAREHOLDER MEETING TO BE HELD ON SEPTEMBER 30, 2021</w:t>
      </w:r>
    </w:p>
    <w:p>
      <w:pPr>
        <w:spacing w:after="0" w:line="126"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7"/>
          <w:szCs w:val="17"/>
          <w:b w:val="1"/>
          <w:bCs w:val="1"/>
          <w:color w:val="auto"/>
        </w:rPr>
        <w:t xml:space="preserve">This proxy statement, the Notice of Annual Meeting of Stockholders, and our 2020 Annual Report to stockholders are available for viewing, printing and downloading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 To view these materials please have your 16-digit control number(s) available that appears on your notice of internet availability or proxy card. On this website, you can also elect to receive future distributions of our proxy statements and annual reports to stockholders by electronic delivery.</w:t>
      </w:r>
    </w:p>
    <w:p>
      <w:pPr>
        <w:spacing w:after="0" w:line="100" w:lineRule="exact"/>
        <w:rPr>
          <w:sz w:val="20"/>
          <w:szCs w:val="20"/>
          <w:color w:val="auto"/>
        </w:rPr>
      </w:pPr>
    </w:p>
    <w:p>
      <w:pPr>
        <w:ind w:left="1260" w:right="459" w:firstLine="360"/>
        <w:spacing w:after="0" w:line="314" w:lineRule="auto"/>
        <w:rPr>
          <w:sz w:val="20"/>
          <w:szCs w:val="20"/>
          <w:color w:val="auto"/>
        </w:rPr>
      </w:pPr>
      <w:r>
        <w:rPr>
          <w:rFonts w:ascii="Arial" w:cs="Arial" w:eastAsia="Arial" w:hAnsi="Arial"/>
          <w:sz w:val="15"/>
          <w:szCs w:val="15"/>
          <w:b w:val="1"/>
          <w:bCs w:val="1"/>
          <w:color w:val="auto"/>
        </w:rPr>
        <w:t xml:space="preserve">Additionally, you can find a copy of our Annual Report on Form 10-K, as amended, which includes our financial statements for the fiscal year ended December 31, 2020, on the website of the Securities and Exchange Commission, or the SEC, at </w:t>
      </w:r>
      <w:r>
        <w:rPr>
          <w:rFonts w:ascii="Arial" w:cs="Arial" w:eastAsia="Arial" w:hAnsi="Arial"/>
          <w:sz w:val="15"/>
          <w:szCs w:val="15"/>
          <w:b w:val="1"/>
          <w:bCs w:val="1"/>
          <w:i w:val="1"/>
          <w:iCs w:val="1"/>
          <w:color w:val="auto"/>
        </w:rPr>
        <w:t>www.sec.gov</w:t>
      </w:r>
      <w:r>
        <w:rPr>
          <w:rFonts w:ascii="Arial" w:cs="Arial" w:eastAsia="Arial" w:hAnsi="Arial"/>
          <w:sz w:val="15"/>
          <w:szCs w:val="15"/>
          <w:b w:val="1"/>
          <w:bCs w:val="1"/>
          <w:color w:val="auto"/>
        </w:rPr>
        <w:t xml:space="preserve">, or in the “SEC Filings” section of the “Investors” section of our website at </w:t>
      </w:r>
      <w:r>
        <w:rPr>
          <w:rFonts w:ascii="Arial" w:cs="Arial" w:eastAsia="Arial" w:hAnsi="Arial"/>
          <w:sz w:val="15"/>
          <w:szCs w:val="15"/>
          <w:b w:val="1"/>
          <w:bCs w:val="1"/>
          <w:i w:val="1"/>
          <w:iCs w:val="1"/>
          <w:color w:val="auto"/>
        </w:rPr>
        <w:t>www.xpresspagroup.com</w:t>
      </w:r>
      <w:r>
        <w:rPr>
          <w:rFonts w:ascii="Arial" w:cs="Arial" w:eastAsia="Arial" w:hAnsi="Arial"/>
          <w:sz w:val="15"/>
          <w:szCs w:val="15"/>
          <w:b w:val="1"/>
          <w:bCs w:val="1"/>
          <w:color w:val="auto"/>
        </w:rPr>
        <w:t>. You may also obtain a printed copy of our Annual Report on Form 10-K, as amended, including our financial statements, free of charge, from us by sending a written request to: XpresSpa Group, Inc., 254 West 31st Street, 11th Floor, New York, New York 10001, Attention: Corporate Secretary.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5999480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PAGE</w:t>
            </w:r>
          </w:p>
        </w:tc>
      </w:tr>
      <w:tr>
        <w:trPr>
          <w:trHeight w:val="26"/>
        </w:trPr>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0000EE"/>
            </w:tcBorders>
            <w:gridSpan w:val="15"/>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IMPORTANT INFORMATION ABOUT THE ANNUAL MEETING AND VOTING</w:t>
              </w:r>
            </w:hyperlink>
          </w:p>
        </w:tc>
        <w:tc>
          <w:tcPr>
            <w:tcW w:w="1400" w:type="dxa"/>
            <w:vAlign w:val="bottom"/>
            <w:tcBorders>
              <w:bottom w:val="single" w:sz="8" w:color="CCEEFF"/>
            </w:tcBorders>
            <w:gridSpan w:val="8"/>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SECURITY OWNERSHIP OF CERTAIN BENEFICIAL OWNERS AND MANAGEMENT</w:t>
              </w:r>
            </w:hyperlink>
          </w:p>
        </w:tc>
        <w:tc>
          <w:tcPr>
            <w:tcW w:w="36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4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24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MANAGEMENT AND CORPORATE GOVERNANCE</w:t>
              </w:r>
            </w:hyperlink>
          </w:p>
        </w:tc>
        <w:tc>
          <w:tcPr>
            <w:tcW w:w="3560" w:type="dxa"/>
            <w:vAlign w:val="bottom"/>
            <w:tcBorders>
              <w:bottom w:val="single" w:sz="8" w:color="CCEEFF"/>
            </w:tcBorders>
            <w:gridSpan w:val="12"/>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10</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AUDIT COMMITTEE</w:t>
              </w:r>
            </w:hyperlink>
          </w:p>
        </w:tc>
        <w:tc>
          <w:tcPr>
            <w:tcW w:w="36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c>
          <w:tcPr>
            <w:tcW w:w="4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DELINQUENT SECTION 16(a) REPORTS</w:t>
              </w:r>
            </w:hyperlink>
          </w:p>
        </w:tc>
        <w:tc>
          <w:tcPr>
            <w:tcW w:w="4480" w:type="dxa"/>
            <w:vAlign w:val="bottom"/>
            <w:tcBorders>
              <w:bottom w:val="single" w:sz="8" w:color="CCEEFF"/>
            </w:tcBorders>
            <w:gridSpan w:val="15"/>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CERTAIN RELATIONSHIPS AND RELATED PERSON TRANSACTIONS</w:t>
              </w:r>
            </w:hyperlink>
          </w:p>
        </w:tc>
        <w:tc>
          <w:tcPr>
            <w:tcW w:w="36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4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800" w:type="dxa"/>
            <w:vAlign w:val="bottom"/>
            <w:gridSpan w:val="23"/>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PROPOSAL 1: ELECTION OF DIRECTORS</w:t>
              </w:r>
            </w:hyperlink>
          </w:p>
        </w:tc>
        <w:tc>
          <w:tcPr>
            <w:tcW w:w="360" w:type="dxa"/>
            <w:vAlign w:val="bottom"/>
            <w:gridSpan w:val="4"/>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4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2: RATIFICATION OF APPOINTMENT OF INDEPENDENT REGISTERED</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PUBLIC ACCOUNTING FIRM</w:t>
              </w:r>
            </w:hyperlink>
          </w:p>
        </w:tc>
        <w:tc>
          <w:tcPr>
            <w:tcW w:w="900" w:type="dxa"/>
            <w:vAlign w:val="bottom"/>
            <w:gridSpan w:val="7"/>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4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8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PROPOSAL 3: APPROVAL OF CHARTER AMENDMENT TO INCREASE AUTHORIZED</w:t>
              </w:r>
            </w:hyperlink>
          </w:p>
        </w:tc>
        <w:tc>
          <w:tcPr>
            <w:tcW w:w="720" w:type="dxa"/>
            <w:vAlign w:val="bottom"/>
            <w:tcBorders>
              <w:bottom w:val="single" w:sz="8" w:color="CCEEFF"/>
            </w:tcBorders>
            <w:gridSpan w:val="4"/>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SHARES OF COMMON STOCK</w:t>
              </w:r>
            </w:hyperlink>
          </w:p>
        </w:tc>
        <w:tc>
          <w:tcPr>
            <w:tcW w:w="5060" w:type="dxa"/>
            <w:vAlign w:val="bottom"/>
            <w:tcBorders>
              <w:bottom w:val="single" w:sz="8" w:color="CCEEFF"/>
            </w:tcBorders>
            <w:gridSpan w:val="18"/>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PROPOSAL 4: ADVISORY VOTE ON APPROVAL OF EXECUTIVE COMPENSATION AS</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DISCLOSED IN THIS PROXY STATEMENT.</w:t>
              </w:r>
            </w:hyperlink>
          </w:p>
        </w:tc>
        <w:tc>
          <w:tcPr>
            <w:tcW w:w="660" w:type="dxa"/>
            <w:vAlign w:val="bottom"/>
            <w:gridSpan w:val="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4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00" w:type="dxa"/>
            <w:vAlign w:val="bottom"/>
            <w:tcBorders>
              <w:bottom w:val="single" w:sz="8" w:color="0000EE"/>
            </w:tcBorders>
            <w:gridSpan w:val="18"/>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PROPOSAL 5: APPROVAL OF THE ADJOURNMENT OF THE ANNUAL MEETING, IF</w:t>
              </w:r>
            </w:hyperlink>
          </w:p>
        </w:tc>
        <w:tc>
          <w:tcPr>
            <w:tcW w:w="800" w:type="dxa"/>
            <w:vAlign w:val="bottom"/>
            <w:tcBorders>
              <w:bottom w:val="single" w:sz="8" w:color="CCEEFF"/>
            </w:tcBorders>
            <w:gridSpan w:val="5"/>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NECESSARY, TO SOLICIT ADDITIONAL PROXIES IF THERE ARE NOT SUFFICIENT</w:t>
              </w:r>
            </w:hyperlink>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620" w:type="dxa"/>
            <w:vAlign w:val="bottom"/>
            <w:gridSpan w:val="22"/>
            <w:shd w:val="clear" w:color="auto" w:fill="CCEEFF"/>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VOTES IN FAVOR OF PROPOSALS 2 THROUGH 4</w:t>
              </w:r>
            </w:hyperlink>
          </w:p>
        </w:tc>
        <w:tc>
          <w:tcPr>
            <w:tcW w:w="36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4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30"/>
        </w:trPr>
        <w:tc>
          <w:tcPr>
            <w:tcW w:w="78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CODE OF CONDUCT AND ETHICS</w:t>
              </w:r>
            </w:hyperlink>
          </w:p>
        </w:tc>
        <w:tc>
          <w:tcPr>
            <w:tcW w:w="3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4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2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OTHER MATTERS</w:t>
              </w:r>
            </w:hyperlink>
          </w:p>
        </w:tc>
        <w:tc>
          <w:tcPr>
            <w:tcW w:w="6280" w:type="dxa"/>
            <w:vAlign w:val="bottom"/>
            <w:tcBorders>
              <w:bottom w:val="single" w:sz="8" w:color="CCEEFF"/>
            </w:tcBorders>
            <w:gridSpan w:val="20"/>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78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STOCKHOLDER PROPOSALS AND NOMINATIONS FOR DIRECTOR</w:t>
              </w:r>
            </w:hyperlink>
          </w:p>
        </w:tc>
        <w:tc>
          <w:tcPr>
            <w:tcW w:w="3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4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780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APPENDIX</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1"/>
        </w:trPr>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APPENDIX A – FORM OF CERTIFICATE OF AMENDMENT TO INCREASE AUTHORIZED</w:t>
              </w:r>
            </w:hyperlink>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SHARES</w:t>
              </w:r>
            </w:hyperlink>
          </w:p>
        </w:tc>
        <w:tc>
          <w:tcPr>
            <w:tcW w:w="6900" w:type="dxa"/>
            <w:vAlign w:val="bottom"/>
            <w:gridSpan w:val="21"/>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A-1</w:t>
              </w:r>
            </w:hyperlink>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-3582670</wp:posOffset>
            </wp:positionV>
            <wp:extent cx="4954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1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ANNUAL MEETING OF STOCKHOLDERS TO BE HELD ON SEPTEMBER 30, 2021</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 xml:space="preserve">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Eastern time, on Thursday, September 30, 2021. As a result of the continuing public health and travel risks and concerns due to COVID -19, the 2021 annual meeting will be a virtual meeting via live webcast on the internet. You will be able to attend the meeting, vote and submit your questions during the annual meeting by visiting </w:t>
      </w:r>
      <w:r>
        <w:rPr>
          <w:rFonts w:ascii="Arial" w:cs="Arial" w:eastAsia="Arial" w:hAnsi="Arial"/>
          <w:sz w:val="17"/>
          <w:szCs w:val="17"/>
          <w:i w:val="1"/>
          <w:iCs w:val="1"/>
          <w:color w:val="auto"/>
        </w:rPr>
        <w:t>www.virtualshareholdermeeting.com/XSPA2021</w:t>
      </w:r>
      <w:r>
        <w:rPr>
          <w:rFonts w:ascii="Arial" w:cs="Arial" w:eastAsia="Arial" w:hAnsi="Arial"/>
          <w:sz w:val="17"/>
          <w:szCs w:val="17"/>
          <w:color w:val="auto"/>
        </w:rPr>
        <w:t>, and entering the control number included on your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proxy card you receive. You will not be able to attend the 2021 annual meeting in person.</w:t>
      </w:r>
    </w:p>
    <w:p>
      <w:pPr>
        <w:spacing w:after="0" w:line="109" w:lineRule="exact"/>
        <w:rPr>
          <w:sz w:val="20"/>
          <w:szCs w:val="20"/>
          <w:color w:val="auto"/>
        </w:rPr>
      </w:pPr>
    </w:p>
    <w:p>
      <w:pPr>
        <w:ind w:left="1260" w:right="739" w:firstLine="360"/>
        <w:spacing w:after="0" w:line="266" w:lineRule="auto"/>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99"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SHAREHOLDER MEETING TO BE HELD ON SEPTEMBER 30, 2021</w:t>
      </w:r>
    </w:p>
    <w:p>
      <w:pPr>
        <w:spacing w:after="0" w:line="115"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This proxy statement is available for viewing, printing and downloading at www.proxyvote.com. To view this material please have the control number(s) available that appears on your Notice or proxy card. On this website, you can also elect to receive future distributions of our proxy statements by electronic delivery.</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Board of Directors of XpresSpa Group, Inc. is soliciting your proxy to vote at the annual meeting of stockholders to be held virtually on September 30, 2021, at 11:00 a.m. Eastern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22"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2020, as amended, because you owned shares of our Common Stock, par value $0.01 per share (the “Common Stock”), on the record date. On or about August 20, 2021, we made these materials available to all stockholders entitled to vote at the annual meeting.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color w:val="auto"/>
        </w:rPr>
        <w:t>Due to the continuing public health impact of COVID-19 and to support the health and well-being of our stockholders, this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170" w:lineRule="exact"/>
        <w:rPr>
          <w:sz w:val="20"/>
          <w:szCs w:val="20"/>
          <w:color w:val="auto"/>
        </w:rPr>
      </w:pPr>
    </w:p>
    <w:p>
      <w:pPr>
        <w:ind w:left="1260" w:right="519"/>
        <w:spacing w:after="0" w:line="329" w:lineRule="auto"/>
        <w:rPr>
          <w:sz w:val="20"/>
          <w:szCs w:val="20"/>
          <w:color w:val="auto"/>
        </w:rPr>
      </w:pPr>
      <w:r>
        <w:rPr>
          <w:rFonts w:ascii="Arial" w:cs="Arial" w:eastAsia="Arial" w:hAnsi="Arial"/>
          <w:sz w:val="16"/>
          <w:szCs w:val="16"/>
          <w:b w:val="1"/>
          <w:bCs w:val="1"/>
          <w:color w:val="auto"/>
        </w:rPr>
        <w:t>Why is the Company seeking approval for an amendment to the XpresSpa Group, Inc. Amended and Restated Certificate of Incorporation to increase the number of authorized shares of common stock?</w:t>
      </w:r>
    </w:p>
    <w:p>
      <w:pPr>
        <w:spacing w:after="0" w:line="53" w:lineRule="exact"/>
        <w:rPr>
          <w:sz w:val="20"/>
          <w:szCs w:val="20"/>
          <w:color w:val="auto"/>
        </w:rPr>
      </w:pPr>
    </w:p>
    <w:p>
      <w:pPr>
        <w:ind w:left="1260" w:right="639" w:firstLine="360"/>
        <w:spacing w:after="0" w:line="324" w:lineRule="auto"/>
        <w:rPr>
          <w:sz w:val="20"/>
          <w:szCs w:val="20"/>
          <w:color w:val="auto"/>
        </w:rPr>
      </w:pPr>
      <w:r>
        <w:rPr>
          <w:rFonts w:ascii="Arial" w:cs="Arial" w:eastAsia="Arial" w:hAnsi="Arial"/>
          <w:sz w:val="16"/>
          <w:szCs w:val="16"/>
          <w:color w:val="auto"/>
        </w:rPr>
        <w:t>Our amended and restated Certificate of Incorporation authorizes us to issue 150,000,000 shares of common stock. As of August 2, 2021, the Company has 105,569,045 shares of Common Stock issued and</w:t>
      </w: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outstanding and an aggregate of 41,379,153 shares of Common Stock reserved for issuance upon exercise of warrants to purchase shares of Common Stock issued in our previous financing, and for issuance under our various equity incentive plans (inclusive of shares to be issued pursuant to outstanding options and restricted stock units)</w:t>
      </w:r>
      <w:r>
        <w:rPr>
          <w:rFonts w:ascii="Arial" w:cs="Arial" w:eastAsia="Arial" w:hAnsi="Arial"/>
          <w:sz w:val="18"/>
          <w:szCs w:val="18"/>
          <w:b w:val="1"/>
          <w:bCs w:val="1"/>
          <w:color w:val="auto"/>
        </w:rPr>
        <w:t>.</w:t>
      </w:r>
      <w:r>
        <w:rPr>
          <w:rFonts w:ascii="Arial" w:cs="Arial" w:eastAsia="Arial" w:hAnsi="Arial"/>
          <w:sz w:val="18"/>
          <w:szCs w:val="18"/>
          <w:color w:val="auto"/>
        </w:rPr>
        <w:t xml:space="preserve"> We are seeking stockholder approval to increase the number of authorized shares of common stock to 250,000,000 to provide additional authorized shares of Common Stock for use in connection with potential future financings, strategic opportunities, acquisitions, employee benefit plans or for other corporate purposes.</w:t>
      </w:r>
    </w:p>
    <w:p>
      <w:pPr>
        <w:spacing w:after="0" w:line="11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For more information, see “Proposal 3: Charter Amendment to Increase Authorized Shares Of Common Stock” contained elsewhere in this proxy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62"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virtual annual meeting, voting at the annual meeting or submitting questions at the annual meeting.</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Only stockholders who owned our Common Stock at the close of business on August 13, 2021 are</w:t>
      </w:r>
    </w:p>
    <w:p>
      <w:pPr>
        <w:spacing w:after="0" w:line="23" w:lineRule="exact"/>
        <w:rPr>
          <w:sz w:val="20"/>
          <w:szCs w:val="20"/>
          <w:color w:val="auto"/>
        </w:rPr>
      </w:pPr>
    </w:p>
    <w:p>
      <w:pPr>
        <w:ind w:left="1260" w:right="539"/>
        <w:spacing w:after="0" w:line="260" w:lineRule="auto"/>
        <w:rPr>
          <w:sz w:val="20"/>
          <w:szCs w:val="20"/>
          <w:color w:val="auto"/>
        </w:rPr>
      </w:pPr>
      <w:r>
        <w:rPr>
          <w:rFonts w:ascii="Arial" w:cs="Arial" w:eastAsia="Arial" w:hAnsi="Arial"/>
          <w:sz w:val="18"/>
          <w:szCs w:val="18"/>
          <w:color w:val="auto"/>
        </w:rPr>
        <w:t>entitled to vote at the annual meeting. On this record date, there were shares of our Common Stock outstanding and entitled to vote. Our Common Stock is our only class of voting stock.</w:t>
      </w:r>
    </w:p>
    <w:p>
      <w:pPr>
        <w:spacing w:after="0" w:line="10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 Revoke My</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 below.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Each share of our Common Stock that you own entitles you to one vote. There is no cumulative voting in the election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w:t>
      </w:r>
    </w:p>
    <w:p>
      <w:pPr>
        <w:spacing w:after="0" w:line="3" w:lineRule="exact"/>
        <w:rPr>
          <w:sz w:val="20"/>
          <w:szCs w:val="20"/>
          <w:color w:val="auto"/>
        </w:rPr>
      </w:pPr>
    </w:p>
    <w:p>
      <w:pPr>
        <w:ind w:left="1260" w:right="1019"/>
        <w:spacing w:after="0" w:line="260" w:lineRule="auto"/>
        <w:tabs>
          <w:tab w:leader="none" w:pos="1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Trust Company, LLC, or you have stock certificates registered in your name, you are a “registered stockholder”, and you may vote:</w:t>
      </w:r>
    </w:p>
    <w:p>
      <w:pPr>
        <w:spacing w:after="0" w:line="73" w:lineRule="exact"/>
        <w:rPr>
          <w:rFonts w:ascii="Arial" w:cs="Arial" w:eastAsia="Arial" w:hAnsi="Arial"/>
          <w:sz w:val="18"/>
          <w:szCs w:val="18"/>
          <w:color w:val="auto"/>
        </w:rPr>
      </w:pPr>
    </w:p>
    <w:p>
      <w:pPr>
        <w:ind w:left="1800" w:hanging="180"/>
        <w:spacing w:after="0"/>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Over the Internet.  </w:t>
      </w:r>
      <w:r>
        <w:rPr>
          <w:rFonts w:ascii="Arial" w:cs="Arial" w:eastAsia="Arial" w:hAnsi="Arial"/>
          <w:sz w:val="18"/>
          <w:szCs w:val="18"/>
          <w:color w:val="auto"/>
        </w:rPr>
        <w:t>Go to www.proxyvote.com and have your Notice or proxy card available.</w:t>
      </w:r>
    </w:p>
    <w:p>
      <w:pPr>
        <w:spacing w:after="0" w:line="117" w:lineRule="exact"/>
        <w:rPr>
          <w:rFonts w:ascii="Arial" w:cs="Arial" w:eastAsia="Arial" w:hAnsi="Arial"/>
          <w:sz w:val="18"/>
          <w:szCs w:val="18"/>
          <w:color w:val="auto"/>
        </w:rPr>
      </w:pPr>
    </w:p>
    <w:p>
      <w:pPr>
        <w:ind w:left="1800" w:right="779" w:hanging="180"/>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Call 1-800-690-6903 and follow the instructions. Have your Notice or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w:t>
      </w:r>
    </w:p>
    <w:p>
      <w:pPr>
        <w:spacing w:after="0" w:line="53" w:lineRule="exact"/>
        <w:rPr>
          <w:rFonts w:ascii="Arial" w:cs="Arial" w:eastAsia="Arial" w:hAnsi="Arial"/>
          <w:sz w:val="18"/>
          <w:szCs w:val="18"/>
          <w:color w:val="auto"/>
        </w:rPr>
      </w:pPr>
    </w:p>
    <w:p>
      <w:pPr>
        <w:ind w:left="1800" w:right="539" w:hanging="180"/>
        <w:spacing w:after="0" w:line="261"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envelope provided. If you sign the proxy card but do not specify how you want your shares voted, they will be voted in accordance with the Board of Directors’ recommendations as noted below.</w:t>
      </w:r>
    </w:p>
    <w:p>
      <w:pPr>
        <w:spacing w:after="0" w:line="71" w:lineRule="exact"/>
        <w:rPr>
          <w:rFonts w:ascii="Arial" w:cs="Arial" w:eastAsia="Arial" w:hAnsi="Arial"/>
          <w:sz w:val="18"/>
          <w:szCs w:val="18"/>
          <w:color w:val="auto"/>
        </w:rPr>
      </w:pPr>
    </w:p>
    <w:p>
      <w:pPr>
        <w:ind w:left="1800" w:right="459" w:hanging="180"/>
        <w:spacing w:after="0" w:line="266"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virtual annual meeting, you may vote during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included on the Notice or proxy card you receive.</w:t>
      </w:r>
    </w:p>
    <w:p>
      <w:pPr>
        <w:spacing w:after="0" w:line="35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8"/>
          <w:szCs w:val="18"/>
          <w:b w:val="1"/>
          <w:bCs w:val="1"/>
          <w:color w:val="auto"/>
        </w:rPr>
        <w:t>Internet and telephone voting facilities for registered stockholders will be available 24 hours a day and will close at 11:59 p.m. Eastern Time on September 29, 2021.</w:t>
      </w:r>
    </w:p>
    <w:p>
      <w:pPr>
        <w:spacing w:after="0" w:line="85"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13"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 for director;</w:t>
      </w:r>
    </w:p>
    <w:p>
      <w:pPr>
        <w:spacing w:after="0" w:line="103" w:lineRule="exact"/>
        <w:rPr>
          <w:rFonts w:ascii="Arial" w:cs="Arial" w:eastAsia="Arial" w:hAnsi="Arial"/>
          <w:sz w:val="18"/>
          <w:szCs w:val="18"/>
          <w:color w:val="auto"/>
        </w:rPr>
      </w:pPr>
    </w:p>
    <w:p>
      <w:pPr>
        <w:ind w:left="1800" w:right="1039" w:hanging="180"/>
        <w:spacing w:after="0" w:line="282"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Friedman LLP as our independent registered public accounting firm for our fiscal year ending December 31, 2021;</w:t>
      </w:r>
    </w:p>
    <w:p>
      <w:pPr>
        <w:spacing w:after="0" w:line="53" w:lineRule="exact"/>
        <w:rPr>
          <w:rFonts w:ascii="Arial" w:cs="Arial" w:eastAsia="Arial" w:hAnsi="Arial"/>
          <w:sz w:val="18"/>
          <w:szCs w:val="18"/>
          <w:color w:val="auto"/>
        </w:rPr>
      </w:pPr>
    </w:p>
    <w:p>
      <w:pPr>
        <w:ind w:left="1800" w:right="779" w:hanging="180"/>
        <w:spacing w:after="0" w:line="26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increase the number of authorized shares of our common stock by 100,000,000, from 150,000,000 to 250,000,000;</w:t>
      </w:r>
    </w:p>
    <w:p>
      <w:pPr>
        <w:spacing w:after="0" w:line="6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compensation of our named executive officers, as disclosed in this proxy statement; and</w:t>
      </w:r>
    </w:p>
    <w:p>
      <w:pPr>
        <w:spacing w:after="0" w:line="128" w:lineRule="exact"/>
        <w:rPr>
          <w:rFonts w:ascii="Arial" w:cs="Arial" w:eastAsia="Arial" w:hAnsi="Arial"/>
          <w:sz w:val="17"/>
          <w:szCs w:val="17"/>
          <w:color w:val="auto"/>
        </w:rPr>
      </w:pPr>
    </w:p>
    <w:p>
      <w:pPr>
        <w:ind w:left="1800" w:right="479" w:hanging="180"/>
        <w:spacing w:after="0" w:line="282"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proposals 2 through 4.</w:t>
      </w:r>
    </w:p>
    <w:p>
      <w:pPr>
        <w:spacing w:after="0" w:line="85" w:lineRule="exact"/>
        <w:rPr>
          <w:sz w:val="20"/>
          <w:szCs w:val="20"/>
          <w:color w:val="auto"/>
        </w:rPr>
      </w:pPr>
    </w:p>
    <w:p>
      <w:pPr>
        <w:jc w:val="both"/>
        <w:ind w:left="1260" w:right="699" w:firstLine="360"/>
        <w:spacing w:after="0" w:line="243"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or Revoke My Proxy?</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3" w:lineRule="exact"/>
        <w:rPr>
          <w:sz w:val="20"/>
          <w:szCs w:val="20"/>
          <w:color w:val="auto"/>
        </w:rPr>
      </w:pPr>
    </w:p>
    <w:p>
      <w:pPr>
        <w:ind w:left="1800" w:right="83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notifying the Corporate Secretary of XpresSpa Group, Inc. in writing before the annual meeting that you have revoked your proxy; or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attending the annual meeting virtually. Attending the annual meeting virtually will not in and of itself revoke a previously submitted proxy. You must specifically request at the annual meeting that it be revoked.</w:t>
      </w:r>
    </w:p>
    <w:p>
      <w:pPr>
        <w:spacing w:after="0" w:line="103"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Your most current vote, whether by the Internet, telephone or proxy card is the one that will be counted.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7"/>
          <w:szCs w:val="17"/>
          <w:i w:val="1"/>
          <w:iCs w:val="1"/>
          <w:color w:val="auto"/>
        </w:rPr>
        <w:t>How Do I Vote?</w:t>
      </w:r>
      <w:r>
        <w:rPr>
          <w:rFonts w:ascii="Arial" w:cs="Arial" w:eastAsia="Arial" w:hAnsi="Arial"/>
          <w:sz w:val="17"/>
          <w:szCs w:val="17"/>
          <w:color w:val="auto"/>
        </w:rPr>
        <w:t>” for each account to ensure that all of your shares are voted.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62"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and 4.</w:t>
      </w:r>
    </w:p>
    <w:p>
      <w:pPr>
        <w:sectPr>
          <w:pgSz w:w="11900" w:h="16838" w:orient="portrait"/>
          <w:cols w:equalWidth="0" w:num="1">
            <w:col w:w="9879"/>
          </w:cols>
          <w:pgMar w:left="580" w:top="131" w:right="1440" w:bottom="1440" w:gutter="0" w:footer="0" w:header="0"/>
        </w:sectPr>
      </w:pP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131" w:right="1440" w:bottom="1440" w:gutter="0" w:footer="0" w:header="0"/>
        </w:sectPr>
      </w:pP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line="386" w:lineRule="auto"/>
        <w:rPr>
          <w:sz w:val="20"/>
          <w:szCs w:val="20"/>
          <w:color w:val="auto"/>
        </w:rPr>
      </w:pPr>
      <w:r>
        <w:rPr>
          <w:rFonts w:ascii="Arial" w:cs="Arial" w:eastAsia="Arial" w:hAnsi="Arial"/>
          <w:sz w:val="15"/>
          <w:szCs w:val="15"/>
          <w:b w:val="1"/>
          <w:bCs w:val="1"/>
          <w:color w:val="auto"/>
        </w:rPr>
        <w:t>Proposal 2: Ratify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300"/>
        <w:spacing w:after="0" w:line="282" w:lineRule="auto"/>
        <w:rPr>
          <w:sz w:val="20"/>
          <w:szCs w:val="20"/>
          <w:color w:val="auto"/>
        </w:rPr>
      </w:pPr>
      <w:r>
        <w:rPr>
          <w:rFonts w:ascii="Arial" w:cs="Arial" w:eastAsia="Arial" w:hAnsi="Arial"/>
          <w:sz w:val="18"/>
          <w:szCs w:val="18"/>
          <w:b w:val="1"/>
          <w:bCs w:val="1"/>
          <w:color w:val="auto"/>
        </w:rPr>
        <w:t>Proposal 3: Approval of the Increase in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300"/>
        <w:spacing w:after="0" w:line="266" w:lineRule="auto"/>
        <w:rPr>
          <w:sz w:val="20"/>
          <w:szCs w:val="20"/>
          <w:color w:val="auto"/>
        </w:rPr>
      </w:pPr>
      <w:r>
        <w:rPr>
          <w:rFonts w:ascii="Arial" w:cs="Arial" w:eastAsia="Arial" w:hAnsi="Arial"/>
          <w:sz w:val="18"/>
          <w:szCs w:val="18"/>
          <w:b w:val="1"/>
          <w:bCs w:val="1"/>
          <w:color w:val="auto"/>
        </w:rPr>
        <w:t>Proposal 4: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519"/>
        <w:spacing w:after="0" w:line="269" w:lineRule="auto"/>
        <w:rPr>
          <w:sz w:val="20"/>
          <w:szCs w:val="20"/>
          <w:color w:val="auto"/>
        </w:rPr>
      </w:pPr>
      <w:r>
        <w:rPr>
          <w:rFonts w:ascii="Arial" w:cs="Arial" w:eastAsia="Arial" w:hAnsi="Arial"/>
          <w:sz w:val="17"/>
          <w:szCs w:val="17"/>
          <w:color w:val="auto"/>
        </w:rPr>
        <w:t>The five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30" w:lineRule="exact"/>
        <w:rPr>
          <w:sz w:val="20"/>
          <w:szCs w:val="20"/>
          <w:color w:val="auto"/>
        </w:rPr>
      </w:pPr>
    </w:p>
    <w:p>
      <w:pPr>
        <w:ind w:right="419"/>
        <w:spacing w:after="0" w:line="267"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virtually or by proxy at the annual meeting is required to ratify the appointment of Friedman LLP as our independent registered public accounting firm for the fiscal year ending December 31, 2021.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LLP as our independent registered public accounting firm for 2021, the Audit Committee of our Board of Directors will reconsider its selection.</w:t>
      </w:r>
    </w:p>
    <w:p>
      <w:pPr>
        <w:spacing w:after="0" w:line="83" w:lineRule="exact"/>
        <w:rPr>
          <w:sz w:val="20"/>
          <w:szCs w:val="20"/>
          <w:color w:val="auto"/>
        </w:rPr>
      </w:pPr>
    </w:p>
    <w:p>
      <w:pPr>
        <w:ind w:right="499"/>
        <w:spacing w:after="0" w:line="269" w:lineRule="auto"/>
        <w:rPr>
          <w:sz w:val="20"/>
          <w:szCs w:val="20"/>
          <w:color w:val="auto"/>
        </w:rPr>
      </w:pPr>
      <w:r>
        <w:rPr>
          <w:rFonts w:ascii="Arial" w:cs="Arial" w:eastAsia="Arial" w:hAnsi="Arial"/>
          <w:sz w:val="17"/>
          <w:szCs w:val="17"/>
          <w:color w:val="auto"/>
        </w:rPr>
        <w:t>The affirmative vote of the holders of a majority of the shares of our Common Stock having voting power outstanding on the record date is required to approve the amendment to our Amended and Restated Certificate of Incorporation to increase the number of our authorized shares of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74" w:lineRule="exact"/>
        <w:rPr>
          <w:sz w:val="20"/>
          <w:szCs w:val="20"/>
          <w:color w:val="auto"/>
        </w:rPr>
      </w:pPr>
    </w:p>
    <w:p>
      <w:pPr>
        <w:ind w:right="419"/>
        <w:spacing w:after="0" w:line="296" w:lineRule="auto"/>
        <w:rPr>
          <w:sz w:val="20"/>
          <w:szCs w:val="20"/>
          <w:color w:val="auto"/>
        </w:rPr>
      </w:pPr>
      <w:r>
        <w:rPr>
          <w:rFonts w:ascii="Arial" w:cs="Arial" w:eastAsia="Arial" w:hAnsi="Arial"/>
          <w:sz w:val="16"/>
          <w:szCs w:val="16"/>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w:t>
      </w:r>
    </w:p>
    <w:p>
      <w:pPr>
        <w:spacing w:after="0" w:line="200" w:lineRule="exact"/>
        <w:rPr>
          <w:sz w:val="20"/>
          <w:szCs w:val="20"/>
          <w:color w:val="auto"/>
        </w:rPr>
      </w:pPr>
    </w:p>
    <w:p>
      <w:pPr>
        <w:sectPr>
          <w:pgSz w:w="11900" w:h="16838" w:orient="portrait"/>
          <w:cols w:equalWidth="0" w:num="2">
            <w:col w:w="4440" w:space="500"/>
            <w:col w:w="4939"/>
          </w:cols>
          <w:pgMar w:left="580" w:top="131" w:right="1440" w:bottom="1440" w:gutter="0" w:footer="0" w:header="0"/>
          <w:type w:val="continuous"/>
        </w:sectPr>
      </w:pP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line="329" w:lineRule="auto"/>
        <w:rPr>
          <w:sz w:val="20"/>
          <w:szCs w:val="20"/>
          <w:color w:val="auto"/>
        </w:rPr>
      </w:pPr>
      <w:r>
        <w:rPr>
          <w:rFonts w:ascii="Arial" w:cs="Arial" w:eastAsia="Arial" w:hAnsi="Arial"/>
          <w:sz w:val="15"/>
          <w:szCs w:val="15"/>
          <w:b w:val="1"/>
          <w:bCs w:val="1"/>
          <w:color w:val="auto"/>
        </w:rPr>
        <w:t>Proposal 5: Approve an Adjournment of the Annual Meeting, if Necessary, to Solicit Additional Proxies if there are not Sufficient Votes in Favor of Proposals 2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57" w:lineRule="exact"/>
        <w:rPr>
          <w:sz w:val="20"/>
          <w:szCs w:val="20"/>
          <w:color w:val="auto"/>
        </w:rPr>
      </w:pPr>
    </w:p>
    <w:p>
      <w:pPr>
        <w:ind w:right="419"/>
        <w:spacing w:after="0" w:line="269"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Proposals 2 through 4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pacing w:after="0" w:line="698" w:lineRule="exact"/>
        <w:rPr>
          <w:sz w:val="20"/>
          <w:szCs w:val="20"/>
          <w:color w:val="auto"/>
        </w:rPr>
      </w:pPr>
    </w:p>
    <w:p>
      <w:pPr>
        <w:sectPr>
          <w:pgSz w:w="11900" w:h="16838" w:orient="portrait"/>
          <w:cols w:equalWidth="0" w:num="2">
            <w:col w:w="4500" w:space="440"/>
            <w:col w:w="4939"/>
          </w:cols>
          <w:pgMar w:left="580" w:top="131" w:right="1440" w:bottom="1440" w:gutter="0" w:footer="0" w:header="0"/>
        </w:sectPr>
      </w:pPr>
    </w:p>
    <w:p>
      <w:pPr>
        <w:ind w:left="1260" w:right="579" w:firstLine="36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Broadridge Financial Solutions, Inc., examine these documents. Management will not know how you voted on a specific proposal unless it is necessary to meet legal requirements. We will, however, forward to management any written comments you make, on the proxy card or otherwise.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0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$25,000 in the aggregate.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ectPr>
          <w:pgSz w:w="11900" w:h="16838" w:orient="portrait"/>
          <w:cols w:equalWidth="0" w:num="1">
            <w:col w:w="9879"/>
          </w:cols>
          <w:pgMar w:left="580" w:top="131" w:right="1440" w:bottom="1440" w:gutter="0" w:footer="0" w:header="0"/>
          <w:type w:val="continuous"/>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Why did I receive a Notice of Internet Availability of Proxy Materials rather than a full set of proxy materials?</w:t>
      </w:r>
    </w:p>
    <w:p>
      <w:pPr>
        <w:spacing w:after="0" w:line="18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the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124"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 xml:space="preserve">If you are a registered stockholder and wish to receive paper copies of future proxy materials, please visit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via the Internet. If you are a registered stockholder and wish to request electronic delivery of proxy materials in the future, you may elect this option on this site as well.</w:t>
      </w:r>
    </w:p>
    <w:p>
      <w:pPr>
        <w:spacing w:after="0" w:line="9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If you choose to access future proxy materials electronically, you will receive an email with instructions containing a link to the website where the materials are available and a link to the proxy voting website. Your election to access proxy materials electronically will remain in effect until you terminate it.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Attending the Annual Meeting</w:t>
      </w:r>
    </w:p>
    <w:p>
      <w:pPr>
        <w:spacing w:after="0" w:line="14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 xml:space="preserve">The annual meeting will be held at 11:00 a.m. Eastern time on Thursday, September 30, 2021. The annual meeting will be held in a virtual meeting format only. To attend the virtual annual meeting, go to </w:t>
      </w:r>
      <w:r>
        <w:rPr>
          <w:rFonts w:ascii="Arial" w:cs="Arial" w:eastAsia="Arial" w:hAnsi="Arial"/>
          <w:sz w:val="18"/>
          <w:szCs w:val="18"/>
          <w:i w:val="1"/>
          <w:iCs w:val="1"/>
          <w:color w:val="auto"/>
        </w:rPr>
        <w:t xml:space="preserve">www.virtualshareholdermeeting.com/XSPA2021 </w:t>
      </w:r>
      <w:r>
        <w:rPr>
          <w:rFonts w:ascii="Arial" w:cs="Arial" w:eastAsia="Arial" w:hAnsi="Arial"/>
          <w:sz w:val="18"/>
          <w:szCs w:val="18"/>
          <w:color w:val="auto"/>
        </w:rPr>
        <w:t>shortly before the meeting time, enter the control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on your Notice or proxy card, and follow the instructions for downloading the Webcast. You need not attend the annual meeting in order to vote.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9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9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31st Street, 11th Floor, New York, New York 10001.</w:t>
      </w:r>
    </w:p>
    <w:p>
      <w:pPr>
        <w:spacing w:after="0" w:line="11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63" w:lineRule="exact"/>
        <w:rPr>
          <w:sz w:val="20"/>
          <w:szCs w:val="20"/>
          <w:color w:val="auto"/>
        </w:rPr>
      </w:pPr>
    </w:p>
    <w:p>
      <w:pPr>
        <w:ind w:left="1800" w:right="8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62"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 broker or other nominee holds your shares, please contact the broker or other nominee directly and inform them of your request. Be sure to include your name and your 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2, 2021 for (a) each of our named executive officers, (b) each of our directors and director nominees, and (c)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August 2, 2021, pursuant to the exercise of options or warrants or the vesting of restricted stock units to be outstanding for the purpose of computing the percentage ownership of such individual or group, but do not deem those shares to be outstanding for the purpose of computing</w:t>
      </w:r>
    </w:p>
    <w:p>
      <w:pPr>
        <w:spacing w:after="0" w:line="1"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105,569,045 shares of Common Stock outstanding as of August 2, 2021.</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62"/>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212"/>
        </w:trPr>
        <w:tc>
          <w:tcPr>
            <w:tcW w:w="6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5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Sabby Volatility Warrant Master Fund, Ltd</w:t>
            </w:r>
            <w:r>
              <w:rPr>
                <w:rFonts w:ascii="Arial" w:cs="Arial" w:eastAsia="Arial" w:hAnsi="Arial"/>
                <w:sz w:val="26"/>
                <w:szCs w:val="26"/>
                <w:color w:val="auto"/>
                <w:vertAlign w:val="superscript"/>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16,763,403</w:t>
            </w: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Armistice Capital Master Fund, Ltd</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5,554,197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Douglas Satzman</w:t>
            </w:r>
            <w:r>
              <w:rPr>
                <w:rFonts w:ascii="Arial" w:cs="Arial" w:eastAsia="Arial" w:hAnsi="Arial"/>
                <w:sz w:val="26"/>
                <w:szCs w:val="26"/>
                <w:color w:val="auto"/>
                <w:vertAlign w:val="superscript"/>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158,334</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color w:val="auto"/>
                <w:vertAlign w:val="superscript"/>
              </w:rPr>
              <w:t>(5)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127,865</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Berry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303,209</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142,358</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165,150</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Michael Lebowitz</w:t>
            </w:r>
            <w:r>
              <w:rPr>
                <w:rFonts w:ascii="Arial" w:cs="Arial" w:eastAsia="Arial" w:hAnsi="Arial"/>
                <w:sz w:val="26"/>
                <w:szCs w:val="26"/>
                <w:color w:val="auto"/>
                <w:vertAlign w:val="superscript"/>
              </w:rPr>
              <w:t>(9)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153,483</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6440" w:type="dxa"/>
            <w:vAlign w:val="bottom"/>
            <w:gridSpan w:val="2"/>
          </w:tcPr>
          <w:p>
            <w:pPr>
              <w:spacing w:after="0"/>
              <w:rPr>
                <w:sz w:val="20"/>
                <w:szCs w:val="20"/>
                <w:color w:val="auto"/>
              </w:rPr>
            </w:pPr>
            <w:r>
              <w:rPr>
                <w:rFonts w:ascii="Arial" w:cs="Arial" w:eastAsia="Arial" w:hAnsi="Arial"/>
                <w:sz w:val="18"/>
                <w:szCs w:val="18"/>
                <w:color w:val="auto"/>
              </w:rPr>
              <w:t>All current directors and officers as a group (7 individuals)</w:t>
            </w:r>
            <w:r>
              <w:rPr>
                <w:rFonts w:ascii="Arial" w:cs="Arial" w:eastAsia="Arial" w:hAnsi="Arial"/>
                <w:sz w:val="26"/>
                <w:szCs w:val="26"/>
                <w:color w:val="auto"/>
                <w:vertAlign w:val="superscript"/>
              </w:rPr>
              <w:t>(10)</w:t>
            </w: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1,050,399</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-2160905</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-2160905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84455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7" w:lineRule="exact"/>
        <w:rPr>
          <w:sz w:val="20"/>
          <w:szCs w:val="20"/>
          <w:color w:val="auto"/>
        </w:rPr>
      </w:pP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699" w:hanging="360"/>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254 West 31st Street, 11th Floor, New York, NY 10001.</w:t>
      </w:r>
    </w:p>
    <w:p>
      <w:pPr>
        <w:spacing w:after="0" w:line="21" w:lineRule="exact"/>
        <w:rPr>
          <w:rFonts w:ascii="Arial" w:cs="Arial" w:eastAsia="Arial" w:hAnsi="Arial"/>
          <w:sz w:val="18"/>
          <w:szCs w:val="18"/>
          <w:color w:val="auto"/>
        </w:rPr>
      </w:pPr>
    </w:p>
    <w:p>
      <w:pPr>
        <w:ind w:left="1620" w:right="419" w:hanging="360"/>
        <w:spacing w:after="0" w:line="272" w:lineRule="auto"/>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(i) Schedule 13G/A filed by Sabby Volatility Warrant Master Fund, Ltd., Sabby Management, LLC and Hal Mintz with the SEC on January 7, 2021, which reported ownership of 4,691,933 shares of Common Stock as of December 31, 2020, and (ii) 12,071,470 shares of Common Stock issuable upon exercise of a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28" w:lineRule="exact"/>
        <w:rPr>
          <w:rFonts w:ascii="Arial" w:cs="Arial" w:eastAsia="Arial" w:hAnsi="Arial"/>
          <w:sz w:val="17"/>
          <w:szCs w:val="17"/>
          <w:color w:val="auto"/>
        </w:rPr>
      </w:pPr>
    </w:p>
    <w:p>
      <w:pPr>
        <w:ind w:left="1620" w:right="479" w:hanging="360"/>
        <w:spacing w:after="0" w:line="235"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Consisted of (i) 2,379,593 shares of Common Stock issuable upon exercise of a warrant held by Armistice Capital Master Fund, Ltd and (ii) 3,174,604 shares of Common Stock issuable upon exercise of a second warrant held by Armistice Capital Master Fund, Ltd. The principal business address of the beneficial owner is C/O Armistice Capital, LLC, 510 Madison Avenue,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10022.</w:t>
      </w:r>
    </w:p>
    <w:p>
      <w:pPr>
        <w:spacing w:after="0" w:line="57"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62,500 shares of Common Stock and options to purchase 95,834 shares of Common Stock, which are exercisable within 60 days of August 2, 2021.</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37,425 shares of Common Stock and options to purchase 90,440 shares of Common Stock, which are exercisable within 60 days of August 2, 2021.</w:t>
      </w:r>
    </w:p>
    <w:p>
      <w:pPr>
        <w:spacing w:after="0" w:line="35" w:lineRule="exact"/>
        <w:rPr>
          <w:rFonts w:ascii="Arial" w:cs="Arial" w:eastAsia="Arial" w:hAnsi="Arial"/>
          <w:sz w:val="18"/>
          <w:szCs w:val="18"/>
          <w:color w:val="auto"/>
        </w:rPr>
      </w:pPr>
    </w:p>
    <w:p>
      <w:pPr>
        <w:ind w:left="1620" w:right="43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167,831 shares of Common Stock and options to purchase 135,378 shares of Common Stock, which are exercisable within 60 days of August 2, 2021.</w:t>
      </w:r>
    </w:p>
    <w:p>
      <w:pPr>
        <w:spacing w:after="0" w:line="35"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46,176 shares of Common Stock and options to purchase 96,182 shares of Common Stock, which are exercisable within 60 days of August 2, 2021.</w:t>
      </w:r>
    </w:p>
    <w:p>
      <w:pPr>
        <w:spacing w:after="0" w:line="48"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71,176 shares of Common Stock and options to purchase 93,974 shares of Common Stock, which are exercisable within 60 days of August 2, 2021.</w:t>
      </w:r>
    </w:p>
    <w:p>
      <w:pPr>
        <w:spacing w:after="0" w:line="35"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71,176 vested shares of Common Stock and options to purchase 82,307 shares of Common Stock, which are exercisable within 60 days of August 2, 2021.</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footnotes (4) through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2800" w:type="dxa"/>
            <w:vAlign w:val="bottom"/>
          </w:tcPr>
          <w:p>
            <w:pPr>
              <w:spacing w:after="0"/>
              <w:rPr>
                <w:sz w:val="20"/>
                <w:szCs w:val="20"/>
                <w:color w:val="auto"/>
              </w:rPr>
            </w:pPr>
            <w:r>
              <w:rPr>
                <w:rFonts w:ascii="Arial" w:cs="Arial" w:eastAsia="Arial" w:hAnsi="Arial"/>
                <w:sz w:val="14"/>
                <w:szCs w:val="14"/>
                <w:b w:val="1"/>
                <w:bCs w:val="1"/>
                <w:color w:val="auto"/>
              </w:rPr>
              <w:t>Position(s) with the Company</w:t>
            </w:r>
          </w:p>
        </w:tc>
      </w:tr>
      <w:tr>
        <w:trPr>
          <w:trHeight w:val="26"/>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66"/>
        </w:trPr>
        <w:tc>
          <w:tcPr>
            <w:tcW w:w="4000" w:type="dxa"/>
            <w:vAlign w:val="bottom"/>
          </w:tcPr>
          <w:p>
            <w:pPr>
              <w:spacing w:after="0" w:line="266"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(1)(2)(3)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Chairman of the Board of Directors</w:t>
            </w:r>
          </w:p>
        </w:tc>
      </w:tr>
      <w:tr>
        <w:trPr>
          <w:trHeight w:val="270"/>
        </w:trPr>
        <w:tc>
          <w:tcPr>
            <w:tcW w:w="4000" w:type="dxa"/>
            <w:vAlign w:val="bottom"/>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(4)</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93"/>
        </w:trPr>
        <w:tc>
          <w:tcPr>
            <w:tcW w:w="4000" w:type="dxa"/>
            <w:vAlign w:val="bottom"/>
          </w:tcPr>
          <w:p>
            <w:pPr>
              <w:spacing w:after="0" w:line="293"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(1)(2)(3)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Michael Lebowitz*</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Doug Satzman</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Chief Executive Officer and Director</w:t>
            </w: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Scott Milford</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James A. Berry</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90" w:lineRule="exact"/>
        <w:rPr>
          <w:sz w:val="20"/>
          <w:szCs w:val="20"/>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Chairman of the Compensation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Chairman of the Audit Committee</w:t>
      </w:r>
    </w:p>
    <w:p>
      <w:pPr>
        <w:spacing w:after="0" w:line="14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Douglas Satzman </w:t>
      </w:r>
      <w:r>
        <w:rPr>
          <w:rFonts w:ascii="Arial" w:cs="Arial" w:eastAsia="Arial" w:hAnsi="Arial"/>
          <w:sz w:val="17"/>
          <w:szCs w:val="17"/>
          <w:color w:val="auto"/>
        </w:rPr>
        <w:t>has served as our Chief Executive Officer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11, 2019. Mr. Satzman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the Middle East and Africa as well as for non-company owned retail operations across more than 35 countries. During his assignments in the U.S. and EMEA, Mr. Satzman’s direct responsibilities included leading the</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travel vertical, including operations and business development across all airports resulting in significant revenue, profit and growth.</w:t>
      </w:r>
    </w:p>
    <w:p>
      <w:pPr>
        <w:spacing w:after="0" w:line="9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We believe Mr. Saltzman’s extensive experience in the retail industry qualifies him to serve on our Board Directors.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1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90"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6"/>
          <w:szCs w:val="16"/>
          <w:b w:val="1"/>
          <w:bCs w:val="1"/>
          <w:i w:val="1"/>
          <w:iCs w:val="1"/>
          <w:color w:val="auto"/>
        </w:rPr>
        <w:t xml:space="preserve">Robert Weinstein </w:t>
      </w:r>
      <w:r>
        <w:rPr>
          <w:rFonts w:ascii="Arial" w:cs="Arial" w:eastAsia="Arial" w:hAnsi="Arial"/>
          <w:sz w:val="16"/>
          <w:szCs w:val="16"/>
          <w:color w:val="auto"/>
        </w:rPr>
        <w:t>joined our Board of Directors in February 2020. Mr. Weinstein has extensive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and finance experience, spanning more than thirty years, as a public accountant, investment banker, healthcare private equity fund principal and chief financial officer. Since October 2013,</w:t>
      </w:r>
    </w:p>
    <w:p>
      <w:pPr>
        <w:ind w:left="1260" w:right="499"/>
        <w:spacing w:after="0" w:line="236" w:lineRule="auto"/>
        <w:rPr>
          <w:sz w:val="20"/>
          <w:szCs w:val="20"/>
          <w:color w:val="auto"/>
        </w:rPr>
      </w:pPr>
      <w:r>
        <w:rPr>
          <w:rFonts w:ascii="Arial" w:cs="Arial" w:eastAsia="Arial" w:hAnsi="Arial"/>
          <w:sz w:val="18"/>
          <w:szCs w:val="18"/>
          <w:color w:val="auto"/>
        </w:rPr>
        <w:t>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 -traded energy consulting company. From August 2007 to February 2010, Mr. Weinstein served as Chief Financial Officer of Xcorporeal, Inc., a publicly -traded,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21"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our director since July 2012, and was a director of Innovate/Protect, Inc.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2011 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6" w:lineRule="exact"/>
        <w:rPr>
          <w:sz w:val="20"/>
          <w:szCs w:val="20"/>
          <w:color w:val="auto"/>
        </w:rPr>
      </w:pPr>
    </w:p>
    <w:p>
      <w:pPr>
        <w:ind w:left="1260" w:right="539"/>
        <w:spacing w:after="0" w:line="260" w:lineRule="auto"/>
        <w:rPr>
          <w:sz w:val="20"/>
          <w:szCs w:val="20"/>
          <w:color w:val="auto"/>
        </w:rPr>
      </w:pPr>
      <w:r>
        <w:rPr>
          <w:rFonts w:ascii="Arial" w:cs="Arial" w:eastAsia="Arial" w:hAnsi="Arial"/>
          <w:sz w:val="17"/>
          <w:szCs w:val="17"/>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w:t>
      </w: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Michael Lebowitz </w:t>
      </w:r>
      <w:r>
        <w:rPr>
          <w:rFonts w:ascii="Arial" w:cs="Arial" w:eastAsia="Arial" w:hAnsi="Arial"/>
          <w:sz w:val="17"/>
          <w:szCs w:val="17"/>
          <w:color w:val="auto"/>
        </w:rPr>
        <w:t>joined Board of Directors in April 2020. An expert in customer experience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innovation, Mr. Lebowitz has a twenty-five year track record in defining creative strategy and vision for some of the world’s most recognizable brands. Mr. Lebowitz founded Big Spaceship, a globally -recognized creative consultancy, in 2000 and has served as Chief Executive Officer of Big Spaceship since its founding. Mr. Lebowitz received his Bachelor’s degree in Film from Vassar College.</w:t>
      </w:r>
    </w:p>
    <w:p>
      <w:pPr>
        <w:spacing w:after="0" w:line="106"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Scott Milford was named our Chief Operating Officer in December 2020. Mr. Milford has over</w:t>
      </w:r>
    </w:p>
    <w:p>
      <w:pPr>
        <w:spacing w:after="0" w:line="12" w:lineRule="exact"/>
        <w:rPr>
          <w:sz w:val="20"/>
          <w:szCs w:val="20"/>
          <w:color w:val="auto"/>
        </w:rPr>
      </w:pPr>
    </w:p>
    <w:p>
      <w:pPr>
        <w:ind w:left="1260" w:right="539"/>
        <w:spacing w:after="0" w:line="272" w:lineRule="auto"/>
        <w:rPr>
          <w:sz w:val="20"/>
          <w:szCs w:val="20"/>
          <w:color w:val="auto"/>
        </w:rPr>
      </w:pPr>
      <w:r>
        <w:rPr>
          <w:rFonts w:ascii="Arial" w:cs="Arial" w:eastAsia="Arial" w:hAnsi="Arial"/>
          <w:sz w:val="16"/>
          <w:szCs w:val="16"/>
          <w:color w:val="auto"/>
        </w:rPr>
        <w:t>30 years of experience at high profile and diverse organizations. Prior to joining XpresSpa as its first Chief People Officer in July 2019, he served as VP, People Operations at SoulCycle from January to July 2019, where he led the creation and deployment of the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w:t>
      </w:r>
    </w:p>
    <w:p>
      <w:pPr>
        <w:spacing w:after="0" w:line="9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Prior to that, he served as Chief People Officer for Bayada, a one billion dollar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James A. Berry joined XpresSpa as its Chief Financial Officer in December 2020. For the past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 years, he has provided financial and administrative leadership to healthcare organizations delivering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urgent and emergency medical services. With annual patient volumes topping 200,000 visits, he has</w:t>
      </w:r>
    </w:p>
    <w:p>
      <w:pPr>
        <w:ind w:left="1260"/>
        <w:spacing w:after="0" w:line="234" w:lineRule="auto"/>
        <w:rPr>
          <w:sz w:val="20"/>
          <w:szCs w:val="20"/>
          <w:color w:val="auto"/>
        </w:rPr>
      </w:pPr>
      <w:r>
        <w:rPr>
          <w:rFonts w:ascii="Arial" w:cs="Arial" w:eastAsia="Arial" w:hAnsi="Arial"/>
          <w:sz w:val="18"/>
          <w:szCs w:val="18"/>
          <w:color w:val="auto"/>
        </w:rPr>
        <w:t>optimized revenue cycle processes; negotiated strong payer contracts; controlled spending; developed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provider compensation plans; overseen accounting functions; developed planning, reporting, and business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intelligence analytics; managed investment accounts; evaluated and oversaw benefit programs; and raised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equity and debt capital for rapidly expanding enterprises. He is also experienced leading support functions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IT, HR, payroll, and business development.</w:t>
      </w:r>
    </w:p>
    <w:p>
      <w:pPr>
        <w:spacing w:after="0" w:line="11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his most recent role, Mr. Berry served as CFO for ClearChoiceMD Urgent Care from 2016 to December 2020, where he was instrumental in creating partnerships with large health care delivery systems, ranging from financial joint ventures to affiliation agreements, managed services agreements, and memorialized letters of understanding. Prior to that, Mr. Berry served as Vice President -Finance and Corporate Treasurer of CareWell Urgent Care, a high-growth developer and operator of urgent care centers, from 2013 to 2016. He has testified before a New Hampshire legislature subcommittee, supporting Critical Access Hospitals, and has presented at the National Urgent Care Association annual meeting. Prior to his career in healthcare services, Mr. Berry held positions in the medical devices space, including Johnson &amp; Johnson, a VC backed startup, and a small public company turnaround.</w:t>
      </w:r>
    </w:p>
    <w:p>
      <w:pPr>
        <w:spacing w:after="0" w:line="116"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He holds a Bachelor of Science in Biochemistry (University of Massachusetts-Amherst) and an MBA from Purdue (Krannert Graduate School of Business).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2020 there were 23 meetings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as well as 8 unanimous written consents. The various committees of the Board of Directors met a total of 8 times. The Board of Directors has adopted a policy under which each member of the Board of Directors is strongly encouraged, but not required, to attend each annual meeting of our stockholders.</w:t>
      </w:r>
    </w:p>
    <w:p>
      <w:pPr>
        <w:spacing w:after="0" w:line="120"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(5) times during fiscal 2020. This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has 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w:t>
      </w:r>
    </w:p>
    <w:p>
      <w:pPr>
        <w:spacing w:after="0" w:line="110"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w:t>
      </w:r>
    </w:p>
    <w:p>
      <w:pPr>
        <w:spacing w:after="0" w:line="97"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met three (3) times during fiscal 2020.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currently has two (2) members, Bruce T. Bernstein (Chairman) and Donald E. Stout.</w:t>
      </w:r>
    </w:p>
    <w:p>
      <w:pPr>
        <w:spacing w:after="0" w:line="79"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w:t>
      </w:r>
    </w:p>
    <w:p>
      <w:pPr>
        <w:spacing w:after="0" w:line="1" w:lineRule="exact"/>
        <w:rPr>
          <w:sz w:val="20"/>
          <w:szCs w:val="20"/>
          <w:color w:val="auto"/>
        </w:rPr>
      </w:pPr>
    </w:p>
    <w:p>
      <w:pPr>
        <w:ind w:left="1260" w:right="479"/>
        <w:spacing w:after="0" w:line="287" w:lineRule="auto"/>
        <w:tabs>
          <w:tab w:leader="none" w:pos="15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2020, the Compensation Committee did engage a third-party compensation consultant to review the Company’s compensation structure as well as benchmark it against the Company’s peer group.</w:t>
      </w:r>
    </w:p>
    <w:p>
      <w:pPr>
        <w:spacing w:after="0" w:line="10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 xml:space="preserve">The Board of Directors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 corp_governance</w:t>
      </w:r>
      <w:r>
        <w:rPr>
          <w:rFonts w:ascii="Arial" w:cs="Arial" w:eastAsia="Arial" w:hAnsi="Arial"/>
          <w:sz w:val="18"/>
          <w:szCs w:val="18"/>
          <w:color w:val="auto"/>
        </w:rPr>
        <w:t>.</w:t>
      </w:r>
    </w:p>
    <w:p>
      <w:pPr>
        <w:spacing w:after="0" w:line="106"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did not meet during fiscal 2020 and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63"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89"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Our Nominating and Corporate Governance Committee and Board of Directors considered a broad range of factors relating to the qualifications and background of nominees, which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10"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1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10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1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The following table summarizes the total compensation awarded or paid by us during the fiscal years ended December 31, 2020 and 2019 to (i) our principal executive officer; and (ii) the two most highly</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color w:val="auto"/>
        </w:rPr>
        <w:t>compensated executive officers other than the principal executive officer who was serving as executive officer at December 31, 2020 (collectively, the “named executive officers”).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Incentive Plan</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spacing w:after="0"/>
              <w:rPr>
                <w:sz w:val="14"/>
                <w:szCs w:val="14"/>
                <w:color w:val="auto"/>
              </w:rPr>
            </w:pPr>
          </w:p>
        </w:tc>
      </w:tr>
      <w:tr>
        <w:trPr>
          <w:trHeight w:val="158"/>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Salary</w:t>
            </w: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Total</w:t>
            </w:r>
          </w:p>
        </w:tc>
      </w:tr>
      <w:tr>
        <w:trPr>
          <w:trHeight w:val="229"/>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3"/>
        </w:trPr>
        <w:tc>
          <w:tcPr>
            <w:tcW w:w="33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Douglas Satzman</w:t>
            </w:r>
            <w:r>
              <w:rPr>
                <w:rFonts w:ascii="Arial" w:cs="Arial" w:eastAsia="Arial" w:hAnsi="Arial"/>
                <w:sz w:val="26"/>
                <w:szCs w:val="26"/>
                <w:b w:val="1"/>
                <w:bCs w:val="1"/>
                <w:color w:val="auto"/>
                <w:vertAlign w:val="superscript"/>
              </w:rPr>
              <w:t>(2)</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387,578</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135,000</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108,070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38,625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669,273</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344,833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22,435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367,268</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b w:val="1"/>
                <w:bCs w:val="1"/>
                <w:color w:val="auto"/>
                <w:vertAlign w:val="superscript"/>
              </w:rPr>
              <w:t>(3)</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279,582</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192,394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67,552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629,528</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Chief Operating Officer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128,481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128,481</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James A Berry</w:t>
            </w:r>
            <w:r>
              <w:rPr>
                <w:rFonts w:ascii="Arial" w:cs="Arial" w:eastAsia="Arial" w:hAnsi="Arial"/>
                <w:sz w:val="26"/>
                <w:szCs w:val="26"/>
                <w:b w:val="1"/>
                <w:bCs w:val="1"/>
                <w:color w:val="auto"/>
                <w:vertAlign w:val="superscript"/>
              </w:rPr>
              <w:t>(4)</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211,940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221,555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-848360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-848360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-848360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-848360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-848360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-848360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4" w:lineRule="exact"/>
        <w:rPr>
          <w:sz w:val="20"/>
          <w:szCs w:val="20"/>
          <w:color w:val="auto"/>
        </w:rPr>
      </w:pPr>
    </w:p>
    <w:p>
      <w:pPr>
        <w:ind w:left="1620" w:right="679" w:hanging="360"/>
        <w:spacing w:after="0" w:line="259"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13 to our consolidated financial statements included in our Annual Report on Form 10-K for the fiscal year ended December 31, 2020.</w:t>
      </w:r>
    </w:p>
    <w:p>
      <w:pPr>
        <w:spacing w:after="0" w:line="38" w:lineRule="exact"/>
        <w:rPr>
          <w:rFonts w:ascii="Arial" w:cs="Arial" w:eastAsia="Arial" w:hAnsi="Arial"/>
          <w:sz w:val="18"/>
          <w:szCs w:val="18"/>
          <w:color w:val="auto"/>
        </w:rPr>
      </w:pPr>
    </w:p>
    <w:p>
      <w:pPr>
        <w:ind w:left="1620" w:right="439" w:hanging="360"/>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Satzman has served as our Chief Executive Officer since February 11, 2019. Compensation in 2020 and 2019 includes equity awards of stock options and restricted stock.</w:t>
      </w:r>
    </w:p>
    <w:p>
      <w:pPr>
        <w:spacing w:after="0" w:line="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Milford has served as our Chief Operating Officer since December 14, 2020 and prior to that our first Chief People Officer, a non-executive officer role, since July 8, 2019. Compensation in 2020 includes equity awards of stock options and restricted stock.</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Berry has served as our Chief Financial Officer and Principal Financial &amp; Accounting Officer since December 14, 2020. Compensation in 2020 includes an equity award of stock options.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On February 11, 2019, we entered into an employment agreement with Mr. Satzman, which had a term of three years provided that the employment agreement shall extend in two month increments for up to one</w:t>
      </w:r>
    </w:p>
    <w:p>
      <w:pPr>
        <w:spacing w:after="0" w:line="1" w:lineRule="exact"/>
        <w:rPr>
          <w:sz w:val="20"/>
          <w:szCs w:val="20"/>
          <w:color w:val="auto"/>
        </w:rPr>
      </w:pPr>
    </w:p>
    <w:p>
      <w:pPr>
        <w:ind w:left="1260" w:right="499"/>
        <w:spacing w:after="0" w:line="236" w:lineRule="auto"/>
        <w:tabs>
          <w:tab w:leader="none" w:pos="15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thereafter for each month that the negotiations for an extension to the Employment Agreement are not concluded prior to sixth months before the end of the term. Under the terms of the employment agreement, Mr. Satzman receives an annual base salary of $400,000 and is eligible to participate in any annual bonus or other incentive compensation program that we may adopt from time to time for our executive officers. If Mr. Satzman earns any bonus or non-equity based incentive compensation which remains unpaid upon termination of employment for any reason, whether by Mr. Satzman or us other than for cause, then Mr. Satzman would be entitled to receive a pro- rata portion of such incentive compensation at the time it is paid.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Milford</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 Mr. Milford shall continue to be employed by the Company as an “at will” employee, subject to annual review by the Compensation Committee. Mr. Milford was also entitled to a one -time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in connection with the promotion.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James A. Berry</w:t>
      </w:r>
    </w:p>
    <w:p>
      <w:pPr>
        <w:spacing w:after="0" w:line="15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On November 27, 2020, we entered into an offer letter with Mr. Berry, pursuant to which he agreed to serve as our Chief Financial Officer for an annual base salary of $250,000, subject to annual review by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2" w:lineRule="auto"/>
        <w:rPr>
          <w:sz w:val="20"/>
          <w:szCs w:val="20"/>
          <w:color w:val="auto"/>
        </w:rPr>
      </w:pPr>
      <w:r>
        <w:rPr>
          <w:rFonts w:ascii="Arial" w:cs="Arial" w:eastAsia="Arial" w:hAnsi="Arial"/>
          <w:sz w:val="17"/>
          <w:szCs w:val="17"/>
          <w:color w:val="auto"/>
        </w:rPr>
        <w:t>Compensation Committee. Mr. Berry also received a signing bonus of $25,000 and a sign-on equity award of $250,000 of stock options. He is eligible to receive a short -term incentive with a target payout of 50% of his annual base salary, as well as to participate in any annual bonus or other incentive compensation program that the Company may adopt from time to time for its executive officers.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35"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2020, to each of our named executive officers.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5"/>
          </w:tcPr>
          <w:p>
            <w:pPr>
              <w:ind w:left="500"/>
              <w:spacing w:after="0"/>
              <w:rPr>
                <w:sz w:val="20"/>
                <w:szCs w:val="20"/>
                <w:color w:val="auto"/>
              </w:rPr>
            </w:pPr>
            <w:r>
              <w:rPr>
                <w:rFonts w:ascii="Arial" w:cs="Arial" w:eastAsia="Arial" w:hAnsi="Arial"/>
                <w:sz w:val="14"/>
                <w:szCs w:val="14"/>
                <w:b w:val="1"/>
                <w:bCs w:val="1"/>
                <w:color w:val="auto"/>
                <w:w w:val="87"/>
              </w:rPr>
              <w:t>Options Awards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3"/>
        </w:trPr>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of shares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of securities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 units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of shares</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of securities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of stock</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of units</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underlying</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unexercised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that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of stock</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unexercised</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options</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w:t>
            </w: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have not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that</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options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 un-</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exercise</w:t>
            </w:r>
          </w:p>
        </w:tc>
        <w:tc>
          <w:tcPr>
            <w:tcW w:w="4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Option expiration</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have not</w:t>
            </w: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 exercisable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exercisable</w:t>
            </w:r>
          </w:p>
        </w:tc>
        <w:tc>
          <w:tcPr>
            <w:tcW w:w="64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88"/>
              </w:rPr>
              <w:t>price ($)</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vested (#)</w:t>
            </w:r>
          </w:p>
        </w:tc>
      </w:tr>
      <w:tr>
        <w:trPr>
          <w:trHeight w:val="26"/>
        </w:trPr>
        <w:tc>
          <w:tcPr>
            <w:tcW w:w="2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300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Doug Satzman</w:t>
            </w:r>
            <w:r>
              <w:rPr>
                <w:rFonts w:ascii="Arial" w:cs="Arial" w:eastAsia="Arial" w:hAnsi="Arial"/>
                <w:sz w:val="26"/>
                <w:szCs w:val="26"/>
                <w:color w:val="auto"/>
                <w:vertAlign w:val="superscript"/>
              </w:rPr>
              <w:t>(1)</w:t>
            </w: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2019 Non Qualified Stock Option</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7"/>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from the 2012 Plan</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6,250</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18,750</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12.60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February 11, 2029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5"/>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rom the 2012 Plan</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83,334</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20,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70"/>
        </w:trPr>
        <w:tc>
          <w:tcPr>
            <w:tcW w:w="3000" w:type="dxa"/>
            <w:vAlign w:val="bottom"/>
            <w:gridSpan w:val="2"/>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color w:val="auto"/>
                <w:vertAlign w:val="superscript"/>
              </w:rPr>
              <w:t>(1)</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the 2012 Plan</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58,334</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20,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w w:val="97"/>
              </w:rPr>
              <w:t>2020 Incentive Stock Options from the</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7"/>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2012 Plan</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32,106</w:t>
            </w:r>
          </w:p>
        </w:tc>
        <w:tc>
          <w:tcPr>
            <w:tcW w:w="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September 6, 2030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the 2020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28,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56"/>
        </w:trPr>
        <w:tc>
          <w:tcPr>
            <w:tcW w:w="3000" w:type="dxa"/>
            <w:vAlign w:val="bottom"/>
            <w:gridSpan w:val="2"/>
          </w:tcPr>
          <w:p>
            <w:pPr>
              <w:spacing w:after="0" w:line="256" w:lineRule="exact"/>
              <w:rPr>
                <w:sz w:val="20"/>
                <w:szCs w:val="20"/>
                <w:color w:val="auto"/>
              </w:rPr>
            </w:pPr>
            <w:r>
              <w:rPr>
                <w:rFonts w:ascii="Arial" w:cs="Arial" w:eastAsia="Arial" w:hAnsi="Arial"/>
                <w:sz w:val="18"/>
                <w:szCs w:val="18"/>
                <w:color w:val="auto"/>
                <w:w w:val="98"/>
              </w:rPr>
              <w:t>James A Berry</w:t>
            </w:r>
            <w:r>
              <w:rPr>
                <w:rFonts w:ascii="Arial" w:cs="Arial" w:eastAsia="Arial" w:hAnsi="Arial"/>
                <w:sz w:val="26"/>
                <w:szCs w:val="26"/>
                <w:color w:val="auto"/>
                <w:w w:val="98"/>
                <w:vertAlign w:val="superscript"/>
              </w:rPr>
              <w:t>(1)</w:t>
            </w:r>
            <w:r>
              <w:rPr>
                <w:rFonts w:ascii="Arial" w:cs="Arial" w:eastAsia="Arial" w:hAnsi="Arial"/>
                <w:sz w:val="18"/>
                <w:szCs w:val="18"/>
                <w:color w:val="auto"/>
                <w:w w:val="98"/>
              </w:rPr>
              <w:t>: 2020 Non Qualified</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Stock Options from the 2020 Plan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173,611</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December 14, 2030</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-2167890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-2167890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-2167890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-2167890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-2167890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-2167890</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59" w:hanging="36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Un-exercisable Options vest in equal annual increments over each of the remaining anniversaries of the date of grant.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2020 upon termination or change-in-control. The discussion assumes that such event occurred on December 31, 2020, the last business day of our fiscal year, at which time the closing price of our common stock as listed on Nasdaq was $ 1.19 per share. For a further discussion of these provisions see the “Narrative Disclosure to Summary Compensation Table”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 Satzman</w:t>
      </w:r>
    </w:p>
    <w:p>
      <w:pPr>
        <w:spacing w:after="0" w:line="131"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the event Mr. Satzman’s employment is terminated for (i) Good Reason by Mr. Satzman, or (ii) by us without Cause, Mr. Satzman would receive severance in the amount of one-half times his then current base salary, and COBRA payments totaling approximately $36,000.</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 the event Mr. Satzman’s employment is terminated by us without Cause as a result of a change of control, Mr. Satzman would receive severance in the amount of one times his then current base salary. A change of control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Milford and James A. Berry</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Milford and Mr. Berry are not entitled to any payments upon termination or change-in-control.</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2020. Directors who are employed by us are not compensated for their service on our Board of Directors</w:t>
      </w:r>
      <w:r>
        <w:rPr>
          <w:rFonts w:ascii="Arial" w:cs="Arial" w:eastAsia="Arial" w:hAnsi="Arial"/>
          <w:sz w:val="18"/>
          <w:szCs w:val="18"/>
          <w:b w:val="1"/>
          <w:bCs w:val="1"/>
          <w:color w:val="auto"/>
        </w:rPr>
        <w:t>.</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Earned or</w:t>
            </w: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Paid in</w:t>
            </w: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Cash</w:t>
            </w:r>
          </w:p>
        </w:tc>
        <w:tc>
          <w:tcPr>
            <w:tcW w:w="7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52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86,456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126,456</w:t>
            </w:r>
          </w:p>
        </w:tc>
        <w:tc>
          <w:tcPr>
            <w:tcW w:w="0" w:type="dxa"/>
            <w:vAlign w:val="bottom"/>
          </w:tcPr>
          <w:p>
            <w:pPr>
              <w:spacing w:after="0"/>
              <w:rPr>
                <w:sz w:val="1"/>
                <w:szCs w:val="1"/>
                <w:color w:val="auto"/>
              </w:rPr>
            </w:pPr>
          </w:p>
        </w:tc>
      </w:tr>
      <w:tr>
        <w:trPr>
          <w:trHeight w:val="270"/>
        </w:trPr>
        <w:tc>
          <w:tcPr>
            <w:tcW w:w="5280" w:type="dxa"/>
            <w:vAlign w:val="bottom"/>
            <w:gridSpan w:val="2"/>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75,650</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115,650</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79,980</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125,447</w:t>
            </w:r>
          </w:p>
        </w:tc>
        <w:tc>
          <w:tcPr>
            <w:tcW w:w="0" w:type="dxa"/>
            <w:vAlign w:val="bottom"/>
          </w:tcPr>
          <w:p>
            <w:pPr>
              <w:spacing w:after="0"/>
              <w:rPr>
                <w:sz w:val="1"/>
                <w:szCs w:val="1"/>
                <w:color w:val="auto"/>
              </w:rPr>
            </w:pPr>
          </w:p>
        </w:tc>
      </w:tr>
      <w:tr>
        <w:trPr>
          <w:trHeight w:val="270"/>
        </w:trPr>
        <w:tc>
          <w:tcPr>
            <w:tcW w:w="5280" w:type="dxa"/>
            <w:vAlign w:val="bottom"/>
            <w:gridSpan w:val="2"/>
          </w:tcPr>
          <w:p>
            <w:pPr>
              <w:spacing w:after="0" w:line="270" w:lineRule="exact"/>
              <w:rPr>
                <w:sz w:val="20"/>
                <w:szCs w:val="20"/>
                <w:color w:val="auto"/>
              </w:rPr>
            </w:pPr>
            <w:r>
              <w:rPr>
                <w:rFonts w:ascii="Arial" w:cs="Arial" w:eastAsia="Arial" w:hAnsi="Arial"/>
                <w:sz w:val="18"/>
                <w:szCs w:val="18"/>
                <w:color w:val="auto"/>
              </w:rPr>
              <w:t>Michael Lebowitz</w:t>
            </w:r>
            <w:r>
              <w:rPr>
                <w:rFonts w:ascii="Arial" w:cs="Arial" w:eastAsia="Arial" w:hAnsi="Arial"/>
                <w:sz w:val="26"/>
                <w:szCs w:val="26"/>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29,451</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64,842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Salvatore Giardina</w:t>
            </w:r>
            <w:r>
              <w:rPr>
                <w:rFonts w:ascii="Arial" w:cs="Arial" w:eastAsia="Arial" w:hAnsi="Arial"/>
                <w:sz w:val="26"/>
                <w:szCs w:val="26"/>
                <w:color w:val="auto"/>
                <w:vertAlign w:val="superscript"/>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355"/>
        </w:trPr>
        <w:tc>
          <w:tcPr>
            <w:tcW w:w="528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26"/>
                <w:szCs w:val="26"/>
                <w:color w:val="auto"/>
                <w:vertAlign w:val="superscript"/>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10,110</w:t>
            </w:r>
          </w:p>
        </w:tc>
        <w:tc>
          <w:tcPr>
            <w:tcW w:w="20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-1090930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-1090930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-1090930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right="559" w:hanging="360"/>
        <w:spacing w:after="0" w:line="259"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13 of the consolidated financial statements disclosed in our Annual Report on Form 10-K for the year ended December 31, 2020, as amended, for the assumptions made in the valuation of the equity awards.</w:t>
      </w:r>
    </w:p>
    <w:p>
      <w:pPr>
        <w:spacing w:after="0" w:line="65"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Bernstein held 71,917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Stout held 63,875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Weinstein held 61,667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Lebowitz held 60,769 fully vested options.</w:t>
      </w:r>
    </w:p>
    <w:p>
      <w:pPr>
        <w:spacing w:after="0" w:line="103" w:lineRule="exact"/>
        <w:rPr>
          <w:rFonts w:ascii="Arial" w:cs="Arial" w:eastAsia="Arial" w:hAnsi="Arial"/>
          <w:sz w:val="18"/>
          <w:szCs w:val="18"/>
          <w:color w:val="auto"/>
        </w:rPr>
      </w:pPr>
    </w:p>
    <w:p>
      <w:pPr>
        <w:ind w:left="1620" w:right="779" w:hanging="360"/>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Giardina held 5,250 fully vested options. Mr. Giardina resigned as a director on February 3, 2020.</w:t>
      </w:r>
    </w:p>
    <w:p>
      <w:pPr>
        <w:spacing w:after="0" w:line="48"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2020, Mr. Heyer held 3,750 fully vested options. Mr. Heyer resigned as a director on April 1, 2020.</w:t>
      </w:r>
    </w:p>
    <w:p>
      <w:pPr>
        <w:spacing w:after="0" w:line="8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03" w:lineRule="exact"/>
        <w:rPr>
          <w:sz w:val="20"/>
          <w:szCs w:val="20"/>
          <w:color w:val="auto"/>
        </w:rPr>
      </w:pPr>
    </w:p>
    <w:p>
      <w:pPr>
        <w:jc w:val="both"/>
        <w:ind w:left="1260" w:right="659" w:firstLine="360"/>
        <w:spacing w:after="0" w:line="279" w:lineRule="auto"/>
        <w:rPr>
          <w:sz w:val="20"/>
          <w:szCs w:val="20"/>
          <w:color w:val="auto"/>
        </w:rPr>
      </w:pPr>
      <w:r>
        <w:rPr>
          <w:rFonts w:ascii="Arial" w:cs="Arial" w:eastAsia="Arial" w:hAnsi="Arial"/>
          <w:sz w:val="17"/>
          <w:szCs w:val="17"/>
          <w:color w:val="auto"/>
        </w:rPr>
        <w:t>We compensate each of our non-employee directors an annual cash stipend of $40,000. Additionally, the Chairman of our Audit Committee receives an additional $10,000 in compensation for service in such capacity. For Mr. Weinstein’s annual cash stipend and compensation for service as Chairman of the Audit Committee was pro-rated to reflect that he joined the board in February 2020.</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2020 with respect to all of our equity compensation plans then in effect:</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No. of 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available for</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No. of securities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future issuance</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be issued upon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exercise of</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average exercise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price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plans (excluding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options,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2"/>
              </w:rPr>
              <w:t>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options, warrants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w:t>
            </w:r>
          </w:p>
        </w:tc>
      </w:tr>
      <w:tr>
        <w:trPr>
          <w:trHeight w:val="186"/>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rights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and rights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the first column)</w:t>
            </w:r>
          </w:p>
        </w:tc>
      </w:tr>
      <w:tr>
        <w:trPr>
          <w:trHeight w:val="26"/>
        </w:trPr>
        <w:tc>
          <w:tcPr>
            <w:tcW w:w="1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466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color w:val="auto"/>
              </w:rPr>
              <w:t>Total equity compensation plans approved by security</w:t>
            </w: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308"/>
        </w:trPr>
        <w:tc>
          <w:tcPr>
            <w:tcW w:w="4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(1)(2)</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rPr>
              <w:t>1,353,888</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$ 3.82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3,646,112</w:t>
            </w:r>
          </w:p>
        </w:tc>
      </w:tr>
      <w:tr>
        <w:trPr>
          <w:trHeight w:val="230"/>
        </w:trPr>
        <w:tc>
          <w:tcPr>
            <w:tcW w:w="1940" w:type="dxa"/>
            <w:vAlign w:val="bottom"/>
            <w:tcBorders>
              <w:bottom w:val="single" w:sz="8" w:color="auto"/>
            </w:tcBorders>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-479425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-479425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-479425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plans consist solely of (i) the 2020 Plan, as approved by our Board of Directors in</w:t>
      </w:r>
    </w:p>
    <w:p>
      <w:pPr>
        <w:spacing w:after="0" w:line="23" w:lineRule="exact"/>
        <w:rPr>
          <w:rFonts w:ascii="Arial" w:cs="Arial" w:eastAsia="Arial" w:hAnsi="Arial"/>
          <w:sz w:val="18"/>
          <w:szCs w:val="18"/>
          <w:color w:val="auto"/>
        </w:rPr>
      </w:pPr>
    </w:p>
    <w:p>
      <w:pPr>
        <w:ind w:left="1620" w:right="679"/>
        <w:spacing w:after="0" w:line="255" w:lineRule="auto"/>
        <w:rPr>
          <w:rFonts w:ascii="Arial" w:cs="Arial" w:eastAsia="Arial" w:hAnsi="Arial"/>
          <w:sz w:val="18"/>
          <w:szCs w:val="18"/>
          <w:color w:val="auto"/>
        </w:rPr>
      </w:pPr>
      <w:r>
        <w:rPr>
          <w:rFonts w:ascii="Arial" w:cs="Arial" w:eastAsia="Arial" w:hAnsi="Arial"/>
          <w:sz w:val="18"/>
          <w:szCs w:val="18"/>
          <w:color w:val="auto"/>
        </w:rPr>
        <w:t>September 2020 and by our stockholders in October 2020 and (ii) the 2012 Plan, as amended. Under the 2020 Plan, a maximum of 5,705,239 shares of common stock may be awarded. No additional awards may be granted under the 2012 Plan.</w:t>
      </w:r>
    </w:p>
    <w:p>
      <w:pPr>
        <w:spacing w:after="0" w:line="54" w:lineRule="exact"/>
        <w:rPr>
          <w:rFonts w:ascii="Arial" w:cs="Arial" w:eastAsia="Arial" w:hAnsi="Arial"/>
          <w:sz w:val="18"/>
          <w:szCs w:val="18"/>
          <w:color w:val="auto"/>
        </w:rPr>
      </w:pPr>
    </w:p>
    <w:p>
      <w:pPr>
        <w:ind w:left="1620" w:hanging="360"/>
        <w:spacing w:after="0"/>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information reflects the Company’s 1-for-3 reverse stock split that was effected on June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AUDIT COMMITTEE</w:t>
      </w:r>
    </w:p>
    <w:p>
      <w:pPr>
        <w:spacing w:after="0" w:line="148"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16"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i w:val="1"/>
          <w:iCs w:val="1"/>
          <w:color w:val="auto"/>
        </w:rPr>
        <w:t>www.xpresspagroup.com</w:t>
      </w:r>
      <w:r>
        <w:rPr>
          <w:rFonts w:ascii="Arial" w:cs="Arial" w:eastAsia="Arial" w:hAnsi="Arial"/>
          <w:sz w:val="17"/>
          <w:szCs w:val="17"/>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2020, the Audit Committee took the following actions:</w:t>
      </w:r>
    </w:p>
    <w:p>
      <w:pPr>
        <w:spacing w:after="0" w:line="73" w:lineRule="exact"/>
        <w:rPr>
          <w:sz w:val="20"/>
          <w:szCs w:val="20"/>
          <w:color w:val="auto"/>
        </w:rPr>
      </w:pPr>
    </w:p>
    <w:p>
      <w:pPr>
        <w:ind w:left="1800" w:right="839" w:hanging="180"/>
        <w:spacing w:after="0" w:line="342" w:lineRule="auto"/>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2020 with management and Friedman LLP, our independent registered public accounting firm;</w:t>
      </w:r>
    </w:p>
    <w:p>
      <w:pPr>
        <w:spacing w:after="0" w:line="15" w:lineRule="exact"/>
        <w:rPr>
          <w:rFonts w:ascii="Arial" w:cs="Arial" w:eastAsia="Arial" w:hAnsi="Arial"/>
          <w:sz w:val="16"/>
          <w:szCs w:val="16"/>
          <w:color w:val="auto"/>
        </w:rPr>
      </w:pPr>
    </w:p>
    <w:p>
      <w:pPr>
        <w:ind w:left="1800" w:right="45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Friedman LLP the matters required to be discussed by the applicable requirements of the Public Company Accounting Oversight Board (“PCAOB”) and the Securities and Exchange Commission (the “SEC”); and</w:t>
      </w:r>
    </w:p>
    <w:p>
      <w:pPr>
        <w:spacing w:after="0" w:line="75"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written disclosures and the letter from Friedman LLP regarding its independence as required by applicable requirements of the PCAOB regarding Friedman LLP communications with the Audit Committee and the Audit Committee further discussed with Friedman LLP their independence. The Audit Committee also considered the status of pending litigation, taxation matters and other areas of oversight relating to the financial reporting and audit process that the committee determined appropriate.</w:t>
      </w:r>
    </w:p>
    <w:p>
      <w:pPr>
        <w:spacing w:after="0" w:line="125"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Friedman LLP, the Audit Committee recommended to the Board of Directors that the audited financial statements be included in our Annual Report on Form 10-K for the fiscal year ended December 31, 2020 for filing with the SEC.</w:t>
      </w:r>
    </w:p>
    <w:p>
      <w:pPr>
        <w:spacing w:after="0" w:line="10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Members of the XpresSpa Group, Inc. Audit Committee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 Weinstein (Chairman)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Bruce T. Bernstein</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w:t>
      </w:r>
    </w:p>
    <w:p>
      <w:pPr>
        <w:spacing w:after="0" w:line="16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16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Related Persons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Item 1)</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Board of Directors nominated Douglas Satzman, Bruce T. Bernstein, Robert Weinstein, Donald E. Stout, and Michael Lebowitz for election by the holders of Common Stock at the annual meeting. If they are elected, they will serve on our Board of Directors until the 2022 annual meeting of stockholders and until their respective successors have been elected and qualified.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Unless authority to vote for any of these nominees is withheld, the shares represented by proxies solicited by the Board will be voted FOR the election as directors of each of Douglas Satzman,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91" w:lineRule="exact"/>
        <w:rPr>
          <w:sz w:val="20"/>
          <w:szCs w:val="20"/>
          <w:color w:val="auto"/>
        </w:rPr>
      </w:pPr>
    </w:p>
    <w:p>
      <w:pPr>
        <w:ind w:left="1260" w:right="73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THE ELECTION OF EACH OF DOUGLAS SATZMAN, BRUCE T. BERNSTEIN, ROBERT WEINSTEIN, DONALD E. STOUT AND MICHAEL LEBOWITZ AS DIRECTORS, AND PROXIES SOLICITED BY THE BOARD WILL BE VOTED IN FAVOR THEREOF UNLESS A STOCKHOLDER HAS INDICATED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RATIFICATION OF APPOINTMENT OF INDEPENDENT REGISTERED PUBLIC</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(Notice Item 2)</w:t>
      </w:r>
    </w:p>
    <w:p>
      <w:pPr>
        <w:spacing w:after="0" w:line="148"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2020 and 2019. For the fiscal years ended December 31, 2020 and 2019, we incurred the following fees for the services of CohnReznick and Friedman:</w:t>
      </w:r>
    </w:p>
    <w:p>
      <w:pPr>
        <w:sectPr>
          <w:pgSz w:w="11900" w:h="16838" w:orient="portrait"/>
          <w:cols w:equalWidth="0" w:num="1">
            <w:col w:w="9879"/>
          </w:cols>
          <w:pgMar w:left="580" w:top="131" w:right="1440" w:bottom="1440" w:gutter="0" w:footer="0" w:header="0"/>
        </w:sectPr>
      </w:pPr>
    </w:p>
    <w:p>
      <w:pPr>
        <w:spacing w:after="0" w:line="39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Friedman:</w:t>
      </w:r>
    </w:p>
    <w:p>
      <w:pPr>
        <w:ind w:left="1620"/>
        <w:spacing w:after="0" w:line="236" w:lineRule="auto"/>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CohnReznick:</w:t>
      </w:r>
    </w:p>
    <w:p>
      <w:pPr>
        <w:ind w:left="1620"/>
        <w:spacing w:after="0" w:line="223" w:lineRule="auto"/>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32385</wp:posOffset>
            </wp:positionV>
            <wp:extent cx="47491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40" w:lineRule="exact"/>
        <w:rPr>
          <w:sz w:val="20"/>
          <w:szCs w:val="20"/>
          <w:color w:val="auto"/>
        </w:rPr>
      </w:pPr>
    </w:p>
    <w:p>
      <w:pPr>
        <w:jc w:val="right"/>
        <w:ind w:left="180" w:right="1699" w:hanging="189"/>
        <w:spacing w:after="0" w:line="412" w:lineRule="auto"/>
        <w:rPr>
          <w:sz w:val="20"/>
          <w:szCs w:val="20"/>
          <w:color w:val="auto"/>
        </w:rPr>
      </w:pPr>
      <w:r>
        <w:rPr>
          <w:rFonts w:ascii="Arial" w:cs="Arial" w:eastAsia="Arial" w:hAnsi="Arial"/>
          <w:sz w:val="16"/>
          <w:szCs w:val="16"/>
          <w:color w:val="auto"/>
        </w:rPr>
        <w:t>$148,243 45,780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-254000</wp:posOffset>
            </wp:positionV>
            <wp:extent cx="474916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79375</wp:posOffset>
            </wp:positionV>
            <wp:extent cx="47491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45" w:lineRule="exact"/>
        <w:rPr>
          <w:sz w:val="20"/>
          <w:szCs w:val="20"/>
          <w:color w:val="auto"/>
        </w:rPr>
      </w:pPr>
    </w:p>
    <w:p>
      <w:pPr>
        <w:jc w:val="both"/>
        <w:ind w:left="100"/>
        <w:spacing w:after="0"/>
        <w:tabs>
          <w:tab w:leader="none" w:pos="900" w:val="left"/>
        </w:tabs>
        <w:rPr>
          <w:sz w:val="20"/>
          <w:szCs w:val="20"/>
          <w:color w:val="auto"/>
        </w:rPr>
      </w:pPr>
      <w:r>
        <w:rPr>
          <w:rFonts w:ascii="Arial" w:cs="Arial" w:eastAsia="Arial" w:hAnsi="Arial"/>
          <w:sz w:val="18"/>
          <w:szCs w:val="18"/>
          <w:color w:val="auto"/>
        </w:rPr>
        <w:t>331,000</w:t>
        <w:tab/>
        <w:t>$382,750</w:t>
      </w:r>
    </w:p>
    <w:p>
      <w:pPr>
        <w:spacing w:after="0" w:line="63" w:lineRule="exact"/>
        <w:rPr>
          <w:sz w:val="20"/>
          <w:szCs w:val="20"/>
          <w:color w:val="auto"/>
        </w:rPr>
      </w:pPr>
    </w:p>
    <w:p>
      <w:pPr>
        <w:jc w:val="both"/>
        <w:ind w:left="180"/>
        <w:spacing w:after="0"/>
        <w:tabs>
          <w:tab w:leader="none" w:pos="1000" w:val="left"/>
        </w:tabs>
        <w:rPr>
          <w:sz w:val="20"/>
          <w:szCs w:val="20"/>
          <w:color w:val="auto"/>
        </w:rPr>
      </w:pPr>
      <w:r>
        <w:rPr>
          <w:rFonts w:ascii="Arial" w:cs="Arial" w:eastAsia="Arial" w:hAnsi="Arial"/>
          <w:sz w:val="18"/>
          <w:szCs w:val="18"/>
          <w:color w:val="auto"/>
        </w:rPr>
        <w:t>54,000</w:t>
      </w:r>
      <w:r>
        <w:rPr>
          <w:sz w:val="20"/>
          <w:szCs w:val="20"/>
          <w:color w:val="auto"/>
        </w:rPr>
        <w:tab/>
      </w:r>
      <w:r>
        <w:rPr>
          <w:rFonts w:ascii="Arial" w:cs="Arial" w:eastAsia="Arial" w:hAnsi="Arial"/>
          <w:sz w:val="18"/>
          <w:szCs w:val="18"/>
          <w:color w:val="auto"/>
        </w:rPr>
        <w:t>138,500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23495</wp:posOffset>
            </wp:positionV>
            <wp:extent cx="474916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57" w:lineRule="exact"/>
        <w:rPr>
          <w:sz w:val="20"/>
          <w:szCs w:val="20"/>
          <w:color w:val="auto"/>
        </w:rPr>
      </w:pPr>
    </w:p>
    <w:p>
      <w:pPr>
        <w:jc w:val="right"/>
        <w:ind w:right="779"/>
        <w:spacing w:after="0"/>
        <w:tabs>
          <w:tab w:leader="none" w:pos="660" w:val="left"/>
        </w:tabs>
        <w:rPr>
          <w:sz w:val="20"/>
          <w:szCs w:val="20"/>
          <w:color w:val="auto"/>
        </w:rPr>
      </w:pPr>
      <w:r>
        <w:rPr>
          <w:rFonts w:ascii="Arial" w:cs="Arial" w:eastAsia="Arial" w:hAnsi="Arial"/>
          <w:sz w:val="18"/>
          <w:szCs w:val="18"/>
          <w:color w:val="auto"/>
        </w:rPr>
        <w:t>$579,023</w:t>
      </w:r>
      <w:r>
        <w:rPr>
          <w:sz w:val="20"/>
          <w:szCs w:val="20"/>
          <w:color w:val="auto"/>
        </w:rPr>
        <w:tab/>
      </w:r>
      <w:r>
        <w:rPr>
          <w:rFonts w:ascii="Arial" w:cs="Arial" w:eastAsia="Arial" w:hAnsi="Arial"/>
          <w:sz w:val="16"/>
          <w:szCs w:val="16"/>
          <w:color w:val="auto"/>
        </w:rPr>
        <w:t>$521,250</w:t>
      </w:r>
    </w:p>
    <w:p>
      <w:pPr>
        <w:spacing w:after="0" w:line="215" w:lineRule="exact"/>
        <w:rPr>
          <w:sz w:val="20"/>
          <w:szCs w:val="20"/>
          <w:color w:val="auto"/>
        </w:rPr>
      </w:pPr>
    </w:p>
    <w:p>
      <w:pPr>
        <w:sectPr>
          <w:pgSz w:w="11900" w:h="16838" w:orient="portrait"/>
          <w:cols w:equalWidth="0" w:num="2">
            <w:col w:w="6780" w:space="720"/>
            <w:col w:w="2379"/>
          </w:cols>
          <w:pgMar w:left="580" w:top="131" w:right="1440" w:bottom="1440" w:gutter="0" w:footer="0" w:header="0"/>
          <w:type w:val="continuous"/>
        </w:sectPr>
      </w:pPr>
    </w:p>
    <w:p>
      <w:pPr>
        <w:spacing w:after="0" w:line="171" w:lineRule="exact"/>
        <w:rPr>
          <w:sz w:val="20"/>
          <w:szCs w:val="20"/>
          <w:color w:val="auto"/>
        </w:rPr>
      </w:pPr>
    </w:p>
    <w:p>
      <w:pPr>
        <w:ind w:left="1620" w:right="439" w:hanging="360"/>
        <w:spacing w:after="0" w:line="286" w:lineRule="auto"/>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6" w:lineRule="exact"/>
        <w:rPr>
          <w:rFonts w:ascii="Arial" w:cs="Arial" w:eastAsia="Arial" w:hAnsi="Arial"/>
          <w:sz w:val="17"/>
          <w:szCs w:val="17"/>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for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Dismissal of Previous Independent Registered Accounting Firm</w:t>
      </w:r>
    </w:p>
    <w:p>
      <w:pPr>
        <w:spacing w:after="0" w:line="14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On May 4, 2020, the Audit Committee informed CohnReznick of its decision to dismiss CohnReznick as the Company’s independent registered public accounting firm, effective as of that date.</w:t>
      </w:r>
    </w:p>
    <w:p>
      <w:pPr>
        <w:spacing w:after="0" w:line="7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CohnReznick’s report on the Company’s consolidated financial statements as of December 31, 2019 did not contain an adverse opinion or a disclaimer of opinion, nor was it qualified or modified as to uncertainty, audit scope or accounting principles, other than to include an explanatory paragraph regarding substantial doubt as to the Company’s ability to continue as a going concern.</w:t>
      </w:r>
    </w:p>
    <w:p>
      <w:pPr>
        <w:spacing w:after="0" w:line="120"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During the year ended December 31, 2019 and the subsequent interim period through May 4, 2020, there were no “disagreements” (as such term is defined in Item 304(a)(1)(iv) of Regulation S- 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 ended December 31, 2019 and the subsequent interim period through May 4, 2020, there have been no “reportable events” (as such term is defined in Item 304(a)(1)(v) of Regulation S-K), except for the material weakness identified in the Company’s internal control over its financial close and reporting process.</w:t>
      </w:r>
    </w:p>
    <w:p>
      <w:pPr>
        <w:spacing w:after="0" w:line="107"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The Company provided CohnReznick with a copy of the disclosure it made in response to Item 304(a) of Regulation S-K and requested that CohnReznick furnish the Company with a copy of its letter addressed</w:t>
      </w:r>
    </w:p>
    <w:p>
      <w:pPr>
        <w:sectPr>
          <w:pgSz w:w="11900" w:h="16838" w:orient="portrait"/>
          <w:cols w:equalWidth="0" w:num="1">
            <w:col w:w="9879"/>
          </w:cols>
          <w:pgMar w:left="580" w:top="131" w:right="1440" w:bottom="1440" w:gutter="0" w:footer="0" w:header="0"/>
          <w:type w:val="continuous"/>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to the SEC, pursuant to Item 304(a)(3) of Regulation S-K, stating whether CohnReznick agrees with the statements made by the Company in response to Item 304(a) of Regulation S-K. A copy of CohnReznick’s letter to the SEC dated May 5, 2020 was filed as Exhibit 16.1 to the Company’s Current Report on Form 8-K, which was filed with the SEC on May 6, 2020.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Appointment of New Independent Registered Public Accounting Firm</w:t>
      </w:r>
    </w:p>
    <w:p>
      <w:pPr>
        <w:spacing w:after="0" w:line="14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On May 4, 2020, the Audit Committee approved the engagement of Friedman as the Company’s new independent registered public accounting firm for the fiscal year ending December 31, 2021, effective immediately. During the fiscal year ended December 31, 2019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w:t>
      </w:r>
    </w:p>
    <w:p>
      <w:pPr>
        <w:spacing w:after="0" w:line="1" w:lineRule="exact"/>
        <w:rPr>
          <w:sz w:val="20"/>
          <w:szCs w:val="20"/>
          <w:color w:val="auto"/>
        </w:rPr>
      </w:pPr>
    </w:p>
    <w:p>
      <w:pPr>
        <w:ind w:left="1260" w:right="939"/>
        <w:spacing w:after="0" w:line="260" w:lineRule="auto"/>
        <w:tabs>
          <w:tab w:leader="none" w:pos="15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Regulation S-K and the related instructions) or a “reportable event” (as such term is defined in Item 304(a)(1)(v) of Regulation S-K).</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2020 and 2019.</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Audit Committee has appointed Friedman LLP as our independent registered public accounting firm for the fiscal year ending December 31, 2021. The affirmative vote of the holders of a majority of the shares of Common Stock present and entitled to vote on the matter either in person or by proxy at the annual meeting is required to ratify the appointment of Friedman as our independent registered public accounting firm for the fiscal year ending December 31, 2021.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as our independent registered public accounting firm for 2021, our Audit Committee of our Board of Directors will reconsider its selection.</w:t>
      </w:r>
    </w:p>
    <w:p>
      <w:pPr>
        <w:spacing w:after="0" w:line="107" w:lineRule="exact"/>
        <w:rPr>
          <w:sz w:val="20"/>
          <w:szCs w:val="20"/>
          <w:color w:val="auto"/>
        </w:rPr>
      </w:pPr>
    </w:p>
    <w:p>
      <w:pPr>
        <w:ind w:left="1260" w:right="49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FRIEDMAN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3: CHARTER AMENDMENT TO INCREASE AUTHORIZED SHARES OF COMMON</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STOCK</w:t>
      </w:r>
    </w:p>
    <w:p>
      <w:pPr>
        <w:spacing w:after="0" w:line="19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3)</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 xml:space="preserve">The Board of Directors has approved and recommended that our stockholders approve an amendment to the Company’s Amended and Restated Certificate of Incorporation to increase the number of authorized shares of Common Stock from 150,000,000 shares to 250,000,000 shares, an increase of 100,000,000 shares. The authorized capital stock of the Company currently consists of 150,000,000 shares of Common Stock, par value $0.01 per share, and 10,000,000 shares of Preferred Stock, par value $0.01 per share. If the proposed amendment is approved, the authorized capital stock of the Company will consist of 250,000,000 shares of Common Stock and 10,000,000 shares of Preferred Stock. The form of the Certificate of Amendment to Amended and Restated Certificate of Incorporation of the Company to increase the number of authorized shares of Common Stock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“Charter Amendment”).</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Board of Directors is recommending the proposed increase in the number of authorized shares of Common Stock to provide additional authorized shares of Common Stock for use in connection with potential future financings, strategic opportunities, acquisitions, employee benefit plans or for other corporate purposes. The Board determined that the Charter Amendment is advisable and in the best interests of the Company and directed that the Charter Amendment be submitted for adoption and approval by stockholders at the Annual Meeting. The Charter Amendment would not affect the number of authorized shares of Preferred Stock nor affect the par value of the Common Stock or the Preferred Stock. Currently, there are no shares of Preferred Stock issued and outstanding. Except for shares of Common Stock that are reserved for issuance, the Company has no commitments at this time for the issuance of additional shares of Common Stock, but desires to position itself to do so when needs arise and market conditions warrant.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August 2, 2021, the Company has 105,969,045 shares of Common Stock issued and outstanding</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an aggregate of 41,379,153 shares of Common Stock reserved for issuance upon exercise of warrants to</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shares of Common Stock issued in our previous financing, and for issuance under our various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incentive plans (inclusive of shares to be issued pursuant to outstanding options and restricted</w:t>
      </w:r>
    </w:p>
    <w:p>
      <w:pPr>
        <w:ind w:left="1260"/>
        <w:spacing w:after="0"/>
        <w:rPr>
          <w:sz w:val="20"/>
          <w:szCs w:val="20"/>
          <w:color w:val="auto"/>
        </w:rPr>
      </w:pPr>
      <w:r>
        <w:rPr>
          <w:rFonts w:ascii="Arial" w:cs="Arial" w:eastAsia="Arial" w:hAnsi="Arial"/>
          <w:sz w:val="17"/>
          <w:szCs w:val="17"/>
          <w:color w:val="auto"/>
        </w:rPr>
        <w:t>stock units). This leaves a balance of 3,051,802 shares of authorized and unissued Common Stock available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issuance, and as a result, the Company’s ability to raise additional equity capital is severely constrained.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 believes it is critically important for the Company to maintain its flexibility in</w:t>
      </w:r>
    </w:p>
    <w:p>
      <w:pPr>
        <w:ind w:left="1260"/>
        <w:spacing w:after="0"/>
        <w:rPr>
          <w:sz w:val="20"/>
          <w:szCs w:val="20"/>
          <w:color w:val="auto"/>
        </w:rPr>
      </w:pPr>
      <w:r>
        <w:rPr>
          <w:rFonts w:ascii="Arial" w:cs="Arial" w:eastAsia="Arial" w:hAnsi="Arial"/>
          <w:sz w:val="18"/>
          <w:szCs w:val="18"/>
          <w:color w:val="auto"/>
        </w:rPr>
        <w:t>accessing the equity capital markets.</w:t>
      </w:r>
    </w:p>
    <w:p>
      <w:pPr>
        <w:spacing w:after="0" w:line="115"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If the Charter Amendment is approved by the stockholders, 250,000,000 shares of Common Stock will be authorized for issuance and the 100,000,000 additional authorized shares of Common Stock may be issued by the Company without any further action by the stockholders, except to the extent required by law or regulation or stock exchange requirement. Any additional authorized shares of Common Stock, if and when issued, would be part of the Company’s existing class of Common Stock, and would have the same rights and privileges as the currently outstanding shares of Common Stock. The issuance of additional authorized shares of Common Stock may, among other things, have a dilutive effect on earnings per share and on the equity and voting power of existing holders of Common Stock. Although the Board of Directors has no present intention of issuing additional shares for such purposes, the proposed increase in the number of authorized shares of Common Stock could also enable the Board of Directors to render more difficult or discourage an attempt by another person or entity to obtain control of the Company. The Board of Directors is not aware of any attempt, or contemplated attempt, to acquire control of the Company, and this proposal is not being presented with the intent that it be utilized as a type of anti-takeover device. The Charter Amendment has been prompted by business and financial considerations. The Charter Amendment will not by itself change the number of issued shares of Common Stock nor will it change the rights of current holders of the Company’s Common Stock.</w:t>
      </w:r>
    </w:p>
    <w:p>
      <w:pPr>
        <w:spacing w:after="0" w:line="11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If the Company’s stockholders approve this Proposal, the Charter Amendment will become effective upon its filing with the Secretary of State of the State of Delaware, or such later time as specified in such filing. If the Charter Amendment is adopted and approved by the stockholders, the Company currently anticipates filing the Charter Amendment with the Secretary of State of the State of Delaware on or around October 1, 2021.</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and Vote Required</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Arial" w:cs="Arial" w:eastAsia="Arial" w:hAnsi="Arial"/>
          <w:sz w:val="18"/>
          <w:szCs w:val="18"/>
          <w:b w:val="1"/>
          <w:bCs w:val="1"/>
          <w:color w:val="auto"/>
        </w:rPr>
        <w:t xml:space="preserve">The Board of Directors recommends that stockholders vote “FOR” the approval of the Charter Amendment to increase the number of authorized shares of Common Stock. </w:t>
      </w:r>
      <w:r>
        <w:rPr>
          <w:rFonts w:ascii="Arial" w:cs="Arial" w:eastAsia="Arial" w:hAnsi="Arial"/>
          <w:sz w:val="18"/>
          <w:szCs w:val="18"/>
          <w:color w:val="auto"/>
        </w:rPr>
        <w:t>The proxy holders will vote all</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received for approval of this proposal unless instructed otherwise. Approval of this proposal requires the affirmative vote of a majority of the outstanding shares of Common Stock. Abstentions will have the same effect as votes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40" w:right="60"/>
        <w:spacing w:after="0" w:line="266" w:lineRule="auto"/>
        <w:rPr>
          <w:sz w:val="20"/>
          <w:szCs w:val="20"/>
          <w:color w:val="auto"/>
        </w:rPr>
      </w:pPr>
      <w:r>
        <w:rPr>
          <w:rFonts w:ascii="Arial" w:cs="Arial" w:eastAsia="Arial" w:hAnsi="Arial"/>
          <w:sz w:val="18"/>
          <w:szCs w:val="18"/>
          <w:b w:val="1"/>
          <w:bCs w:val="1"/>
          <w:color w:val="auto"/>
        </w:rPr>
        <w:t>PROPOSAL 4: ADVISORY VOTE ON APPROVAL OF EXECUTIVE COMPENSATION AS DISCLOSED IN THIS PROXY STATEMENT</w:t>
      </w:r>
    </w:p>
    <w:p>
      <w:pPr>
        <w:spacing w:after="0" w:line="16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4)</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2022 annual meeting of stockholders.</w:t>
      </w:r>
    </w:p>
    <w:p>
      <w:pPr>
        <w:spacing w:after="0" w:line="124"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 -term success. Our compensation program is also designed to reinforce a sense of ownership and to link compensation to our performance as well as the performance of each of our named executive officers.</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1800" w:right="7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89" w:lineRule="exact"/>
        <w:rPr>
          <w:sz w:val="20"/>
          <w:szCs w:val="20"/>
          <w:color w:val="auto"/>
        </w:rPr>
      </w:pPr>
    </w:p>
    <w:p>
      <w:pPr>
        <w:jc w:val="both"/>
        <w:ind w:left="1260" w:right="839" w:firstLine="360"/>
        <w:spacing w:after="0" w:line="270" w:lineRule="auto"/>
        <w:rPr>
          <w:sz w:val="20"/>
          <w:szCs w:val="20"/>
          <w:color w:val="auto"/>
        </w:rPr>
      </w:pPr>
      <w:r>
        <w:rPr>
          <w:rFonts w:ascii="Arial" w:cs="Arial" w:eastAsia="Arial" w:hAnsi="Arial"/>
          <w:sz w:val="17"/>
          <w:szCs w:val="17"/>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56"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4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2021 annual meeting:</w:t>
      </w:r>
    </w:p>
    <w:p>
      <w:pPr>
        <w:spacing w:after="0" w:line="103"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color w:val="auto"/>
        </w:rPr>
        <w:t>“RESOLVED, that the compensation paid to the named executive officers of XpresSpa Group, Inc., as disclosed pursuant to the compensation disclosure rules of the Securities and Exchange Commission in the compensation tables and the related material disclosed in the proxy statement, is hereby APPROVED.”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03"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900" w:right="60"/>
        <w:spacing w:after="0" w:line="266" w:lineRule="auto"/>
        <w:rPr>
          <w:sz w:val="20"/>
          <w:szCs w:val="20"/>
          <w:color w:val="auto"/>
        </w:rPr>
      </w:pPr>
      <w:r>
        <w:rPr>
          <w:rFonts w:ascii="Arial" w:cs="Arial" w:eastAsia="Arial" w:hAnsi="Arial"/>
          <w:sz w:val="18"/>
          <w:szCs w:val="18"/>
          <w:b w:val="1"/>
          <w:bCs w:val="1"/>
          <w:color w:val="auto"/>
        </w:rPr>
        <w:t>PROPOSAL 5: APPROVAL OF THE ADJOURNMENT OF THE ANNUAL MEETING, IF NECESSARY, TO SOLICIT ADDITIONAL PROXIES IF THERE ARE NOT SUFFICIENT VOTES IN FAVOR OF PROPOSALS 2 THROUGH 4</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(Notice Item 5)</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4.</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the Proposals 2 through 4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5. For purposes of the vote on this Proposal 5, an abstention will have the same effect as a vote “AGAINST” such proposal.</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THROUGH 4,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CODE OF CONDUCT AND ETHICS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 and will be made available to stockholders without charge, upon</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62" w:lineRule="exact"/>
        <w:rPr>
          <w:sz w:val="20"/>
          <w:szCs w:val="20"/>
          <w:color w:val="auto"/>
        </w:rPr>
      </w:pPr>
    </w:p>
    <w:p>
      <w:pPr>
        <w:ind w:left="1260" w:right="759" w:firstLine="360"/>
        <w:spacing w:after="0" w:line="235" w:lineRule="auto"/>
        <w:rPr>
          <w:sz w:val="20"/>
          <w:szCs w:val="20"/>
          <w:color w:val="auto"/>
        </w:rPr>
      </w:pPr>
      <w:r>
        <w:rPr>
          <w:rFonts w:ascii="Arial" w:cs="Arial" w:eastAsia="Arial" w:hAnsi="Arial"/>
          <w:sz w:val="18"/>
          <w:szCs w:val="18"/>
          <w:color w:val="auto"/>
        </w:rPr>
        <w:t>To be considered for inclusion in the proxy statement relating to our 2022 annual meeting of stockholders, we must receive stockholder proposals (other than for director nominations) no later than April 22, 2022, which is 120 days prior to the date that is one year from this year’s release date. All stockholder proposals should be sent to the attention of XpresSpa Group, Inc., 254 West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Street,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10001, attention Cara Soffer, General Counsel.</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left="1860" w:right="1240"/>
        <w:spacing w:after="0" w:line="275" w:lineRule="auto"/>
        <w:rPr>
          <w:sz w:val="20"/>
          <w:szCs w:val="20"/>
          <w:color w:val="auto"/>
        </w:rPr>
      </w:pPr>
      <w:r>
        <w:rPr>
          <w:rFonts w:ascii="Arial" w:cs="Arial" w:eastAsia="Arial" w:hAnsi="Arial"/>
          <w:sz w:val="18"/>
          <w:szCs w:val="18"/>
          <w:b w:val="1"/>
          <w:bCs w:val="1"/>
          <w:color w:val="auto"/>
        </w:rPr>
        <w:t>CERTIFICATE OF AMENDMENT TO AMENDED AND RESTATED CERTIFICATE OF INCORPORATION OF XPRESSPA GROUP, INC.</w:t>
      </w:r>
    </w:p>
    <w:p>
      <w:pPr>
        <w:spacing w:after="0" w:line="31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16" w:lineRule="exact"/>
        <w:rPr>
          <w:sz w:val="20"/>
          <w:szCs w:val="20"/>
          <w:color w:val="auto"/>
        </w:rPr>
      </w:pPr>
    </w:p>
    <w:p>
      <w:pPr>
        <w:ind w:left="1260" w:right="519" w:firstLine="360"/>
        <w:spacing w:after="0" w:line="254" w:lineRule="auto"/>
        <w:tabs>
          <w:tab w:leader="none" w:pos="18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27" w:lineRule="exact"/>
        <w:rPr>
          <w:rFonts w:ascii="Arial" w:cs="Arial" w:eastAsia="Arial" w:hAnsi="Arial"/>
          <w:sz w:val="18"/>
          <w:szCs w:val="18"/>
          <w:color w:val="auto"/>
        </w:rPr>
      </w:pPr>
    </w:p>
    <w:p>
      <w:pPr>
        <w:ind w:left="1260" w:right="519" w:firstLine="360"/>
        <w:spacing w:after="0" w:line="273" w:lineRule="auto"/>
        <w:tabs>
          <w:tab w:leader="none" w:pos="18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second sentence of Article Fourth of the Corporation’s Amended and Restated Certificate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Incorporation is hereby amended and restated in its entirety to read as follows:</w:t>
      </w:r>
    </w:p>
    <w:p>
      <w:pPr>
        <w:spacing w:after="0" w:line="143"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total number of shares the Corporation shall have the authority to issue is two hundred sixty million (260,000,000) shares, two hundred fifty million (250,000,000) shares of which shall be Common Stock and ten million (10,000,000) shares of which shall be Preferred Stock.”</w:t>
      </w:r>
    </w:p>
    <w:p>
      <w:pPr>
        <w:spacing w:after="0" w:line="116" w:lineRule="exact"/>
        <w:rPr>
          <w:sz w:val="20"/>
          <w:szCs w:val="20"/>
          <w:color w:val="auto"/>
        </w:rPr>
      </w:pPr>
    </w:p>
    <w:p>
      <w:pPr>
        <w:ind w:left="1620"/>
        <w:spacing w:after="0"/>
        <w:tabs>
          <w:tab w:leader="none" w:pos="6980" w:val="left"/>
          <w:tab w:leader="none" w:pos="8240" w:val="left"/>
        </w:tabs>
        <w:rPr>
          <w:sz w:val="20"/>
          <w:szCs w:val="20"/>
          <w:color w:val="auto"/>
        </w:rPr>
      </w:pPr>
      <w:r>
        <w:rPr>
          <w:rFonts w:ascii="Arial" w:cs="Arial" w:eastAsia="Arial" w:hAnsi="Arial"/>
          <w:sz w:val="18"/>
          <w:szCs w:val="18"/>
          <w:color w:val="auto"/>
        </w:rPr>
        <w:t>This Certificate of Amendment shall be effective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Eastern Time.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of Amendment to be signed by</w:t>
      </w:r>
    </w:p>
    <w:p>
      <w:pPr>
        <w:spacing w:after="0" w:line="39" w:lineRule="exact"/>
        <w:rPr>
          <w:sz w:val="20"/>
          <w:szCs w:val="20"/>
          <w:color w:val="auto"/>
        </w:rPr>
      </w:pPr>
    </w:p>
    <w:p>
      <w:pPr>
        <w:ind w:left="1260"/>
        <w:spacing w:after="0"/>
        <w:tabs>
          <w:tab w:leader="none" w:pos="4400" w:val="left"/>
          <w:tab w:leader="none" w:pos="6320" w:val="left"/>
          <w:tab w:leader="none" w:pos="7160" w:val="left"/>
        </w:tabs>
        <w:rPr>
          <w:sz w:val="20"/>
          <w:szCs w:val="20"/>
          <w:color w:val="auto"/>
        </w:rPr>
      </w:pPr>
      <w:r>
        <w:rPr>
          <w:rFonts w:ascii="Arial" w:cs="Arial" w:eastAsia="Arial" w:hAnsi="Arial"/>
          <w:sz w:val="18"/>
          <w:szCs w:val="18"/>
          <w:color w:val="auto"/>
        </w:rPr>
        <w:t>its Chief Executive Officer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XPRESSPA GROUP, INC.</w:t>
      </w:r>
    </w:p>
    <w:p>
      <w:pPr>
        <w:spacing w:after="0" w:line="13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-26670</wp:posOffset>
            </wp:positionV>
            <wp:extent cx="2331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Name: Douglas Satzman</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XPRESSPA GROUP</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687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687070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782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878205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amp;"/>
      <w:numFmt w:val="bullet"/>
      <w:start w:val="1"/>
    </w:lvl>
    <w:lvl w:ilvl="1">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5"/>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Roman"/>
      <w:start w:val="4"/>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2021-08-06T17:05:10Z</dcterms:created>
  <dcterms:modified xsi:type="dcterms:W3CDTF">2021-08-06T17:05:10Z</dcterms:modified>
</cp:coreProperties>
</file>