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1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8"/>
              </w:rPr>
              <w:t>Delaware</w:t>
            </w:r>
          </w:p>
        </w:tc>
        <w:tc>
          <w:tcPr>
            <w:tcW w:w="4300" w:type="dxa"/>
            <w:vAlign w:val="bottom"/>
          </w:tcPr>
          <w:p>
            <w:pPr>
              <w:jc w:val="center"/>
              <w:ind w:right="1092"/>
              <w:spacing w:after="0"/>
              <w:rPr>
                <w:sz w:val="20"/>
                <w:szCs w:val="20"/>
                <w:color w:val="auto"/>
              </w:rPr>
            </w:pPr>
            <w:r>
              <w:rPr>
                <w:rFonts w:ascii="Arial" w:cs="Arial" w:eastAsia="Arial" w:hAnsi="Arial"/>
                <w:sz w:val="18"/>
                <w:szCs w:val="18"/>
                <w:b w:val="1"/>
                <w:bCs w:val="1"/>
                <w:color w:val="auto"/>
                <w:w w:val="87"/>
              </w:rPr>
              <w:t>20-4988129</w:t>
            </w:r>
          </w:p>
        </w:tc>
      </w:tr>
      <w:tr>
        <w:trPr>
          <w:trHeight w:val="648"/>
        </w:trPr>
        <w:tc>
          <w:tcPr>
            <w:tcW w:w="7120" w:type="dxa"/>
            <w:vAlign w:val="bottom"/>
          </w:tcPr>
          <w:p>
            <w:pPr>
              <w:jc w:val="center"/>
              <w:ind w:right="1312"/>
              <w:spacing w:after="0"/>
              <w:rPr>
                <w:sz w:val="20"/>
                <w:szCs w:val="20"/>
                <w:color w:val="auto"/>
              </w:rPr>
            </w:pPr>
            <w:r>
              <w:rPr>
                <w:rFonts w:ascii="Arial" w:cs="Arial" w:eastAsia="Arial" w:hAnsi="Arial"/>
                <w:sz w:val="18"/>
                <w:szCs w:val="18"/>
                <w:color w:val="auto"/>
                <w:w w:val="89"/>
              </w:rPr>
              <w:t>(State of incorporation or organization)</w:t>
            </w:r>
          </w:p>
        </w:tc>
        <w:tc>
          <w:tcPr>
            <w:tcW w:w="4300" w:type="dxa"/>
            <w:vAlign w:val="bottom"/>
          </w:tcPr>
          <w:p>
            <w:pPr>
              <w:jc w:val="center"/>
              <w:ind w:right="1072"/>
              <w:spacing w:after="0"/>
              <w:rPr>
                <w:sz w:val="20"/>
                <w:szCs w:val="20"/>
                <w:color w:val="auto"/>
              </w:rPr>
            </w:pPr>
            <w:r>
              <w:rPr>
                <w:rFonts w:ascii="Arial" w:cs="Arial" w:eastAsia="Arial" w:hAnsi="Arial"/>
                <w:sz w:val="18"/>
                <w:szCs w:val="18"/>
                <w:color w:val="auto"/>
                <w:w w:val="91"/>
              </w:rPr>
              <w:t>(I.R.S. Employer Identification No.)</w:t>
            </w:r>
          </w:p>
        </w:tc>
      </w:tr>
      <w:tr>
        <w:trPr>
          <w:trHeight w:val="366"/>
        </w:trPr>
        <w:tc>
          <w:tcPr>
            <w:tcW w:w="7120" w:type="dxa"/>
            <w:vAlign w:val="bottom"/>
          </w:tcPr>
          <w:p>
            <w:pPr>
              <w:jc w:val="center"/>
              <w:ind w:left="4232"/>
              <w:spacing w:after="0"/>
              <w:rPr>
                <w:sz w:val="20"/>
                <w:szCs w:val="20"/>
                <w:color w:val="auto"/>
              </w:rPr>
            </w:pPr>
            <w:r>
              <w:rPr>
                <w:rFonts w:ascii="Arial" w:cs="Arial" w:eastAsia="Arial" w:hAnsi="Arial"/>
                <w:sz w:val="18"/>
                <w:szCs w:val="18"/>
                <w:b w:val="1"/>
                <w:bCs w:val="1"/>
                <w:color w:val="auto"/>
                <w:w w:val="88"/>
              </w:rPr>
              <w:t>18 East 16th Street, 7th Floor</w:t>
            </w:r>
          </w:p>
        </w:tc>
        <w:tc>
          <w:tcPr>
            <w:tcW w:w="4300" w:type="dxa"/>
            <w:vAlign w:val="bottom"/>
          </w:tcPr>
          <w:p>
            <w:pPr>
              <w:spacing w:after="0"/>
              <w:rPr>
                <w:sz w:val="24"/>
                <w:szCs w:val="24"/>
                <w:color w:val="auto"/>
              </w:rPr>
            </w:pPr>
          </w:p>
        </w:tc>
      </w:tr>
      <w:tr>
        <w:trPr>
          <w:trHeight w:val="228"/>
        </w:trPr>
        <w:tc>
          <w:tcPr>
            <w:tcW w:w="7120" w:type="dxa"/>
            <w:vAlign w:val="bottom"/>
          </w:tcPr>
          <w:p>
            <w:pPr>
              <w:jc w:val="center"/>
              <w:ind w:left="4212"/>
              <w:spacing w:after="0"/>
              <w:rPr>
                <w:sz w:val="20"/>
                <w:szCs w:val="20"/>
                <w:color w:val="auto"/>
              </w:rPr>
            </w:pPr>
            <w:r>
              <w:rPr>
                <w:rFonts w:ascii="Arial" w:cs="Arial" w:eastAsia="Arial" w:hAnsi="Arial"/>
                <w:sz w:val="18"/>
                <w:szCs w:val="18"/>
                <w:b w:val="1"/>
                <w:bCs w:val="1"/>
                <w:color w:val="auto"/>
                <w:w w:val="89"/>
              </w:rPr>
              <w:t>New York, New York 10003</w:t>
            </w:r>
          </w:p>
        </w:tc>
        <w:tc>
          <w:tcPr>
            <w:tcW w:w="4300" w:type="dxa"/>
            <w:vAlign w:val="bottom"/>
          </w:tcPr>
          <w:p>
            <w:pPr>
              <w:spacing w:after="0"/>
              <w:rPr>
                <w:sz w:val="19"/>
                <w:szCs w:val="19"/>
                <w:color w:val="auto"/>
              </w:rPr>
            </w:pPr>
          </w:p>
        </w:tc>
      </w:tr>
      <w:tr>
        <w:trPr>
          <w:trHeight w:val="205"/>
        </w:trPr>
        <w:tc>
          <w:tcPr>
            <w:tcW w:w="11420" w:type="dxa"/>
            <w:vAlign w:val="bottom"/>
            <w:tcBorders>
              <w:bottom w:val="single" w:sz="8" w:color="auto"/>
            </w:tcBorders>
            <w:gridSpan w:val="2"/>
          </w:tcPr>
          <w:p>
            <w:pPr>
              <w:spacing w:after="0"/>
              <w:rPr>
                <w:sz w:val="17"/>
                <w:szCs w:val="17"/>
                <w:color w:val="auto"/>
              </w:rPr>
            </w:pPr>
          </w:p>
        </w:tc>
      </w:tr>
      <w:tr>
        <w:trPr>
          <w:trHeight w:val="235"/>
        </w:trPr>
        <w:tc>
          <w:tcPr>
            <w:tcW w:w="11420" w:type="dxa"/>
            <w:vAlign w:val="bottom"/>
            <w:gridSpan w:val="2"/>
          </w:tcPr>
          <w:p>
            <w:pPr>
              <w:jc w:val="center"/>
              <w:spacing w:after="0"/>
              <w:rPr>
                <w:sz w:val="20"/>
                <w:szCs w:val="20"/>
                <w:color w:val="auto"/>
              </w:rPr>
            </w:pPr>
            <w:r>
              <w:rPr>
                <w:rFonts w:ascii="Arial" w:cs="Arial" w:eastAsia="Arial" w:hAnsi="Arial"/>
                <w:sz w:val="18"/>
                <w:szCs w:val="18"/>
                <w:color w:val="auto"/>
                <w:w w:val="89"/>
              </w:rPr>
              <w:t>(Address of principal executive offices and zip code)</w:t>
            </w:r>
          </w:p>
        </w:tc>
      </w:tr>
      <w:tr>
        <w:trPr>
          <w:trHeight w:val="378"/>
        </w:trPr>
        <w:tc>
          <w:tcPr>
            <w:tcW w:w="7120" w:type="dxa"/>
            <w:vAlign w:val="bottom"/>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4300" w:type="dxa"/>
            <w:vAlign w:val="bottom"/>
          </w:tcPr>
          <w:p>
            <w:pPr>
              <w:spacing w:after="0"/>
              <w:rPr>
                <w:sz w:val="24"/>
                <w:szCs w:val="24"/>
                <w:color w:val="auto"/>
              </w:rPr>
            </w:pPr>
          </w:p>
        </w:tc>
      </w:tr>
      <w:tr>
        <w:trPr>
          <w:trHeight w:val="412"/>
        </w:trPr>
        <w:tc>
          <w:tcPr>
            <w:tcW w:w="7120" w:type="dxa"/>
            <w:vAlign w:val="bottom"/>
          </w:tcPr>
          <w:p>
            <w:pPr>
              <w:jc w:val="center"/>
              <w:ind w:right="1292"/>
              <w:spacing w:after="0"/>
              <w:rPr>
                <w:sz w:val="20"/>
                <w:szCs w:val="20"/>
                <w:color w:val="auto"/>
              </w:rPr>
            </w:pPr>
            <w:r>
              <w:rPr>
                <w:rFonts w:ascii="Arial" w:cs="Arial" w:eastAsia="Arial" w:hAnsi="Arial"/>
                <w:sz w:val="18"/>
                <w:szCs w:val="18"/>
                <w:color w:val="auto"/>
                <w:w w:val="87"/>
              </w:rPr>
              <w:t>Title of each class</w:t>
            </w:r>
          </w:p>
        </w:tc>
        <w:tc>
          <w:tcPr>
            <w:tcW w:w="4300" w:type="dxa"/>
            <w:vAlign w:val="bottom"/>
          </w:tcPr>
          <w:p>
            <w:pPr>
              <w:jc w:val="center"/>
              <w:ind w:right="1072"/>
              <w:spacing w:after="0"/>
              <w:rPr>
                <w:sz w:val="20"/>
                <w:szCs w:val="20"/>
                <w:color w:val="auto"/>
              </w:rPr>
            </w:pPr>
            <w:r>
              <w:rPr>
                <w:rFonts w:ascii="Arial" w:cs="Arial" w:eastAsia="Arial" w:hAnsi="Arial"/>
                <w:sz w:val="18"/>
                <w:szCs w:val="18"/>
                <w:color w:val="auto"/>
                <w:w w:val="87"/>
              </w:rPr>
              <w:t>Name of each exchange on which</w:t>
            </w:r>
          </w:p>
        </w:tc>
      </w:tr>
      <w:tr>
        <w:trPr>
          <w:trHeight w:val="222"/>
        </w:trPr>
        <w:tc>
          <w:tcPr>
            <w:tcW w:w="7120" w:type="dxa"/>
            <w:vAlign w:val="bottom"/>
          </w:tcPr>
          <w:p>
            <w:pPr>
              <w:jc w:val="center"/>
              <w:ind w:right="1312"/>
              <w:spacing w:after="0"/>
              <w:rPr>
                <w:sz w:val="20"/>
                <w:szCs w:val="20"/>
                <w:color w:val="auto"/>
              </w:rPr>
            </w:pPr>
            <w:r>
              <w:rPr>
                <w:rFonts w:ascii="Arial" w:cs="Arial" w:eastAsia="Arial" w:hAnsi="Arial"/>
                <w:sz w:val="18"/>
                <w:szCs w:val="18"/>
                <w:color w:val="auto"/>
                <w:w w:val="85"/>
              </w:rPr>
              <w:t>to be so registered</w:t>
            </w:r>
          </w:p>
        </w:tc>
        <w:tc>
          <w:tcPr>
            <w:tcW w:w="4300" w:type="dxa"/>
            <w:vAlign w:val="bottom"/>
          </w:tcPr>
          <w:p>
            <w:pPr>
              <w:jc w:val="center"/>
              <w:ind w:right="1092"/>
              <w:spacing w:after="0"/>
              <w:rPr>
                <w:sz w:val="20"/>
                <w:szCs w:val="20"/>
                <w:color w:val="auto"/>
              </w:rPr>
            </w:pPr>
            <w:r>
              <w:rPr>
                <w:rFonts w:ascii="Arial" w:cs="Arial" w:eastAsia="Arial" w:hAnsi="Arial"/>
                <w:sz w:val="18"/>
                <w:szCs w:val="18"/>
                <w:color w:val="auto"/>
                <w:w w:val="85"/>
              </w:rPr>
              <w:t>each class is to be registered</w:t>
            </w:r>
          </w:p>
        </w:tc>
      </w:tr>
      <w:tr>
        <w:trPr>
          <w:trHeight w:val="433"/>
        </w:trPr>
        <w:tc>
          <w:tcPr>
            <w:tcW w:w="7120" w:type="dxa"/>
            <w:vAlign w:val="bottom"/>
          </w:tcPr>
          <w:p>
            <w:pPr>
              <w:jc w:val="center"/>
              <w:ind w:right="1312"/>
              <w:spacing w:after="0"/>
              <w:rPr>
                <w:sz w:val="20"/>
                <w:szCs w:val="20"/>
                <w:color w:val="auto"/>
              </w:rPr>
            </w:pPr>
            <w:r>
              <w:rPr>
                <w:rFonts w:ascii="Arial" w:cs="Arial" w:eastAsia="Arial" w:hAnsi="Arial"/>
                <w:sz w:val="18"/>
                <w:szCs w:val="18"/>
                <w:b w:val="1"/>
                <w:bCs w:val="1"/>
                <w:color w:val="auto"/>
                <w:w w:val="86"/>
              </w:rPr>
              <w:t>Units, each consisting of one share of Common Stock and two Warrants</w:t>
            </w:r>
          </w:p>
        </w:tc>
        <w:tc>
          <w:tcPr>
            <w:tcW w:w="4300" w:type="dxa"/>
            <w:vAlign w:val="bottom"/>
          </w:tcPr>
          <w:p>
            <w:pPr>
              <w:jc w:val="center"/>
              <w:ind w:right="1092"/>
              <w:spacing w:after="0"/>
              <w:rPr>
                <w:sz w:val="20"/>
                <w:szCs w:val="20"/>
                <w:color w:val="auto"/>
              </w:rPr>
            </w:pPr>
            <w:r>
              <w:rPr>
                <w:rFonts w:ascii="Arial" w:cs="Arial" w:eastAsia="Arial" w:hAnsi="Arial"/>
                <w:sz w:val="18"/>
                <w:szCs w:val="18"/>
                <w:b w:val="1"/>
                <w:bCs w:val="1"/>
                <w:color w:val="auto"/>
                <w:w w:val="95"/>
              </w:rPr>
              <w:t>NYSE Amex LLC</w:t>
            </w:r>
          </w:p>
        </w:tc>
      </w:tr>
      <w:tr>
        <w:trPr>
          <w:trHeight w:val="216"/>
        </w:trPr>
        <w:tc>
          <w:tcPr>
            <w:tcW w:w="71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7"/>
              </w:rPr>
              <w:t>Common Stock, $0.01 par value per share</w:t>
            </w:r>
          </w:p>
        </w:tc>
        <w:tc>
          <w:tcPr>
            <w:tcW w:w="4300" w:type="dxa"/>
            <w:vAlign w:val="bottom"/>
          </w:tcPr>
          <w:p>
            <w:pPr>
              <w:jc w:val="center"/>
              <w:ind w:right="1092"/>
              <w:spacing w:after="0"/>
              <w:rPr>
                <w:sz w:val="20"/>
                <w:szCs w:val="20"/>
                <w:color w:val="auto"/>
              </w:rPr>
            </w:pPr>
            <w:r>
              <w:rPr>
                <w:rFonts w:ascii="Arial" w:cs="Arial" w:eastAsia="Arial" w:hAnsi="Arial"/>
                <w:sz w:val="18"/>
                <w:szCs w:val="18"/>
                <w:b w:val="1"/>
                <w:bCs w:val="1"/>
                <w:color w:val="auto"/>
                <w:w w:val="95"/>
              </w:rPr>
              <w:t>NYSE Amex LLC</w:t>
            </w:r>
          </w:p>
        </w:tc>
      </w:tr>
      <w:tr>
        <w:trPr>
          <w:trHeight w:val="228"/>
        </w:trPr>
        <w:tc>
          <w:tcPr>
            <w:tcW w:w="7120" w:type="dxa"/>
            <w:vAlign w:val="bottom"/>
          </w:tcPr>
          <w:p>
            <w:pPr>
              <w:jc w:val="center"/>
              <w:ind w:right="1292"/>
              <w:spacing w:after="0"/>
              <w:rPr>
                <w:sz w:val="20"/>
                <w:szCs w:val="20"/>
                <w:color w:val="auto"/>
              </w:rPr>
            </w:pPr>
            <w:r>
              <w:rPr>
                <w:rFonts w:ascii="Arial" w:cs="Arial" w:eastAsia="Arial" w:hAnsi="Arial"/>
                <w:sz w:val="18"/>
                <w:szCs w:val="18"/>
                <w:b w:val="1"/>
                <w:bCs w:val="1"/>
                <w:color w:val="auto"/>
                <w:w w:val="86"/>
              </w:rPr>
              <w:t>Warrants, each to purchase one share of Common Stock</w:t>
            </w:r>
          </w:p>
        </w:tc>
        <w:tc>
          <w:tcPr>
            <w:tcW w:w="4300" w:type="dxa"/>
            <w:vAlign w:val="bottom"/>
          </w:tcPr>
          <w:p>
            <w:pPr>
              <w:jc w:val="center"/>
              <w:ind w:right="1092"/>
              <w:spacing w:after="0"/>
              <w:rPr>
                <w:sz w:val="20"/>
                <w:szCs w:val="20"/>
                <w:color w:val="auto"/>
              </w:rPr>
            </w:pPr>
            <w:r>
              <w:rPr>
                <w:rFonts w:ascii="Arial" w:cs="Arial" w:eastAsia="Arial" w:hAnsi="Arial"/>
                <w:sz w:val="18"/>
                <w:szCs w:val="18"/>
                <w:b w:val="1"/>
                <w:bCs w:val="1"/>
                <w:color w:val="auto"/>
                <w:w w:val="95"/>
              </w:rPr>
              <w:t>NYSE Amex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333-164575</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ectPr>
          <w:pgSz w:w="11900" w:h="16838" w:orient="portrait"/>
          <w:cols w:equalWidth="0" w:num="1">
            <w:col w:w="11420"/>
          </w:cols>
          <w:pgMar w:left="240" w:top="206"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 description of securities registered hereby is set forth in the registration statement on Form S-1 (Registration No. 333-164575), as originally filed with the Securities and Exchange Commission on January 29, 2010, as amended from time to time (the “Registration Statement”) and is incorporated by reference herein. Any form of prospectus or prospectus supplement to the Registration Statement that includes such descriptions and that is subsequently filed is hereby also incorporated by reference herein.</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have been filed as exhibits to the Registration Statement, as amended, and are incorporated herein by reference: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0700" w:type="dxa"/>
            <w:vAlign w:val="bottom"/>
            <w:gridSpan w:val="2"/>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860" w:type="dxa"/>
            <w:vAlign w:val="bottom"/>
          </w:tcPr>
          <w:p>
            <w:pPr>
              <w:spacing w:after="0"/>
              <w:rPr>
                <w:sz w:val="17"/>
                <w:szCs w:val="17"/>
                <w:color w:val="auto"/>
              </w:rPr>
            </w:pPr>
          </w:p>
        </w:tc>
        <w:tc>
          <w:tcPr>
            <w:tcW w:w="9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Amended and Restated Certificate of Incorporation.*</w:t>
            </w: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Amended and Restated Bylaws.*</w:t>
            </w: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Specimen unit certificate.*</w:t>
            </w: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Specimen common stock certificate. *</w:t>
            </w:r>
          </w:p>
        </w:tc>
      </w:tr>
      <w:tr>
        <w:trPr>
          <w:trHeight w:val="2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Specimen warrant certificate. *</w:t>
            </w:r>
          </w:p>
        </w:tc>
      </w:tr>
      <w:tr>
        <w:trPr>
          <w:trHeight w:val="222"/>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Form of Warrant Agreement. *</w:t>
            </w:r>
          </w:p>
        </w:tc>
      </w:tr>
    </w:tbl>
    <w:p>
      <w:pPr>
        <w:spacing w:after="0" w:line="7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the corresponding exhibit of the same number filed with the Registration Statement.</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June 16, 2010</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Jonathan Medved</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2019-12-11T04:47:41Z</dcterms:created>
  <dcterms:modified xsi:type="dcterms:W3CDTF">2019-12-11T04:47:41Z</dcterms:modified>
</cp:coreProperties>
</file>