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Lang Andrew Kennedy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VRINGO,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780 THIRD AVENUE, 15TH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Vringo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VRNG</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10/15/2012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CTO</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8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4"/>
            <w:vMerge w:val="restart"/>
          </w:tcPr>
          <w:p>
            <w:pPr>
              <w:ind w:left="60"/>
              <w:spacing w:after="0"/>
              <w:rPr>
                <w:sz w:val="20"/>
                <w:szCs w:val="20"/>
                <w:color w:val="auto"/>
              </w:rPr>
            </w:pPr>
            <w:r>
              <w:rPr>
                <w:rFonts w:ascii="Arial" w:cs="Arial" w:eastAsia="Arial" w:hAnsi="Arial"/>
                <w:sz w:val="18"/>
                <w:szCs w:val="18"/>
                <w:color w:val="0000FF"/>
                <w:w w:val="91"/>
              </w:rPr>
              <w:t>Common Stock, $0.01 par value per share</w:t>
            </w:r>
          </w:p>
        </w:tc>
        <w:tc>
          <w:tcPr>
            <w:tcW w:w="1140" w:type="dxa"/>
            <w:vAlign w:val="bottom"/>
            <w:gridSpan w:val="2"/>
            <w:vMerge w:val="restart"/>
          </w:tcPr>
          <w:p>
            <w:pPr>
              <w:jc w:val="right"/>
              <w:ind w:right="39"/>
              <w:spacing w:after="0"/>
              <w:rPr>
                <w:sz w:val="20"/>
                <w:szCs w:val="20"/>
                <w:color w:val="auto"/>
              </w:rPr>
            </w:pPr>
            <w:r>
              <w:rPr>
                <w:rFonts w:ascii="Arial" w:cs="Arial" w:eastAsia="Arial" w:hAnsi="Arial"/>
                <w:sz w:val="18"/>
                <w:szCs w:val="18"/>
                <w:color w:val="0000FF"/>
              </w:rPr>
              <w:t>10/15/2012</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20" w:type="dxa"/>
            <w:vAlign w:val="bottom"/>
            <w:vMerge w:val="restart"/>
          </w:tcPr>
          <w:p>
            <w:pPr>
              <w:ind w:left="180"/>
              <w:spacing w:after="0"/>
              <w:rPr>
                <w:sz w:val="20"/>
                <w:szCs w:val="20"/>
                <w:color w:val="auto"/>
              </w:rPr>
            </w:pPr>
            <w:r>
              <w:rPr>
                <w:rFonts w:ascii="Arial" w:cs="Arial" w:eastAsia="Arial" w:hAnsi="Arial"/>
                <w:sz w:val="18"/>
                <w:szCs w:val="18"/>
                <w:color w:val="0000FF"/>
                <w:w w:val="94"/>
              </w:rPr>
              <w:t>14,558</w:t>
            </w:r>
          </w:p>
        </w:tc>
        <w:tc>
          <w:tcPr>
            <w:tcW w:w="520" w:type="dxa"/>
            <w:vAlign w:val="bottom"/>
            <w:vMerge w:val="restart"/>
          </w:tcPr>
          <w:p>
            <w:pPr>
              <w:ind w:left="320"/>
              <w:spacing w:after="0"/>
              <w:rPr>
                <w:sz w:val="20"/>
                <w:szCs w:val="20"/>
                <w:color w:val="auto"/>
              </w:rPr>
            </w:pPr>
            <w:r>
              <w:rPr>
                <w:rFonts w:ascii="Arial" w:cs="Arial" w:eastAsia="Arial" w:hAnsi="Arial"/>
                <w:sz w:val="18"/>
                <w:szCs w:val="18"/>
                <w:color w:val="0000FF"/>
              </w:rPr>
              <w:t>D</w:t>
            </w:r>
          </w:p>
        </w:tc>
        <w:tc>
          <w:tcPr>
            <w:tcW w:w="780" w:type="dxa"/>
            <w:vAlign w:val="bottom"/>
            <w:gridSpan w:val="3"/>
            <w:vMerge w:val="restart"/>
          </w:tcPr>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4.655</w:t>
            </w:r>
          </w:p>
        </w:tc>
        <w:tc>
          <w:tcPr>
            <w:tcW w:w="1200" w:type="dxa"/>
            <w:vAlign w:val="bottom"/>
            <w:gridSpan w:val="2"/>
            <w:vMerge w:val="restart"/>
          </w:tcPr>
          <w:p>
            <w:pPr>
              <w:jc w:val="right"/>
              <w:ind w:right="199"/>
              <w:spacing w:after="0"/>
              <w:rPr>
                <w:sz w:val="20"/>
                <w:szCs w:val="20"/>
                <w:color w:val="auto"/>
              </w:rPr>
            </w:pPr>
            <w:r>
              <w:rPr>
                <w:rFonts w:ascii="Arial" w:cs="Arial" w:eastAsia="Arial" w:hAnsi="Arial"/>
                <w:sz w:val="18"/>
                <w:szCs w:val="18"/>
                <w:color w:val="0000FF"/>
              </w:rPr>
              <w:t>2,973,926</w:t>
            </w:r>
          </w:p>
        </w:tc>
        <w:tc>
          <w:tcPr>
            <w:tcW w:w="300" w:type="dxa"/>
            <w:vAlign w:val="bottom"/>
          </w:tcPr>
          <w:p>
            <w:pPr>
              <w:spacing w:after="0"/>
              <w:rPr>
                <w:sz w:val="18"/>
                <w:szCs w:val="18"/>
                <w:color w:val="auto"/>
              </w:rPr>
            </w:pPr>
          </w:p>
        </w:tc>
        <w:tc>
          <w:tcPr>
            <w:tcW w:w="700" w:type="dxa"/>
            <w:vAlign w:val="bottom"/>
            <w:vMerge w:val="restart"/>
          </w:tcPr>
          <w:p>
            <w:pPr>
              <w:ind w:left="14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spacing w:after="0"/>
              <w:rPr>
                <w:sz w:val="20"/>
                <w:szCs w:val="20"/>
                <w:color w:val="auto"/>
              </w:rPr>
            </w:pPr>
            <w:r>
              <w:rPr>
                <w:rFonts w:ascii="Arial" w:cs="Arial" w:eastAsia="Arial" w:hAnsi="Arial"/>
                <w:sz w:val="18"/>
                <w:szCs w:val="18"/>
                <w:color w:val="0000FF"/>
              </w:rPr>
              <w:t>Innovation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4"/>
            <w:vMerge w:val="continue"/>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780" w:type="dxa"/>
            <w:vAlign w:val="bottom"/>
            <w:gridSpan w:val="3"/>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60" w:type="dxa"/>
            <w:vAlign w:val="bottom"/>
            <w:gridSpan w:val="2"/>
            <w:vMerge w:val="restart"/>
          </w:tcPr>
          <w:p>
            <w:pPr>
              <w:spacing w:after="0"/>
              <w:rPr>
                <w:sz w:val="20"/>
                <w:szCs w:val="20"/>
                <w:color w:val="auto"/>
              </w:rPr>
            </w:pPr>
            <w:r>
              <w:rPr>
                <w:rFonts w:ascii="Arial" w:cs="Arial" w:eastAsia="Arial" w:hAnsi="Arial"/>
                <w:sz w:val="18"/>
                <w:szCs w:val="18"/>
                <w:color w:val="0000FF"/>
              </w:rPr>
              <w:t>Spring</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000FF"/>
              </w:rPr>
              <w:t>LLC</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180" w:type="dxa"/>
            <w:vAlign w:val="bottom"/>
            <w:tcBorders>
              <w:top w:val="single" w:sz="8" w:color="2C2C2C"/>
              <w:bottom w:val="single" w:sz="8" w:color="2C2C2C"/>
            </w:tcBorders>
            <w:gridSpan w:val="4"/>
          </w:tcPr>
          <w:p>
            <w:pPr>
              <w:ind w:left="60"/>
              <w:spacing w:after="0"/>
              <w:rPr>
                <w:sz w:val="20"/>
                <w:szCs w:val="20"/>
                <w:color w:val="auto"/>
              </w:rPr>
            </w:pPr>
            <w:r>
              <w:rPr>
                <w:rFonts w:ascii="Arial" w:cs="Arial" w:eastAsia="Arial" w:hAnsi="Arial"/>
                <w:sz w:val="18"/>
                <w:szCs w:val="18"/>
                <w:color w:val="0000FF"/>
                <w:w w:val="91"/>
              </w:rPr>
              <w:t>Common Stock, $0.01 par value per share</w:t>
            </w:r>
          </w:p>
        </w:tc>
        <w:tc>
          <w:tcPr>
            <w:tcW w:w="660" w:type="dxa"/>
            <w:vAlign w:val="bottom"/>
            <w:tcBorders>
              <w:top w:val="single" w:sz="8" w:color="2C2C2C"/>
              <w:bottom w:val="single" w:sz="8" w:color="2C2C2C"/>
            </w:tcBorders>
          </w:tcPr>
          <w:p>
            <w:pPr>
              <w:spacing w:after="0"/>
              <w:rPr>
                <w:sz w:val="24"/>
                <w:szCs w:val="24"/>
                <w:color w:val="auto"/>
              </w:rPr>
            </w:pPr>
          </w:p>
        </w:tc>
        <w:tc>
          <w:tcPr>
            <w:tcW w:w="48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60" w:type="dxa"/>
            <w:vAlign w:val="bottom"/>
            <w:tcBorders>
              <w:top w:val="single" w:sz="8" w:color="2C2C2C"/>
              <w:bottom w:val="single" w:sz="8" w:color="2C2C2C"/>
            </w:tcBorders>
          </w:tcPr>
          <w:p>
            <w:pPr>
              <w:spacing w:after="0"/>
              <w:rPr>
                <w:sz w:val="24"/>
                <w:szCs w:val="24"/>
                <w:color w:val="auto"/>
              </w:rPr>
            </w:pPr>
          </w:p>
        </w:tc>
        <w:tc>
          <w:tcPr>
            <w:tcW w:w="1200" w:type="dxa"/>
            <w:vAlign w:val="bottom"/>
            <w:tcBorders>
              <w:top w:val="single" w:sz="8" w:color="2C2C2C"/>
              <w:bottom w:val="single" w:sz="8" w:color="2C2C2C"/>
            </w:tcBorders>
            <w:gridSpan w:val="2"/>
          </w:tcPr>
          <w:p>
            <w:pPr>
              <w:jc w:val="center"/>
              <w:ind w:right="99"/>
              <w:spacing w:after="0"/>
              <w:rPr>
                <w:sz w:val="20"/>
                <w:szCs w:val="20"/>
                <w:color w:val="auto"/>
              </w:rPr>
            </w:pPr>
            <w:r>
              <w:rPr>
                <w:rFonts w:ascii="Arial" w:cs="Arial" w:eastAsia="Arial" w:hAnsi="Arial"/>
                <w:sz w:val="18"/>
                <w:szCs w:val="18"/>
                <w:color w:val="0000FF"/>
              </w:rPr>
              <w:t>2,765,400</w:t>
            </w:r>
            <w:r>
              <w:rPr>
                <w:rFonts w:ascii="Arial" w:cs="Arial" w:eastAsia="Arial" w:hAnsi="Arial"/>
                <w:sz w:val="22"/>
                <w:szCs w:val="22"/>
                <w:color w:val="008000"/>
                <w:vertAlign w:val="superscript"/>
              </w:rPr>
              <w:t>(1)</w:t>
            </w:r>
          </w:p>
        </w:tc>
        <w:tc>
          <w:tcPr>
            <w:tcW w:w="30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84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jc w:val="center"/>
              <w:ind w:left="8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0" w:type="dxa"/>
            <w:vAlign w:val="bottom"/>
            <w:gridSpan w:val="9"/>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125,000 shares of common stock that are represented by restricted stock units which vest over a four-year period, with 1/8 of the restricted stock units vesting on January 26, 2013 and 1/16 of the restricted stock units vesting ratably on a quarterly basis thereafter.</w:t>
      </w:r>
    </w:p>
    <w:p>
      <w:pPr>
        <w:spacing w:after="0" w:line="30"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Mr. Lang is the manager of Innovation Spring LLC ("Innovation Spring") and has the sole power to dispose or direct the disposition of the securities held by Innovation Spring. Innovation Spring Trust is the sole member and 100% owner of Innovation Spring and has the sole power to vote or direct the vote over the securities held by Innovation Spring. Mr. Lang does not have power to vote or direct the vote over the securities held by Innovation Spring.</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The transactions reported in this Form 4 were effected pursuant to a Rule 10b5-1 trading plan adopted by the reporting person on August 31, 2012.</w:t>
      </w:r>
    </w:p>
    <w:p>
      <w:pPr>
        <w:spacing w:after="0" w:line="48"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/s/ Andrew Kennedy Lang</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10/17/2012</w:t>
            </w:r>
          </w:p>
        </w:tc>
      </w:tr>
      <w:tr>
        <w:trPr>
          <w:trHeight w:val="20"/>
        </w:trPr>
        <w:tc>
          <w:tcPr>
            <w:tcW w:w="682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4675"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2019-12-17T07:04:52Z</dcterms:created>
  <dcterms:modified xsi:type="dcterms:W3CDTF">2019-12-17T07:04:52Z</dcterms:modified>
</cp:coreProperties>
</file>