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7" w:lineRule="exact"/>
        <w:rPr>
          <w:sz w:val="24"/>
          <w:szCs w:val="24"/>
          <w:color w:val="auto"/>
        </w:rPr>
      </w:pPr>
    </w:p>
    <w:p>
      <w:pPr>
        <w:ind w:left="3740" w:right="1820" w:hanging="3732"/>
        <w:spacing w:after="0" w:line="473" w:lineRule="auto"/>
        <w:tabs>
          <w:tab w:leader="none" w:pos="449"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September 30, 2016</w:t>
      </w:r>
    </w:p>
    <w:p>
      <w:pPr>
        <w:spacing w:after="0" w:line="30" w:lineRule="exact"/>
        <w:rPr>
          <w:sz w:val="24"/>
          <w:szCs w:val="24"/>
          <w:color w:val="auto"/>
        </w:rPr>
      </w:pPr>
    </w:p>
    <w:p>
      <w:pPr>
        <w:ind w:left="4460" w:right="1820" w:hanging="4452"/>
        <w:spacing w:after="0" w:line="501" w:lineRule="auto"/>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For the transition period from to</w:t>
      </w:r>
    </w:p>
    <w:tbl>
      <w:tblPr>
        <w:tblLayout w:type="fixed"/>
        <w:tblInd w:w="0" w:type="dxa"/>
        <w:tblCellMar>
          <w:top w:w="0" w:type="dxa"/>
          <w:left w:w="0" w:type="dxa"/>
          <w:bottom w:w="0" w:type="dxa"/>
          <w:right w:w="0" w:type="dxa"/>
        </w:tblCellMar>
      </w:tblPr>
      <w:tr>
        <w:trPr>
          <w:trHeight w:val="234"/>
        </w:trPr>
        <w:tc>
          <w:tcPr>
            <w:tcW w:w="7880" w:type="dxa"/>
            <w:vAlign w:val="bottom"/>
            <w:gridSpan w:val="5"/>
          </w:tcPr>
          <w:p>
            <w:pPr>
              <w:jc w:val="center"/>
              <w:ind w:left="3450"/>
              <w:spacing w:after="0"/>
              <w:rPr>
                <w:sz w:val="20"/>
                <w:szCs w:val="20"/>
                <w:color w:val="auto"/>
              </w:rPr>
            </w:pPr>
            <w:r>
              <w:rPr>
                <w:rFonts w:ascii="Arial" w:cs="Arial" w:eastAsia="Arial" w:hAnsi="Arial"/>
                <w:sz w:val="18"/>
                <w:szCs w:val="18"/>
                <w:b w:val="1"/>
                <w:bCs w:val="1"/>
                <w:color w:val="auto"/>
                <w:w w:val="90"/>
              </w:rPr>
              <w:t>Commission file number: 001-34785</w:t>
            </w:r>
          </w:p>
        </w:tc>
        <w:tc>
          <w:tcPr>
            <w:tcW w:w="3540" w:type="dxa"/>
            <w:vAlign w:val="bottom"/>
          </w:tcPr>
          <w:p>
            <w:pPr>
              <w:spacing w:after="0"/>
              <w:rPr>
                <w:sz w:val="20"/>
                <w:szCs w:val="20"/>
                <w:color w:val="auto"/>
              </w:rPr>
            </w:pPr>
          </w:p>
        </w:tc>
      </w:tr>
      <w:tr>
        <w:trPr>
          <w:trHeight w:val="414"/>
        </w:trPr>
        <w:tc>
          <w:tcPr>
            <w:tcW w:w="7880" w:type="dxa"/>
            <w:vAlign w:val="bottom"/>
            <w:gridSpan w:val="5"/>
          </w:tcPr>
          <w:p>
            <w:pPr>
              <w:jc w:val="center"/>
              <w:ind w:left="3450"/>
              <w:spacing w:after="0"/>
              <w:rPr>
                <w:sz w:val="20"/>
                <w:szCs w:val="20"/>
                <w:color w:val="auto"/>
              </w:rPr>
            </w:pPr>
            <w:r>
              <w:rPr>
                <w:rFonts w:ascii="Arial" w:cs="Arial" w:eastAsia="Arial" w:hAnsi="Arial"/>
                <w:sz w:val="18"/>
                <w:szCs w:val="18"/>
                <w:b w:val="1"/>
                <w:bCs w:val="1"/>
                <w:color w:val="auto"/>
                <w:w w:val="95"/>
              </w:rPr>
              <w:t>FORM Holdings Corp.</w:t>
            </w:r>
          </w:p>
        </w:tc>
        <w:tc>
          <w:tcPr>
            <w:tcW w:w="3540" w:type="dxa"/>
            <w:vAlign w:val="bottom"/>
          </w:tcPr>
          <w:p>
            <w:pPr>
              <w:spacing w:after="0"/>
              <w:rPr>
                <w:sz w:val="24"/>
                <w:szCs w:val="24"/>
                <w:color w:val="auto"/>
              </w:rPr>
            </w:pPr>
          </w:p>
        </w:tc>
      </w:tr>
      <w:tr>
        <w:trPr>
          <w:trHeight w:val="216"/>
        </w:trPr>
        <w:tc>
          <w:tcPr>
            <w:tcW w:w="7880" w:type="dxa"/>
            <w:vAlign w:val="bottom"/>
            <w:gridSpan w:val="5"/>
          </w:tcPr>
          <w:p>
            <w:pPr>
              <w:jc w:val="center"/>
              <w:ind w:left="3470"/>
              <w:spacing w:after="0"/>
              <w:rPr>
                <w:sz w:val="20"/>
                <w:szCs w:val="20"/>
                <w:color w:val="auto"/>
              </w:rPr>
            </w:pPr>
            <w:r>
              <w:rPr>
                <w:rFonts w:ascii="Arial" w:cs="Arial" w:eastAsia="Arial" w:hAnsi="Arial"/>
                <w:sz w:val="18"/>
                <w:szCs w:val="18"/>
                <w:b w:val="1"/>
                <w:bCs w:val="1"/>
                <w:color w:val="auto"/>
                <w:w w:val="94"/>
              </w:rPr>
              <w:t>(formerly Vringo, Inc.)</w:t>
            </w:r>
          </w:p>
        </w:tc>
        <w:tc>
          <w:tcPr>
            <w:tcW w:w="3540" w:type="dxa"/>
            <w:vAlign w:val="bottom"/>
          </w:tcPr>
          <w:p>
            <w:pPr>
              <w:spacing w:after="0"/>
              <w:rPr>
                <w:sz w:val="18"/>
                <w:szCs w:val="18"/>
                <w:color w:val="auto"/>
              </w:rPr>
            </w:pPr>
          </w:p>
        </w:tc>
      </w:tr>
      <w:tr>
        <w:trPr>
          <w:trHeight w:val="234"/>
        </w:trPr>
        <w:tc>
          <w:tcPr>
            <w:tcW w:w="7880" w:type="dxa"/>
            <w:vAlign w:val="bottom"/>
            <w:gridSpan w:val="5"/>
          </w:tcPr>
          <w:p>
            <w:pPr>
              <w:jc w:val="center"/>
              <w:ind w:left="3450"/>
              <w:spacing w:after="0"/>
              <w:rPr>
                <w:sz w:val="20"/>
                <w:szCs w:val="20"/>
                <w:color w:val="auto"/>
              </w:rPr>
            </w:pPr>
            <w:r>
              <w:rPr>
                <w:rFonts w:ascii="Arial" w:cs="Arial" w:eastAsia="Arial" w:hAnsi="Arial"/>
                <w:sz w:val="18"/>
                <w:szCs w:val="18"/>
                <w:b w:val="1"/>
                <w:bCs w:val="1"/>
                <w:color w:val="auto"/>
                <w:w w:val="90"/>
              </w:rPr>
              <w:t>(Exact Name of Registrant as Specified in its Charter)</w:t>
            </w:r>
          </w:p>
        </w:tc>
        <w:tc>
          <w:tcPr>
            <w:tcW w:w="3540" w:type="dxa"/>
            <w:vAlign w:val="bottom"/>
          </w:tcPr>
          <w:p>
            <w:pPr>
              <w:spacing w:after="0"/>
              <w:rPr>
                <w:sz w:val="20"/>
                <w:szCs w:val="20"/>
                <w:color w:val="auto"/>
              </w:rPr>
            </w:pPr>
          </w:p>
        </w:tc>
      </w:tr>
      <w:tr>
        <w:trPr>
          <w:trHeight w:val="432"/>
        </w:trPr>
        <w:tc>
          <w:tcPr>
            <w:tcW w:w="7880" w:type="dxa"/>
            <w:vAlign w:val="bottom"/>
            <w:gridSpan w:val="5"/>
          </w:tcPr>
          <w:p>
            <w:pPr>
              <w:jc w:val="center"/>
              <w:ind w:right="2160"/>
              <w:spacing w:after="0"/>
              <w:rPr>
                <w:sz w:val="20"/>
                <w:szCs w:val="20"/>
                <w:color w:val="auto"/>
              </w:rPr>
            </w:pPr>
            <w:r>
              <w:rPr>
                <w:rFonts w:ascii="Arial" w:cs="Arial" w:eastAsia="Arial" w:hAnsi="Arial"/>
                <w:sz w:val="18"/>
                <w:szCs w:val="18"/>
                <w:b w:val="1"/>
                <w:bCs w:val="1"/>
                <w:color w:val="auto"/>
                <w:w w:val="91"/>
              </w:rPr>
              <w:t>Delaware</w:t>
            </w:r>
          </w:p>
        </w:tc>
        <w:tc>
          <w:tcPr>
            <w:tcW w:w="3540" w:type="dxa"/>
            <w:vAlign w:val="bottom"/>
          </w:tcPr>
          <w:p>
            <w:pPr>
              <w:jc w:val="right"/>
              <w:ind w:right="2270"/>
              <w:spacing w:after="0"/>
              <w:rPr>
                <w:sz w:val="20"/>
                <w:szCs w:val="20"/>
                <w:color w:val="auto"/>
              </w:rPr>
            </w:pPr>
            <w:r>
              <w:rPr>
                <w:rFonts w:ascii="Arial" w:cs="Arial" w:eastAsia="Arial" w:hAnsi="Arial"/>
                <w:sz w:val="18"/>
                <w:szCs w:val="18"/>
                <w:b w:val="1"/>
                <w:bCs w:val="1"/>
                <w:color w:val="auto"/>
              </w:rPr>
              <w:t>20-4988129</w:t>
            </w:r>
          </w:p>
        </w:tc>
      </w:tr>
      <w:tr>
        <w:trPr>
          <w:trHeight w:val="191"/>
        </w:trPr>
        <w:tc>
          <w:tcPr>
            <w:tcW w:w="5720" w:type="dxa"/>
            <w:vAlign w:val="bottom"/>
            <w:tcBorders>
              <w:top w:val="single" w:sz="8" w:color="auto"/>
            </w:tcBorders>
            <w:gridSpan w:val="2"/>
          </w:tcPr>
          <w:p>
            <w:pPr>
              <w:jc w:val="center"/>
              <w:spacing w:after="0" w:line="191" w:lineRule="exact"/>
              <w:rPr>
                <w:sz w:val="20"/>
                <w:szCs w:val="20"/>
                <w:color w:val="auto"/>
              </w:rPr>
            </w:pPr>
            <w:r>
              <w:rPr>
                <w:rFonts w:ascii="Arial" w:cs="Arial" w:eastAsia="Arial" w:hAnsi="Arial"/>
                <w:sz w:val="18"/>
                <w:szCs w:val="18"/>
                <w:b w:val="1"/>
                <w:bCs w:val="1"/>
                <w:color w:val="auto"/>
                <w:w w:val="90"/>
              </w:rPr>
              <w:t>(State or other jurisdiction of</w:t>
            </w:r>
          </w:p>
        </w:tc>
        <w:tc>
          <w:tcPr>
            <w:tcW w:w="100" w:type="dxa"/>
            <w:vAlign w:val="bottom"/>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1600" w:type="dxa"/>
            <w:vAlign w:val="bottom"/>
            <w:tcBorders>
              <w:top w:val="single" w:sz="8" w:color="auto"/>
            </w:tcBorders>
          </w:tcPr>
          <w:p>
            <w:pPr>
              <w:spacing w:after="0"/>
              <w:rPr>
                <w:sz w:val="16"/>
                <w:szCs w:val="16"/>
                <w:color w:val="auto"/>
              </w:rPr>
            </w:pPr>
          </w:p>
        </w:tc>
        <w:tc>
          <w:tcPr>
            <w:tcW w:w="3540" w:type="dxa"/>
            <w:vAlign w:val="bottom"/>
            <w:tcBorders>
              <w:top w:val="single" w:sz="8" w:color="auto"/>
            </w:tcBorders>
          </w:tcPr>
          <w:p>
            <w:pPr>
              <w:jc w:val="center"/>
              <w:ind w:right="1950"/>
              <w:spacing w:after="0" w:line="191" w:lineRule="exact"/>
              <w:rPr>
                <w:sz w:val="20"/>
                <w:szCs w:val="20"/>
                <w:color w:val="auto"/>
              </w:rPr>
            </w:pPr>
            <w:r>
              <w:rPr>
                <w:rFonts w:ascii="Arial" w:cs="Arial" w:eastAsia="Arial" w:hAnsi="Arial"/>
                <w:sz w:val="18"/>
                <w:szCs w:val="18"/>
                <w:b w:val="1"/>
                <w:bCs w:val="1"/>
                <w:color w:val="auto"/>
                <w:w w:val="94"/>
              </w:rPr>
              <w:t>(I.R.S. Employer</w:t>
            </w:r>
          </w:p>
        </w:tc>
      </w:tr>
      <w:tr>
        <w:trPr>
          <w:trHeight w:val="234"/>
        </w:trPr>
        <w:tc>
          <w:tcPr>
            <w:tcW w:w="7880" w:type="dxa"/>
            <w:vAlign w:val="bottom"/>
            <w:gridSpan w:val="5"/>
          </w:tcPr>
          <w:p>
            <w:pPr>
              <w:jc w:val="center"/>
              <w:ind w:right="2160"/>
              <w:spacing w:after="0"/>
              <w:rPr>
                <w:sz w:val="20"/>
                <w:szCs w:val="20"/>
                <w:color w:val="auto"/>
              </w:rPr>
            </w:pPr>
            <w:r>
              <w:rPr>
                <w:rFonts w:ascii="Arial" w:cs="Arial" w:eastAsia="Arial" w:hAnsi="Arial"/>
                <w:sz w:val="18"/>
                <w:szCs w:val="18"/>
                <w:b w:val="1"/>
                <w:bCs w:val="1"/>
                <w:color w:val="auto"/>
                <w:w w:val="91"/>
              </w:rPr>
              <w:t>incorporation or organization)</w:t>
            </w:r>
          </w:p>
        </w:tc>
        <w:tc>
          <w:tcPr>
            <w:tcW w:w="3540" w:type="dxa"/>
            <w:vAlign w:val="bottom"/>
          </w:tcPr>
          <w:p>
            <w:pPr>
              <w:jc w:val="center"/>
              <w:ind w:right="1970"/>
              <w:spacing w:after="0"/>
              <w:rPr>
                <w:sz w:val="20"/>
                <w:szCs w:val="20"/>
                <w:color w:val="auto"/>
              </w:rPr>
            </w:pPr>
            <w:r>
              <w:rPr>
                <w:rFonts w:ascii="Arial" w:cs="Arial" w:eastAsia="Arial" w:hAnsi="Arial"/>
                <w:sz w:val="18"/>
                <w:szCs w:val="18"/>
                <w:b w:val="1"/>
                <w:bCs w:val="1"/>
                <w:color w:val="auto"/>
                <w:w w:val="92"/>
              </w:rPr>
              <w:t>Identification No.)</w:t>
            </w:r>
          </w:p>
        </w:tc>
      </w:tr>
      <w:tr>
        <w:trPr>
          <w:trHeight w:val="432"/>
        </w:trPr>
        <w:tc>
          <w:tcPr>
            <w:tcW w:w="7880" w:type="dxa"/>
            <w:vAlign w:val="bottom"/>
            <w:gridSpan w:val="5"/>
          </w:tcPr>
          <w:p>
            <w:pPr>
              <w:jc w:val="center"/>
              <w:ind w:right="2140"/>
              <w:spacing w:after="0"/>
              <w:rPr>
                <w:sz w:val="20"/>
                <w:szCs w:val="20"/>
                <w:color w:val="auto"/>
              </w:rPr>
            </w:pPr>
            <w:r>
              <w:rPr>
                <w:rFonts w:ascii="Arial" w:cs="Arial" w:eastAsia="Arial" w:hAnsi="Arial"/>
                <w:sz w:val="18"/>
                <w:szCs w:val="18"/>
                <w:b w:val="1"/>
                <w:bCs w:val="1"/>
                <w:color w:val="auto"/>
                <w:w w:val="92"/>
              </w:rPr>
              <w:t>780 Third Avenue, 12th Floor, New York, NY</w:t>
            </w:r>
          </w:p>
        </w:tc>
        <w:tc>
          <w:tcPr>
            <w:tcW w:w="3540" w:type="dxa"/>
            <w:vAlign w:val="bottom"/>
          </w:tcPr>
          <w:p>
            <w:pPr>
              <w:jc w:val="right"/>
              <w:ind w:right="2490"/>
              <w:spacing w:after="0"/>
              <w:rPr>
                <w:sz w:val="20"/>
                <w:szCs w:val="20"/>
                <w:color w:val="auto"/>
              </w:rPr>
            </w:pPr>
            <w:r>
              <w:rPr>
                <w:rFonts w:ascii="Arial" w:cs="Arial" w:eastAsia="Arial" w:hAnsi="Arial"/>
                <w:sz w:val="18"/>
                <w:szCs w:val="18"/>
                <w:b w:val="1"/>
                <w:bCs w:val="1"/>
                <w:color w:val="auto"/>
              </w:rPr>
              <w:t>10017</w:t>
            </w:r>
          </w:p>
        </w:tc>
      </w:tr>
      <w:tr>
        <w:trPr>
          <w:trHeight w:val="228"/>
        </w:trPr>
        <w:tc>
          <w:tcPr>
            <w:tcW w:w="572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10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600" w:type="dxa"/>
            <w:vAlign w:val="bottom"/>
            <w:tcBorders>
              <w:top w:val="single" w:sz="8" w:color="auto"/>
            </w:tcBorders>
          </w:tcPr>
          <w:p>
            <w:pPr>
              <w:spacing w:after="0"/>
              <w:rPr>
                <w:sz w:val="19"/>
                <w:szCs w:val="19"/>
                <w:color w:val="auto"/>
              </w:rPr>
            </w:pPr>
          </w:p>
        </w:tc>
        <w:tc>
          <w:tcPr>
            <w:tcW w:w="3540" w:type="dxa"/>
            <w:vAlign w:val="bottom"/>
            <w:tcBorders>
              <w:top w:val="single" w:sz="8" w:color="auto"/>
            </w:tcBorders>
          </w:tcPr>
          <w:p>
            <w:pPr>
              <w:jc w:val="center"/>
              <w:ind w:right="1970"/>
              <w:spacing w:after="0"/>
              <w:rPr>
                <w:sz w:val="20"/>
                <w:szCs w:val="20"/>
                <w:color w:val="auto"/>
              </w:rPr>
            </w:pPr>
            <w:r>
              <w:rPr>
                <w:rFonts w:ascii="Arial" w:cs="Arial" w:eastAsia="Arial" w:hAnsi="Arial"/>
                <w:sz w:val="18"/>
                <w:szCs w:val="18"/>
                <w:b w:val="1"/>
                <w:bCs w:val="1"/>
                <w:color w:val="auto"/>
                <w:w w:val="94"/>
              </w:rPr>
              <w:t>(Zip Code)</w:t>
            </w:r>
          </w:p>
        </w:tc>
      </w:tr>
      <w:tr>
        <w:trPr>
          <w:trHeight w:val="373"/>
        </w:trPr>
        <w:tc>
          <w:tcPr>
            <w:tcW w:w="6280" w:type="dxa"/>
            <w:vAlign w:val="bottom"/>
            <w:gridSpan w:val="4"/>
          </w:tcPr>
          <w:p>
            <w:pPr>
              <w:jc w:val="center"/>
              <w:ind w:left="5070"/>
              <w:spacing w:after="0"/>
              <w:rPr>
                <w:sz w:val="20"/>
                <w:szCs w:val="20"/>
                <w:color w:val="auto"/>
              </w:rPr>
            </w:pPr>
            <w:r>
              <w:rPr>
                <w:rFonts w:ascii="Arial" w:cs="Arial" w:eastAsia="Arial" w:hAnsi="Arial"/>
                <w:sz w:val="18"/>
                <w:szCs w:val="18"/>
                <w:b w:val="1"/>
                <w:bCs w:val="1"/>
                <w:color w:val="auto"/>
                <w:w w:val="90"/>
              </w:rPr>
              <w:t>(212) 309-7549</w:t>
            </w:r>
          </w:p>
        </w:tc>
        <w:tc>
          <w:tcPr>
            <w:tcW w:w="160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20"/>
        </w:trPr>
        <w:tc>
          <w:tcPr>
            <w:tcW w:w="5160" w:type="dxa"/>
            <w:vAlign w:val="bottom"/>
          </w:tcPr>
          <w:p>
            <w:pPr>
              <w:spacing w:after="0" w:line="20" w:lineRule="exact"/>
              <w:rPr>
                <w:sz w:val="1"/>
                <w:szCs w:val="1"/>
                <w:color w:val="auto"/>
              </w:rPr>
            </w:pPr>
          </w:p>
        </w:tc>
        <w:tc>
          <w:tcPr>
            <w:tcW w:w="1120" w:type="dxa"/>
            <w:vAlign w:val="bottom"/>
            <w:gridSpan w:val="3"/>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r>
      <w:tr>
        <w:trPr>
          <w:trHeight w:val="237"/>
        </w:trPr>
        <w:tc>
          <w:tcPr>
            <w:tcW w:w="7880" w:type="dxa"/>
            <w:vAlign w:val="bottom"/>
            <w:gridSpan w:val="5"/>
          </w:tcPr>
          <w:p>
            <w:pPr>
              <w:jc w:val="center"/>
              <w:ind w:left="3450"/>
              <w:spacing w:after="0"/>
              <w:rPr>
                <w:sz w:val="20"/>
                <w:szCs w:val="20"/>
                <w:color w:val="auto"/>
              </w:rPr>
            </w:pPr>
            <w:r>
              <w:rPr>
                <w:rFonts w:ascii="Arial" w:cs="Arial" w:eastAsia="Arial" w:hAnsi="Arial"/>
                <w:sz w:val="18"/>
                <w:szCs w:val="18"/>
                <w:b w:val="1"/>
                <w:bCs w:val="1"/>
                <w:color w:val="auto"/>
                <w:w w:val="89"/>
              </w:rPr>
              <w:t>(Registrant’s Telephone Number, Including Area Code)</w:t>
            </w:r>
          </w:p>
        </w:tc>
        <w:tc>
          <w:tcPr>
            <w:tcW w:w="3540" w:type="dxa"/>
            <w:vAlign w:val="bottom"/>
          </w:tcPr>
          <w:p>
            <w:pPr>
              <w:spacing w:after="0"/>
              <w:rPr>
                <w:sz w:val="20"/>
                <w:szCs w:val="20"/>
                <w:color w:val="auto"/>
              </w:rPr>
            </w:pPr>
          </w:p>
        </w:tc>
      </w:tr>
    </w:tbl>
    <w:p>
      <w:pPr>
        <w:spacing w:after="0" w:line="202"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9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550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2960" w:type="dxa"/>
            <w:vAlign w:val="bottom"/>
            <w:gridSpan w:val="2"/>
          </w:tcPr>
          <w:p>
            <w:pPr>
              <w:ind w:left="540"/>
              <w:spacing w:after="0"/>
              <w:rPr>
                <w:sz w:val="20"/>
                <w:szCs w:val="20"/>
                <w:color w:val="auto"/>
              </w:rPr>
            </w:pPr>
            <w:r>
              <w:rPr>
                <w:rFonts w:ascii="Arial" w:cs="Arial" w:eastAsia="Arial" w:hAnsi="Arial"/>
                <w:sz w:val="18"/>
                <w:szCs w:val="18"/>
                <w:color w:val="auto"/>
              </w:rPr>
              <w:t>Accelerated filer</w:t>
            </w:r>
          </w:p>
        </w:tc>
        <w:tc>
          <w:tcPr>
            <w:tcW w:w="10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r>
      <w:tr>
        <w:trPr>
          <w:trHeight w:val="432"/>
        </w:trPr>
        <w:tc>
          <w:tcPr>
            <w:tcW w:w="1960" w:type="dxa"/>
            <w:vAlign w:val="bottom"/>
          </w:tcPr>
          <w:p>
            <w:pPr>
              <w:spacing w:after="0"/>
              <w:rPr>
                <w:sz w:val="20"/>
                <w:szCs w:val="20"/>
                <w:color w:val="auto"/>
              </w:rPr>
            </w:pPr>
            <w:r>
              <w:rPr>
                <w:rFonts w:ascii="Arial" w:cs="Arial" w:eastAsia="Arial" w:hAnsi="Arial"/>
                <w:sz w:val="18"/>
                <w:szCs w:val="18"/>
                <w:color w:val="auto"/>
              </w:rPr>
              <w:t>Non-accelerated filer</w:t>
            </w:r>
          </w:p>
        </w:tc>
        <w:tc>
          <w:tcPr>
            <w:tcW w:w="5500" w:type="dxa"/>
            <w:vAlign w:val="bottom"/>
          </w:tcPr>
          <w:p>
            <w:pPr>
              <w:ind w:left="3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2960" w:type="dxa"/>
            <w:vAlign w:val="bottom"/>
            <w:gridSpan w:val="2"/>
          </w:tcPr>
          <w:p>
            <w:pPr>
              <w:ind w:left="540"/>
              <w:spacing w:after="0"/>
              <w:rPr>
                <w:sz w:val="20"/>
                <w:szCs w:val="20"/>
                <w:color w:val="auto"/>
              </w:rPr>
            </w:pPr>
            <w:r>
              <w:rPr>
                <w:rFonts w:ascii="Arial" w:cs="Arial" w:eastAsia="Arial" w:hAnsi="Arial"/>
                <w:sz w:val="18"/>
                <w:szCs w:val="18"/>
                <w:color w:val="auto"/>
              </w:rPr>
              <w:t>Smaller reporting company</w:t>
            </w:r>
          </w:p>
        </w:tc>
        <w:tc>
          <w:tcPr>
            <w:tcW w:w="1000" w:type="dxa"/>
            <w:vAlign w:val="bottom"/>
          </w:tcPr>
          <w:p>
            <w:pPr>
              <w:ind w:left="440"/>
              <w:spacing w:after="0"/>
              <w:rPr>
                <w:sz w:val="20"/>
                <w:szCs w:val="20"/>
                <w:color w:val="auto"/>
              </w:rPr>
            </w:pPr>
            <w:r>
              <w:rPr>
                <w:rFonts w:ascii="Arial" w:cs="Arial" w:eastAsia="Arial" w:hAnsi="Arial"/>
                <w:sz w:val="18"/>
                <w:szCs w:val="18"/>
                <w:color w:val="auto"/>
              </w:rPr>
              <w:t>x</w:t>
            </w:r>
          </w:p>
        </w:tc>
      </w:tr>
      <w:tr>
        <w:trPr>
          <w:trHeight w:val="432"/>
        </w:trPr>
        <w:tc>
          <w:tcPr>
            <w:tcW w:w="8860" w:type="dxa"/>
            <w:vAlign w:val="bottom"/>
            <w:gridSpan w:val="3"/>
          </w:tcPr>
          <w:p>
            <w:pPr>
              <w:spacing w:after="0" w:line="207" w:lineRule="exact"/>
              <w:rPr>
                <w:sz w:val="20"/>
                <w:szCs w:val="20"/>
                <w:color w:val="auto"/>
              </w:rPr>
            </w:pPr>
            <w:r>
              <w:rPr>
                <w:rFonts w:ascii="Arial" w:cs="Arial" w:eastAsia="Arial" w:hAnsi="Arial"/>
                <w:sz w:val="18"/>
                <w:szCs w:val="18"/>
                <w:color w:val="auto"/>
                <w:w w:val="92"/>
              </w:rPr>
              <w:t xml:space="preserve">Indicate by check mark whether the registrant is a shell company (as defined in Rule 12b-2 of the Exchange Act). Yes </w:t>
            </w:r>
            <w:r>
              <w:rPr>
                <w:rFonts w:ascii="MS PGothic" w:cs="MS PGothic" w:eastAsia="MS PGothic" w:hAnsi="MS PGothic"/>
                <w:sz w:val="18"/>
                <w:szCs w:val="18"/>
                <w:color w:val="auto"/>
                <w:w w:val="92"/>
              </w:rPr>
              <w:t>☐</w:t>
            </w:r>
          </w:p>
        </w:tc>
        <w:tc>
          <w:tcPr>
            <w:tcW w:w="1560" w:type="dxa"/>
            <w:vAlign w:val="bottom"/>
          </w:tcPr>
          <w:p>
            <w:pPr>
              <w:ind w:left="16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1000" w:type="dxa"/>
            <w:vAlign w:val="bottom"/>
          </w:tcPr>
          <w:p>
            <w:pPr>
              <w:spacing w:after="0"/>
              <w:rPr>
                <w:sz w:val="24"/>
                <w:szCs w:val="24"/>
                <w:color w:val="auto"/>
              </w:rPr>
            </w:pPr>
          </w:p>
        </w:tc>
      </w:tr>
      <w:tr>
        <w:trPr>
          <w:trHeight w:val="412"/>
        </w:trPr>
        <w:tc>
          <w:tcPr>
            <w:tcW w:w="7460" w:type="dxa"/>
            <w:vAlign w:val="bottom"/>
            <w:gridSpan w:val="2"/>
          </w:tcPr>
          <w:p>
            <w:pPr>
              <w:spacing w:after="0"/>
              <w:rPr>
                <w:sz w:val="20"/>
                <w:szCs w:val="20"/>
                <w:color w:val="auto"/>
              </w:rPr>
            </w:pPr>
            <w:r>
              <w:rPr>
                <w:rFonts w:ascii="Arial" w:cs="Arial" w:eastAsia="Arial" w:hAnsi="Arial"/>
                <w:sz w:val="18"/>
                <w:szCs w:val="18"/>
                <w:color w:val="auto"/>
                <w:w w:val="97"/>
              </w:rPr>
              <w:t>As of November 9, 2016, 15,804,881 shares of the registrant’s common stock were outstanding.</w:t>
            </w:r>
          </w:p>
        </w:tc>
        <w:tc>
          <w:tcPr>
            <w:tcW w:w="14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675"/>
        </w:trPr>
        <w:tc>
          <w:tcPr>
            <w:tcW w:w="1960" w:type="dxa"/>
            <w:vAlign w:val="bottom"/>
            <w:tcBorders>
              <w:bottom w:val="single" w:sz="8" w:color="auto"/>
            </w:tcBorders>
          </w:tcPr>
          <w:p>
            <w:pPr>
              <w:spacing w:after="0"/>
              <w:rPr>
                <w:sz w:val="24"/>
                <w:szCs w:val="24"/>
                <w:color w:val="auto"/>
              </w:rPr>
            </w:pPr>
          </w:p>
        </w:tc>
        <w:tc>
          <w:tcPr>
            <w:tcW w:w="55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472" w:right="239" w:bottom="144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20" w:type="dxa"/>
            <w:vAlign w:val="bottom"/>
            <w:gridSpan w:val="4"/>
          </w:tcPr>
          <w:p>
            <w:pPr>
              <w:jc w:val="center"/>
              <w:ind w:right="3600"/>
              <w:spacing w:after="0"/>
              <w:rPr>
                <w:sz w:val="20"/>
                <w:szCs w:val="20"/>
                <w:color w:val="auto"/>
              </w:rPr>
            </w:pPr>
            <w:r>
              <w:rPr>
                <w:rFonts w:ascii="Arial" w:cs="Arial" w:eastAsia="Arial" w:hAnsi="Arial"/>
                <w:sz w:val="18"/>
                <w:szCs w:val="18"/>
                <w:b w:val="1"/>
                <w:bCs w:val="1"/>
                <w:color w:val="auto"/>
                <w:w w:val="95"/>
              </w:rPr>
              <w:t>FORM Holdings Corp.</w:t>
            </w: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20" w:type="dxa"/>
            <w:vAlign w:val="bottom"/>
            <w:gridSpan w:val="4"/>
          </w:tcPr>
          <w:p>
            <w:pPr>
              <w:jc w:val="center"/>
              <w:ind w:right="3580"/>
              <w:spacing w:after="0"/>
              <w:rPr>
                <w:sz w:val="20"/>
                <w:szCs w:val="20"/>
                <w:color w:val="auto"/>
              </w:rPr>
            </w:pPr>
            <w:r>
              <w:rPr>
                <w:rFonts w:ascii="Arial" w:cs="Arial" w:eastAsia="Arial" w:hAnsi="Arial"/>
                <w:sz w:val="18"/>
                <w:szCs w:val="18"/>
                <w:b w:val="1"/>
                <w:bCs w:val="1"/>
                <w:color w:val="auto"/>
                <w:w w:val="89"/>
              </w:rPr>
              <w:t>Table of Contents</w:t>
            </w: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920" w:type="dxa"/>
            <w:vAlign w:val="bottom"/>
            <w:gridSpan w:val="2"/>
          </w:tcPr>
          <w:p>
            <w:pPr>
              <w:ind w:left="540"/>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500" w:type="dxa"/>
            <w:vAlign w:val="bottom"/>
            <w:gridSpan w:val="14"/>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PART I. FINANCIAL INFORMATION</w:t>
              </w:r>
            </w:hyperlink>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4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290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w:t>
            </w:r>
          </w:p>
        </w:tc>
        <w:tc>
          <w:tcPr>
            <w:tcW w:w="9360" w:type="dxa"/>
            <w:vAlign w:val="bottom"/>
            <w:gridSpan w:val="13"/>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Financial Statements</w:t>
              </w:r>
            </w:hyperlink>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102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29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tcPr>
          <w:p>
            <w:pPr>
              <w:spacing w:after="0" w:line="176" w:lineRule="exact"/>
              <w:rPr>
                <w:sz w:val="20"/>
                <w:szCs w:val="20"/>
                <w:color w:val="auto"/>
              </w:rPr>
            </w:pPr>
            <w:r>
              <w:rPr>
                <w:rFonts w:ascii="Arial" w:cs="Arial" w:eastAsia="Arial" w:hAnsi="Arial"/>
                <w:sz w:val="18"/>
                <w:szCs w:val="18"/>
                <w:color w:val="auto"/>
              </w:rPr>
              <w:t>Item 2.</w:t>
            </w:r>
          </w:p>
        </w:tc>
        <w:tc>
          <w:tcPr>
            <w:tcW w:w="9360" w:type="dxa"/>
            <w:vAlign w:val="bottom"/>
            <w:gridSpan w:val="13"/>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Management’s Discussion and Analysis of Financial Condition and Results of Operations</w:t>
              </w:r>
            </w:hyperlink>
          </w:p>
        </w:tc>
        <w:tc>
          <w:tcPr>
            <w:tcW w:w="900" w:type="dxa"/>
            <w:vAlign w:val="bottom"/>
          </w:tcPr>
          <w:p>
            <w:pPr>
              <w:jc w:val="right"/>
              <w:spacing w:after="0" w:line="176" w:lineRule="exact"/>
              <w:rPr>
                <w:sz w:val="20"/>
                <w:szCs w:val="20"/>
                <w:color w:val="auto"/>
              </w:rPr>
            </w:pPr>
            <w:r>
              <w:rPr>
                <w:rFonts w:ascii="Arial" w:cs="Arial" w:eastAsia="Arial" w:hAnsi="Arial"/>
                <w:sz w:val="18"/>
                <w:szCs w:val="18"/>
                <w:color w:val="auto"/>
              </w:rPr>
              <w:t>20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100" w:type="dxa"/>
            <w:vAlign w:val="bottom"/>
            <w:tcBorders>
              <w:top w:val="single" w:sz="8" w:color="0000EE"/>
            </w:tcBorders>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Item 3.</w:t>
            </w:r>
          </w:p>
        </w:tc>
        <w:tc>
          <w:tcPr>
            <w:tcW w:w="4360" w:type="dxa"/>
            <w:vAlign w:val="bottom"/>
            <w:tcBorders>
              <w:bottom w:val="single" w:sz="8" w:color="0000EE"/>
            </w:tcBorders>
            <w:gridSpan w:val="11"/>
            <w:shd w:val="clear" w:color="auto" w:fill="CCEEFF"/>
          </w:tcPr>
          <w:p>
            <w:pPr>
              <w:spacing w:after="0" w:line="176" w:lineRule="exact"/>
              <w:rPr>
                <w:rFonts w:ascii="Arial" w:cs="Arial" w:eastAsia="Arial" w:hAnsi="Arial"/>
                <w:sz w:val="18"/>
                <w:szCs w:val="18"/>
                <w:color w:val="0000EE"/>
                <w:w w:val="92"/>
              </w:rPr>
            </w:pPr>
            <w:hyperlink w:anchor="page42">
              <w:r>
                <w:rPr>
                  <w:rFonts w:ascii="Arial" w:cs="Arial" w:eastAsia="Arial" w:hAnsi="Arial"/>
                  <w:sz w:val="18"/>
                  <w:szCs w:val="18"/>
                  <w:color w:val="0000EE"/>
                  <w:w w:val="92"/>
                </w:rPr>
                <w:t>Quantitative and Qualitative Disclosures About Market Risk</w:t>
              </w:r>
            </w:hyperlink>
          </w:p>
        </w:tc>
        <w:tc>
          <w:tcPr>
            <w:tcW w:w="5000" w:type="dxa"/>
            <w:vAlign w:val="bottom"/>
            <w:tcBorders>
              <w:bottom w:val="single" w:sz="8" w:color="CCEEFF"/>
            </w:tcBorders>
            <w:gridSpan w:val="2"/>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tcPr>
          <w:p>
            <w:pPr>
              <w:spacing w:after="0" w:line="176" w:lineRule="exact"/>
              <w:rPr>
                <w:sz w:val="20"/>
                <w:szCs w:val="20"/>
                <w:color w:val="auto"/>
              </w:rPr>
            </w:pPr>
            <w:r>
              <w:rPr>
                <w:rFonts w:ascii="Arial" w:cs="Arial" w:eastAsia="Arial" w:hAnsi="Arial"/>
                <w:sz w:val="18"/>
                <w:szCs w:val="18"/>
                <w:color w:val="auto"/>
              </w:rPr>
              <w:t>Item 4.</w:t>
            </w:r>
          </w:p>
        </w:tc>
        <w:tc>
          <w:tcPr>
            <w:tcW w:w="9360" w:type="dxa"/>
            <w:vAlign w:val="bottom"/>
            <w:gridSpan w:val="13"/>
          </w:tcPr>
          <w:p>
            <w:pPr>
              <w:spacing w:after="0" w:line="176" w:lineRule="exact"/>
              <w:rPr>
                <w:rFonts w:ascii="Arial" w:cs="Arial" w:eastAsia="Arial" w:hAnsi="Arial"/>
                <w:sz w:val="18"/>
                <w:szCs w:val="18"/>
                <w:color w:val="0000EE"/>
              </w:rPr>
            </w:pPr>
            <w:hyperlink w:anchor="page42">
              <w:r>
                <w:rPr>
                  <w:rFonts w:ascii="Arial" w:cs="Arial" w:eastAsia="Arial" w:hAnsi="Arial"/>
                  <w:sz w:val="18"/>
                  <w:szCs w:val="18"/>
                  <w:color w:val="0000EE"/>
                </w:rPr>
                <w:t>Controls and Procedures</w:t>
              </w:r>
            </w:hyperlink>
          </w:p>
        </w:tc>
        <w:tc>
          <w:tcPr>
            <w:tcW w:w="900" w:type="dxa"/>
            <w:vAlign w:val="bottom"/>
          </w:tcPr>
          <w:p>
            <w:pPr>
              <w:jc w:val="right"/>
              <w:spacing w:after="0" w:line="176" w:lineRule="exact"/>
              <w:rPr>
                <w:sz w:val="20"/>
                <w:szCs w:val="20"/>
                <w:color w:val="auto"/>
              </w:rPr>
            </w:pPr>
            <w:r>
              <w:rPr>
                <w:rFonts w:ascii="Arial" w:cs="Arial" w:eastAsia="Arial" w:hAnsi="Arial"/>
                <w:sz w:val="18"/>
                <w:szCs w:val="18"/>
                <w:color w:val="auto"/>
              </w:rPr>
              <w:t>29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1740" w:type="dxa"/>
            <w:vAlign w:val="bottom"/>
            <w:gridSpan w:val="2"/>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500" w:type="dxa"/>
            <w:vAlign w:val="bottom"/>
            <w:gridSpan w:val="14"/>
          </w:tcPr>
          <w:p>
            <w:pPr>
              <w:spacing w:after="0" w:line="176" w:lineRule="exact"/>
              <w:rPr>
                <w:rFonts w:ascii="Arial" w:cs="Arial" w:eastAsia="Arial" w:hAnsi="Arial"/>
                <w:sz w:val="18"/>
                <w:szCs w:val="18"/>
                <w:color w:val="0000EE"/>
              </w:rPr>
            </w:pPr>
            <w:hyperlink w:anchor="page43">
              <w:r>
                <w:rPr>
                  <w:rFonts w:ascii="Arial" w:cs="Arial" w:eastAsia="Arial" w:hAnsi="Arial"/>
                  <w:sz w:val="18"/>
                  <w:szCs w:val="18"/>
                  <w:color w:val="0000EE"/>
                </w:rPr>
                <w:t>PART II. OTHER INFORMATION</w:t>
              </w:r>
            </w:hyperlink>
          </w:p>
        </w:tc>
        <w:tc>
          <w:tcPr>
            <w:tcW w:w="900" w:type="dxa"/>
            <w:vAlign w:val="bottom"/>
          </w:tcPr>
          <w:p>
            <w:pPr>
              <w:jc w:val="right"/>
              <w:spacing w:after="0" w:line="176" w:lineRule="exact"/>
              <w:rPr>
                <w:sz w:val="20"/>
                <w:szCs w:val="20"/>
                <w:color w:val="auto"/>
              </w:rPr>
            </w:pPr>
            <w:r>
              <w:rPr>
                <w:rFonts w:ascii="Arial" w:cs="Arial" w:eastAsia="Arial" w:hAnsi="Arial"/>
                <w:sz w:val="18"/>
                <w:szCs w:val="18"/>
                <w:color w:val="auto"/>
              </w:rPr>
              <w:t>30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tcPr>
          <w:p>
            <w:pPr>
              <w:spacing w:after="0" w:line="176" w:lineRule="exact"/>
              <w:rPr>
                <w:sz w:val="20"/>
                <w:szCs w:val="20"/>
                <w:color w:val="auto"/>
              </w:rPr>
            </w:pPr>
            <w:r>
              <w:rPr>
                <w:rFonts w:ascii="Arial" w:cs="Arial" w:eastAsia="Arial" w:hAnsi="Arial"/>
                <w:sz w:val="18"/>
                <w:szCs w:val="18"/>
                <w:color w:val="auto"/>
              </w:rPr>
              <w:t>Item 1.</w:t>
            </w:r>
          </w:p>
        </w:tc>
        <w:tc>
          <w:tcPr>
            <w:tcW w:w="9360" w:type="dxa"/>
            <w:vAlign w:val="bottom"/>
            <w:gridSpan w:val="13"/>
          </w:tcPr>
          <w:p>
            <w:pPr>
              <w:spacing w:after="0" w:line="176" w:lineRule="exact"/>
              <w:rPr>
                <w:rFonts w:ascii="Arial" w:cs="Arial" w:eastAsia="Arial" w:hAnsi="Arial"/>
                <w:sz w:val="18"/>
                <w:szCs w:val="18"/>
                <w:color w:val="0000EE"/>
              </w:rPr>
            </w:pPr>
            <w:hyperlink w:anchor="page43">
              <w:r>
                <w:rPr>
                  <w:rFonts w:ascii="Arial" w:cs="Arial" w:eastAsia="Arial" w:hAnsi="Arial"/>
                  <w:sz w:val="18"/>
                  <w:szCs w:val="18"/>
                  <w:color w:val="0000EE"/>
                </w:rPr>
                <w:t>Legal Proceedings</w:t>
              </w:r>
            </w:hyperlink>
          </w:p>
        </w:tc>
        <w:tc>
          <w:tcPr>
            <w:tcW w:w="900" w:type="dxa"/>
            <w:vAlign w:val="bottom"/>
          </w:tcPr>
          <w:p>
            <w:pPr>
              <w:jc w:val="right"/>
              <w:spacing w:after="0" w:line="176" w:lineRule="exact"/>
              <w:rPr>
                <w:sz w:val="20"/>
                <w:szCs w:val="20"/>
                <w:color w:val="auto"/>
              </w:rPr>
            </w:pPr>
            <w:r>
              <w:rPr>
                <w:rFonts w:ascii="Arial" w:cs="Arial" w:eastAsia="Arial" w:hAnsi="Arial"/>
                <w:sz w:val="18"/>
                <w:szCs w:val="18"/>
                <w:color w:val="auto"/>
              </w:rPr>
              <w:t>30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1A.</w:t>
            </w:r>
          </w:p>
        </w:tc>
        <w:tc>
          <w:tcPr>
            <w:tcW w:w="9360" w:type="dxa"/>
            <w:vAlign w:val="bottom"/>
            <w:gridSpan w:val="13"/>
            <w:shd w:val="clear" w:color="auto" w:fill="CCEEFF"/>
          </w:tcPr>
          <w:p>
            <w:pPr>
              <w:spacing w:after="0" w:line="176" w:lineRule="exact"/>
              <w:rPr>
                <w:rFonts w:ascii="Arial" w:cs="Arial" w:eastAsia="Arial" w:hAnsi="Arial"/>
                <w:sz w:val="18"/>
                <w:szCs w:val="18"/>
                <w:color w:val="0000EE"/>
              </w:rPr>
            </w:pPr>
            <w:hyperlink w:anchor="page43">
              <w:r>
                <w:rPr>
                  <w:rFonts w:ascii="Arial" w:cs="Arial" w:eastAsia="Arial" w:hAnsi="Arial"/>
                  <w:sz w:val="18"/>
                  <w:szCs w:val="18"/>
                  <w:color w:val="0000EE"/>
                </w:rPr>
                <w:t>Risk Factors</w:t>
              </w:r>
            </w:hyperlink>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29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tcPr>
          <w:p>
            <w:pPr>
              <w:spacing w:after="0" w:line="176" w:lineRule="exact"/>
              <w:rPr>
                <w:sz w:val="20"/>
                <w:szCs w:val="20"/>
                <w:color w:val="auto"/>
              </w:rPr>
            </w:pPr>
            <w:r>
              <w:rPr>
                <w:rFonts w:ascii="Arial" w:cs="Arial" w:eastAsia="Arial" w:hAnsi="Arial"/>
                <w:sz w:val="18"/>
                <w:szCs w:val="18"/>
                <w:color w:val="auto"/>
              </w:rPr>
              <w:t>Item 2.</w:t>
            </w:r>
          </w:p>
        </w:tc>
        <w:tc>
          <w:tcPr>
            <w:tcW w:w="9360" w:type="dxa"/>
            <w:vAlign w:val="bottom"/>
            <w:gridSpan w:val="13"/>
          </w:tcPr>
          <w:p>
            <w:pPr>
              <w:spacing w:after="0" w:line="176" w:lineRule="exact"/>
              <w:rPr>
                <w:rFonts w:ascii="Arial" w:cs="Arial" w:eastAsia="Arial" w:hAnsi="Arial"/>
                <w:sz w:val="18"/>
                <w:szCs w:val="18"/>
                <w:color w:val="0000EE"/>
              </w:rPr>
            </w:pPr>
            <w:hyperlink w:anchor="page48">
              <w:r>
                <w:rPr>
                  <w:rFonts w:ascii="Arial" w:cs="Arial" w:eastAsia="Arial" w:hAnsi="Arial"/>
                  <w:sz w:val="18"/>
                  <w:szCs w:val="18"/>
                  <w:color w:val="0000EE"/>
                </w:rPr>
                <w:t>Unregistered Sales of Equity Securities and Use of Proceeds</w:t>
              </w:r>
            </w:hyperlink>
          </w:p>
        </w:tc>
        <w:tc>
          <w:tcPr>
            <w:tcW w:w="900" w:type="dxa"/>
            <w:vAlign w:val="bottom"/>
          </w:tcPr>
          <w:p>
            <w:pPr>
              <w:jc w:val="right"/>
              <w:spacing w:after="0" w:line="176" w:lineRule="exact"/>
              <w:rPr>
                <w:sz w:val="20"/>
                <w:szCs w:val="20"/>
                <w:color w:val="auto"/>
              </w:rPr>
            </w:pPr>
            <w:r>
              <w:rPr>
                <w:rFonts w:ascii="Arial" w:cs="Arial" w:eastAsia="Arial" w:hAnsi="Arial"/>
                <w:sz w:val="18"/>
                <w:szCs w:val="18"/>
                <w:color w:val="auto"/>
              </w:rPr>
              <w:t>35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3.</w:t>
            </w:r>
          </w:p>
        </w:tc>
        <w:tc>
          <w:tcPr>
            <w:tcW w:w="9360" w:type="dxa"/>
            <w:vAlign w:val="bottom"/>
            <w:gridSpan w:val="13"/>
            <w:shd w:val="clear" w:color="auto" w:fill="CCEEFF"/>
          </w:tcPr>
          <w:p>
            <w:pPr>
              <w:spacing w:after="0" w:line="176" w:lineRule="exact"/>
              <w:rPr>
                <w:rFonts w:ascii="Arial" w:cs="Arial" w:eastAsia="Arial" w:hAnsi="Arial"/>
                <w:sz w:val="18"/>
                <w:szCs w:val="18"/>
                <w:color w:val="0000EE"/>
              </w:rPr>
            </w:pPr>
            <w:hyperlink w:anchor="page48">
              <w:r>
                <w:rPr>
                  <w:rFonts w:ascii="Arial" w:cs="Arial" w:eastAsia="Arial" w:hAnsi="Arial"/>
                  <w:sz w:val="18"/>
                  <w:szCs w:val="18"/>
                  <w:color w:val="0000EE"/>
                </w:rPr>
                <w:t>Defaults Upon Senior Securities</w:t>
              </w:r>
            </w:hyperlink>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Item 4.</w:t>
            </w:r>
          </w:p>
        </w:tc>
        <w:tc>
          <w:tcPr>
            <w:tcW w:w="2320" w:type="dxa"/>
            <w:vAlign w:val="bottom"/>
            <w:tcBorders>
              <w:top w:val="single" w:sz="8" w:color="0000EE"/>
            </w:tcBorders>
            <w:gridSpan w:val="8"/>
          </w:tcPr>
          <w:p>
            <w:pPr>
              <w:spacing w:after="0" w:line="176" w:lineRule="exact"/>
              <w:rPr>
                <w:rFonts w:ascii="Arial" w:cs="Arial" w:eastAsia="Arial" w:hAnsi="Arial"/>
                <w:sz w:val="18"/>
                <w:szCs w:val="18"/>
                <w:color w:val="0000EE"/>
              </w:rPr>
            </w:pPr>
            <w:hyperlink w:anchor="page48">
              <w:r>
                <w:rPr>
                  <w:rFonts w:ascii="Arial" w:cs="Arial" w:eastAsia="Arial" w:hAnsi="Arial"/>
                  <w:sz w:val="18"/>
                  <w:szCs w:val="18"/>
                  <w:color w:val="0000EE"/>
                </w:rPr>
                <w:t>Mine Safety Disclosures</w:t>
              </w:r>
            </w:hyperlink>
          </w:p>
        </w:tc>
        <w:tc>
          <w:tcPr>
            <w:tcW w:w="7040" w:type="dxa"/>
            <w:vAlign w:val="bottom"/>
            <w:tcBorders>
              <w:top w:val="single" w:sz="8" w:color="CCEEFF"/>
            </w:tcBorders>
            <w:gridSpan w:val="5"/>
          </w:tcPr>
          <w:p>
            <w:pPr>
              <w:spacing w:after="0"/>
              <w:rPr>
                <w:sz w:val="15"/>
                <w:szCs w:val="15"/>
                <w:color w:val="auto"/>
              </w:rPr>
            </w:pPr>
          </w:p>
        </w:tc>
        <w:tc>
          <w:tcPr>
            <w:tcW w:w="90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35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Item 5.</w:t>
            </w:r>
          </w:p>
        </w:tc>
        <w:tc>
          <w:tcPr>
            <w:tcW w:w="1320" w:type="dxa"/>
            <w:vAlign w:val="bottom"/>
            <w:tcBorders>
              <w:bottom w:val="single" w:sz="8" w:color="0000EE"/>
            </w:tcBorders>
            <w:gridSpan w:val="3"/>
            <w:shd w:val="clear" w:color="auto" w:fill="CCEEFF"/>
          </w:tcPr>
          <w:p>
            <w:pPr>
              <w:spacing w:after="0" w:line="176" w:lineRule="exact"/>
              <w:rPr>
                <w:rFonts w:ascii="Arial" w:cs="Arial" w:eastAsia="Arial" w:hAnsi="Arial"/>
                <w:sz w:val="18"/>
                <w:szCs w:val="18"/>
                <w:color w:val="0000EE"/>
                <w:w w:val="92"/>
              </w:rPr>
            </w:pPr>
            <w:hyperlink w:anchor="page48">
              <w:r>
                <w:rPr>
                  <w:rFonts w:ascii="Arial" w:cs="Arial" w:eastAsia="Arial" w:hAnsi="Arial"/>
                  <w:sz w:val="18"/>
                  <w:szCs w:val="18"/>
                  <w:color w:val="0000EE"/>
                  <w:w w:val="92"/>
                </w:rPr>
                <w:t>Other Information</w:t>
              </w:r>
            </w:hyperlink>
          </w:p>
        </w:tc>
        <w:tc>
          <w:tcPr>
            <w:tcW w:w="8040" w:type="dxa"/>
            <w:vAlign w:val="bottom"/>
            <w:tcBorders>
              <w:bottom w:val="single" w:sz="8" w:color="CCEEFF"/>
            </w:tcBorders>
            <w:gridSpan w:val="10"/>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35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tcPr>
          <w:p>
            <w:pPr>
              <w:spacing w:after="0" w:line="176" w:lineRule="exact"/>
              <w:rPr>
                <w:sz w:val="20"/>
                <w:szCs w:val="20"/>
                <w:color w:val="auto"/>
              </w:rPr>
            </w:pPr>
            <w:r>
              <w:rPr>
                <w:rFonts w:ascii="Arial" w:cs="Arial" w:eastAsia="Arial" w:hAnsi="Arial"/>
                <w:sz w:val="18"/>
                <w:szCs w:val="18"/>
                <w:color w:val="auto"/>
              </w:rPr>
              <w:t>Item 6.</w:t>
            </w:r>
          </w:p>
        </w:tc>
        <w:tc>
          <w:tcPr>
            <w:tcW w:w="600" w:type="dxa"/>
            <w:vAlign w:val="bottom"/>
            <w:tcBorders>
              <w:bottom w:val="single" w:sz="8" w:color="0000EE"/>
            </w:tcBorders>
          </w:tcPr>
          <w:p>
            <w:pPr>
              <w:spacing w:after="0" w:line="176" w:lineRule="exact"/>
              <w:rPr>
                <w:rFonts w:ascii="Arial" w:cs="Arial" w:eastAsia="Arial" w:hAnsi="Arial"/>
                <w:sz w:val="18"/>
                <w:szCs w:val="18"/>
                <w:color w:val="0000EE"/>
                <w:w w:val="91"/>
              </w:rPr>
            </w:pPr>
            <w:hyperlink w:anchor="page49">
              <w:r>
                <w:rPr>
                  <w:rFonts w:ascii="Arial" w:cs="Arial" w:eastAsia="Arial" w:hAnsi="Arial"/>
                  <w:sz w:val="18"/>
                  <w:szCs w:val="18"/>
                  <w:color w:val="0000EE"/>
                  <w:w w:val="91"/>
                </w:rPr>
                <w:t>Exhibits</w:t>
              </w:r>
            </w:hyperlink>
          </w:p>
        </w:tc>
        <w:tc>
          <w:tcPr>
            <w:tcW w:w="8760" w:type="dxa"/>
            <w:vAlign w:val="bottom"/>
            <w:gridSpan w:val="12"/>
          </w:tcPr>
          <w:p>
            <w:pPr>
              <w:spacing w:after="0"/>
              <w:rPr>
                <w:sz w:val="15"/>
                <w:szCs w:val="15"/>
                <w:color w:val="auto"/>
              </w:rPr>
            </w:pPr>
          </w:p>
        </w:tc>
        <w:tc>
          <w:tcPr>
            <w:tcW w:w="900" w:type="dxa"/>
            <w:vAlign w:val="bottom"/>
          </w:tcPr>
          <w:p>
            <w:pPr>
              <w:jc w:val="right"/>
              <w:spacing w:after="0" w:line="176" w:lineRule="exact"/>
              <w:rPr>
                <w:sz w:val="20"/>
                <w:szCs w:val="20"/>
                <w:color w:val="auto"/>
              </w:rPr>
            </w:pPr>
            <w:r>
              <w:rPr>
                <w:rFonts w:ascii="Arial" w:cs="Arial" w:eastAsia="Arial" w:hAnsi="Arial"/>
                <w:sz w:val="18"/>
                <w:szCs w:val="18"/>
                <w:color w:val="auto"/>
              </w:rPr>
              <w:t>36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8"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420" w:type="dxa"/>
            <w:vAlign w:val="bottom"/>
          </w:tcPr>
          <w:p>
            <w:pPr>
              <w:jc w:val="center"/>
              <w:ind w:left="2890"/>
              <w:spacing w:after="0"/>
              <w:rPr>
                <w:sz w:val="20"/>
                <w:szCs w:val="20"/>
                <w:color w:val="auto"/>
              </w:rPr>
            </w:pPr>
            <w:r>
              <w:rPr>
                <w:rFonts w:ascii="Arial" w:cs="Arial" w:eastAsia="Arial" w:hAnsi="Arial"/>
                <w:sz w:val="18"/>
                <w:szCs w:val="18"/>
                <w:b w:val="1"/>
                <w:bCs w:val="1"/>
                <w:color w:val="auto"/>
              </w:rPr>
              <w:t>Part I - FINANCIAL INFORMATION</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440" w:type="dxa"/>
            <w:vAlign w:val="bottom"/>
            <w:gridSpan w:val="2"/>
          </w:tcPr>
          <w:p>
            <w:pPr>
              <w:spacing w:after="0"/>
              <w:rPr>
                <w:sz w:val="20"/>
                <w:szCs w:val="20"/>
                <w:color w:val="auto"/>
              </w:rPr>
            </w:pPr>
            <w:r>
              <w:rPr>
                <w:rFonts w:ascii="Arial" w:cs="Arial" w:eastAsia="Arial" w:hAnsi="Arial"/>
                <w:sz w:val="18"/>
                <w:szCs w:val="18"/>
                <w:b w:val="1"/>
                <w:bCs w:val="1"/>
                <w:color w:val="auto"/>
              </w:rPr>
              <w:t>Item 1. Condensed Consolidated Financial Statements</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8420" w:type="dxa"/>
            <w:vAlign w:val="bottom"/>
          </w:tcPr>
          <w:p>
            <w:pPr>
              <w:jc w:val="center"/>
              <w:ind w:left="2870"/>
              <w:spacing w:after="0"/>
              <w:rPr>
                <w:sz w:val="20"/>
                <w:szCs w:val="20"/>
                <w:color w:val="auto"/>
              </w:rPr>
            </w:pPr>
            <w:r>
              <w:rPr>
                <w:rFonts w:ascii="Arial" w:cs="Arial" w:eastAsia="Arial" w:hAnsi="Arial"/>
                <w:sz w:val="18"/>
                <w:szCs w:val="18"/>
                <w:b w:val="1"/>
                <w:bCs w:val="1"/>
                <w:color w:val="auto"/>
                <w:w w:val="92"/>
              </w:rPr>
              <w:t>FORM Holdings Corp. and Subsidiaries</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jc w:val="center"/>
              <w:ind w:left="287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420" w:type="dxa"/>
            <w:vAlign w:val="bottom"/>
          </w:tcPr>
          <w:p>
            <w:pPr>
              <w:jc w:val="center"/>
              <w:ind w:left="2890"/>
              <w:spacing w:after="0"/>
              <w:rPr>
                <w:sz w:val="20"/>
                <w:szCs w:val="20"/>
                <w:color w:val="auto"/>
              </w:rPr>
            </w:pPr>
            <w:r>
              <w:rPr>
                <w:rFonts w:ascii="Arial" w:cs="Arial" w:eastAsia="Arial" w:hAnsi="Arial"/>
                <w:sz w:val="18"/>
                <w:szCs w:val="18"/>
                <w:b w:val="1"/>
                <w:bCs w:val="1"/>
                <w:color w:val="auto"/>
                <w:w w:val="88"/>
              </w:rPr>
              <w:t>(In thousands, except share and per share data)</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8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w w:val="88"/>
              </w:rPr>
              <w:t>September 30,</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December 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ind w:right="390"/>
              <w:spacing w:after="0"/>
              <w:rPr>
                <w:sz w:val="20"/>
                <w:szCs w:val="20"/>
                <w:color w:val="auto"/>
              </w:rPr>
            </w:pPr>
            <w:r>
              <w:rPr>
                <w:rFonts w:ascii="Arial" w:cs="Arial" w:eastAsia="Arial" w:hAnsi="Arial"/>
                <w:sz w:val="18"/>
                <w:szCs w:val="18"/>
                <w:color w:val="auto"/>
              </w:rPr>
              <w:t>2016</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ind w:right="10"/>
              <w:spacing w:after="0"/>
              <w:rPr>
                <w:sz w:val="20"/>
                <w:szCs w:val="20"/>
                <w:color w:val="auto"/>
              </w:rPr>
            </w:pPr>
            <w:r>
              <w:rPr>
                <w:rFonts w:ascii="Arial" w:cs="Arial" w:eastAsia="Arial" w:hAnsi="Arial"/>
                <w:sz w:val="18"/>
                <w:szCs w:val="18"/>
                <w:color w:val="auto"/>
                <w:w w:val="89"/>
              </w:rPr>
              <w:t>2015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(Unaudited)</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(see Note 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21,679</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24,951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Deposits with courts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1,833</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Inventory</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408</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Other current assets</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342</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698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Investment in XpresSpa</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1,734</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b w:val="1"/>
                <w:bCs w:val="1"/>
                <w:color w:val="auto"/>
              </w:rPr>
              <w:t>Total current assets</w:t>
            </w: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25,996</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28,204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Intangible assets, net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3,315</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16,476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4,863</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4,863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Other assets</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1,143</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916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35,317</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50,459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Accounts payable, accrued expenses and other current liabilities</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7,421</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5,855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453</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Senior secured notes</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3,111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7,874</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9,141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Long-term liabilities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Derivative warrant liabilities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601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119</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liabilities</w:t>
            </w:r>
          </w:p>
        </w:tc>
        <w:tc>
          <w:tcPr>
            <w:tcW w:w="1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8,594</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9,943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 (see Note 14)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20" w:type="dxa"/>
            <w:vAlign w:val="bottom"/>
          </w:tcPr>
          <w:p>
            <w:pPr>
              <w:spacing w:after="0" w:line="201" w:lineRule="exact"/>
              <w:rPr>
                <w:sz w:val="20"/>
                <w:szCs w:val="20"/>
                <w:color w:val="auto"/>
              </w:rPr>
            </w:pPr>
            <w:r>
              <w:rPr>
                <w:rFonts w:ascii="Arial" w:cs="Arial" w:eastAsia="Arial" w:hAnsi="Arial"/>
                <w:sz w:val="18"/>
                <w:szCs w:val="18"/>
                <w:color w:val="auto"/>
                <w:w w:val="91"/>
              </w:rPr>
              <w:t>Series A Convertible Preferred stock, $0.01 par value per share; 500,000 shares authorized; 6,968 issued and none</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440" w:type="dxa"/>
            <w:vAlign w:val="bottom"/>
            <w:gridSpan w:val="2"/>
          </w:tcPr>
          <w:p>
            <w:pPr>
              <w:spacing w:after="0"/>
              <w:rPr>
                <w:sz w:val="20"/>
                <w:szCs w:val="20"/>
                <w:color w:val="auto"/>
              </w:rPr>
            </w:pPr>
            <w:r>
              <w:rPr>
                <w:rFonts w:ascii="Arial" w:cs="Arial" w:eastAsia="Arial" w:hAnsi="Arial"/>
                <w:sz w:val="18"/>
                <w:szCs w:val="18"/>
                <w:color w:val="auto"/>
              </w:rPr>
              <w:t>outstanding</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Series B Convertible Preferred stock, $0.01 par value per share, 5,000,000 shares authorized; 1,666,667 shares</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issued and none outstanding</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w w:val="90"/>
              </w:rPr>
              <w:t>Series C Junior Preferred stock, $0.01 par value per share; 300,000 shares authorized; none issued and outstanding</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89"/>
              </w:rPr>
              <w:t>Common stock, $0.01 par value per share 150,000,000 shares authorized; 15,799,881 and 13,220,050 shares issued</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and outstanding as of September 30, 2016 and December 31, 2015, respectively</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158</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243,450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237,246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(216,885)</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(196,862)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stockholders’ equity</w:t>
            </w:r>
          </w:p>
        </w:tc>
        <w:tc>
          <w:tcPr>
            <w:tcW w:w="1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26,723</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40,516</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35,317</w:t>
            </w:r>
          </w:p>
        </w:tc>
        <w:tc>
          <w:tcPr>
            <w:tcW w:w="1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50,459</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form an integral part of these condensed consolidated financial statements.</w:t>
      </w:r>
    </w:p>
    <w:p>
      <w:pPr>
        <w:spacing w:after="0" w:line="200" w:lineRule="exact"/>
        <w:rPr>
          <w:sz w:val="20"/>
          <w:szCs w:val="20"/>
          <w:color w:val="auto"/>
        </w:rPr>
      </w:pPr>
    </w:p>
    <w:p>
      <w:pPr>
        <w:spacing w:after="0" w:line="234"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FORM Holdings Corp.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20" w:type="dxa"/>
            <w:vAlign w:val="bottom"/>
            <w:gridSpan w:val="6"/>
          </w:tcPr>
          <w:p>
            <w:pPr>
              <w:jc w:val="right"/>
              <w:ind w:right="180"/>
              <w:spacing w:after="0"/>
              <w:rPr>
                <w:sz w:val="20"/>
                <w:szCs w:val="20"/>
                <w:color w:val="auto"/>
              </w:rPr>
            </w:pPr>
            <w:r>
              <w:rPr>
                <w:rFonts w:ascii="Arial" w:cs="Arial" w:eastAsia="Arial" w:hAnsi="Arial"/>
                <w:sz w:val="18"/>
                <w:szCs w:val="18"/>
                <w:color w:val="auto"/>
                <w:w w:val="87"/>
              </w:rPr>
              <w:t>Three months ended September 30,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00" w:type="dxa"/>
            <w:vAlign w:val="bottom"/>
            <w:gridSpan w:val="6"/>
          </w:tcPr>
          <w:p>
            <w:pPr>
              <w:jc w:val="right"/>
              <w:ind w:right="140"/>
              <w:spacing w:after="0"/>
              <w:rPr>
                <w:sz w:val="20"/>
                <w:szCs w:val="20"/>
                <w:color w:val="auto"/>
              </w:rPr>
            </w:pPr>
            <w:r>
              <w:rPr>
                <w:rFonts w:ascii="Arial" w:cs="Arial" w:eastAsia="Arial" w:hAnsi="Arial"/>
                <w:sz w:val="18"/>
                <w:szCs w:val="18"/>
                <w:color w:val="auto"/>
                <w:w w:val="88"/>
              </w:rPr>
              <w:t>Nine months ended 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rPr>
              <w:t>2016</w:t>
            </w:r>
          </w:p>
        </w:tc>
        <w:tc>
          <w:tcPr>
            <w:tcW w:w="16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rPr>
              <w:t>2015</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rPr>
              <w:t>2016</w:t>
            </w:r>
          </w:p>
        </w:tc>
        <w:tc>
          <w:tcPr>
            <w:tcW w:w="140" w:type="dxa"/>
            <w:vAlign w:val="bottom"/>
            <w:tcBorders>
              <w:top w:val="single" w:sz="8" w:color="auto"/>
              <w:bottom w:val="single" w:sz="8" w:color="CCEEFF"/>
            </w:tcBorders>
          </w:tcPr>
          <w:p>
            <w:pPr>
              <w:spacing w:after="0"/>
              <w:rPr>
                <w:sz w:val="19"/>
                <w:szCs w:val="19"/>
                <w:color w:val="auto"/>
              </w:rPr>
            </w:pPr>
          </w:p>
        </w:tc>
        <w:tc>
          <w:tcPr>
            <w:tcW w:w="6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rPr>
              <w:t>2015</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Licensing revenue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1,350</w:t>
            </w:r>
          </w:p>
        </w:tc>
        <w:tc>
          <w:tcPr>
            <w:tcW w:w="160" w:type="dxa"/>
            <w:vAlign w:val="bottom"/>
          </w:tcPr>
          <w:p>
            <w:pPr>
              <w:spacing w:after="0"/>
              <w:rPr>
                <w:sz w:val="18"/>
                <w:szCs w:val="18"/>
                <w:color w:val="auto"/>
              </w:rPr>
            </w:pPr>
          </w:p>
        </w:tc>
        <w:tc>
          <w:tcPr>
            <w:tcW w:w="3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11,025</w:t>
            </w:r>
          </w:p>
        </w:tc>
        <w:tc>
          <w:tcPr>
            <w:tcW w:w="3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Product revenue</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1,755</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5,486</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revenue</w:t>
            </w:r>
          </w:p>
        </w:tc>
        <w:tc>
          <w:tcPr>
            <w:tcW w:w="1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3,105</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16,511</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b w:val="1"/>
                <w:bCs w:val="1"/>
                <w:color w:val="auto"/>
              </w:rPr>
              <w:t>Costs and expenses*</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4,866</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Operating legal costs</w:t>
            </w:r>
          </w:p>
        </w:tc>
        <w:tc>
          <w:tcPr>
            <w:tcW w:w="10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894</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6,776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2,469</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15,341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Inventor royalties</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270</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3,658</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Amortization and impairment of intangible assets</w:t>
            </w:r>
          </w:p>
        </w:tc>
        <w:tc>
          <w:tcPr>
            <w:tcW w:w="10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203</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819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13,404</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2,436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3,955</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2,095</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10,212</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7,391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operating expenses</w:t>
            </w:r>
          </w:p>
        </w:tc>
        <w:tc>
          <w:tcPr>
            <w:tcW w:w="1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6,882</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9,690</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34,609</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25,168</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loss</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(3,777</w:t>
            </w:r>
          </w:p>
        </w:tc>
        <w:tc>
          <w:tcPr>
            <w:tcW w:w="1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(9,690</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(18,098</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(25,018</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Gain (loss) on revaluation of warrants and conversion feature</w:t>
            </w:r>
          </w:p>
        </w:tc>
        <w:tc>
          <w:tcPr>
            <w:tcW w:w="10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(272)</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716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97</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1,411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(949)</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(1,708)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(1,697)</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Extinguishment of debt</w:t>
            </w:r>
          </w:p>
        </w:tc>
        <w:tc>
          <w:tcPr>
            <w:tcW w:w="10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(262)</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(1,044)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(472)</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(1,254)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Non-operating income (expense), net</w:t>
            </w: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147</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6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loss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(5,261</w:t>
            </w:r>
          </w:p>
        </w:tc>
        <w:tc>
          <w:tcPr>
            <w:tcW w:w="160" w:type="dxa"/>
            <w:vAlign w:val="bottom"/>
            <w:tcBorders>
              <w:bottom w:val="single" w:sz="8" w:color="CCEEFF"/>
            </w:tcBorders>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(11,871</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(20,023</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(27,356</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6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Loss per share:</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Basic net loss per share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(0.34)</w:t>
            </w:r>
          </w:p>
        </w:tc>
        <w:tc>
          <w:tcPr>
            <w:tcW w:w="3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(1.16)</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(1.35)</w:t>
            </w:r>
          </w:p>
        </w:tc>
        <w:tc>
          <w:tcPr>
            <w:tcW w:w="3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600" w:type="dxa"/>
            <w:vAlign w:val="bottom"/>
            <w:tcBorders>
              <w:top w:val="single" w:sz="8" w:color="CCEEFF"/>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Diluted net loss per share</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(0.34</w:t>
            </w:r>
          </w:p>
        </w:tc>
        <w:tc>
          <w:tcPr>
            <w:tcW w:w="160" w:type="dxa"/>
            <w:vAlign w:val="bottom"/>
            <w:tcBorders>
              <w:top w:val="single" w:sz="8" w:color="CCEEFF"/>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(1.16</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(1.35</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(2.82</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5620" w:type="dxa"/>
            <w:vAlign w:val="bottom"/>
            <w:gridSpan w:val="2"/>
            <w:vMerge w:val="restart"/>
          </w:tcPr>
          <w:p>
            <w:pPr>
              <w:spacing w:after="0"/>
              <w:rPr>
                <w:sz w:val="20"/>
                <w:szCs w:val="20"/>
                <w:color w:val="auto"/>
              </w:rPr>
            </w:pPr>
            <w:r>
              <w:rPr>
                <w:rFonts w:ascii="Arial" w:cs="Arial" w:eastAsia="Arial" w:hAnsi="Arial"/>
                <w:sz w:val="18"/>
                <w:szCs w:val="18"/>
                <w:color w:val="auto"/>
              </w:rPr>
              <w:t>Weighted-average number of shares outstanding during the period:</w:t>
            </w: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6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15,473,895</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10,246,624</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14,880,925</w:t>
            </w:r>
          </w:p>
        </w:tc>
        <w:tc>
          <w:tcPr>
            <w:tcW w:w="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9,688,744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Borders>
              <w:top w:val="single" w:sz="8" w:color="CCEEFF"/>
              <w:bottom w:val="single" w:sz="8" w:color="CCEEFF"/>
            </w:tcBorders>
            <w:vMerge w:val="restart"/>
          </w:tcPr>
          <w:p>
            <w:pPr>
              <w:ind w:left="100"/>
              <w:spacing w:after="0"/>
              <w:rPr>
                <w:sz w:val="20"/>
                <w:szCs w:val="20"/>
                <w:color w:val="auto"/>
              </w:rPr>
            </w:pPr>
            <w:r>
              <w:rPr>
                <w:rFonts w:ascii="Arial" w:cs="Arial" w:eastAsia="Arial" w:hAnsi="Arial"/>
                <w:sz w:val="18"/>
                <w:szCs w:val="18"/>
                <w:color w:val="auto"/>
              </w:rPr>
              <w:t>Diluted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60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15,473,895</w:t>
            </w:r>
          </w:p>
        </w:tc>
        <w:tc>
          <w:tcPr>
            <w:tcW w:w="16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10,246,624</w:t>
            </w:r>
          </w:p>
        </w:tc>
        <w:tc>
          <w:tcPr>
            <w:tcW w:w="14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14,880,925</w:t>
            </w:r>
          </w:p>
        </w:tc>
        <w:tc>
          <w:tcPr>
            <w:tcW w:w="140" w:type="dxa"/>
            <w:vAlign w:val="bottom"/>
            <w:tcBorders>
              <w:bottom w:val="single" w:sz="8" w:color="CCEEFF"/>
            </w:tcBorders>
            <w:vMerge w:val="continue"/>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9,688,744</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b w:val="1"/>
                <w:bCs w:val="1"/>
                <w:color w:val="auto"/>
              </w:rPr>
              <w:t>* Includes stock-based compensation expense, as follows:</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Operating legal costs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191</w:t>
            </w:r>
          </w:p>
        </w:tc>
        <w:tc>
          <w:tcPr>
            <w:tcW w:w="3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9"/>
                <w:szCs w:val="19"/>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426</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936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1,256</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3,560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1,066</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1,447</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form an integral part of these condensed consolidated financial statements.</w:t>
      </w:r>
    </w:p>
    <w:p>
      <w:pPr>
        <w:spacing w:after="0" w:line="200" w:lineRule="exact"/>
        <w:rPr>
          <w:sz w:val="20"/>
          <w:szCs w:val="20"/>
          <w:color w:val="auto"/>
        </w:rPr>
      </w:pPr>
    </w:p>
    <w:p>
      <w:pPr>
        <w:spacing w:after="0" w:line="234"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FORM Holdings Corp.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Common</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color w:val="auto"/>
                <w:w w:val="96"/>
              </w:rPr>
              <w:t>Additional</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w w:val="90"/>
              </w:rPr>
              <w:t>Accumulated</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5620" w:type="dxa"/>
            <w:vAlign w:val="bottom"/>
          </w:tcPr>
          <w:p>
            <w:pPr>
              <w:spacing w:after="0"/>
              <w:rPr>
                <w:sz w:val="20"/>
                <w:szCs w:val="20"/>
                <w:color w:val="auto"/>
              </w:rPr>
            </w:pPr>
          </w:p>
        </w:tc>
        <w:tc>
          <w:tcPr>
            <w:tcW w:w="960" w:type="dxa"/>
            <w:vAlign w:val="bottom"/>
          </w:tcPr>
          <w:p>
            <w:pPr>
              <w:jc w:val="right"/>
              <w:ind w:right="57"/>
              <w:spacing w:after="0"/>
              <w:rPr>
                <w:sz w:val="20"/>
                <w:szCs w:val="20"/>
                <w:color w:val="auto"/>
              </w:rPr>
            </w:pPr>
            <w:r>
              <w:rPr>
                <w:rFonts w:ascii="Arial" w:cs="Arial" w:eastAsia="Arial" w:hAnsi="Arial"/>
                <w:sz w:val="18"/>
                <w:szCs w:val="18"/>
                <w:color w:val="auto"/>
              </w:rPr>
              <w:t>stock</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paid-in capital</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8"/>
                <w:szCs w:val="18"/>
                <w:color w:val="auto"/>
              </w:rPr>
              <w:t>deficit</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3"/>
          </w:tcPr>
          <w:p>
            <w:pPr>
              <w:jc w:val="right"/>
              <w:ind w:right="540"/>
              <w:spacing w:after="0"/>
              <w:rPr>
                <w:sz w:val="20"/>
                <w:szCs w:val="20"/>
                <w:color w:val="auto"/>
              </w:rPr>
            </w:pPr>
            <w:r>
              <w:rPr>
                <w:rFonts w:ascii="Arial" w:cs="Arial" w:eastAsia="Arial" w:hAnsi="Arial"/>
                <w:sz w:val="18"/>
                <w:szCs w:val="18"/>
                <w:color w:val="auto"/>
              </w:rPr>
              <w:t>Total</w:t>
            </w: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2015</w:t>
            </w:r>
          </w:p>
        </w:tc>
        <w:tc>
          <w:tcPr>
            <w:tcW w:w="960" w:type="dxa"/>
            <w:vAlign w:val="bottom"/>
            <w:tcBorders>
              <w:top w:val="single" w:sz="8" w:color="auto"/>
            </w:tcBorders>
            <w:shd w:val="clear" w:color="auto" w:fill="CCEEFF"/>
          </w:tcPr>
          <w:p>
            <w:pPr>
              <w:jc w:val="right"/>
              <w:ind w:right="797"/>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132</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237,246</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(196,862)</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40,516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Vesting of restricted stock units (“RSUs”)</w:t>
            </w:r>
          </w:p>
        </w:tc>
        <w:tc>
          <w:tcPr>
            <w:tcW w:w="960" w:type="dxa"/>
            <w:vAlign w:val="bottom"/>
          </w:tcPr>
          <w:p>
            <w:pPr>
              <w:spacing w:after="0"/>
              <w:rPr>
                <w:sz w:val="18"/>
                <w:szCs w:val="18"/>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5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Issuance of common stock for repayment of convertible debt and related</w:t>
            </w:r>
          </w:p>
        </w:tc>
        <w:tc>
          <w:tcPr>
            <w:tcW w:w="9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56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interest</w:t>
            </w:r>
          </w:p>
        </w:tc>
        <w:tc>
          <w:tcPr>
            <w:tcW w:w="960" w:type="dxa"/>
            <w:vAlign w:val="bottom"/>
            <w:shd w:val="clear" w:color="auto" w:fill="CCEEFF"/>
          </w:tcPr>
          <w:p>
            <w:pPr>
              <w:spacing w:after="0"/>
              <w:rPr>
                <w:sz w:val="20"/>
                <w:szCs w:val="20"/>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3,031</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3,049</w:t>
            </w:r>
          </w:p>
        </w:tc>
        <w:tc>
          <w:tcPr>
            <w:tcW w:w="80" w:type="dxa"/>
            <w:vAlign w:val="bottom"/>
            <w:shd w:val="clear" w:color="auto" w:fill="CCEEFF"/>
          </w:tcPr>
          <w:p>
            <w:pPr>
              <w:spacing w:after="0"/>
              <w:rPr>
                <w:sz w:val="20"/>
                <w:szCs w:val="20"/>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Sale of shares of common stock from subscription agreement</w:t>
            </w:r>
          </w:p>
        </w:tc>
        <w:tc>
          <w:tcPr>
            <w:tcW w:w="960" w:type="dxa"/>
            <w:vAlign w:val="bottom"/>
          </w:tcPr>
          <w:p>
            <w:pPr>
              <w:spacing w:after="0"/>
              <w:rPr>
                <w:sz w:val="18"/>
                <w:szCs w:val="18"/>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1,727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1,734</w:t>
            </w:r>
          </w:p>
        </w:tc>
        <w:tc>
          <w:tcPr>
            <w:tcW w:w="80" w:type="dxa"/>
            <w:vAlign w:val="bottom"/>
          </w:tcPr>
          <w:p>
            <w:pPr>
              <w:spacing w:after="0"/>
              <w:rPr>
                <w:sz w:val="18"/>
                <w:szCs w:val="18"/>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9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1,447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1,447</w:t>
            </w:r>
          </w:p>
        </w:tc>
        <w:tc>
          <w:tcPr>
            <w:tcW w:w="80" w:type="dxa"/>
            <w:vAlign w:val="bottom"/>
            <w:shd w:val="clear" w:color="auto" w:fill="CCEEFF"/>
          </w:tcPr>
          <w:p>
            <w:pPr>
              <w:spacing w:after="0"/>
              <w:rPr>
                <w:sz w:val="18"/>
                <w:szCs w:val="18"/>
                <w:color w:val="auto"/>
              </w:rPr>
            </w:pPr>
          </w:p>
        </w:tc>
      </w:t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Net loss for the period</w:t>
            </w:r>
          </w:p>
        </w:tc>
        <w:tc>
          <w:tcPr>
            <w:tcW w:w="960" w:type="dxa"/>
            <w:vAlign w:val="bottom"/>
          </w:tcPr>
          <w:p>
            <w:pPr>
              <w:spacing w:after="0"/>
              <w:rPr>
                <w:sz w:val="19"/>
                <w:szCs w:val="19"/>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(20,023)</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(20,023)</w:t>
            </w:r>
          </w:p>
        </w:tc>
      </w:tr>
      <w:tr>
        <w:trPr>
          <w:trHeight w:val="223"/>
        </w:trPr>
        <w:tc>
          <w:tcPr>
            <w:tcW w:w="56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as of September 30, 2016</w:t>
            </w:r>
          </w:p>
        </w:tc>
        <w:tc>
          <w:tcPr>
            <w:tcW w:w="960" w:type="dxa"/>
            <w:vAlign w:val="bottom"/>
            <w:tcBorders>
              <w:top w:val="single" w:sz="8" w:color="auto"/>
              <w:bottom w:val="single" w:sz="8" w:color="auto"/>
            </w:tcBorders>
            <w:shd w:val="clear" w:color="auto" w:fill="CCEEFF"/>
          </w:tcPr>
          <w:p>
            <w:pPr>
              <w:jc w:val="right"/>
              <w:ind w:right="797"/>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158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243,450</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(216,885</w:t>
            </w:r>
          </w:p>
        </w:tc>
        <w:tc>
          <w:tcPr>
            <w:tcW w:w="200" w:type="dxa"/>
            <w:vAlign w:val="bottom"/>
            <w:tcBorders>
              <w:top w:val="single" w:sz="8" w:color="CCEEFF"/>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26,723</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6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98"/>
        </w:trPr>
        <w:tc>
          <w:tcPr>
            <w:tcW w:w="56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Common</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color w:val="auto"/>
                <w:w w:val="96"/>
              </w:rPr>
              <w:t>Additional</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w w:val="90"/>
              </w:rPr>
              <w:t>Accumulated</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0"/>
        </w:trPr>
        <w:tc>
          <w:tcPr>
            <w:tcW w:w="5620" w:type="dxa"/>
            <w:vAlign w:val="bottom"/>
          </w:tcPr>
          <w:p>
            <w:pPr>
              <w:spacing w:after="0"/>
              <w:rPr>
                <w:sz w:val="20"/>
                <w:szCs w:val="20"/>
                <w:color w:val="auto"/>
              </w:rPr>
            </w:pPr>
          </w:p>
        </w:tc>
        <w:tc>
          <w:tcPr>
            <w:tcW w:w="960" w:type="dxa"/>
            <w:vAlign w:val="bottom"/>
          </w:tcPr>
          <w:p>
            <w:pPr>
              <w:jc w:val="right"/>
              <w:ind w:right="57"/>
              <w:spacing w:after="0"/>
              <w:rPr>
                <w:sz w:val="20"/>
                <w:szCs w:val="20"/>
                <w:color w:val="auto"/>
              </w:rPr>
            </w:pPr>
            <w:r>
              <w:rPr>
                <w:rFonts w:ascii="Arial" w:cs="Arial" w:eastAsia="Arial" w:hAnsi="Arial"/>
                <w:sz w:val="18"/>
                <w:szCs w:val="18"/>
                <w:color w:val="auto"/>
              </w:rPr>
              <w:t>stock</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paid-in capital</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8"/>
                <w:szCs w:val="18"/>
                <w:color w:val="auto"/>
              </w:rPr>
              <w:t>deficit</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3"/>
          </w:tcPr>
          <w:p>
            <w:pPr>
              <w:jc w:val="right"/>
              <w:ind w:right="540"/>
              <w:spacing w:after="0"/>
              <w:rPr>
                <w:sz w:val="20"/>
                <w:szCs w:val="20"/>
                <w:color w:val="auto"/>
              </w:rPr>
            </w:pPr>
            <w:r>
              <w:rPr>
                <w:rFonts w:ascii="Arial" w:cs="Arial" w:eastAsia="Arial" w:hAnsi="Arial"/>
                <w:sz w:val="18"/>
                <w:szCs w:val="18"/>
                <w:color w:val="auto"/>
              </w:rPr>
              <w:t>Total</w:t>
            </w: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2014</w:t>
            </w:r>
          </w:p>
        </w:tc>
        <w:tc>
          <w:tcPr>
            <w:tcW w:w="960" w:type="dxa"/>
            <w:vAlign w:val="bottom"/>
            <w:tcBorders>
              <w:top w:val="single" w:sz="8" w:color="auto"/>
            </w:tcBorders>
            <w:shd w:val="clear" w:color="auto" w:fill="CCEEFF"/>
          </w:tcPr>
          <w:p>
            <w:pPr>
              <w:jc w:val="right"/>
              <w:ind w:right="797"/>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216,792</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(185,705)</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31,180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02"/>
        </w:trPr>
        <w:tc>
          <w:tcPr>
            <w:tcW w:w="5620" w:type="dxa"/>
            <w:vAlign w:val="bottom"/>
          </w:tcPr>
          <w:p>
            <w:pPr>
              <w:spacing w:after="0" w:line="201" w:lineRule="exact"/>
              <w:rPr>
                <w:sz w:val="20"/>
                <w:szCs w:val="20"/>
                <w:color w:val="auto"/>
              </w:rPr>
            </w:pPr>
            <w:r>
              <w:rPr>
                <w:rFonts w:ascii="Arial" w:cs="Arial" w:eastAsia="Arial" w:hAnsi="Arial"/>
                <w:sz w:val="18"/>
                <w:szCs w:val="18"/>
                <w:color w:val="auto"/>
                <w:w w:val="98"/>
              </w:rPr>
              <w:t>Reclassification of derivative Reload Warrants and Series 1 Warrants to</w:t>
            </w: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5620" w:type="dxa"/>
            <w:vAlign w:val="bottom"/>
          </w:tcPr>
          <w:p>
            <w:pPr>
              <w:ind w:left="120"/>
              <w:spacing w:after="0"/>
              <w:rPr>
                <w:sz w:val="20"/>
                <w:szCs w:val="20"/>
                <w:color w:val="auto"/>
              </w:rPr>
            </w:pPr>
            <w:r>
              <w:rPr>
                <w:rFonts w:ascii="Arial" w:cs="Arial" w:eastAsia="Arial" w:hAnsi="Arial"/>
                <w:sz w:val="18"/>
                <w:szCs w:val="18"/>
                <w:color w:val="auto"/>
              </w:rPr>
              <w:t>equity warrants</w:t>
            </w:r>
          </w:p>
        </w:tc>
        <w:tc>
          <w:tcPr>
            <w:tcW w:w="960" w:type="dxa"/>
            <w:vAlign w:val="bottom"/>
          </w:tcPr>
          <w:p>
            <w:pPr>
              <w:spacing w:after="0"/>
              <w:rPr>
                <w:sz w:val="20"/>
                <w:szCs w:val="20"/>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175</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175</w:t>
            </w:r>
          </w:p>
        </w:tc>
        <w:tc>
          <w:tcPr>
            <w:tcW w:w="80" w:type="dxa"/>
            <w:vAlign w:val="bottom"/>
          </w:tcPr>
          <w:p>
            <w:pPr>
              <w:spacing w:after="0"/>
              <w:rPr>
                <w:sz w:val="20"/>
                <w:szCs w:val="20"/>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stock for repayment of debt and interest</w:t>
            </w: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8,495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8,512</w:t>
            </w:r>
          </w:p>
        </w:tc>
        <w:tc>
          <w:tcPr>
            <w:tcW w:w="80" w:type="dxa"/>
            <w:vAlign w:val="bottom"/>
            <w:shd w:val="clear" w:color="auto" w:fill="CCEEFF"/>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960" w:type="dxa"/>
            <w:vAlign w:val="bottom"/>
          </w:tcPr>
          <w:p>
            <w:pPr>
              <w:spacing w:after="0"/>
              <w:rPr>
                <w:sz w:val="18"/>
                <w:szCs w:val="18"/>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4,191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4,191</w:t>
            </w:r>
          </w:p>
        </w:tc>
        <w:tc>
          <w:tcPr>
            <w:tcW w:w="80" w:type="dxa"/>
            <w:vAlign w:val="bottom"/>
          </w:tcPr>
          <w:p>
            <w:pPr>
              <w:spacing w:after="0"/>
              <w:rPr>
                <w:sz w:val="18"/>
                <w:szCs w:val="18"/>
                <w:color w:val="auto"/>
              </w:rPr>
            </w:pPr>
          </w:p>
        </w:tc>
      </w:tr>
      <w:tr>
        <w:trPr>
          <w:trHeight w:val="23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Net loss for the period</w:t>
            </w:r>
          </w:p>
        </w:tc>
        <w:tc>
          <w:tcPr>
            <w:tcW w:w="96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(27,356)</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(27,356)</w:t>
            </w:r>
          </w:p>
        </w:tc>
      </w:tr>
      <w:tr>
        <w:trPr>
          <w:trHeight w:val="223"/>
        </w:trPr>
        <w:tc>
          <w:tcPr>
            <w:tcW w:w="5620" w:type="dxa"/>
            <w:vAlign w:val="bottom"/>
          </w:tcPr>
          <w:p>
            <w:pPr>
              <w:spacing w:after="0"/>
              <w:rPr>
                <w:sz w:val="20"/>
                <w:szCs w:val="20"/>
                <w:color w:val="auto"/>
              </w:rPr>
            </w:pPr>
            <w:r>
              <w:rPr>
                <w:rFonts w:ascii="Arial" w:cs="Arial" w:eastAsia="Arial" w:hAnsi="Arial"/>
                <w:sz w:val="18"/>
                <w:szCs w:val="18"/>
                <w:b w:val="1"/>
                <w:bCs w:val="1"/>
                <w:color w:val="auto"/>
              </w:rPr>
              <w:t>Balance as of September 30, 2015</w:t>
            </w:r>
          </w:p>
        </w:tc>
        <w:tc>
          <w:tcPr>
            <w:tcW w:w="960" w:type="dxa"/>
            <w:vAlign w:val="bottom"/>
            <w:tcBorders>
              <w:top w:val="single" w:sz="8" w:color="auto"/>
              <w:bottom w:val="single" w:sz="8" w:color="auto"/>
            </w:tcBorders>
          </w:tcPr>
          <w:p>
            <w:pPr>
              <w:jc w:val="right"/>
              <w:ind w:right="797"/>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110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229,653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(213,061</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16,702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6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form an integral part of these condensed consolidated financial statements.</w:t>
      </w:r>
    </w:p>
    <w:p>
      <w:pPr>
        <w:spacing w:after="0" w:line="200" w:lineRule="exact"/>
        <w:rPr>
          <w:sz w:val="20"/>
          <w:szCs w:val="20"/>
          <w:color w:val="auto"/>
        </w:rPr>
      </w:pPr>
    </w:p>
    <w:p>
      <w:pPr>
        <w:spacing w:after="0" w:line="234"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FORM Holdings Corp.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7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40" w:type="dxa"/>
            <w:vAlign w:val="bottom"/>
            <w:gridSpan w:val="6"/>
          </w:tcPr>
          <w:p>
            <w:pPr>
              <w:jc w:val="right"/>
              <w:ind w:right="140"/>
              <w:spacing w:after="0"/>
              <w:rPr>
                <w:sz w:val="20"/>
                <w:szCs w:val="20"/>
                <w:color w:val="auto"/>
              </w:rPr>
            </w:pPr>
            <w:r>
              <w:rPr>
                <w:rFonts w:ascii="Arial" w:cs="Arial" w:eastAsia="Arial" w:hAnsi="Arial"/>
                <w:sz w:val="18"/>
                <w:szCs w:val="18"/>
                <w:color w:val="auto"/>
                <w:w w:val="89"/>
              </w:rPr>
              <w:t>Nine months ended 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4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rPr>
              <w:t>2016</w:t>
            </w:r>
          </w:p>
        </w:tc>
        <w:tc>
          <w:tcPr>
            <w:tcW w:w="140" w:type="dxa"/>
            <w:vAlign w:val="bottom"/>
            <w:tcBorders>
              <w:top w:val="single" w:sz="8" w:color="auto"/>
              <w:bottom w:val="single" w:sz="8" w:color="CCEEFF"/>
            </w:tcBorders>
          </w:tcPr>
          <w:p>
            <w:pPr>
              <w:spacing w:after="0"/>
              <w:rPr>
                <w:sz w:val="19"/>
                <w:szCs w:val="19"/>
                <w:color w:val="auto"/>
              </w:rPr>
            </w:pPr>
          </w:p>
        </w:tc>
        <w:tc>
          <w:tcPr>
            <w:tcW w:w="6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rPr>
              <w:t>2015</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Net loss</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(20,023)</w:t>
            </w:r>
          </w:p>
        </w:tc>
        <w:tc>
          <w:tcPr>
            <w:tcW w:w="3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(27,356)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b w:val="1"/>
                <w:bCs w:val="1"/>
                <w:color w:val="auto"/>
              </w:rPr>
              <w:t>Items not affecting cash flows</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1,467</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Impairment of intangible assets</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11,937</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debt discount and debt issuance costs</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1,871</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1,447</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4,191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Amendment to warrants as part of debt modification</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Issuance of shares for extinguishment of debt</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356</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1,409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Issuance of shares</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Change in fair value of warrants and conversion feature</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185</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(1,411)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Exchange rate loss (gain)</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b w:val="1"/>
                <w:bCs w:val="1"/>
                <w:color w:val="auto"/>
              </w:rPr>
              <w:t>Changes in operating assets and liabilities</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Increase in accounts receivable</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(1,587)</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Increase in inventory</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Decrease (increase) in other current assets and other assets</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129</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Increase in accounts payable, accrued expenses and other current liabilities</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1,571</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5,223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Increase in deferred revenue</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278</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Decrease in other liabilities</w:t>
            </w: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(267)</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cash used in operating activities</w:t>
            </w:r>
          </w:p>
        </w:tc>
        <w:tc>
          <w:tcPr>
            <w:tcW w:w="1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(2,969</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(13,553</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Acquisition of property, equipment and technology</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Decrease (increase) in deposits</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2,001</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Increase in investments</w:t>
            </w: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(1,734)</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4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13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(272</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Proceeds from commitments to issue common stock under subscription agreement</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1,734</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Net proceeds from senior secured notes and warrants</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12,425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Repayment of debt</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(2,011)</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Debt issuance costs</w:t>
            </w: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4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13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(327</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12,207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Decrease in cash and cash equivalents</w:t>
            </w:r>
          </w:p>
        </w:tc>
        <w:tc>
          <w:tcPr>
            <w:tcW w:w="1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(3,272)</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24,951</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16,023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3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21,679</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14,402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paid during the period for</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Interest</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40</w:t>
            </w:r>
          </w:p>
        </w:tc>
        <w:tc>
          <w:tcPr>
            <w:tcW w:w="3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b w:val="1"/>
                <w:bCs w:val="1"/>
                <w:color w:val="auto"/>
              </w:rPr>
              <w:t>Non-cash investing and financing transactions</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Change in classification of derivative warrants to equity warrants</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Issuance of common stock to repay debt and interest</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2,996</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8,512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Debt discount</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2,961</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form an integral part of these condensed consolidated financial statements.</w:t>
      </w:r>
    </w:p>
    <w:p>
      <w:pPr>
        <w:spacing w:after="0" w:line="200" w:lineRule="exact"/>
        <w:rPr>
          <w:sz w:val="20"/>
          <w:szCs w:val="20"/>
          <w:color w:val="auto"/>
        </w:rPr>
      </w:pPr>
    </w:p>
    <w:p>
      <w:pPr>
        <w:spacing w:after="0" w:line="234"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FORM Holdings Corp.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share and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General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On May 6, 2016, Vringo, Inc. changed its name to FORM Holdings Corp. (“FORM” or the “Company”) and concurrently announced its repositioning as a holding company of small and middle market growth companies. The Company’s focus is on acquiring and building companies that would benefit from:</w:t>
      </w:r>
    </w:p>
    <w:p>
      <w:pPr>
        <w:spacing w:after="0" w:line="147"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additional capital;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exposure to visibility from the public markets;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talent recruiting;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rebranding;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implementation of best practices.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Company’s management team is committed to execute on its strategy. The Company is industry agnostic, but limits the scope of its pipeline by looking only at companies with a clear path to grow in excess of $100,000 in revenue.</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Company’s common stock, par value $0.01 per share, which was previously listed on the NASDAQ Capital Market under the trading symbol “VRNG,” has been listed under the trading symbol “FH” since May 9, 2016.</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Company currently has three operating segments:</w:t>
      </w:r>
    </w:p>
    <w:p>
      <w:pPr>
        <w:spacing w:after="0" w:line="225"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Group Mobile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FLI Charge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Intellectual property</w:t>
      </w:r>
    </w:p>
    <w:p>
      <w:pPr>
        <w:spacing w:after="0" w:line="25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Group Mobile is a growing premier supplier of innovative and full-service mobile technology solutions, including rugged computers, tablets, mobile devices, accessories, a full suite of professional services and other related products geared toward emergency first responders, municipalities and corporations. In addition, Group Mobile specializes in high-quality customer service and support for those products.</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FLI Charge owns a patented conductive wireless charging technology and focuses on the development and commercialization of its technology through the direct-to-consumer sale of conductive charging pads, phone cases, charging adaptors and other enablements, as well as partnerships and licensing agreements in various industries. FLI Charge is currently working with partners to implement FLI Charge technology in various fields such as furniture and automotive. FLI Charge’s business model is based on manufacturing and commercializing its own conductive charging pads, phone cases, charging adaptors and other enablements as well as licensing its technology in exchange for recurring licensing revenue.</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intellectual property operating segment is focused on the innovation, development and monetization of intellectual property. The Company’s portfolio consists of over 600 patents and patent applications covering a range of technologies including telecom infrastructure, mobile devices, remote monitoring and ad-insertion.</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Prior to December 31, 2013, the Company operated a global platform for the distribution of mobile social applications and services. On February 18, 2014, the Company sold its mobile social application business to InfoMedia Services Limited (“InfoMedia”), receiving an 8.25% ownership interest in InfoMedia as consideration and a seat on the board of directors of InfoMedia. As part of the transaction, the Company has the opportunity to license certain intellectual property assets and work with InfoMedia to identify and protect new intellectual property.</w:t>
      </w:r>
    </w:p>
    <w:p>
      <w:pPr>
        <w:spacing w:after="0" w:line="18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181818"/>
        </w:rPr>
        <w:t xml:space="preserve">On August 8, 2016, the Company entered into an Agreement and Plan of Merger (the “Merger Agreement”) with FHXMS, LLC, a Delaware limited liability company and wholly-owned subsidiary of the Company (the “Merger Sub”), XpresSpa Holdings, LLC, a Delaware limited liability company (“XpresSpa”), the unitholders of XpresSpa who are parties thereto (the “Unitholders”) and Mistral XH Representative, LLC, as representative of the Unitholders (the “Representative”), pursuant to which the Merger Sub will merge with and into XpresSpa, with XpresSpa being the surviving entity and a wholly-owned subsidiary of the Company (the “Surviving Entity”) and the Unitholders becoming stockholders of FORM (the “Merger”). </w:t>
      </w:r>
      <w:r>
        <w:rPr>
          <w:rFonts w:ascii="Arial" w:cs="Arial" w:eastAsia="Arial" w:hAnsi="Arial"/>
          <w:sz w:val="18"/>
          <w:szCs w:val="18"/>
          <w:color w:val="000000"/>
        </w:rPr>
        <w:t>The Company is holding its annual</w:t>
      </w:r>
      <w:r>
        <w:rPr>
          <w:rFonts w:ascii="Arial" w:cs="Arial" w:eastAsia="Arial" w:hAnsi="Arial"/>
          <w:sz w:val="18"/>
          <w:szCs w:val="18"/>
          <w:color w:val="181818"/>
        </w:rPr>
        <w:t xml:space="preserve"> </w:t>
      </w:r>
      <w:r>
        <w:rPr>
          <w:rFonts w:ascii="Arial" w:cs="Arial" w:eastAsia="Arial" w:hAnsi="Arial"/>
          <w:sz w:val="18"/>
          <w:szCs w:val="18"/>
          <w:color w:val="000000"/>
        </w:rPr>
        <w:t>meeting of stockholders on November 28, 2016 to approve, among other things, the Merger and the issuance of shares of FORM Common Stock, FORM Preferred Stock and warrants to the Unitholders in connection with the Merger. Assuming stockholder approval is received, the Company expects to complete the Merger shortly after the stockholders vote.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Each of the Company’s operating segments are described below.</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Group Mobile</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Group Mobile is a growing and innovative full, end-to-end solution provider for project lifecycle services including system integration, hardware service support, pre- and post-deployment and customer support helpdesk. Group Mobile provides total hardware solutions, including rugged laptops, tablets and handheld computers. Group Mobile also markets rugged mobile printers, vehicle computer docking and mounting gear, power accessories, wireless</w:t>
      </w:r>
    </w:p>
    <w:p>
      <w:pPr>
        <w:sectPr>
          <w:pgSz w:w="11900" w:h="16838" w:orient="portrait"/>
          <w:cols w:equalWidth="0" w:num="1">
            <w:col w:w="11420"/>
          </w:cols>
          <w:pgMar w:left="240" w:top="904" w:right="239" w:bottom="0" w:gutter="0" w:footer="0" w:header="0"/>
        </w:sectPr>
      </w:pPr>
    </w:p>
    <w:bookmarkStart w:id="7" w:name="page8"/>
    <w:bookmarkEnd w:id="7"/>
    <w:p>
      <w:pPr>
        <w:spacing w:after="0" w:line="277" w:lineRule="auto"/>
        <w:rPr>
          <w:sz w:val="20"/>
          <w:szCs w:val="20"/>
          <w:color w:val="auto"/>
        </w:rPr>
      </w:pPr>
      <w:r>
        <w:rPr>
          <w:rFonts w:ascii="Arial" w:cs="Arial" w:eastAsia="Arial" w:hAnsi="Arial"/>
          <w:sz w:val="18"/>
          <w:szCs w:val="18"/>
          <w:color w:val="auto"/>
        </w:rPr>
        <w:t>communication products, antennas, carrying cases, and other peripherals, accessories and add-ons needed to maximize productivity in a mobile- or field-computing environment.</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Group Mobile operates a full-service e-commerce website with live chat, up-to-date product information and computer system configuration capabilities.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Group Mobile’s goal is to ensure that its customers purchase the best products and services for their specific requirements.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 w:name="page9"/>
    <w:bookmarkEnd w:id="8"/>
    <w:p>
      <w:pPr>
        <w:jc w:val="both"/>
        <w:spacing w:after="0" w:line="289" w:lineRule="auto"/>
        <w:rPr>
          <w:sz w:val="20"/>
          <w:szCs w:val="20"/>
          <w:color w:val="auto"/>
        </w:rPr>
      </w:pPr>
      <w:r>
        <w:rPr>
          <w:rFonts w:ascii="Arial" w:cs="Arial" w:eastAsia="Arial" w:hAnsi="Arial"/>
          <w:sz w:val="16"/>
          <w:szCs w:val="16"/>
          <w:color w:val="auto"/>
        </w:rPr>
        <w:t>Group Mobile purchases rugged mobile computing equipment and complementary products from its primary distribution and manufacturing partners and sells them to enterprises, resellers, and retail customers. Group Mobile’s primary customers range from corporations to local governments, emergency first responders and healthcare organizations. Group Mobile believes that its business is characterized by gross profits as a percentage of revenue slightly higher than is commonly found in resellers of computing devices. The market for rugged mobile computing products is trending towards an increase in the volume of unit sales combined with declining unit prices as the business transitions from primarily being comprised of laptops to one primarily comprised of rugged tablets. As this transition has occurred, Group Mobile is seeing shortened product life cycles and industry specific devices for segments such as healthcare. Group Mobile sets sale prices based on the market supply and demand characteristics for each particular product. Group Mobile is highly dependent on the end-market demand for rugged mobile computing products, which is influenced by many factors, including the introduction of new IT products by OEM, replacement cycles for existing rugged mobile computing products, overall economic growth, local and state budgets, and general business activity.</w:t>
      </w:r>
    </w:p>
    <w:p>
      <w:pPr>
        <w:spacing w:after="0" w:line="16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Product costs represent Group Mobile’s single largest expense and product inventory is one of the largest working capital investments for Group Mobile. Group Mobile’s primary suppliers include Synnex Corporation, Ingram Micro Inc., and Xplore Technologies Corporation, which, combined, represent approximately 80% of Group Mobile’s inventory purchases. Group Mobile has reseller agreements with most of its OEM and distribution partners. These agreements usually provide for nonexclusive resale and distribution rights. The agreements are generally short-term, subject to periodic renewal, and often contain provisions permitting termination by either Group Mobile or the supplier without cause upon relatively short notice. Furthermore, product procurement from the OEM suppliers is a highly complex process and, as such, efficient and effective purchasing operations are critical to Group Mobile’s success.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181818"/>
        </w:rPr>
        <w:t>FLI Charge</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FLI Charge is a wireless power company dedicated to simplifying the way people power and charge the multitude of mobile electronic devices they use on a daily basis. By eliminating the need to search and compete for outlets and charging cables, FLI Charge is improving the powering and charging experience for all currently existing battery and DC powered devices.</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FLI Charge designs, develops, licenses, manufactures and markets wireless conductive power and charging solutions. FLI Charge is currently working with partners in several verticals to bring products to market. These verticals include education, office, hospitality, automotive and consumer electronics among others. To date, FLI Charge has not yet generated any substantial revenue from its product sales. The Company believes that FLI Charge’s patented technology is the only wireless power solution that is fully interoperable between different mobile devices ranging from smartphones to power tools, and many more. FLI Charge’s wireless power solution can simultaneously power multiple devices on the same pad no matter their power requirements or positions on the pad.</w:t>
      </w:r>
    </w:p>
    <w:p>
      <w:pPr>
        <w:spacing w:after="0" w:line="19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FLI Charge’s product line consists of power pads or surfaces as well as devices that are connected to or embedded with FLI Charge enabling technology. FLI Charge pads and surfaces are connected to a power source or battery. The surface of the pad has conductive contact strips that provide power and are constantly monitored by control circuitry that immediately halts power transfer if an unapproved load or short-circuit condition is detected. FLI Charge-enabled devices are embedded with the FLI Charge contact enablement that consists of four contact points, known as the “constellation.” The constellation is designed to make an immediate and continuous electrical connection with the contact strips regardless of the device’s orientation on the pad. The enablement monitors the power coming from the pad and ensures that the correct amount of power goes to the device. Once an approved FLI Charge device is placed on a pad, power is transferred immediately to charge or power the device.</w:t>
      </w:r>
    </w:p>
    <w:p>
      <w:pPr>
        <w:spacing w:after="0" w:line="17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FLI Charge launched its consumer product line on Indiegogo, a crowdfunding platform, on June 15, 2016; the campaign was completed on August 15, 2016. The Company accounts for funds raised from crowdfunding campaigns and presales, which were approximately $224, as deferred revenue on the condensed consolidated balance sheets. FLI Charge expects to deliver products to the participants in the fourth quarter of 2016.</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intellectual property operating segment is focused on the innovation, development and monetization of intellectual property. The Company’s portfolio consists of over 600 patents and patent applications covering a range of technologies including telecom infrastructure, mobile devices, remote monitoring and ad-insertion.</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is currently focused on monetizing its technology portfolio through a variety of value enhancing initiatives including, but not limited to, licensing, litigation and strategic partnerships.</w:t>
      </w:r>
    </w:p>
    <w:p>
      <w:pPr>
        <w:spacing w:after="0" w:line="200" w:lineRule="exact"/>
        <w:rPr>
          <w:sz w:val="20"/>
          <w:szCs w:val="20"/>
          <w:color w:val="auto"/>
        </w:rPr>
      </w:pPr>
    </w:p>
    <w:p>
      <w:pPr>
        <w:spacing w:after="0" w:line="396"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5"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u w:val="single" w:color="auto"/>
          <w:color w:val="181818"/>
        </w:rPr>
        <w:t>Recent Developments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181818"/>
        </w:rPr>
        <w:t>XpresSpa</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181818"/>
        </w:rPr>
        <w:t>On August 8, 2016, the Company entered into the Merger Agreement with the Merger Sub, XpresSpa, the Unitholders and the Representative, pursuant to which the Merger Sub will merge with and into XpresSpa, with XpresSpa being the surviving entity and the Surviving Entity and the Unitholders becoming stockholders of FORM.</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181818"/>
        </w:rPr>
        <w:t xml:space="preserve">XpresSpa is a leading airport retailer of spa services and related products. It is a well-recognized and popular airport spa brand with nearly three times the number of U.S. locations as its closest competitor. It provides nearly 900,000 services per year. As of October 18, 2016, XpresSpa operated 51 total locations in 44 terminals and 21 airports in three countries. XpresSpa also sells wellness and travel products through its internet site, </w:t>
      </w:r>
      <w:r>
        <w:rPr>
          <w:rFonts w:ascii="Arial" w:cs="Arial" w:eastAsia="Arial" w:hAnsi="Arial"/>
          <w:sz w:val="18"/>
          <w:szCs w:val="18"/>
          <w:u w:val="single" w:color="auto"/>
          <w:color w:val="181818"/>
        </w:rPr>
        <w:t>www.xpresspa.com</w:t>
      </w:r>
      <w:r>
        <w:rPr>
          <w:rFonts w:ascii="Arial" w:cs="Arial" w:eastAsia="Arial" w:hAnsi="Arial"/>
          <w:sz w:val="18"/>
          <w:szCs w:val="18"/>
          <w:color w:val="181818"/>
        </w:rPr>
        <w:t>. Services and products include:</w:t>
      </w:r>
    </w:p>
    <w:p>
      <w:pPr>
        <w:spacing w:after="0" w:line="187"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massage services for the neck, back, feet and whole body;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nail care, such as pedicures, manicures and polish changes;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beauty care services such as waxing and facials;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hair care, such as haircuts and blow outs;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wellness products such as massagers, lotions and aromatherapy aids;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travel products such as neck pillows, blankets, massage tools, travel kits and eye masks.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181818"/>
        </w:rPr>
        <w:t>Upon completion of the Merger, (i) the then-outstanding common units of XpresSpa (other than those held by the Company, which will be cancelled without any consideration) and (ii) the then-outstanding preferred units of XpresSpa (other than those held by the Company, which will be cancelled without any consideration) will be automatically converted into the right to receive an aggregate of:</w:t>
      </w:r>
    </w:p>
    <w:p>
      <w:pPr>
        <w:spacing w:after="0" w:line="181"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181818"/>
        </w:rPr>
      </w:pPr>
      <w:r>
        <w:rPr>
          <w:rFonts w:ascii="Arial" w:cs="Arial" w:eastAsia="Arial" w:hAnsi="Arial"/>
          <w:sz w:val="18"/>
          <w:szCs w:val="18"/>
          <w:color w:val="181818"/>
        </w:rPr>
        <w:t>2,500,000 shares of FORM common stock, par value $0.01 per share (“FORM Common Stock”),</w:t>
      </w:r>
    </w:p>
    <w:p>
      <w:pPr>
        <w:spacing w:after="0" w:line="225" w:lineRule="exact"/>
        <w:rPr>
          <w:rFonts w:ascii="Arial" w:cs="Arial" w:eastAsia="Arial" w:hAnsi="Arial"/>
          <w:sz w:val="18"/>
          <w:szCs w:val="18"/>
          <w:color w:val="181818"/>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494,792 shares of newly designated Series D Convertible Preferred Stock, par value $0.01 per share, of FORM (“FORM Preferred Stock”) with an aggregate initial liquidation preference of $23,750, and</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five-year warrants to purchase an aggregate of 2,500,000 shares of FORM Common Stock, at an exercise price of $3.00 per share, each subject to adjustment in the event of a stock split, dividend or similar events.</w:t>
      </w:r>
    </w:p>
    <w:p>
      <w:pPr>
        <w:spacing w:after="0" w:line="17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FORM Preferred Stock shall be initially convertible into an aggregate of 3,958,336 shares of FORM Common Stock, which equals a $6.00 per share conversion price, and each holder of FORM Preferred Stock shall be entitled to vote on an as converted basis. The FORM Preferred Stock is senior to the FORM Common Stock and the terms of the FORM Preferred Stock contain no restrictions on the Company’s ability to issue additional senior preferred securities or the Company’s ability to issue additional preferred securities in the future. The Company has the right, but not the obligation, upon ten trading days’ notice to convert the outstanding shares of FORM Preferred Stock into FORM Common Stock at the then applicable conversion ratio, at any time or from time to time, if the volume weighted average price per share of the FORM Common Stock exceeds $9.00 for over any 20 days in a 30 consecutive trading day period. The term of the FORM Preferred Stock is seven years, after which time FORM can repay the holders in shares of FORM Common Stock or cash at the Company’s election. If the Company elects to make a payment, or any portion thereof, in shares of FORM Common Stock, the number of shares deliverable (the “Base Shares”) will be based on the volume weighted average price per share of the FORM Common Stock for the 30 trading days prior to the date of calculation (the “Base Price”) plus an additional number of shares of FORM Common Stock (the “Premium Shares”), calculated as follows: (i) if the Base Price is greater than $9.00, no Premium Shares shall be issued, (ii) if the Base Price is greater than $7.00 and equal to or less than $9.00, an additional number of shares equal to 5% of the Base Shares shall be issued, (iii) if the Base Price is greater than $6.00 and equal to or less than $7.00, an additional number of shares equal to 10% of the Base Shares shall be issued, (iv) if the Base Price is greater than $5.00 and equal to or less than $6.00, an additional number of shares equal to 20% of the Base Shares shall be issued and (v) if the Base Price is less than or equal to $5.00, an additional number of shares equal to 25% of the Base Shares shall be issued. The FORM Preferred Stock will accrue interest at 9% per annum, or $4.32 per share of FORM Preferred Stock.</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181818"/>
        </w:rPr>
        <w:t>In addition, the Company entered into subscription agreements to sell 750,574 shares of its unregistered FORM Common Stock to certain holders of XpresSpa, at a purchase price of $2.31 per share, for an aggregate purchase price of $1,734.</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181818"/>
        </w:rPr>
        <w:t xml:space="preserve">On August 8, 2016, FORM purchased from XpresSpa an aggregate of 1,733,826 of Series C Preferred Units of XpresSpa, at a per unit purchase price of $1.00 per unit, for an aggregate purchase price of $1,734, which is included in other current assets </w:t>
      </w:r>
      <w:r>
        <w:rPr>
          <w:rFonts w:ascii="Arial" w:cs="Arial" w:eastAsia="Arial" w:hAnsi="Arial"/>
          <w:sz w:val="18"/>
          <w:szCs w:val="18"/>
          <w:color w:val="000000"/>
        </w:rPr>
        <w:t>in the condensed consolidated balance sheets</w:t>
      </w:r>
      <w:r>
        <w:rPr>
          <w:rFonts w:ascii="Arial" w:cs="Arial" w:eastAsia="Arial" w:hAnsi="Arial"/>
          <w:sz w:val="18"/>
          <w:szCs w:val="18"/>
          <w:color w:val="181818"/>
        </w:rPr>
        <w:t>. The Series C Preferred Units of XpresSpa will have a preference in the amount of its initial investment and shall bear 12% interest until the closing of the anticipated merger agreement.</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is holding its annual meeting of stockholders on November 28, 2016 to approve, among other things, the Merger and the issuance of shares of FORM Common Stock, FORM Preferred Stock and warrants to the Unitholders in connection with the Merger. Assuming stockholder approval is received, the Company expects to complete the Merger shortly after the stockholders vote. Immediately following the completion of the Merger (without taking into account any shares of FORM Common Stock held by XpresSpa equity holders prior to the completion of the Merger), the former Unitholders of XpresSpa are expected to own approximately 18% of the outstanding FORM Common Stock (or 33% of the outstanding FORM Common Stock calculated on a fully diluted basis) and the current stockholders of the Company are expected to own approximately 82% of the outstanding FORM Common Stock (or 67% of the outstanding FORM Common Stock calculated on a fully diluted basis).</w:t>
      </w:r>
    </w:p>
    <w:p>
      <w:pPr>
        <w:spacing w:after="0" w:line="387"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0" w:gutter="0" w:footer="0" w:header="0"/>
        </w:sectPr>
      </w:pPr>
    </w:p>
    <w:bookmarkStart w:id="10" w:name="page11"/>
    <w:bookmarkEnd w:id="10"/>
    <w:p>
      <w:pPr>
        <w:spacing w:after="0"/>
        <w:rPr>
          <w:sz w:val="20"/>
          <w:szCs w:val="20"/>
          <w:color w:val="auto"/>
        </w:rPr>
      </w:pPr>
      <w:r>
        <w:rPr>
          <w:rFonts w:ascii="Arial" w:cs="Arial" w:eastAsia="Arial" w:hAnsi="Arial"/>
          <w:sz w:val="18"/>
          <w:szCs w:val="18"/>
          <w:i w:val="1"/>
          <w:iCs w:val="1"/>
          <w:color w:val="181818"/>
        </w:rPr>
        <w:t>Impairment of Patents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181818"/>
        </w:rPr>
        <w:t>The Company’s name change and repositioning as a holding company was deemed a triggering event, which required the Company’s patent assets to be tested for impairment. In performing this impairment test, the Company determined that the patent portfolios, which together represent an asset group, were subject to impairment testing. In the first step of the impairment test, the Company utilized its projections of future undiscounted cash flows based on its existing plans for the patents. As a result, it was determined that the Company’s projections of future undiscounted cash flows were less than the carrying value of the asset group. Accordingly, the Company performed the second step of the impairment test to measure the potential impairment by calculating the asset group’s fair value as of May 6, 2016. As a result, following amortization for the month of April, the Company recorded an impairment charge of $11,937, which resulted in a new carrying value of $1,526 on May 6, 2016. Following the impairment, the Company reevaluated the remaining useful life and concluded that there were no changes in the estimated useful life.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181818"/>
        </w:rPr>
        <w:t>Stockholder Rights Plan</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March 18, 2016, the Company announced that the Company’s Board of Directors adopted a stockholder rights plan in the form of a Section 382 Rights Agreement designed to preserve the Company’s tax assets. As a part of the plan, the Company’s Board of Directors declared a dividend of one preferred-share-purchase right for each share of the Company’s common stock outstanding as of March 29, 2016. Effective on March 18, 2016, if any group or person acquires 4.99% or more of the Company’s outstanding shares of common stock, or if a group or person that already owns 4.99% or more of the Company’s common stock acquires additional shares representing 0.5% or more of the Company’s common stock, then, subject to certain exceptions, there would be a triggering event under the plan. The rights would then separate from the Company’s common stock and would be adjusted to become exercisable to purchase shares of the Company’s common stock having a market value equal to twice the purchase price of $9.50, resulting in significant dilution in the ownership interest of the acquiring person or group. The Company’s Board of Directors has the discretion to exempt any acquisition of the Company’s common stock from the provisions of the plan and has the ability to terminate the plan prior to a triggering event. In connection with this plan, the Company filed a Certificate of Designation of Series C Junior Preferred Stock with the Secretary of State of Delaware on March 18, 2016.</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181818"/>
        </w:rPr>
        <w:t>Senior Secured Notes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March 9, 2016, the Company and the holders (the “Investors”) of the Company’s $12,500 Senior Secured Convertible Notes (the “Notes”), which were originally issued by the Company in a registered direct offering on May 4, 2015, entered into an exchange note agreement (the “Exchange Note Agreement”). Pursuant to the Exchange Note Agreement, the Company issued to the Investors an aggregate of 703,644 shares of its common stock, par value $0.01 per share, in exchange for the reduction of $1,267 of the outstanding aggregate principal amount of the Notes and $49 of accrued interest. As a result, the outstanding aggregate principal amount under the Notes was reduced from $3,016 to $1,749 as of March 9, 2016.</w:t>
      </w:r>
    </w:p>
    <w:p>
      <w:pPr>
        <w:spacing w:after="0" w:line="17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addition, on March 9, 2016, the Company, with the consent of each of the Investors, agreed to amend the Notes. Pursuant to the Amended and Restated Senior Secured Notes (the “Amended Notes”) and the Indenture dated May 4, 2015, as supplemented by a First Supplemental Indenture dated May 4, 2015 and further supplemented by a Second Supplemental Indenture (the “Second Supplemental Indenture”) dated March 9, 2016: (i) the Amended Notes are no longer convertible into shares of the Company’s common stock and will be payable by the Company on the Maturity Date (as defined below) in cash only, (ii) the Maturity Date of the Amended Notes will extend to June 30, 2017 (the “Maturity Date”), (iii) the Company will discontinue the payment of principal prior to the Maturity Date (subject to certain exceptions), (iv) the interest rate increased from 8% to 10% per annum and will accrue on the outstanding aggregate principal amount of the Amended Notes, payable monthly, and (v) the Company will pay to the Investors on the Maturity Date 102% of the outstanding aggregate principal amount of the Amended Notes. The Company also agreed to maintain a cash balance (including cash equivalents) of not less than $2,900.</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the Company agreed to reduce the exercise price of the warrants to purchase an aggregate of 537,500 shares of the Company’s common stock pursuant to the initial agreement (the “May 2015 Warrants”) from $10.00 to $3.00 per share and the parties also agreed to remove from the May 2015 Warrants certain anti-dilution features. Other terms of the May 2015 Warrants remained the same. Furthermore, in connection with the Amended Notes, the Company paid a restructuring fee of $50 to the Investors.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July 1, 2016, the Company repaid in full its Amended Notes that were due on June 30, 2017. As required by the terms of the Amended Notes, notice of repayment was delivered to the Investors on June 30, 2016. The Company repaid the Amended Notes in full, including a 15% fee for early repayment. The Company used an aggregate of $2,011 of cash on hand for repayment of the Amended Notes. As a result of the repayment in full of the Amended Notes, all liens on the Company’s assets, including intellectual property, were released by the Investors.</w:t>
      </w:r>
    </w:p>
    <w:p>
      <w:pPr>
        <w:spacing w:after="0" w:line="396"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i w:val="1"/>
          <w:iCs w:val="1"/>
          <w:color w:val="181818"/>
        </w:rPr>
        <w:t>Reverse Stock Split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Unless otherwise noted, the information contained in these condensed consolidated financial statements gives effect to a one-for-ten reverse stock split of our common stock effected on November 27, 2015 (the “Reverse Stock Split”) on a retroactive basis for all periods presented.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Accounting and Reporting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Basis of presentation and principles of consolidation</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accompanying interim condensed consolidated financial statements have been prepared in accordance with generally accepted accounting principles in the United States of America (“U.S. GAAP”) for interim financial information, and should be read in conjunction with the Company's Annual Report on Form 10-K for the year ended December 31, 2015. All adjustments that, in the opinion of management, are necessary for a fair presentation for the periods presented have been reflected by the Company as required by Regulation S-X, Rule 10-01. Such adjustments are of a normal, recurring nature. The results of operations for the nine-month period ended September 30, 2016 are not necessarily indicative of the results that may be expected for the entire fiscal year or for any other interim period. All significant intercompany balances and transactions have been eliminated in consolidation.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Use of estimates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preparation of the accompanying condensed consolidated financial statements in conformity with U.S. GAAP requires management to make certain estimates and assumptions that affect the reported amounts of assets and liabilities and disclosure of contingent assets and liabilities as of the date of the condensed consolidated financial statements and the reported amounts of revenues and expenses for the periods presented. Actual results may differ from such estimates. Significant items subject to such estimates and assumptions include the Company’s valuation of intangible assets, the useful lives of the Company’s intangible assets, the valuation of the Company’s derivative warrants, the valuation of stock-based compensation, deferred tax assets and liabilities, income tax uncertainties, and other contingencies.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 Accounting guidance adopted in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ASU No. 2015-03, Imputation of Interest (Subtopic 835-30): Simplifying the Presentation of Debt Issuance Costs</w:t>
      </w:r>
    </w:p>
    <w:p>
      <w:pPr>
        <w:spacing w:after="0" w:line="2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During the nine-month period ended September 30, 2016, the Company adopted guidance on a retrospective basis that requires debt issuance costs related to a recognized debt liability to be presented in the condensed consolidated balance sheets as a deduction from the carrying amount of such debt. As a result of this adoption, the Company reclassified $73 of debt issuance costs as of December 31, 2015 from other current assets to senior secured notes.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ASU No. 2014-15, Presentation of Financial Statements (Topic 205): Going Concern</w:t>
      </w:r>
    </w:p>
    <w:p>
      <w:pPr>
        <w:spacing w:after="0" w:line="2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During the nine-month period ended September 30, 2016, the Company adopted the standard that provides guidance around management's responsibility to evaluate whether there is substantial doubt about an entity's ability to continue as a going concern and to provide related footnote disclosures. The adoption of this guidance did not have a material effect on the Company’s condensed consolidated financial statements.</w:t>
      </w:r>
    </w:p>
    <w:p>
      <w:pPr>
        <w:spacing w:after="0" w:line="17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i w:val="1"/>
          <w:iCs w:val="1"/>
          <w:color w:val="auto"/>
        </w:rPr>
        <w:t>ASU 2014-16, Derivatives and Hedging (Topic 815): Determining Whether the Host Contract in a Hybrid Financial Instrument Issued in the Form of a Share is More Akin to Debt or to Equity</w:t>
      </w:r>
    </w:p>
    <w:p>
      <w:pPr>
        <w:spacing w:after="0" w:line="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nine-month period ended September 30, 2016, the Company adopted the standard that clarifies how current U.S. GAAP should be interpreted in evaluating the economic characteristics and risks of a host contract in a hybrid financial instrument that is issued in the form of a share. The adoption of this guidance did not have a material effect on the Company’s condensed consolidated financial statements.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 Reclassification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November 27, 2015, the Company implemented the Reverse Stock Split, which became effective at the opening of trading on the NASDAQ on that date. As of November 27, 2015, every 10 shares of the Company’s issued and outstanding common stock were combined into one share of its common stock, except to the extent that the Reverse Stock Split resulted in any of the Company’s stockholders owning a fractional share, which was rounded up to the next highest whole share. In connection with the Reverse Stock Split, there was no change in the nominal par value per share of $0.01 and the Company’s authorized shares.</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Certain balances have been reclassified to conform to presentation requirements, including to retroactively present the effect of the Reverse Stock Split. All references to the number of shares of common stock, price per share and weighted average shares of common stock have been adjusted to reflect the Reverse Stock Split on a retroactive basis for all periods presented, unless otherwise noted.</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As a result of the adoption by the Company of </w:t>
      </w:r>
      <w:r>
        <w:rPr>
          <w:rFonts w:ascii="Arial" w:cs="Arial" w:eastAsia="Arial" w:hAnsi="Arial"/>
          <w:sz w:val="18"/>
          <w:szCs w:val="18"/>
          <w:i w:val="1"/>
          <w:iCs w:val="1"/>
          <w:color w:val="auto"/>
        </w:rPr>
        <w:t>ASU No. 2015-03</w:t>
      </w:r>
      <w:r>
        <w:rPr>
          <w:rFonts w:ascii="Arial" w:cs="Arial" w:eastAsia="Arial" w:hAnsi="Arial"/>
          <w:sz w:val="18"/>
          <w:szCs w:val="18"/>
          <w:color w:val="auto"/>
        </w:rPr>
        <w:t xml:space="preserve"> on a retrospective basis, during the nine-month period ended September 30, 2016, the Company reclassified $73 of debt issuance costs as of December 31, 2015 from other current assets to senior secured notes.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 Intangible assets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Intangible assets include purchased patents, which are recorded based on the cost to acquire them, as well as trade names, customer relationships and technology, which were acquired as part of the acquisition of International Development Group Limited (“IDG”) in the fourth quarter of 2015 and are recorded based on the estimated fair value in purchase price allocation. The intangible assets are amortized over their estimated useful lives, which are periodically evaluated for reasonableness.</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Company’s intangible assets are reviewed for impairment whenever events or changes in circumstances indicate that the carrying amount of an asset may not be recoverable. In assessing the recoverability of the Company’s intangible assets, the Company must make estimates and assumptions regarding future cash flows and other factors to determine the fair value of the respective assets. These estimates and assumptions could have a significant impact on whether an impairment charge is recognized and also the magnitude of any such charge. Fair value estimates are made at a specific point in time, based on relevant information. These estimates are subjective in nature and involve uncertainties and matters of significant judgments and therefore cannot be determined with precision. Changes in assumptions could significantly affect the estimates. If these estimates or material related assumptions change in the future, the Company may be required to record impairment charges related to its intangible assets.</w:t>
      </w:r>
    </w:p>
    <w:p>
      <w:pPr>
        <w:sectPr>
          <w:pgSz w:w="11900" w:h="16838" w:orient="portrait"/>
          <w:cols w:equalWidth="0" w:num="1">
            <w:col w:w="11420"/>
          </w:cols>
          <w:pgMar w:left="240" w:top="908" w:right="239" w:bottom="0" w:gutter="0" w:footer="0" w:header="0"/>
        </w:sectPr>
      </w:pPr>
    </w:p>
    <w:bookmarkStart w:id="12" w:name="page13"/>
    <w:bookmarkEnd w:id="12"/>
    <w:p>
      <w:pPr>
        <w:jc w:val="center"/>
        <w:ind w:right="39"/>
        <w:spacing w:after="0"/>
        <w:rPr>
          <w:sz w:val="20"/>
          <w:szCs w:val="20"/>
          <w:color w:val="auto"/>
        </w:rPr>
      </w:pPr>
      <w:r>
        <w:rPr>
          <w:rFonts w:ascii="Arial" w:cs="Arial" w:eastAsia="Arial" w:hAnsi="Arial"/>
          <w:sz w:val="19"/>
          <w:szCs w:val="19"/>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29845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(f) Deferred revenue</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Deferred revenue includes (i) payments received from customers in advance of providing the product and (ii) amounts deferred if other conditions of revenue recognition have not been met. The Company accounts for funds raised from crowdfunding campaigns and pre-sales as deferred revenue.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Net Loss per Share of Common Stock</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Basic net loss per share is computed by dividing the net loss for the period by the weighted-average number of shares of common stock outstanding during the period. Diluted net loss per share is computed by dividing the net loss for the period by the weighted-average number of shares of common stock plus dilutive potential common stock considered outstanding during the period. However, as the Company generated net loss in all periods presented, some potentially dilutive securities, including certain warrants and stock options, were not reflected in diluted net loss per share because the impact of such instruments was anti-dilutive.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the computation of basic and diluted net loss per share of common stock:</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20" w:type="dxa"/>
            <w:vAlign w:val="bottom"/>
            <w:gridSpan w:val="6"/>
          </w:tcPr>
          <w:p>
            <w:pPr>
              <w:jc w:val="right"/>
              <w:ind w:right="180"/>
              <w:spacing w:after="0"/>
              <w:rPr>
                <w:sz w:val="20"/>
                <w:szCs w:val="20"/>
                <w:color w:val="auto"/>
              </w:rPr>
            </w:pPr>
            <w:r>
              <w:rPr>
                <w:rFonts w:ascii="Arial" w:cs="Arial" w:eastAsia="Arial" w:hAnsi="Arial"/>
                <w:sz w:val="18"/>
                <w:szCs w:val="18"/>
                <w:color w:val="auto"/>
                <w:w w:val="87"/>
              </w:rPr>
              <w:t>Three months ended September 30,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00" w:type="dxa"/>
            <w:vAlign w:val="bottom"/>
            <w:gridSpan w:val="7"/>
          </w:tcPr>
          <w:p>
            <w:pPr>
              <w:jc w:val="right"/>
              <w:ind w:right="180"/>
              <w:spacing w:after="0"/>
              <w:rPr>
                <w:sz w:val="20"/>
                <w:szCs w:val="20"/>
                <w:color w:val="auto"/>
              </w:rPr>
            </w:pPr>
            <w:r>
              <w:rPr>
                <w:rFonts w:ascii="Arial" w:cs="Arial" w:eastAsia="Arial" w:hAnsi="Arial"/>
                <w:sz w:val="18"/>
                <w:szCs w:val="18"/>
                <w:color w:val="auto"/>
                <w:w w:val="88"/>
              </w:rPr>
              <w:t>Nine months ended 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rPr>
              <w:t>2016</w:t>
            </w:r>
          </w:p>
        </w:tc>
        <w:tc>
          <w:tcPr>
            <w:tcW w:w="16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rPr>
              <w:t>2015</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rPr>
              <w:t>2016</w:t>
            </w:r>
          </w:p>
        </w:tc>
        <w:tc>
          <w:tcPr>
            <w:tcW w:w="20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rPr>
              <w:t>2015</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Numerator:</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Net loss attributable to shares of common stock</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(5,261)</w:t>
            </w:r>
          </w:p>
        </w:tc>
        <w:tc>
          <w:tcPr>
            <w:tcW w:w="3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(11,871)</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(20,023)</w:t>
            </w:r>
          </w:p>
        </w:tc>
        <w:tc>
          <w:tcPr>
            <w:tcW w:w="280" w:type="dxa"/>
            <w:vAlign w:val="bottom"/>
            <w:gridSpan w:val="2"/>
          </w:tcPr>
          <w:p>
            <w:pPr>
              <w:jc w:val="right"/>
              <w:ind w:right="105"/>
              <w:spacing w:after="0"/>
              <w:rPr>
                <w:sz w:val="20"/>
                <w:szCs w:val="20"/>
                <w:color w:val="auto"/>
              </w:rPr>
            </w:pPr>
            <w:r>
              <w:rPr>
                <w:rFonts w:ascii="Arial" w:cs="Arial" w:eastAsia="Arial" w:hAnsi="Arial"/>
                <w:sz w:val="18"/>
                <w:szCs w:val="18"/>
                <w:color w:val="auto"/>
                <w:w w:val="79"/>
              </w:rPr>
              <w:t>$</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(27,356)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loss attributable to shares of common stock</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(5,261</w:t>
            </w:r>
          </w:p>
        </w:tc>
        <w:tc>
          <w:tcPr>
            <w:tcW w:w="160" w:type="dxa"/>
            <w:vAlign w:val="bottom"/>
            <w:tcBorders>
              <w:top w:val="single" w:sz="8" w:color="CCEEFF"/>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(11,871</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(20,023</w:t>
            </w:r>
          </w:p>
        </w:tc>
        <w:tc>
          <w:tcPr>
            <w:tcW w:w="200" w:type="dxa"/>
            <w:vAlign w:val="bottom"/>
            <w:tcBorders>
              <w:top w:val="single" w:sz="8" w:color="CCEEFF"/>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(27,356</w:t>
            </w:r>
          </w:p>
        </w:tc>
        <w:tc>
          <w:tcPr>
            <w:tcW w:w="10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55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Basic Denominator:</w:t>
            </w: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5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4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Weighted average number of shares of common stock outstanding during</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4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the period</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15,473,895</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10,246,624</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14,880,925</w:t>
            </w:r>
          </w:p>
        </w:tc>
        <w:tc>
          <w:tcPr>
            <w:tcW w:w="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9,688,744</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4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Basic common stock shares outstanding</w:t>
            </w:r>
          </w:p>
        </w:tc>
        <w:tc>
          <w:tcPr>
            <w:tcW w:w="12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15,473,895</w:t>
            </w:r>
          </w:p>
        </w:tc>
        <w:tc>
          <w:tcPr>
            <w:tcW w:w="16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10,246,624</w:t>
            </w:r>
          </w:p>
        </w:tc>
        <w:tc>
          <w:tcPr>
            <w:tcW w:w="1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14,880,925</w:t>
            </w:r>
          </w:p>
        </w:tc>
        <w:tc>
          <w:tcPr>
            <w:tcW w:w="2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9,688,744</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480" w:type="dxa"/>
            <w:vAlign w:val="bottom"/>
            <w:tcBorders>
              <w:bottom w:val="single" w:sz="8" w:color="CCEEFF"/>
            </w:tcBorders>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Basic net loss per common stock share</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(0.34</w:t>
            </w:r>
          </w:p>
        </w:tc>
        <w:tc>
          <w:tcPr>
            <w:tcW w:w="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(1.16</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(1.35</w:t>
            </w:r>
          </w:p>
        </w:tc>
        <w:tc>
          <w:tcPr>
            <w:tcW w:w="2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(2.82</w:t>
            </w:r>
          </w:p>
        </w:tc>
        <w:tc>
          <w:tcPr>
            <w:tcW w:w="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Numerator:</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Net loss attributable to shares of common stock</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(5,261)</w:t>
            </w:r>
          </w:p>
        </w:tc>
        <w:tc>
          <w:tcPr>
            <w:tcW w:w="3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(11,871)</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(20,023)</w:t>
            </w:r>
          </w:p>
        </w:tc>
        <w:tc>
          <w:tcPr>
            <w:tcW w:w="280" w:type="dxa"/>
            <w:vAlign w:val="bottom"/>
            <w:gridSpan w:val="2"/>
          </w:tcPr>
          <w:p>
            <w:pPr>
              <w:jc w:val="right"/>
              <w:ind w:right="105"/>
              <w:spacing w:after="0"/>
              <w:rPr>
                <w:sz w:val="20"/>
                <w:szCs w:val="20"/>
                <w:color w:val="auto"/>
              </w:rPr>
            </w:pPr>
            <w:r>
              <w:rPr>
                <w:rFonts w:ascii="Arial" w:cs="Arial" w:eastAsia="Arial" w:hAnsi="Arial"/>
                <w:sz w:val="18"/>
                <w:szCs w:val="18"/>
                <w:color w:val="auto"/>
                <w:w w:val="79"/>
              </w:rPr>
              <w:t>$</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(27,356)</w:t>
            </w:r>
          </w:p>
        </w:tc>
        <w:tc>
          <w:tcPr>
            <w:tcW w:w="0" w:type="dxa"/>
            <w:vAlign w:val="bottom"/>
          </w:tcPr>
          <w:p>
            <w:pPr>
              <w:spacing w:after="0"/>
              <w:rPr>
                <w:sz w:val="1"/>
                <w:szCs w:val="1"/>
                <w:color w:val="auto"/>
              </w:rPr>
            </w:pPr>
          </w:p>
        </w:tc>
      </w:tr>
      <w:tr>
        <w:trPr>
          <w:trHeight w:val="263"/>
        </w:trPr>
        <w:tc>
          <w:tcPr>
            <w:tcW w:w="5500" w:type="dxa"/>
            <w:vAlign w:val="bottom"/>
            <w:gridSpan w:val="2"/>
          </w:tcPr>
          <w:p>
            <w:pPr>
              <w:spacing w:after="0"/>
              <w:rPr>
                <w:sz w:val="20"/>
                <w:szCs w:val="20"/>
                <w:color w:val="auto"/>
              </w:rPr>
            </w:pPr>
            <w:r>
              <w:rPr>
                <w:rFonts w:ascii="Arial" w:cs="Arial" w:eastAsia="Arial" w:hAnsi="Arial"/>
                <w:sz w:val="18"/>
                <w:szCs w:val="18"/>
                <w:b w:val="1"/>
                <w:bCs w:val="1"/>
                <w:color w:val="auto"/>
              </w:rPr>
              <w:t>Diluted net loss attributable to shares of common stock</w:t>
            </w:r>
          </w:p>
        </w:tc>
        <w:tc>
          <w:tcPr>
            <w:tcW w:w="120" w:type="dxa"/>
            <w:vAlign w:val="bottom"/>
          </w:tcPr>
          <w:p>
            <w:pPr>
              <w:spacing w:after="0"/>
              <w:rPr>
                <w:sz w:val="22"/>
                <w:szCs w:val="22"/>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(5,261</w:t>
            </w:r>
          </w:p>
        </w:tc>
        <w:tc>
          <w:tcPr>
            <w:tcW w:w="160" w:type="dxa"/>
            <w:vAlign w:val="bottom"/>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22"/>
                <w:szCs w:val="22"/>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(11,871</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22"/>
                <w:szCs w:val="22"/>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(20,023</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280" w:type="dxa"/>
            <w:vAlign w:val="bottom"/>
            <w:tcBorders>
              <w:top w:val="single" w:sz="8" w:color="auto"/>
            </w:tcBorders>
            <w:gridSpan w:val="2"/>
          </w:tcPr>
          <w:p>
            <w:pPr>
              <w:jc w:val="right"/>
              <w:ind w:right="105"/>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(27,356</w:t>
            </w:r>
          </w:p>
        </w:tc>
        <w:tc>
          <w:tcPr>
            <w:tcW w:w="80" w:type="dxa"/>
            <w:vAlign w:val="bottom"/>
          </w:tcPr>
          <w:p>
            <w:pPr>
              <w:jc w:val="right"/>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4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b w:val="1"/>
                <w:bCs w:val="1"/>
                <w:color w:val="auto"/>
              </w:rPr>
              <w:t>Diluted Denominator:</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Basic common stock shares outstanding</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15,473,895</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10,246,624</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14,880,925</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9,688,744</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Diluted common stock shares outstanding</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15,473,895</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10,246,624</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14,880,925</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9,688,744</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vMerge w:val="restart"/>
          </w:tcPr>
          <w:p>
            <w:pPr>
              <w:spacing w:after="0"/>
              <w:rPr>
                <w:sz w:val="20"/>
                <w:szCs w:val="20"/>
                <w:color w:val="auto"/>
              </w:rPr>
            </w:pPr>
            <w:r>
              <w:rPr>
                <w:rFonts w:ascii="Arial" w:cs="Arial" w:eastAsia="Arial" w:hAnsi="Arial"/>
                <w:sz w:val="18"/>
                <w:szCs w:val="18"/>
                <w:b w:val="1"/>
                <w:bCs w:val="1"/>
                <w:color w:val="auto"/>
              </w:rPr>
              <w:t>Diluted net loss per common stock share</w:t>
            </w:r>
          </w:p>
        </w:tc>
        <w:tc>
          <w:tcPr>
            <w:tcW w:w="12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vMerge w:val="restart"/>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jc w:val="right"/>
              <w:ind w:right="60"/>
              <w:spacing w:after="0"/>
              <w:rPr>
                <w:sz w:val="20"/>
                <w:szCs w:val="20"/>
                <w:color w:val="auto"/>
              </w:rPr>
            </w:pPr>
            <w:r>
              <w:rPr>
                <w:rFonts w:ascii="Arial" w:cs="Arial" w:eastAsia="Arial" w:hAnsi="Arial"/>
                <w:sz w:val="16"/>
                <w:szCs w:val="16"/>
                <w:color w:val="auto"/>
                <w:w w:val="74"/>
              </w:rPr>
              <w:t>)</w:t>
            </w:r>
          </w:p>
        </w:tc>
        <w:tc>
          <w:tcPr>
            <w:tcW w:w="2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gridSpan w:val="2"/>
            <w:vMerge w:val="restart"/>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48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(0.34</w:t>
            </w:r>
          </w:p>
        </w:tc>
        <w:tc>
          <w:tcPr>
            <w:tcW w:w="16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vMerge w:val="continue"/>
          </w:tcPr>
          <w:p>
            <w:pPr>
              <w:spacing w:after="0"/>
              <w:rPr>
                <w:sz w:val="20"/>
                <w:szCs w:val="20"/>
                <w:color w:val="auto"/>
              </w:rPr>
            </w:pPr>
          </w:p>
        </w:tc>
        <w:tc>
          <w:tcPr>
            <w:tcW w:w="28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(1.16</w:t>
            </w:r>
          </w:p>
        </w:tc>
        <w:tc>
          <w:tcPr>
            <w:tcW w:w="14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(1.35</w:t>
            </w:r>
          </w:p>
        </w:tc>
        <w:tc>
          <w:tcPr>
            <w:tcW w:w="200" w:type="dxa"/>
            <w:vAlign w:val="bottom"/>
            <w:tcBorders>
              <w:bottom w:val="single" w:sz="8" w:color="CCEEFF"/>
            </w:tcBorders>
            <w:vMerge w:val="continue"/>
          </w:tcPr>
          <w:p>
            <w:pPr>
              <w:spacing w:after="0"/>
              <w:rPr>
                <w:sz w:val="20"/>
                <w:szCs w:val="20"/>
                <w:color w:val="auto"/>
              </w:rPr>
            </w:pPr>
          </w:p>
        </w:tc>
        <w:tc>
          <w:tcPr>
            <w:tcW w:w="20" w:type="dxa"/>
            <w:vAlign w:val="bottom"/>
            <w:tcBorders>
              <w:bottom w:val="single" w:sz="8" w:color="CCEEFF"/>
            </w:tcBorders>
            <w:vMerge w:val="continue"/>
          </w:tcPr>
          <w:p>
            <w:pPr>
              <w:spacing w:after="0"/>
              <w:rPr>
                <w:sz w:val="20"/>
                <w:szCs w:val="20"/>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(2.82</w:t>
            </w:r>
          </w:p>
        </w:tc>
        <w:tc>
          <w:tcPr>
            <w:tcW w:w="100" w:type="dxa"/>
            <w:vAlign w:val="bottom"/>
            <w:tcBorders>
              <w:bottom w:val="single" w:sz="8" w:color="CCEEFF"/>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5480" w:type="dxa"/>
            <w:vAlign w:val="bottom"/>
          </w:tcPr>
          <w:p>
            <w:pPr>
              <w:spacing w:after="0" w:line="198" w:lineRule="exact"/>
              <w:rPr>
                <w:sz w:val="20"/>
                <w:szCs w:val="20"/>
                <w:color w:val="auto"/>
              </w:rPr>
            </w:pPr>
            <w:r>
              <w:rPr>
                <w:rFonts w:ascii="Arial" w:cs="Arial" w:eastAsia="Arial" w:hAnsi="Arial"/>
                <w:sz w:val="18"/>
                <w:szCs w:val="18"/>
                <w:b w:val="1"/>
                <w:bCs w:val="1"/>
                <w:color w:val="auto"/>
                <w:w w:val="95"/>
              </w:rPr>
              <w:t>Net loss per share data presented excludes from the calculation of</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100"/>
              <w:spacing w:after="0"/>
              <w:rPr>
                <w:sz w:val="20"/>
                <w:szCs w:val="20"/>
                <w:color w:val="auto"/>
              </w:rPr>
            </w:pPr>
            <w:r>
              <w:rPr>
                <w:rFonts w:ascii="Arial" w:cs="Arial" w:eastAsia="Arial" w:hAnsi="Arial"/>
                <w:sz w:val="18"/>
                <w:szCs w:val="18"/>
                <w:b w:val="1"/>
                <w:bCs w:val="1"/>
                <w:color w:val="auto"/>
                <w:w w:val="93"/>
              </w:rPr>
              <w:t>diluted net loss the following potentially dilutive securities, as they</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480" w:type="dxa"/>
            <w:vAlign w:val="bottom"/>
          </w:tcPr>
          <w:p>
            <w:pPr>
              <w:ind w:left="100"/>
              <w:spacing w:after="0"/>
              <w:rPr>
                <w:sz w:val="20"/>
                <w:szCs w:val="20"/>
                <w:color w:val="auto"/>
              </w:rPr>
            </w:pPr>
            <w:r>
              <w:rPr>
                <w:rFonts w:ascii="Arial" w:cs="Arial" w:eastAsia="Arial" w:hAnsi="Arial"/>
                <w:sz w:val="18"/>
                <w:szCs w:val="18"/>
                <w:b w:val="1"/>
                <w:bCs w:val="1"/>
                <w:color w:val="auto"/>
              </w:rPr>
              <w:t>had an anti-dilutive impact: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4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Vested and unvested options outstanding to purchase an equal number of</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shares of common stock of the Company</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1,492,434</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871,484</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1,492,434</w:t>
            </w: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871,484</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480" w:type="dxa"/>
            <w:vAlign w:val="bottom"/>
          </w:tcPr>
          <w:p>
            <w:pPr>
              <w:spacing w:after="0" w:line="201" w:lineRule="exact"/>
              <w:rPr>
                <w:sz w:val="20"/>
                <w:szCs w:val="20"/>
                <w:color w:val="auto"/>
              </w:rPr>
            </w:pPr>
            <w:r>
              <w:rPr>
                <w:rFonts w:ascii="Arial" w:cs="Arial" w:eastAsia="Arial" w:hAnsi="Arial"/>
                <w:sz w:val="18"/>
                <w:szCs w:val="18"/>
                <w:color w:val="auto"/>
                <w:w w:val="90"/>
              </w:rPr>
              <w:t>Unvested RSUs to issue an equal number of shares of common stock of the</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80" w:type="dxa"/>
            <w:vAlign w:val="bottom"/>
          </w:tcPr>
          <w:p>
            <w:pPr>
              <w:ind w:left="100"/>
              <w:spacing w:after="0"/>
              <w:rPr>
                <w:sz w:val="20"/>
                <w:szCs w:val="20"/>
                <w:color w:val="auto"/>
              </w:rPr>
            </w:pPr>
            <w:r>
              <w:rPr>
                <w:rFonts w:ascii="Arial" w:cs="Arial" w:eastAsia="Arial" w:hAnsi="Arial"/>
                <w:sz w:val="18"/>
                <w:szCs w:val="18"/>
                <w:color w:val="auto"/>
              </w:rPr>
              <w:t>Company</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54,323</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54,323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4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Warrants to purchase an equal number of shares of common stock of the</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Company</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1,006,679</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956,679</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1,006,679</w:t>
            </w: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956,679</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Conversion feature of senior secured notes</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1,130,952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105,920</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1,250,000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480" w:type="dxa"/>
            <w:vAlign w:val="bottom"/>
            <w:tcBorders>
              <w:top w:val="single" w:sz="8" w:color="CCEEFF"/>
            </w:tcBorders>
            <w:shd w:val="clear" w:color="auto" w:fill="CCEEFF"/>
          </w:tcPr>
          <w:p>
            <w:pPr>
              <w:spacing w:after="0" w:line="178" w:lineRule="exact"/>
              <w:rPr>
                <w:sz w:val="20"/>
                <w:szCs w:val="20"/>
                <w:color w:val="auto"/>
              </w:rPr>
            </w:pPr>
            <w:r>
              <w:rPr>
                <w:rFonts w:ascii="Arial" w:cs="Arial" w:eastAsia="Arial" w:hAnsi="Arial"/>
                <w:sz w:val="18"/>
                <w:szCs w:val="18"/>
                <w:b w:val="1"/>
                <w:bCs w:val="1"/>
                <w:color w:val="auto"/>
                <w:w w:val="95"/>
              </w:rPr>
              <w:t>Total number of potentially dilutive instruments, excluded from the</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548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calculation of net loss per share</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2,499,113</w:t>
            </w:r>
          </w:p>
        </w:tc>
        <w:tc>
          <w:tcPr>
            <w:tcW w:w="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3,013,438</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2,605,033</w:t>
            </w:r>
          </w:p>
        </w:tc>
        <w:tc>
          <w:tcPr>
            <w:tcW w:w="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3,132,486</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Business Combination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October 15, 2015, the Company acquired IDG. Pursuant to the Purchase Agreement, the Company acquired 100% of the capital stock of IDG. Group Mobile and 70% of FLI Charge were also acquired through the purchase of IDG. Group Mobile is a company with full-service customer support in rugged computers, mobile devices and accessories. FLI Charge owns patented conductive wireless charging technology and is focused on innovation, sales, manufacturing and licensing its technology in various industries, such as automotive, furniture and others.</w:t>
      </w:r>
    </w:p>
    <w:p>
      <w:pPr>
        <w:spacing w:after="0" w:line="18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consideration for the acquisition, the Company issued an equivalent of 1,666,667 common stock (after giving effect to the Reverse Stock Split), which were issued as follows: (i) 1,604,167 shares of the Company’s newly designated Series B Convertible Preferred Stock (“Series B Preferred”), convertible into 1,604,167 shares of the Company’s common stock, (ii) 57,500 shares of the Company’s unregistered common stock issued to one of the sellers, who is a former chief executive officer and director of IDG, in consideration of his forgiveness of debt and (iii) 5,000 shares of the Company’s common stock for transaction related services. A total of 240,625 Series B Preferred shares were placed in escrow to secure certain of the sellers’ indemnity obligations under the Purchase Agreement for a period of up to 12 months. On November 27, 2015, all Series B Preferred outstanding shares were converted into unregistered common stock of the Company, resulting in the issuance of 1,604,167 shares of common stock. Shares held in escrow were released to the sellers in April and November 2016.</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Purchase consideration value was determined based on the market value of the Company’s common stock at the date of the transactions, discounted for the fact that the shares are restricted as to their marketability for a period of six months from the issuance date.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transaction has been accounted for as a business combination. Assets acquired and liabilities assumed were recorded at their fair values at the closing date. The purchase price consideration was as follows:</w:t>
      </w:r>
    </w:p>
    <w:p>
      <w:pPr>
        <w:sectPr>
          <w:pgSz w:w="11900" w:h="16838" w:orient="portrait"/>
          <w:cols w:equalWidth="0" w:num="1">
            <w:col w:w="11420"/>
          </w:cols>
          <w:pgMar w:left="240" w:top="908" w:right="239" w:bottom="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October 15, 2015 Acquisition:</w:t>
            </w:r>
          </w:p>
        </w:tc>
        <w:tc>
          <w:tcPr>
            <w:tcW w:w="220" w:type="dxa"/>
            <w:vAlign w:val="bottom"/>
          </w:tcPr>
          <w:p>
            <w:pPr>
              <w:spacing w:after="0"/>
              <w:rPr>
                <w:sz w:val="18"/>
                <w:szCs w:val="18"/>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Fair</w:t>
            </w:r>
          </w:p>
        </w:tc>
      </w:tr>
      <w:tr>
        <w:trPr>
          <w:trHeight w:val="230"/>
        </w:trPr>
        <w:tc>
          <w:tcPr>
            <w:tcW w:w="7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8"/>
                <w:szCs w:val="18"/>
                <w:color w:val="auto"/>
                <w:w w:val="86"/>
              </w:rPr>
              <w:t>Value</w:t>
            </w:r>
          </w:p>
        </w:tc>
      </w:tr>
      <w:tr>
        <w:trPr>
          <w:trHeight w:val="210"/>
        </w:trPr>
        <w:tc>
          <w:tcPr>
            <w:tcW w:w="7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Series B Preferred Stock</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5,378</w:t>
            </w:r>
          </w:p>
        </w:tc>
        <w:tc>
          <w:tcPr>
            <w:tcW w:w="80" w:type="dxa"/>
            <w:vAlign w:val="bottom"/>
            <w:tcBorders>
              <w:top w:val="single" w:sz="8" w:color="CCEEFF"/>
            </w:tcBorders>
            <w:shd w:val="clear" w:color="auto" w:fill="CCEEFF"/>
          </w:tcPr>
          <w:p>
            <w:pPr>
              <w:spacing w:after="0"/>
              <w:rPr>
                <w:sz w:val="18"/>
                <w:szCs w:val="18"/>
                <w:color w:val="auto"/>
              </w:rPr>
            </w:pPr>
          </w:p>
        </w:tc>
      </w:tr>
      <w:tr>
        <w:trPr>
          <w:trHeight w:val="230"/>
        </w:trPr>
        <w:tc>
          <w:tcPr>
            <w:tcW w:w="7360" w:type="dxa"/>
            <w:vAlign w:val="bottom"/>
          </w:tcPr>
          <w:p>
            <w:pPr>
              <w:spacing w:after="0"/>
              <w:rPr>
                <w:sz w:val="20"/>
                <w:szCs w:val="20"/>
                <w:color w:val="auto"/>
              </w:rPr>
            </w:pPr>
            <w:r>
              <w:rPr>
                <w:rFonts w:ascii="Arial" w:cs="Arial" w:eastAsia="Arial" w:hAnsi="Arial"/>
                <w:sz w:val="18"/>
                <w:szCs w:val="18"/>
                <w:color w:val="auto"/>
              </w:rPr>
              <w:t>Debt assumed, settled in shares</w:t>
            </w:r>
          </w:p>
        </w:tc>
        <w:tc>
          <w:tcPr>
            <w:tcW w:w="22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193</w:t>
            </w:r>
          </w:p>
        </w:tc>
      </w:tr>
      <w:tr>
        <w:trPr>
          <w:trHeight w:val="223"/>
        </w:trPr>
        <w:tc>
          <w:tcPr>
            <w:tcW w:w="73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share value issued</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ind w:left="5580"/>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15" w:name="page16"/>
    <w:bookmarkEnd w:id="15"/>
    <w:p>
      <w:pPr>
        <w:jc w:val="both"/>
        <w:spacing w:after="0" w:line="308" w:lineRule="auto"/>
        <w:rPr>
          <w:sz w:val="20"/>
          <w:szCs w:val="20"/>
          <w:color w:val="auto"/>
        </w:rPr>
      </w:pPr>
      <w:r>
        <w:rPr>
          <w:rFonts w:ascii="Arial" w:cs="Arial" w:eastAsia="Arial" w:hAnsi="Arial"/>
          <w:sz w:val="17"/>
          <w:szCs w:val="17"/>
          <w:color w:val="auto"/>
        </w:rPr>
        <w:t>The purchase price for the acquisition was allocated to the net tangible and intangible assets based on their fair values as of the closing date. The excess of the purchase price over the net tangible assets and intangible assets was recorded as goodwill. The purchase price allocation was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642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ind w:left="80"/>
              <w:spacing w:after="0"/>
              <w:rPr>
                <w:sz w:val="20"/>
                <w:szCs w:val="20"/>
                <w:color w:val="auto"/>
              </w:rPr>
            </w:pPr>
            <w:r>
              <w:rPr>
                <w:rFonts w:ascii="Arial" w:cs="Arial" w:eastAsia="Arial" w:hAnsi="Arial"/>
                <w:sz w:val="18"/>
                <w:szCs w:val="18"/>
                <w:color w:val="auto"/>
              </w:rPr>
              <w:t>Fair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36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160"/>
              <w:spacing w:after="0"/>
              <w:rPr>
                <w:sz w:val="20"/>
                <w:szCs w:val="20"/>
                <w:color w:val="auto"/>
              </w:rPr>
            </w:pPr>
            <w:r>
              <w:rPr>
                <w:rFonts w:ascii="Arial" w:cs="Arial" w:eastAsia="Arial" w:hAnsi="Arial"/>
                <w:sz w:val="18"/>
                <w:szCs w:val="18"/>
                <w:color w:val="auto"/>
              </w:rPr>
              <w:t>Cash and cash equivalents</w:t>
            </w:r>
          </w:p>
        </w:tc>
        <w:tc>
          <w:tcPr>
            <w:tcW w:w="3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receivable</w:t>
            </w:r>
          </w:p>
        </w:tc>
        <w:tc>
          <w:tcPr>
            <w:tcW w:w="3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160"/>
              <w:spacing w:after="0"/>
              <w:rPr>
                <w:sz w:val="20"/>
                <w:szCs w:val="20"/>
                <w:color w:val="auto"/>
              </w:rPr>
            </w:pPr>
            <w:r>
              <w:rPr>
                <w:rFonts w:ascii="Arial" w:cs="Arial" w:eastAsia="Arial" w:hAnsi="Arial"/>
                <w:sz w:val="18"/>
                <w:szCs w:val="18"/>
                <w:color w:val="auto"/>
              </w:rPr>
              <w:t>Inventory</w:t>
            </w:r>
          </w:p>
        </w:tc>
        <w:tc>
          <w:tcPr>
            <w:tcW w:w="3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Prepaid expenses</w:t>
            </w:r>
          </w:p>
        </w:tc>
        <w:tc>
          <w:tcPr>
            <w:tcW w:w="36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Current Assets</w:t>
            </w:r>
          </w:p>
        </w:tc>
        <w:tc>
          <w:tcPr>
            <w:tcW w:w="36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Intangible assets</w:t>
            </w:r>
          </w:p>
        </w:tc>
        <w:tc>
          <w:tcPr>
            <w:tcW w:w="3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20" w:type="dxa"/>
            <w:vAlign w:val="bottom"/>
          </w:tcPr>
          <w:p>
            <w:pPr>
              <w:ind w:left="160"/>
              <w:spacing w:after="0"/>
              <w:rPr>
                <w:sz w:val="20"/>
                <w:szCs w:val="20"/>
                <w:color w:val="auto"/>
              </w:rPr>
            </w:pPr>
            <w:r>
              <w:rPr>
                <w:rFonts w:ascii="Arial" w:cs="Arial" w:eastAsia="Arial" w:hAnsi="Arial"/>
                <w:sz w:val="18"/>
                <w:szCs w:val="18"/>
                <w:color w:val="auto"/>
              </w:rPr>
              <w:t>Goodwill</w:t>
            </w:r>
          </w:p>
        </w:tc>
        <w:tc>
          <w:tcPr>
            <w:tcW w:w="3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4,863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36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2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3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160"/>
              <w:spacing w:after="0"/>
              <w:rPr>
                <w:sz w:val="20"/>
                <w:szCs w:val="20"/>
                <w:color w:val="auto"/>
              </w:rPr>
            </w:pPr>
            <w:r>
              <w:rPr>
                <w:rFonts w:ascii="Arial" w:cs="Arial" w:eastAsia="Arial" w:hAnsi="Arial"/>
                <w:sz w:val="18"/>
                <w:szCs w:val="18"/>
                <w:color w:val="auto"/>
              </w:rPr>
              <w:t>Accounts payable</w:t>
            </w:r>
          </w:p>
        </w:tc>
        <w:tc>
          <w:tcPr>
            <w:tcW w:w="3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464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Credit line</w:t>
            </w:r>
          </w:p>
        </w:tc>
        <w:tc>
          <w:tcPr>
            <w:tcW w:w="3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160"/>
              <w:spacing w:after="0"/>
              <w:rPr>
                <w:sz w:val="20"/>
                <w:szCs w:val="20"/>
                <w:color w:val="auto"/>
              </w:rPr>
            </w:pPr>
            <w:r>
              <w:rPr>
                <w:rFonts w:ascii="Arial" w:cs="Arial" w:eastAsia="Arial" w:hAnsi="Arial"/>
                <w:sz w:val="18"/>
                <w:szCs w:val="18"/>
                <w:color w:val="auto"/>
              </w:rPr>
              <w:t>Accrued expenses</w:t>
            </w:r>
          </w:p>
        </w:tc>
        <w:tc>
          <w:tcPr>
            <w:tcW w:w="3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current liabilities</w:t>
            </w:r>
          </w:p>
        </w:tc>
        <w:tc>
          <w:tcPr>
            <w:tcW w:w="3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20" w:type="dxa"/>
            <w:vAlign w:val="bottom"/>
          </w:tcPr>
          <w:p>
            <w:pPr>
              <w:ind w:left="160"/>
              <w:spacing w:after="0"/>
              <w:rPr>
                <w:sz w:val="20"/>
                <w:szCs w:val="20"/>
                <w:color w:val="auto"/>
              </w:rPr>
            </w:pPr>
            <w:r>
              <w:rPr>
                <w:rFonts w:ascii="Arial" w:cs="Arial" w:eastAsia="Arial" w:hAnsi="Arial"/>
                <w:sz w:val="18"/>
                <w:szCs w:val="18"/>
                <w:color w:val="auto"/>
              </w:rPr>
              <w:t>Deferred tax liabilities</w:t>
            </w:r>
          </w:p>
        </w:tc>
        <w:tc>
          <w:tcPr>
            <w:tcW w:w="3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866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36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Non-controlling interest in FLI Charge</w:t>
            </w:r>
          </w:p>
        </w:tc>
        <w:tc>
          <w:tcPr>
            <w:tcW w:w="36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36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5,571</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allocation of the purchase price was based upon a valuation and the Company's estimates and assumptions, which are subject to change within the measurement period (up to one year from the acquisition dates). The principal area of potential purchase price adjustments relate to the shares placed in escrow.</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acquisition, the Company also entered into a Consulting Agreement with IDG’s former chief executive officer and director for a term of six months and payment of $9 per month. The Company also issued to a finder a warrant to purchase up to an aggregate of 50,000 shares of common stock of the Company, at an exercise price of $5.00 per share, expiring on April 15, 2021. The fair value of the warrant was $114 and was recorded as an expense in general and administrative expenses.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On December 28, 2015, the Company acquired the remaining 30% interest in FLI Charge from third parties. In conjunction with the transaction, the Company issued 110,000 shares of its unregistered common stock for total consideration of $262. The fair value of the consideration for financial reporting purposes was determined based on the market value of the shares at the date of the transaction, discounted due to the restricted nature of the shares and the effect this has on their marketability. The issuance of these shares has no impact on the allocation of the purchase consideration pursuant to </w:t>
      </w:r>
      <w:r>
        <w:rPr>
          <w:rFonts w:ascii="Arial" w:cs="Arial" w:eastAsia="Arial" w:hAnsi="Arial"/>
          <w:sz w:val="18"/>
          <w:szCs w:val="18"/>
          <w:i w:val="1"/>
          <w:iCs w:val="1"/>
          <w:color w:val="auto"/>
        </w:rPr>
        <w:t>FASB ASC 810</w:t>
      </w:r>
      <w:r>
        <w:rPr>
          <w:rFonts w:ascii="Arial" w:cs="Arial" w:eastAsia="Arial" w:hAnsi="Arial"/>
          <w:sz w:val="18"/>
          <w:szCs w:val="18"/>
          <w:color w:val="auto"/>
        </w:rPr>
        <w:t xml:space="preserve"> and was recorded as an equity transaction.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regarding the Company’s intangible assets, which consist of the following:</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3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5"/>
          </w:tcPr>
          <w:p>
            <w:pPr>
              <w:jc w:val="center"/>
              <w:ind w:right="70"/>
              <w:spacing w:after="0"/>
              <w:rPr>
                <w:sz w:val="20"/>
                <w:szCs w:val="20"/>
                <w:color w:val="auto"/>
              </w:rPr>
            </w:pPr>
            <w:r>
              <w:rPr>
                <w:rFonts w:ascii="Arial" w:cs="Arial" w:eastAsia="Arial" w:hAnsi="Arial"/>
                <w:sz w:val="18"/>
                <w:szCs w:val="18"/>
                <w:color w:val="auto"/>
                <w:w w:val="88"/>
              </w:rPr>
              <w:t>September 30, 2016</w:t>
            </w:r>
          </w:p>
        </w:tc>
        <w:tc>
          <w:tcPr>
            <w:tcW w:w="8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color w:val="auto"/>
                <w:w w:val="89"/>
              </w:rPr>
              <w:t>December 31, 2015</w:t>
            </w: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88"/>
              </w:rPr>
              <w:t>Weighted average</w:t>
            </w:r>
          </w:p>
        </w:tc>
        <w:tc>
          <w:tcPr>
            <w:tcW w:w="0" w:type="dxa"/>
            <w:vAlign w:val="bottom"/>
          </w:tcPr>
          <w:p>
            <w:pPr>
              <w:spacing w:after="0"/>
              <w:rPr>
                <w:sz w:val="1"/>
                <w:szCs w:val="1"/>
                <w:color w:val="auto"/>
              </w:rPr>
            </w:pPr>
          </w:p>
        </w:tc>
      </w:tr>
      <w:tr>
        <w:trPr>
          <w:trHeight w:val="195"/>
        </w:trPr>
        <w:tc>
          <w:tcPr>
            <w:tcW w:w="2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center"/>
              <w:ind w:right="140"/>
              <w:spacing w:after="0" w:line="195" w:lineRule="exact"/>
              <w:rPr>
                <w:sz w:val="20"/>
                <w:szCs w:val="20"/>
                <w:color w:val="auto"/>
              </w:rPr>
            </w:pPr>
            <w:r>
              <w:rPr>
                <w:rFonts w:ascii="Arial" w:cs="Arial" w:eastAsia="Arial" w:hAnsi="Arial"/>
                <w:sz w:val="18"/>
                <w:szCs w:val="18"/>
                <w:color w:val="auto"/>
                <w:w w:val="87"/>
              </w:rPr>
              <w:t>Gross</w:t>
            </w:r>
          </w:p>
        </w:tc>
        <w:tc>
          <w:tcPr>
            <w:tcW w:w="200" w:type="dxa"/>
            <w:vAlign w:val="bottom"/>
          </w:tcPr>
          <w:p>
            <w:pPr>
              <w:spacing w:after="0"/>
              <w:rPr>
                <w:sz w:val="16"/>
                <w:szCs w:val="16"/>
                <w:color w:val="auto"/>
              </w:rPr>
            </w:pPr>
          </w:p>
        </w:tc>
        <w:tc>
          <w:tcPr>
            <w:tcW w:w="1480" w:type="dxa"/>
            <w:vAlign w:val="bottom"/>
            <w:gridSpan w:val="4"/>
          </w:tcPr>
          <w:p>
            <w:pPr>
              <w:jc w:val="center"/>
              <w:ind w:right="270"/>
              <w:spacing w:after="0" w:line="195" w:lineRule="exact"/>
              <w:rPr>
                <w:sz w:val="20"/>
                <w:szCs w:val="20"/>
                <w:color w:val="auto"/>
              </w:rPr>
            </w:pPr>
            <w:r>
              <w:rPr>
                <w:rFonts w:ascii="Arial" w:cs="Arial" w:eastAsia="Arial" w:hAnsi="Arial"/>
                <w:sz w:val="18"/>
                <w:szCs w:val="18"/>
                <w:color w:val="auto"/>
                <w:w w:val="92"/>
              </w:rPr>
              <w:t>Accumulated</w:t>
            </w:r>
          </w:p>
        </w:tc>
        <w:tc>
          <w:tcPr>
            <w:tcW w:w="840" w:type="dxa"/>
            <w:vAlign w:val="bottom"/>
          </w:tcPr>
          <w:p>
            <w:pPr>
              <w:jc w:val="center"/>
              <w:ind w:right="50"/>
              <w:spacing w:after="0" w:line="195" w:lineRule="exact"/>
              <w:rPr>
                <w:sz w:val="20"/>
                <w:szCs w:val="20"/>
                <w:color w:val="auto"/>
              </w:rPr>
            </w:pPr>
            <w:r>
              <w:rPr>
                <w:rFonts w:ascii="Arial" w:cs="Arial" w:eastAsia="Arial" w:hAnsi="Arial"/>
                <w:sz w:val="18"/>
                <w:szCs w:val="18"/>
                <w:color w:val="auto"/>
                <w:w w:val="92"/>
              </w:rPr>
              <w:t>Net</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center"/>
              <w:ind w:right="160"/>
              <w:spacing w:after="0" w:line="195" w:lineRule="exact"/>
              <w:rPr>
                <w:sz w:val="20"/>
                <w:szCs w:val="20"/>
                <w:color w:val="auto"/>
              </w:rPr>
            </w:pPr>
            <w:r>
              <w:rPr>
                <w:rFonts w:ascii="Arial" w:cs="Arial" w:eastAsia="Arial" w:hAnsi="Arial"/>
                <w:sz w:val="18"/>
                <w:szCs w:val="18"/>
                <w:color w:val="auto"/>
                <w:w w:val="87"/>
              </w:rPr>
              <w:t>Gross</w:t>
            </w:r>
          </w:p>
        </w:tc>
        <w:tc>
          <w:tcPr>
            <w:tcW w:w="180" w:type="dxa"/>
            <w:vAlign w:val="bottom"/>
          </w:tcPr>
          <w:p>
            <w:pPr>
              <w:spacing w:after="0"/>
              <w:rPr>
                <w:sz w:val="16"/>
                <w:szCs w:val="16"/>
                <w:color w:val="auto"/>
              </w:rPr>
            </w:pPr>
          </w:p>
        </w:tc>
        <w:tc>
          <w:tcPr>
            <w:tcW w:w="1360" w:type="dxa"/>
            <w:vAlign w:val="bottom"/>
            <w:gridSpan w:val="3"/>
          </w:tcPr>
          <w:p>
            <w:pPr>
              <w:jc w:val="center"/>
              <w:ind w:right="160"/>
              <w:spacing w:after="0" w:line="195" w:lineRule="exact"/>
              <w:rPr>
                <w:sz w:val="20"/>
                <w:szCs w:val="20"/>
                <w:color w:val="auto"/>
              </w:rPr>
            </w:pPr>
            <w:r>
              <w:rPr>
                <w:rFonts w:ascii="Arial" w:cs="Arial" w:eastAsia="Arial" w:hAnsi="Arial"/>
                <w:sz w:val="18"/>
                <w:szCs w:val="18"/>
                <w:color w:val="auto"/>
                <w:w w:val="92"/>
              </w:rPr>
              <w:t>Accumulated</w:t>
            </w:r>
          </w:p>
        </w:tc>
        <w:tc>
          <w:tcPr>
            <w:tcW w:w="120" w:type="dxa"/>
            <w:vAlign w:val="bottom"/>
          </w:tcPr>
          <w:p>
            <w:pPr>
              <w:spacing w:after="0"/>
              <w:rPr>
                <w:sz w:val="16"/>
                <w:szCs w:val="16"/>
                <w:color w:val="auto"/>
              </w:rPr>
            </w:pPr>
          </w:p>
        </w:tc>
        <w:tc>
          <w:tcPr>
            <w:tcW w:w="880" w:type="dxa"/>
            <w:vAlign w:val="bottom"/>
          </w:tcPr>
          <w:p>
            <w:pPr>
              <w:jc w:val="center"/>
              <w:ind w:right="50"/>
              <w:spacing w:after="0" w:line="195" w:lineRule="exact"/>
              <w:rPr>
                <w:sz w:val="20"/>
                <w:szCs w:val="20"/>
                <w:color w:val="auto"/>
              </w:rPr>
            </w:pPr>
            <w:r>
              <w:rPr>
                <w:rFonts w:ascii="Arial" w:cs="Arial" w:eastAsia="Arial" w:hAnsi="Arial"/>
                <w:sz w:val="18"/>
                <w:szCs w:val="18"/>
                <w:color w:val="auto"/>
                <w:w w:val="92"/>
              </w:rPr>
              <w:t>Net</w:t>
            </w:r>
          </w:p>
        </w:tc>
        <w:tc>
          <w:tcPr>
            <w:tcW w:w="200" w:type="dxa"/>
            <w:vAlign w:val="bottom"/>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8"/>
                <w:szCs w:val="18"/>
                <w:color w:val="auto"/>
                <w:w w:val="94"/>
              </w:rPr>
              <w:t>Carrying</w:t>
            </w:r>
          </w:p>
        </w:tc>
        <w:tc>
          <w:tcPr>
            <w:tcW w:w="200" w:type="dxa"/>
            <w:vAlign w:val="bottom"/>
          </w:tcPr>
          <w:p>
            <w:pPr>
              <w:spacing w:after="0"/>
              <w:rPr>
                <w:sz w:val="18"/>
                <w:szCs w:val="18"/>
                <w:color w:val="auto"/>
              </w:rPr>
            </w:pPr>
          </w:p>
        </w:tc>
        <w:tc>
          <w:tcPr>
            <w:tcW w:w="1480" w:type="dxa"/>
            <w:vAlign w:val="bottom"/>
            <w:gridSpan w:val="4"/>
          </w:tcPr>
          <w:p>
            <w:pPr>
              <w:jc w:val="center"/>
              <w:ind w:right="270"/>
              <w:spacing w:after="0"/>
              <w:rPr>
                <w:sz w:val="20"/>
                <w:szCs w:val="20"/>
                <w:color w:val="auto"/>
              </w:rPr>
            </w:pPr>
            <w:r>
              <w:rPr>
                <w:rFonts w:ascii="Arial" w:cs="Arial" w:eastAsia="Arial" w:hAnsi="Arial"/>
                <w:sz w:val="18"/>
                <w:szCs w:val="18"/>
                <w:color w:val="auto"/>
                <w:w w:val="95"/>
              </w:rPr>
              <w:t>Amortization</w:t>
            </w:r>
          </w:p>
        </w:tc>
        <w:tc>
          <w:tcPr>
            <w:tcW w:w="1060" w:type="dxa"/>
            <w:vAlign w:val="bottom"/>
            <w:gridSpan w:val="2"/>
          </w:tcPr>
          <w:p>
            <w:pPr>
              <w:jc w:val="center"/>
              <w:ind w:right="340"/>
              <w:spacing w:after="0"/>
              <w:rPr>
                <w:sz w:val="20"/>
                <w:szCs w:val="20"/>
                <w:color w:val="auto"/>
              </w:rPr>
            </w:pPr>
            <w:r>
              <w:rPr>
                <w:rFonts w:ascii="Arial" w:cs="Arial" w:eastAsia="Arial" w:hAnsi="Arial"/>
                <w:sz w:val="18"/>
                <w:szCs w:val="18"/>
                <w:color w:val="auto"/>
                <w:w w:val="94"/>
              </w:rPr>
              <w:t>Carrying</w:t>
            </w:r>
          </w:p>
        </w:tc>
        <w:tc>
          <w:tcPr>
            <w:tcW w:w="140" w:type="dxa"/>
            <w:vAlign w:val="bottom"/>
          </w:tcPr>
          <w:p>
            <w:pPr>
              <w:spacing w:after="0"/>
              <w:rPr>
                <w:sz w:val="18"/>
                <w:szCs w:val="18"/>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8"/>
                <w:szCs w:val="18"/>
                <w:color w:val="auto"/>
                <w:w w:val="94"/>
              </w:rPr>
              <w:t>Carrying</w:t>
            </w:r>
          </w:p>
        </w:tc>
        <w:tc>
          <w:tcPr>
            <w:tcW w:w="180" w:type="dxa"/>
            <w:vAlign w:val="bottom"/>
          </w:tcPr>
          <w:p>
            <w:pPr>
              <w:spacing w:after="0"/>
              <w:rPr>
                <w:sz w:val="18"/>
                <w:szCs w:val="18"/>
                <w:color w:val="auto"/>
              </w:rPr>
            </w:pPr>
          </w:p>
        </w:tc>
        <w:tc>
          <w:tcPr>
            <w:tcW w:w="1360" w:type="dxa"/>
            <w:vAlign w:val="bottom"/>
            <w:gridSpan w:val="3"/>
          </w:tcPr>
          <w:p>
            <w:pPr>
              <w:jc w:val="center"/>
              <w:ind w:right="160"/>
              <w:spacing w:after="0"/>
              <w:rPr>
                <w:sz w:val="20"/>
                <w:szCs w:val="20"/>
                <w:color w:val="auto"/>
              </w:rPr>
            </w:pPr>
            <w:r>
              <w:rPr>
                <w:rFonts w:ascii="Arial" w:cs="Arial" w:eastAsia="Arial" w:hAnsi="Arial"/>
                <w:sz w:val="18"/>
                <w:szCs w:val="18"/>
                <w:color w:val="auto"/>
                <w:w w:val="95"/>
              </w:rPr>
              <w:t>Amortization</w:t>
            </w:r>
          </w:p>
        </w:tc>
        <w:tc>
          <w:tcPr>
            <w:tcW w:w="120" w:type="dxa"/>
            <w:vAlign w:val="bottom"/>
          </w:tcPr>
          <w:p>
            <w:pPr>
              <w:spacing w:after="0"/>
              <w:rPr>
                <w:sz w:val="18"/>
                <w:szCs w:val="18"/>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8"/>
                <w:szCs w:val="18"/>
                <w:color w:val="auto"/>
                <w:w w:val="94"/>
              </w:rPr>
              <w:t>Carrying</w:t>
            </w:r>
          </w:p>
        </w:tc>
        <w:tc>
          <w:tcPr>
            <w:tcW w:w="152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amortization period</w:t>
            </w:r>
          </w:p>
        </w:tc>
        <w:tc>
          <w:tcPr>
            <w:tcW w:w="0" w:type="dxa"/>
            <w:vAlign w:val="bottom"/>
          </w:tcPr>
          <w:p>
            <w:pPr>
              <w:spacing w:after="0"/>
              <w:rPr>
                <w:sz w:val="1"/>
                <w:szCs w:val="1"/>
                <w:color w:val="auto"/>
              </w:rPr>
            </w:pPr>
          </w:p>
        </w:tc>
      </w:tr>
      <w:tr>
        <w:trPr>
          <w:trHeight w:val="230"/>
        </w:trPr>
        <w:tc>
          <w:tcPr>
            <w:tcW w:w="2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8"/>
                <w:szCs w:val="18"/>
                <w:color w:val="auto"/>
                <w:w w:val="96"/>
              </w:rPr>
              <w:t>Amount</w:t>
            </w:r>
          </w:p>
        </w:tc>
        <w:tc>
          <w:tcPr>
            <w:tcW w:w="1680" w:type="dxa"/>
            <w:vAlign w:val="bottom"/>
            <w:gridSpan w:val="5"/>
          </w:tcPr>
          <w:p>
            <w:pPr>
              <w:jc w:val="center"/>
              <w:ind w:right="50"/>
              <w:spacing w:after="0"/>
              <w:rPr>
                <w:sz w:val="20"/>
                <w:szCs w:val="20"/>
                <w:color w:val="auto"/>
              </w:rPr>
            </w:pPr>
            <w:r>
              <w:rPr>
                <w:rFonts w:ascii="Arial" w:cs="Arial" w:eastAsia="Arial" w:hAnsi="Arial"/>
                <w:sz w:val="18"/>
                <w:szCs w:val="18"/>
                <w:color w:val="auto"/>
                <w:w w:val="91"/>
              </w:rPr>
              <w:t>and Impairment</w:t>
            </w:r>
          </w:p>
        </w:tc>
        <w:tc>
          <w:tcPr>
            <w:tcW w:w="1060" w:type="dxa"/>
            <w:vAlign w:val="bottom"/>
            <w:gridSpan w:val="2"/>
          </w:tcPr>
          <w:p>
            <w:pPr>
              <w:jc w:val="center"/>
              <w:ind w:right="340"/>
              <w:spacing w:after="0"/>
              <w:rPr>
                <w:sz w:val="20"/>
                <w:szCs w:val="20"/>
                <w:color w:val="auto"/>
              </w:rPr>
            </w:pPr>
            <w:r>
              <w:rPr>
                <w:rFonts w:ascii="Arial" w:cs="Arial" w:eastAsia="Arial" w:hAnsi="Arial"/>
                <w:sz w:val="18"/>
                <w:szCs w:val="18"/>
                <w:color w:val="auto"/>
                <w:w w:val="96"/>
              </w:rPr>
              <w:t>Amount</w:t>
            </w:r>
          </w:p>
        </w:tc>
        <w:tc>
          <w:tcPr>
            <w:tcW w:w="140" w:type="dxa"/>
            <w:vAlign w:val="bottom"/>
          </w:tcPr>
          <w:p>
            <w:pPr>
              <w:spacing w:after="0"/>
              <w:rPr>
                <w:sz w:val="20"/>
                <w:szCs w:val="20"/>
                <w:color w:val="auto"/>
              </w:rPr>
            </w:pPr>
          </w:p>
        </w:tc>
        <w:tc>
          <w:tcPr>
            <w:tcW w:w="900" w:type="dxa"/>
            <w:vAlign w:val="bottom"/>
            <w:gridSpan w:val="2"/>
          </w:tcPr>
          <w:p>
            <w:pPr>
              <w:jc w:val="center"/>
              <w:ind w:right="160"/>
              <w:spacing w:after="0"/>
              <w:rPr>
                <w:sz w:val="20"/>
                <w:szCs w:val="20"/>
                <w:color w:val="auto"/>
              </w:rPr>
            </w:pPr>
            <w:r>
              <w:rPr>
                <w:rFonts w:ascii="Arial" w:cs="Arial" w:eastAsia="Arial" w:hAnsi="Arial"/>
                <w:sz w:val="18"/>
                <w:szCs w:val="18"/>
                <w:color w:val="auto"/>
                <w:w w:val="93"/>
              </w:rPr>
              <w:t>Amount</w:t>
            </w:r>
          </w:p>
        </w:tc>
        <w:tc>
          <w:tcPr>
            <w:tcW w:w="180" w:type="dxa"/>
            <w:vAlign w:val="bottom"/>
          </w:tcPr>
          <w:p>
            <w:pPr>
              <w:spacing w:after="0"/>
              <w:rPr>
                <w:sz w:val="20"/>
                <w:szCs w:val="20"/>
                <w:color w:val="auto"/>
              </w:rPr>
            </w:pPr>
          </w:p>
        </w:tc>
        <w:tc>
          <w:tcPr>
            <w:tcW w:w="1360" w:type="dxa"/>
            <w:vAlign w:val="bottom"/>
            <w:gridSpan w:val="3"/>
          </w:tcPr>
          <w:p>
            <w:pPr>
              <w:jc w:val="center"/>
              <w:ind w:right="140"/>
              <w:spacing w:after="0"/>
              <w:rPr>
                <w:sz w:val="20"/>
                <w:szCs w:val="20"/>
                <w:color w:val="auto"/>
              </w:rPr>
            </w:pPr>
            <w:r>
              <w:rPr>
                <w:rFonts w:ascii="Arial" w:cs="Arial" w:eastAsia="Arial" w:hAnsi="Arial"/>
                <w:sz w:val="18"/>
                <w:szCs w:val="18"/>
                <w:color w:val="auto"/>
                <w:w w:val="91"/>
              </w:rPr>
              <w:t>and Impairment</w:t>
            </w:r>
          </w:p>
        </w:tc>
        <w:tc>
          <w:tcPr>
            <w:tcW w:w="120" w:type="dxa"/>
            <w:vAlign w:val="bottom"/>
          </w:tcPr>
          <w:p>
            <w:pPr>
              <w:spacing w:after="0"/>
              <w:rPr>
                <w:sz w:val="20"/>
                <w:szCs w:val="20"/>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8"/>
                <w:szCs w:val="18"/>
                <w:color w:val="auto"/>
                <w:w w:val="93"/>
              </w:rPr>
              <w:t>Amount</w:t>
            </w:r>
          </w:p>
        </w:tc>
        <w:tc>
          <w:tcPr>
            <w:tcW w:w="152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(years)</w:t>
            </w:r>
          </w:p>
        </w:tc>
        <w:tc>
          <w:tcPr>
            <w:tcW w:w="0" w:type="dxa"/>
            <w:vAlign w:val="bottom"/>
          </w:tcPr>
          <w:p>
            <w:pPr>
              <w:spacing w:after="0"/>
              <w:rPr>
                <w:sz w:val="1"/>
                <w:szCs w:val="1"/>
                <w:color w:val="auto"/>
              </w:rPr>
            </w:pPr>
          </w:p>
        </w:tc>
      </w:tr>
      <w:tr>
        <w:trPr>
          <w:trHeight w:val="210"/>
        </w:trPr>
        <w:tc>
          <w:tcPr>
            <w:tcW w:w="2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Patents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28,213</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5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(26,822)</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1,391</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28,213</w:t>
            </w: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(13,782)</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14,431</w:t>
            </w:r>
          </w:p>
        </w:tc>
        <w:tc>
          <w:tcPr>
            <w:tcW w:w="20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2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1,163</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(285)</w:t>
            </w:r>
          </w:p>
        </w:tc>
        <w:tc>
          <w:tcPr>
            <w:tcW w:w="14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878</w:t>
            </w:r>
          </w:p>
        </w:tc>
        <w:tc>
          <w:tcPr>
            <w:tcW w:w="1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1,163</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1,101</w:t>
            </w: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Trade name</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504</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(99)</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405</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504</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483</w:t>
            </w: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4.90</w:t>
            </w:r>
          </w:p>
        </w:tc>
        <w:tc>
          <w:tcPr>
            <w:tcW w:w="0" w:type="dxa"/>
            <w:vAlign w:val="bottom"/>
          </w:tcPr>
          <w:p>
            <w:pPr>
              <w:spacing w:after="0"/>
              <w:rPr>
                <w:sz w:val="1"/>
                <w:szCs w:val="1"/>
                <w:color w:val="auto"/>
              </w:rPr>
            </w:pPr>
          </w:p>
        </w:tc>
      </w:tr>
      <w:tr>
        <w:trPr>
          <w:trHeight w:val="216"/>
        </w:trPr>
        <w:tc>
          <w:tcPr>
            <w:tcW w:w="2380" w:type="dxa"/>
            <w:vAlign w:val="bottom"/>
          </w:tcPr>
          <w:p>
            <w:pPr>
              <w:spacing w:after="0"/>
              <w:rPr>
                <w:sz w:val="20"/>
                <w:szCs w:val="20"/>
                <w:color w:val="auto"/>
              </w:rPr>
            </w:pPr>
            <w:r>
              <w:rPr>
                <w:rFonts w:ascii="Arial" w:cs="Arial" w:eastAsia="Arial" w:hAnsi="Arial"/>
                <w:sz w:val="18"/>
                <w:szCs w:val="18"/>
                <w:color w:val="auto"/>
              </w:rPr>
              <w:t>Technology</w:t>
            </w:r>
          </w:p>
        </w:tc>
        <w:tc>
          <w:tcPr>
            <w:tcW w:w="12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479</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(81)</w:t>
            </w:r>
          </w:p>
        </w:tc>
        <w:tc>
          <w:tcPr>
            <w:tcW w:w="14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398</w:t>
            </w:r>
          </w:p>
        </w:tc>
        <w:tc>
          <w:tcPr>
            <w:tcW w:w="1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479</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461</w:t>
            </w: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5.68</w:t>
            </w: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Additions:</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80" w:type="dxa"/>
            <w:vAlign w:val="bottom"/>
          </w:tcPr>
          <w:p>
            <w:pPr>
              <w:ind w:left="160"/>
              <w:spacing w:after="0"/>
              <w:rPr>
                <w:sz w:val="20"/>
                <w:szCs w:val="20"/>
                <w:color w:val="auto"/>
              </w:rPr>
            </w:pPr>
            <w:r>
              <w:rPr>
                <w:rFonts w:ascii="Arial" w:cs="Arial" w:eastAsia="Arial" w:hAnsi="Arial"/>
                <w:sz w:val="18"/>
                <w:szCs w:val="18"/>
                <w:color w:val="auto"/>
              </w:rPr>
              <w:t>Software</w:t>
            </w:r>
          </w:p>
        </w:tc>
        <w:tc>
          <w:tcPr>
            <w:tcW w:w="12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243</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gridSpan w:val="3"/>
          </w:tcPr>
          <w:p>
            <w:pPr>
              <w:jc w:val="right"/>
              <w:ind w:right="27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243</w:t>
            </w:r>
          </w:p>
        </w:tc>
        <w:tc>
          <w:tcPr>
            <w:tcW w:w="14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23"/>
        </w:trPr>
        <w:tc>
          <w:tcPr>
            <w:tcW w:w="23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intangible assets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30,602</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5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(27,287</w:t>
            </w:r>
          </w:p>
        </w:tc>
        <w:tc>
          <w:tcPr>
            <w:tcW w:w="220" w:type="dxa"/>
            <w:vAlign w:val="bottom"/>
            <w:tcBorders>
              <w:top w:val="single" w:sz="8" w:color="CCEEFF"/>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30,359</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(13,883</w:t>
            </w:r>
          </w:p>
        </w:tc>
        <w:tc>
          <w:tcPr>
            <w:tcW w:w="220" w:type="dxa"/>
            <w:vAlign w:val="bottom"/>
            <w:tcBorders>
              <w:top w:val="single" w:sz="8" w:color="CCEEFF"/>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16,476</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Company recorded customer relationships, trade name and technology as part of the acquisition of Group Mobile and FLI Charge completed on October 15, 2015. Additionally, during 2016, the Company has capitalized costs for software related to the build-out of Group Mobile’s new website. Amortization has not been recorded for the software as it has not yet been placed into service. The patent assets consist of several major patent portfolios, which were acquired from third parties, as well as a number of internally-developed patents. The costs related to internally-developed patents are expensed as incurred.</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Company’s intangible assets are amortized over their expected useful lives. During the three-month periods ended September 30, 2016 and 2015, the Company recorded amortization expense of $203 and $819, respectively. During the nine-month periods ended September 30, 2016 and 2015, the Company recorded amortization expense of $1,467 and $2,436, respectively.</w:t>
      </w:r>
    </w:p>
    <w:p>
      <w:pPr>
        <w:spacing w:after="0" w:line="18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During the nine-month period ended September 30, 2016, the Company determined that there were impairment indicators related to certain of its patents. A significant factor considered when making this determination occurred on May 6, 2016, when “Vringo, Inc.” changed its name to “FORM Holdings Corp.” and concurrently announced its repositioning as a holding company of small and middle market growth companies. The Company concluded that this factor was deemed a “triggering” event, which required the related patent assets to be tested for impairment. In performing this impairment test, the Company determined that the patent portfolios, which together represent an asset group, were subject to impairment testing. In the first step of the impairment test, the Company utilized its projections of future undiscounted cash flows based on the Company’s existing plans for the patents. As a result, it was determined that</w:t>
      </w:r>
    </w:p>
    <w:p>
      <w:pPr>
        <w:sectPr>
          <w:pgSz w:w="11900" w:h="16838" w:orient="portrait"/>
          <w:cols w:equalWidth="0" w:num="1">
            <w:col w:w="11420"/>
          </w:cols>
          <w:pgMar w:left="240" w:top="908" w:right="239" w:bottom="0" w:gutter="0" w:footer="0" w:header="0"/>
        </w:sectPr>
      </w:pPr>
    </w:p>
    <w:bookmarkStart w:id="16" w:name="page17"/>
    <w:bookmarkEnd w:id="16"/>
    <w:p>
      <w:pPr>
        <w:jc w:val="both"/>
        <w:spacing w:after="0" w:line="277" w:lineRule="auto"/>
        <w:rPr>
          <w:sz w:val="20"/>
          <w:szCs w:val="20"/>
          <w:color w:val="auto"/>
        </w:rPr>
      </w:pPr>
      <w:r>
        <w:rPr>
          <w:rFonts w:ascii="Arial" w:cs="Arial" w:eastAsia="Arial" w:hAnsi="Arial"/>
          <w:sz w:val="18"/>
          <w:szCs w:val="18"/>
          <w:color w:val="auto"/>
        </w:rPr>
        <w:t>the Company’s projections of future undiscounted cash flows were less than the carrying value of the asset group. Accordingly, the Company performed the second step of the impairment test to measure the impairment by calculating the asset group’s fair value as of May 6, 2016.</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As a result, following amortization for the month of April, the Company recorded an impairment charge of $11,937, or 88.7% of the carrying value of the patents prior to impairment. This resulted in a new carrying value of $1,526 on May 6, 2016. The impairment charge is included in amortization and impairment of intangible assets in the condensed consolidated statements of operations. Following the impairment, the Company reevaluated the remaining useful life and concluded that there were no changes in the estimated useful life. There were no impairment indicators related to any of the Company’s other amortizable intangible assets during the nine-month period ended September 30, 2016.</w:t>
      </w:r>
    </w:p>
    <w:p>
      <w:pPr>
        <w:spacing w:after="0" w:line="381"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7" w:name="page18"/>
    <w:bookmarkEnd w:id="17"/>
    <w:p>
      <w:pPr>
        <w:jc w:val="both"/>
        <w:spacing w:after="0" w:line="277" w:lineRule="auto"/>
        <w:rPr>
          <w:sz w:val="20"/>
          <w:szCs w:val="20"/>
          <w:color w:val="auto"/>
        </w:rPr>
      </w:pPr>
      <w:r>
        <w:rPr>
          <w:rFonts w:ascii="Arial" w:cs="Arial" w:eastAsia="Arial" w:hAnsi="Arial"/>
          <w:sz w:val="18"/>
          <w:szCs w:val="18"/>
          <w:color w:val="auto"/>
        </w:rPr>
        <w:t>The following table provides information regarding the Company’s goodwill, which relates to the purchase of IDG completed on October 15, 2015. There were no indicators of impairment of goodwill as of September 30, 2016.</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Group Mobile</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4,106</w:t>
            </w:r>
          </w:p>
        </w:tc>
        <w:tc>
          <w:tcPr>
            <w:tcW w:w="80" w:type="dxa"/>
            <w:vAlign w:val="bottom"/>
            <w:shd w:val="clear" w:color="auto" w:fill="CCEEFF"/>
          </w:tcPr>
          <w:p>
            <w:pPr>
              <w:spacing w:after="0"/>
              <w:rPr>
                <w:sz w:val="18"/>
                <w:szCs w:val="18"/>
                <w:color w:val="auto"/>
              </w:rPr>
            </w:pPr>
          </w:p>
        </w:tc>
      </w:tr>
      <w:tr>
        <w:trPr>
          <w:trHeight w:val="230"/>
        </w:trPr>
        <w:tc>
          <w:tcPr>
            <w:tcW w:w="7360" w:type="dxa"/>
            <w:vAlign w:val="bottom"/>
          </w:tcPr>
          <w:p>
            <w:pPr>
              <w:spacing w:after="0"/>
              <w:rPr>
                <w:sz w:val="20"/>
                <w:szCs w:val="20"/>
                <w:color w:val="auto"/>
              </w:rPr>
            </w:pPr>
            <w:r>
              <w:rPr>
                <w:rFonts w:ascii="Arial" w:cs="Arial" w:eastAsia="Arial" w:hAnsi="Arial"/>
                <w:sz w:val="18"/>
                <w:szCs w:val="18"/>
                <w:color w:val="auto"/>
              </w:rPr>
              <w:t>FLI Charge</w:t>
            </w:r>
          </w:p>
        </w:tc>
        <w:tc>
          <w:tcPr>
            <w:tcW w:w="40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757</w:t>
            </w:r>
          </w:p>
        </w:tc>
      </w:tr>
      <w:tr>
        <w:trPr>
          <w:trHeight w:val="223"/>
        </w:trPr>
        <w:tc>
          <w:tcPr>
            <w:tcW w:w="73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Goodwill</w:t>
            </w: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3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General and administrative expenses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Company’s general and administrative expenses grew significantly for both the three-month and nine-month periods ended September 30, 2016 as compared to the three-month and nine-month periods ended September 30, 2015. The increases were primarily due to two key factors: 1) merger and acquisition costs related to the Merger with XpresSpa and 2) general and administrative costs associated with Group Mobile and FLI Charge. During the three-month and nine-month periods ended September 30, 2016, the Company incurred $952 and $1,008 of merger and acquisition costs, respectively, associated with legal, diligence, valuation, and other costs pertaining to the Merger with XpresSpa. Following the acquisition of Group Mobile and FLI Charge during the fourth quarter of 2015, the Company experienced an increase in salaries and benefits due to the expanded workforce of the additional operating segments and incurred advertising and marketing costs for Group Mobile and FLI Charge’s product lines and product development costs as FLI Charge continued to develop and improve its product line. These increases in general and administrative expenses were offset by significant decreases in the stock-based compensation expense, which resulted from equity awards granted in 2012 and 2013 becoming fully vested during the latter half of 2015, as well as insurance, accounting, and audit fees.</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shows the breakout of key categories of general and administrative expenses for the three and nine months ended September 30, 2016 as compared to the three and nine months ended September 30, 2015.</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60" w:type="dxa"/>
            <w:vAlign w:val="bottom"/>
          </w:tcPr>
          <w:p>
            <w:pPr>
              <w:spacing w:after="0"/>
              <w:rPr>
                <w:sz w:val="20"/>
                <w:szCs w:val="20"/>
                <w:color w:val="auto"/>
              </w:rPr>
            </w:pPr>
          </w:p>
        </w:tc>
        <w:tc>
          <w:tcPr>
            <w:tcW w:w="3240" w:type="dxa"/>
            <w:vAlign w:val="bottom"/>
            <w:gridSpan w:val="6"/>
          </w:tcPr>
          <w:p>
            <w:pPr>
              <w:ind w:left="220"/>
              <w:spacing w:after="0"/>
              <w:rPr>
                <w:sz w:val="20"/>
                <w:szCs w:val="20"/>
                <w:color w:val="auto"/>
              </w:rPr>
            </w:pPr>
            <w:r>
              <w:rPr>
                <w:rFonts w:ascii="Arial" w:cs="Arial" w:eastAsia="Arial" w:hAnsi="Arial"/>
                <w:sz w:val="18"/>
                <w:szCs w:val="18"/>
                <w:color w:val="auto"/>
              </w:rPr>
              <w:t>Three months ended September 30,</w:t>
            </w:r>
          </w:p>
        </w:tc>
        <w:tc>
          <w:tcPr>
            <w:tcW w:w="140" w:type="dxa"/>
            <w:vAlign w:val="bottom"/>
          </w:tcPr>
          <w:p>
            <w:pPr>
              <w:spacing w:after="0"/>
              <w:rPr>
                <w:sz w:val="20"/>
                <w:szCs w:val="20"/>
                <w:color w:val="auto"/>
              </w:rPr>
            </w:pPr>
          </w:p>
        </w:tc>
        <w:tc>
          <w:tcPr>
            <w:tcW w:w="2880" w:type="dxa"/>
            <w:vAlign w:val="bottom"/>
            <w:gridSpan w:val="6"/>
          </w:tcPr>
          <w:p>
            <w:pPr>
              <w:ind w:left="80"/>
              <w:spacing w:after="0"/>
              <w:rPr>
                <w:sz w:val="20"/>
                <w:szCs w:val="20"/>
                <w:color w:val="auto"/>
              </w:rPr>
            </w:pPr>
            <w:r>
              <w:rPr>
                <w:rFonts w:ascii="Arial" w:cs="Arial" w:eastAsia="Arial" w:hAnsi="Arial"/>
                <w:sz w:val="18"/>
                <w:szCs w:val="18"/>
                <w:color w:val="auto"/>
                <w:w w:val="99"/>
              </w:rPr>
              <w:t>Nine months ended September 30,</w:t>
            </w:r>
          </w:p>
        </w:tc>
      </w:tr>
      <w:tr>
        <w:trPr>
          <w:trHeight w:val="223"/>
        </w:trPr>
        <w:tc>
          <w:tcPr>
            <w:tcW w:w="5160" w:type="dxa"/>
            <w:vAlign w:val="bottom"/>
            <w:tcBorders>
              <w:bottom w:val="single" w:sz="8" w:color="CCEEFF"/>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2016</w:t>
            </w:r>
          </w:p>
        </w:tc>
        <w:tc>
          <w:tcPr>
            <w:tcW w:w="46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rPr>
              <w:t>2015</w:t>
            </w:r>
          </w:p>
        </w:tc>
        <w:tc>
          <w:tcPr>
            <w:tcW w:w="24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rPr>
              <w:t>2016</w:t>
            </w:r>
          </w:p>
        </w:tc>
        <w:tc>
          <w:tcPr>
            <w:tcW w:w="22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rPr>
              <w:t>2015</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10"/>
        </w:trPr>
        <w:tc>
          <w:tcPr>
            <w:tcW w:w="5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General and administrative expenses</w:t>
            </w: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Salaries, commissions, and benefits</w:t>
            </w:r>
          </w:p>
        </w:tc>
        <w:tc>
          <w:tcPr>
            <w:tcW w:w="920" w:type="dxa"/>
            <w:vAlign w:val="bottom"/>
          </w:tcPr>
          <w:p>
            <w:pPr>
              <w:jc w:val="right"/>
              <w:ind w:right="757"/>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w w:val="97"/>
              </w:rPr>
              <w:t>1,041</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419</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2,722</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1,504</w:t>
            </w:r>
          </w:p>
        </w:tc>
        <w:tc>
          <w:tcPr>
            <w:tcW w:w="80" w:type="dxa"/>
            <w:vAlign w:val="bottom"/>
          </w:tcPr>
          <w:p>
            <w:pPr>
              <w:spacing w:after="0"/>
              <w:rPr>
                <w:sz w:val="18"/>
                <w:szCs w:val="18"/>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9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426</w:t>
            </w: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936</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1,256</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3,560</w:t>
            </w:r>
          </w:p>
        </w:tc>
        <w:tc>
          <w:tcPr>
            <w:tcW w:w="80" w:type="dxa"/>
            <w:vAlign w:val="bottom"/>
            <w:shd w:val="clear" w:color="auto" w:fill="CCEEFF"/>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Legal, merger and acquisition, and financing</w:t>
            </w:r>
          </w:p>
        </w:tc>
        <w:tc>
          <w:tcPr>
            <w:tcW w:w="92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w w:val="97"/>
              </w:rPr>
              <w:t>1,053</w:t>
            </w:r>
          </w:p>
        </w:tc>
        <w:tc>
          <w:tcPr>
            <w:tcW w:w="30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76</w:t>
            </w:r>
          </w:p>
        </w:tc>
        <w:tc>
          <w:tcPr>
            <w:tcW w:w="14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1,436</w:t>
            </w:r>
          </w:p>
        </w:tc>
        <w:tc>
          <w:tcPr>
            <w:tcW w:w="30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247</w:t>
            </w:r>
          </w:p>
        </w:tc>
        <w:tc>
          <w:tcPr>
            <w:tcW w:w="80" w:type="dxa"/>
            <w:vAlign w:val="bottom"/>
          </w:tcPr>
          <w:p>
            <w:pPr>
              <w:spacing w:after="0"/>
              <w:rPr>
                <w:sz w:val="18"/>
                <w:szCs w:val="18"/>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Accounting and audit</w:t>
            </w: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150</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387</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446</w:t>
            </w:r>
          </w:p>
        </w:tc>
        <w:tc>
          <w:tcPr>
            <w:tcW w:w="80" w:type="dxa"/>
            <w:vAlign w:val="bottom"/>
            <w:shd w:val="clear" w:color="auto" w:fill="CCEEFF"/>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Advertising and marketing</w:t>
            </w:r>
          </w:p>
        </w:tc>
        <w:tc>
          <w:tcPr>
            <w:tcW w:w="92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110</w:t>
            </w:r>
          </w:p>
        </w:tc>
        <w:tc>
          <w:tcPr>
            <w:tcW w:w="30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856</w:t>
            </w:r>
          </w:p>
        </w:tc>
        <w:tc>
          <w:tcPr>
            <w:tcW w:w="300" w:type="dxa"/>
            <w:vAlign w:val="bottom"/>
          </w:tcPr>
          <w:p>
            <w:pPr>
              <w:spacing w:after="0"/>
              <w:rPr>
                <w:sz w:val="18"/>
                <w:szCs w:val="18"/>
                <w:color w:val="auto"/>
              </w:rPr>
            </w:pP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Product development</w:t>
            </w:r>
          </w:p>
        </w:tc>
        <w:tc>
          <w:tcPr>
            <w:tcW w:w="9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113</w:t>
            </w: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634</w:t>
            </w:r>
          </w:p>
        </w:tc>
        <w:tc>
          <w:tcPr>
            <w:tcW w:w="3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Insurance</w:t>
            </w:r>
          </w:p>
        </w:tc>
        <w:tc>
          <w:tcPr>
            <w:tcW w:w="92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121</w:t>
            </w:r>
          </w:p>
        </w:tc>
        <w:tc>
          <w:tcPr>
            <w:tcW w:w="30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191</w:t>
            </w:r>
          </w:p>
        </w:tc>
        <w:tc>
          <w:tcPr>
            <w:tcW w:w="14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516</w:t>
            </w:r>
          </w:p>
        </w:tc>
        <w:tc>
          <w:tcPr>
            <w:tcW w:w="30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496</w:t>
            </w:r>
          </w:p>
        </w:tc>
        <w:tc>
          <w:tcPr>
            <w:tcW w:w="80" w:type="dxa"/>
            <w:vAlign w:val="bottom"/>
          </w:tcPr>
          <w:p>
            <w:pPr>
              <w:spacing w:after="0"/>
              <w:rPr>
                <w:sz w:val="18"/>
                <w:szCs w:val="18"/>
                <w:color w:val="auto"/>
              </w:rPr>
            </w:pPr>
          </w:p>
        </w:tc>
      </w:tr>
      <w:tr>
        <w:trPr>
          <w:trHeight w:val="230"/>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Other general and administrative expenses</w:t>
            </w:r>
          </w:p>
        </w:tc>
        <w:tc>
          <w:tcPr>
            <w:tcW w:w="9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992</w:t>
            </w:r>
          </w:p>
        </w:tc>
        <w:tc>
          <w:tcPr>
            <w:tcW w:w="3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323</w:t>
            </w: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2,405</w:t>
            </w: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1,138</w:t>
            </w:r>
          </w:p>
        </w:tc>
        <w:tc>
          <w:tcPr>
            <w:tcW w:w="80" w:type="dxa"/>
            <w:vAlign w:val="bottom"/>
            <w:shd w:val="clear" w:color="auto" w:fill="CCEEFF"/>
          </w:tcPr>
          <w:p>
            <w:pPr>
              <w:spacing w:after="0"/>
              <w:rPr>
                <w:sz w:val="19"/>
                <w:szCs w:val="19"/>
                <w:color w:val="auto"/>
              </w:rPr>
            </w:pPr>
          </w:p>
        </w:tc>
      </w:tr>
      <w:tr>
        <w:trPr>
          <w:trHeight w:val="223"/>
        </w:trPr>
        <w:tc>
          <w:tcPr>
            <w:tcW w:w="5160" w:type="dxa"/>
            <w:vAlign w:val="bottom"/>
          </w:tcPr>
          <w:p>
            <w:pPr>
              <w:spacing w:after="0"/>
              <w:rPr>
                <w:sz w:val="20"/>
                <w:szCs w:val="20"/>
                <w:color w:val="auto"/>
              </w:rPr>
            </w:pPr>
            <w:r>
              <w:rPr>
                <w:rFonts w:ascii="Arial" w:cs="Arial" w:eastAsia="Arial" w:hAnsi="Arial"/>
                <w:sz w:val="18"/>
                <w:szCs w:val="18"/>
                <w:b w:val="1"/>
                <w:bCs w:val="1"/>
                <w:color w:val="auto"/>
              </w:rPr>
              <w:t>Total general and administrative expenses</w:t>
            </w:r>
          </w:p>
        </w:tc>
        <w:tc>
          <w:tcPr>
            <w:tcW w:w="920" w:type="dxa"/>
            <w:vAlign w:val="bottom"/>
            <w:tcBorders>
              <w:top w:val="single" w:sz="8" w:color="auto"/>
              <w:bottom w:val="single" w:sz="8" w:color="auto"/>
            </w:tcBorders>
          </w:tcPr>
          <w:p>
            <w:pPr>
              <w:jc w:val="right"/>
              <w:ind w:right="757"/>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3,955</w:t>
            </w:r>
          </w:p>
        </w:tc>
        <w:tc>
          <w:tcPr>
            <w:tcW w:w="24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2,095</w:t>
            </w: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10,212</w:t>
            </w:r>
          </w:p>
        </w:tc>
        <w:tc>
          <w:tcPr>
            <w:tcW w:w="2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7,391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Segment Information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currently has three operating segments, Group Mobile, FLI Charge and intellectual property, which accumulate revenue and expenses. Additionally, the Company allocates certain expenses to its non-operating corporate segment. The corporate segment represents general and administrative expenses as well as net non-operating income (expense) that are not specific to any of FORM’s operating segments, but represent expenses incurred on behalf of the parent company, a holding company.</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20" w:type="dxa"/>
            <w:vAlign w:val="bottom"/>
            <w:gridSpan w:val="6"/>
          </w:tcPr>
          <w:p>
            <w:pPr>
              <w:jc w:val="right"/>
              <w:ind w:right="180"/>
              <w:spacing w:after="0"/>
              <w:rPr>
                <w:sz w:val="20"/>
                <w:szCs w:val="20"/>
                <w:color w:val="auto"/>
              </w:rPr>
            </w:pPr>
            <w:r>
              <w:rPr>
                <w:rFonts w:ascii="Arial" w:cs="Arial" w:eastAsia="Arial" w:hAnsi="Arial"/>
                <w:sz w:val="18"/>
                <w:szCs w:val="18"/>
                <w:color w:val="auto"/>
                <w:w w:val="87"/>
              </w:rPr>
              <w:t>Three months ended September 30,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00" w:type="dxa"/>
            <w:vAlign w:val="bottom"/>
            <w:gridSpan w:val="7"/>
          </w:tcPr>
          <w:p>
            <w:pPr>
              <w:jc w:val="right"/>
              <w:ind w:right="220"/>
              <w:spacing w:after="0"/>
              <w:rPr>
                <w:sz w:val="20"/>
                <w:szCs w:val="20"/>
                <w:color w:val="auto"/>
              </w:rPr>
            </w:pPr>
            <w:r>
              <w:rPr>
                <w:rFonts w:ascii="Arial" w:cs="Arial" w:eastAsia="Arial" w:hAnsi="Arial"/>
                <w:sz w:val="18"/>
                <w:szCs w:val="18"/>
                <w:color w:val="auto"/>
                <w:w w:val="88"/>
              </w:rPr>
              <w:t>Nine months ended September 30,</w:t>
            </w:r>
          </w:p>
        </w:tc>
        <w:tc>
          <w:tcPr>
            <w:tcW w:w="0" w:type="dxa"/>
            <w:vAlign w:val="bottom"/>
          </w:tcPr>
          <w:p>
            <w:pPr>
              <w:spacing w:after="0"/>
              <w:rPr>
                <w:sz w:val="1"/>
                <w:szCs w:val="1"/>
                <w:color w:val="auto"/>
              </w:rPr>
            </w:pPr>
          </w:p>
        </w:tc>
      </w:tr>
      <w:tr>
        <w:trPr>
          <w:trHeight w:val="223"/>
        </w:trPr>
        <w:tc>
          <w:tcPr>
            <w:tcW w:w="56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Revenue</w:t>
            </w:r>
          </w:p>
        </w:tc>
        <w:tc>
          <w:tcPr>
            <w:tcW w:w="10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rPr>
              <w:t>2016</w:t>
            </w:r>
          </w:p>
        </w:tc>
        <w:tc>
          <w:tcPr>
            <w:tcW w:w="16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rPr>
              <w:t>2015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rPr>
              <w:t>2016</w:t>
            </w:r>
          </w:p>
        </w:tc>
        <w:tc>
          <w:tcPr>
            <w:tcW w:w="20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rPr>
              <w:t>2015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6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Group Mobile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1,751</w:t>
            </w:r>
          </w:p>
        </w:tc>
        <w:tc>
          <w:tcPr>
            <w:tcW w:w="1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5,478</w:t>
            </w:r>
          </w:p>
        </w:tc>
        <w:tc>
          <w:tcPr>
            <w:tcW w:w="28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w w:val="79"/>
              </w:rPr>
              <w:t>$</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FLI Charge</w:t>
            </w:r>
          </w:p>
        </w:tc>
        <w:tc>
          <w:tcPr>
            <w:tcW w:w="10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Intellectual property</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11,000</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6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revenue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3,105</w:t>
            </w:r>
          </w:p>
        </w:tc>
        <w:tc>
          <w:tcPr>
            <w:tcW w:w="16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16,511</w:t>
            </w:r>
          </w:p>
        </w:tc>
        <w:tc>
          <w:tcPr>
            <w:tcW w:w="2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b w:val="1"/>
                <w:bCs w:val="1"/>
                <w:color w:val="auto"/>
              </w:rPr>
              <w:t>Segment operating loss</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Group Mobile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(565)</w:t>
            </w:r>
          </w:p>
        </w:tc>
        <w:tc>
          <w:tcPr>
            <w:tcW w:w="3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(1,213)</w:t>
            </w:r>
          </w:p>
        </w:tc>
        <w:tc>
          <w:tcPr>
            <w:tcW w:w="28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w w:val="79"/>
              </w:rPr>
              <w:t>$</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FLI Charge</w:t>
            </w:r>
          </w:p>
        </w:tc>
        <w:tc>
          <w:tcPr>
            <w:tcW w:w="10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(414)</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(2,191)</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Intellectual property</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113</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(7,595)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(8,167)</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(17,627)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Corporate</w:t>
            </w:r>
          </w:p>
        </w:tc>
        <w:tc>
          <w:tcPr>
            <w:tcW w:w="100" w:type="dxa"/>
            <w:vAlign w:val="bottom"/>
          </w:tcPr>
          <w:p>
            <w:pPr>
              <w:spacing w:after="0"/>
              <w:rPr>
                <w:sz w:val="19"/>
                <w:szCs w:val="19"/>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(2,911)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(2,095)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(6,527)</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(7,391)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segment operating loss</w:t>
            </w:r>
          </w:p>
        </w:tc>
        <w:tc>
          <w:tcPr>
            <w:tcW w:w="1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(3,777)</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(9,690)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(18,098)</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(25,018)</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Corporate non-operating income (expense), net</w:t>
            </w: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(1,484)</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(2,181)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(1,925)</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(2,338)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b w:val="1"/>
                <w:bCs w:val="1"/>
                <w:color w:val="auto"/>
              </w:rPr>
              <w:t>Net loss</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(5,261</w:t>
            </w:r>
          </w:p>
        </w:tc>
        <w:tc>
          <w:tcPr>
            <w:tcW w:w="160" w:type="dxa"/>
            <w:vAlign w:val="bottom"/>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(11,871</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(20,023</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9"/>
                <w:szCs w:val="19"/>
                <w:color w:val="auto"/>
              </w:rPr>
            </w:pPr>
          </w:p>
        </w:tc>
        <w:tc>
          <w:tcPr>
            <w:tcW w:w="260" w:type="dxa"/>
            <w:vAlign w:val="bottom"/>
            <w:tcBorders>
              <w:top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(27,356</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w w:val="88"/>
              </w:rPr>
              <w:t>September 30,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ind w:left="20"/>
              <w:spacing w:after="0"/>
              <w:rPr>
                <w:sz w:val="20"/>
                <w:szCs w:val="20"/>
                <w:color w:val="auto"/>
              </w:rPr>
            </w:pPr>
            <w:r>
              <w:rPr>
                <w:rFonts w:ascii="Arial" w:cs="Arial" w:eastAsia="Arial" w:hAnsi="Arial"/>
                <w:sz w:val="18"/>
                <w:szCs w:val="18"/>
                <w:color w:val="auto"/>
              </w:rPr>
              <w:t>December 31,</w:t>
            </w:r>
          </w:p>
        </w:tc>
      </w:tr>
      <w:tr>
        <w:trPr>
          <w:trHeight w:val="230"/>
        </w:trPr>
        <w:tc>
          <w:tcPr>
            <w:tcW w:w="4200" w:type="dxa"/>
            <w:vAlign w:val="bottom"/>
            <w:tcBorders>
              <w:bottom w:val="single" w:sz="8" w:color="CCEEFF"/>
            </w:tcBorders>
          </w:tcPr>
          <w:p>
            <w:pPr>
              <w:spacing w:after="0"/>
              <w:rPr>
                <w:sz w:val="20"/>
                <w:szCs w:val="20"/>
                <w:color w:val="auto"/>
              </w:rPr>
            </w:pPr>
          </w:p>
        </w:tc>
        <w:tc>
          <w:tcPr>
            <w:tcW w:w="27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2016</w:t>
            </w:r>
          </w:p>
        </w:tc>
        <w:tc>
          <w:tcPr>
            <w:tcW w:w="2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2015</w:t>
            </w:r>
          </w:p>
        </w:tc>
        <w:tc>
          <w:tcPr>
            <w:tcW w:w="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r>
      <w:tr>
        <w:trPr>
          <w:trHeight w:val="210"/>
        </w:trPr>
        <w:tc>
          <w:tcPr>
            <w:tcW w:w="4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Group Mobile</w:t>
            </w:r>
          </w:p>
        </w:tc>
        <w:tc>
          <w:tcPr>
            <w:tcW w:w="2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6,635</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6,228</w:t>
            </w:r>
          </w:p>
        </w:tc>
        <w:tc>
          <w:tcPr>
            <w:tcW w:w="60" w:type="dxa"/>
            <w:vAlign w:val="bottom"/>
          </w:tcPr>
          <w:p>
            <w:pPr>
              <w:spacing w:after="0"/>
              <w:rPr>
                <w:sz w:val="18"/>
                <w:szCs w:val="18"/>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FLI Charge</w:t>
            </w:r>
          </w:p>
        </w:tc>
        <w:tc>
          <w:tcPr>
            <w:tcW w:w="2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1,684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1,583</w:t>
            </w:r>
          </w:p>
        </w:tc>
        <w:tc>
          <w:tcPr>
            <w:tcW w:w="60" w:type="dxa"/>
            <w:vAlign w:val="bottom"/>
            <w:shd w:val="clear" w:color="auto" w:fill="CCEEFF"/>
          </w:tcPr>
          <w:p>
            <w:pPr>
              <w:spacing w:after="0"/>
              <w:rPr>
                <w:sz w:val="18"/>
                <w:szCs w:val="18"/>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Intellectual property</w:t>
            </w:r>
          </w:p>
        </w:tc>
        <w:tc>
          <w:tcPr>
            <w:tcW w:w="2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2,485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17,528</w:t>
            </w:r>
          </w:p>
        </w:tc>
        <w:tc>
          <w:tcPr>
            <w:tcW w:w="60" w:type="dxa"/>
            <w:vAlign w:val="bottom"/>
          </w:tcPr>
          <w:p>
            <w:pPr>
              <w:spacing w:after="0"/>
              <w:rPr>
                <w:sz w:val="18"/>
                <w:szCs w:val="18"/>
                <w:color w:val="auto"/>
              </w:rPr>
            </w:pPr>
          </w:p>
        </w:tc>
      </w:tr>
      <w:tr>
        <w:trPr>
          <w:trHeight w:val="230"/>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Corporate</w:t>
            </w:r>
          </w:p>
        </w:tc>
        <w:tc>
          <w:tcPr>
            <w:tcW w:w="2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24,513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25,120</w:t>
            </w:r>
          </w:p>
        </w:tc>
        <w:tc>
          <w:tcPr>
            <w:tcW w:w="60" w:type="dxa"/>
            <w:vAlign w:val="bottom"/>
            <w:shd w:val="clear" w:color="auto" w:fill="CCEEFF"/>
          </w:tcPr>
          <w:p>
            <w:pPr>
              <w:spacing w:after="0"/>
              <w:rPr>
                <w:sz w:val="19"/>
                <w:szCs w:val="19"/>
                <w:color w:val="auto"/>
              </w:rPr>
            </w:pPr>
          </w:p>
        </w:tc>
      </w:tr>
      <w:tr>
        <w:trPr>
          <w:trHeight w:val="223"/>
        </w:trPr>
        <w:tc>
          <w:tcPr>
            <w:tcW w:w="420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27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35,317</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50,459</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42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ectPr>
          <w:pgSz w:w="11900" w:h="16838" w:orient="portrait"/>
          <w:cols w:equalWidth="0" w:num="1">
            <w:col w:w="11420"/>
          </w:cols>
          <w:pgMar w:left="240" w:top="908" w:right="239" w:bottom="0" w:gutter="0" w:footer="0" w:header="0"/>
        </w:sectPr>
      </w:pPr>
    </w:p>
    <w:bookmarkStart w:id="18" w:name="page19"/>
    <w:bookmarkEnd w:id="18"/>
    <w:p>
      <w:pPr>
        <w:spacing w:after="0"/>
        <w:rPr>
          <w:sz w:val="20"/>
          <w:szCs w:val="20"/>
          <w:color w:val="auto"/>
        </w:rPr>
      </w:pPr>
      <w:r>
        <w:rPr>
          <w:rFonts w:ascii="Arial" w:cs="Arial" w:eastAsia="Arial" w:hAnsi="Arial"/>
          <w:sz w:val="15"/>
          <w:szCs w:val="15"/>
          <w:color w:val="auto"/>
        </w:rPr>
        <w:t>The corporate segment’s assets are mainly comprised of cash and cash equivalents.</w:t>
      </w:r>
    </w:p>
    <w:p>
      <w:pPr>
        <w:sectPr>
          <w:pgSz w:w="11900" w:h="16838" w:orient="portrait"/>
          <w:cols w:equalWidth="0" w:num="1">
            <w:col w:w="10219"/>
          </w:cols>
          <w:pgMar w:left="240" w:top="341" w:right="1440" w:bottom="1440" w:gutter="0" w:footer="0" w:header="0"/>
        </w:sectPr>
      </w:pPr>
    </w:p>
    <w:p>
      <w:pPr>
        <w:spacing w:after="0" w:line="200" w:lineRule="exact"/>
        <w:rPr>
          <w:sz w:val="20"/>
          <w:szCs w:val="20"/>
          <w:color w:val="auto"/>
        </w:rPr>
      </w:pPr>
    </w:p>
    <w:p>
      <w:pPr>
        <w:spacing w:after="0" w:line="269" w:lineRule="exact"/>
        <w:rPr>
          <w:sz w:val="20"/>
          <w:szCs w:val="20"/>
          <w:color w:val="auto"/>
        </w:rPr>
      </w:pPr>
    </w:p>
    <w:p>
      <w:pPr>
        <w:ind w:left="5580"/>
        <w:spacing w:after="0"/>
        <w:rPr>
          <w:sz w:val="20"/>
          <w:szCs w:val="20"/>
          <w:color w:val="auto"/>
        </w:rPr>
      </w:pPr>
      <w:r>
        <w:rPr>
          <w:rFonts w:ascii="Arial" w:cs="Arial" w:eastAsia="Arial" w:hAnsi="Arial"/>
          <w:sz w:val="19"/>
          <w:szCs w:val="19"/>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341" w:right="1440"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Note 8. Senior Secured Notes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December 31, 2015, total outstanding principal was $4,206. Between January 1, 2016 and March 9, 2016, the Company made two principal payments in the aggregate amount of $1,190. The Company elected to make these principal payments in shares of the Company’s common stock, which are issued at a 15% discount to the market price data. As such, the Company issued 1,032,332 shares in lieu of principal payments and recorded $210 as extinguishment of debt expense in the condensed consolidated statements of operations.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March 9, 2016, the Company and the Investors entered into the Exchange Note Agreement. Pursuant to the Exchange Note Agreement, the Company issued to the Investors an aggregate of 703,644 shares of its common stock in exchange for the reduction of $1,267 of the outstanding aggregate principal amount of the Notes and $49 of accrued interest. As a result, the outstanding aggregate principal amount under the Notes was reduced from $3,016 to $1,749 as of March 9, 2016.</w:t>
      </w:r>
    </w:p>
    <w:p>
      <w:pPr>
        <w:spacing w:after="0" w:line="18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addition, on March 9, 2016, the Company, with the consent of each of the Investors, agreed to amend the Notes. Pursuant to the Amended Notes and the Indenture dated May 4, 2015, as supplemented by a First Supplemental Indenture dated May 4, 2015 and further supplemented by the Second Supplemental Indenture dated March 9, 2016: (i) the Amended Notes are no longer convertible into shares of the Company’s common stock and will be payable by the Company on the Maturity Date in cash only, (ii) the Maturity Date of the Amended Notes will extend to June 30, 2017, (iii) the Company will discontinue the payment of principal prior to the Maturity Date (subject to certain exceptions), (iv) the interest rate increased from 8% to 10% per annum and will accrue on the outstanding aggregate principal amount of the Amended Notes, payable monthly, and (v) the Company will pay to the Investors on the Maturity Date 102% of the outstanding aggregate principal amount of the Amended Notes. The Company also agreed to maintain a cash balance (including cash equivalents) of not less than $2,900.</w:t>
      </w:r>
    </w:p>
    <w:p>
      <w:pPr>
        <w:spacing w:after="0" w:line="19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the Company agreed to reduce the exercise price of the May 2015 Warrants from $10.00 to $3.00 per share and the parties also agreed to remove from the May 2015 Warrants certain anti-dilution features. Other terms of the May 2015 Warrants remained the same. Furthermore, in connection with the Amended Notes, the Company paid a restructuring fee of $50 to the Investors.</w:t>
      </w:r>
    </w:p>
    <w:p>
      <w:pPr>
        <w:spacing w:after="0" w:line="390"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0" w:name="page21"/>
    <w:bookmarkEnd w:id="20"/>
    <w:p>
      <w:pPr>
        <w:jc w:val="both"/>
        <w:spacing w:after="0" w:line="259" w:lineRule="auto"/>
        <w:rPr>
          <w:sz w:val="20"/>
          <w:szCs w:val="20"/>
          <w:color w:val="auto"/>
        </w:rPr>
      </w:pPr>
      <w:r>
        <w:rPr>
          <w:rFonts w:ascii="Arial" w:cs="Arial" w:eastAsia="Arial" w:hAnsi="Arial"/>
          <w:sz w:val="18"/>
          <w:szCs w:val="18"/>
          <w:color w:val="auto"/>
        </w:rPr>
        <w:t>On July 1, 2016, the Company repaid in full its Amended Notes that were due on June 30, 2017. As required by the terms of the Amended Notes, notice of repayment was delivered to the Investors on June 30, 2016. The Company repaid the Amended Notes in full, including a 15% fee for early repayment. The Company used an aggregate of $2,011 of cash on hand for repayment of the Amended Notes. As a result of the repayment in full of the Amended Notes, all liens on the Company’s assets, including its intellectual property, were released by the Investors.</w:t>
      </w:r>
    </w:p>
    <w:p>
      <w:pPr>
        <w:sectPr>
          <w:pgSz w:w="11900" w:h="16838" w:orient="portrait"/>
          <w:cols w:equalWidth="0" w:num="1">
            <w:col w:w="11420"/>
          </w:cols>
          <w:pgMar w:left="240" w:top="908" w:right="239" w:bottom="1440" w:gutter="0" w:footer="0" w:header="0"/>
        </w:sectPr>
      </w:pP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summarizes changes in the book value of the Notes from December 31, 2015 to September 30, 2016:</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Book value as of December 31, 2015 (net of unamortized portion of debt issuance costs of $73)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Debt repayments in January and February 2016</w:t>
      </w:r>
    </w:p>
    <w:p>
      <w:pPr>
        <w:spacing w:after="0" w:line="9" w:lineRule="exact"/>
        <w:rPr>
          <w:sz w:val="20"/>
          <w:szCs w:val="20"/>
          <w:color w:val="auto"/>
        </w:rPr>
      </w:pPr>
    </w:p>
    <w:p>
      <w:pPr>
        <w:ind w:right="3360"/>
        <w:spacing w:after="0" w:line="341" w:lineRule="auto"/>
        <w:rPr>
          <w:sz w:val="20"/>
          <w:szCs w:val="20"/>
          <w:color w:val="auto"/>
        </w:rPr>
      </w:pPr>
      <w:r>
        <w:rPr>
          <w:rFonts w:ascii="Arial" w:cs="Arial" w:eastAsia="Arial" w:hAnsi="Arial"/>
          <w:sz w:val="16"/>
          <w:szCs w:val="16"/>
          <w:color w:val="auto"/>
        </w:rPr>
        <w:t>Amortization of debt discount and debt issuance costs, included in interest expense Book value of Notes before the Exchange Note Agreement on March 9,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246620" cy="146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-40005</wp:posOffset>
            </wp:positionV>
            <wp:extent cx="7246620" cy="146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Fair value of the considerations provided to the Investors, including:</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Increase in fair value of May 2015 Warrants due to reduced exercise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260"/>
        <w:spacing w:after="0"/>
        <w:rPr>
          <w:sz w:val="20"/>
          <w:szCs w:val="20"/>
          <w:color w:val="auto"/>
        </w:rPr>
      </w:pPr>
      <w:r>
        <w:rPr>
          <w:rFonts w:ascii="Arial" w:cs="Arial" w:eastAsia="Arial" w:hAnsi="Arial"/>
          <w:sz w:val="18"/>
          <w:szCs w:val="18"/>
          <w:color w:val="auto"/>
        </w:rPr>
        <w:t>Repayment of Notes in shares of common stock</w:t>
      </w:r>
    </w:p>
    <w:p>
      <w:pPr>
        <w:spacing w:after="0" w:line="9" w:lineRule="exact"/>
        <w:rPr>
          <w:sz w:val="20"/>
          <w:szCs w:val="20"/>
          <w:color w:val="auto"/>
        </w:rPr>
      </w:pPr>
    </w:p>
    <w:p>
      <w:pPr>
        <w:ind w:left="260" w:right="2960"/>
        <w:spacing w:after="0" w:line="250" w:lineRule="auto"/>
        <w:rPr>
          <w:sz w:val="20"/>
          <w:szCs w:val="20"/>
          <w:color w:val="auto"/>
        </w:rPr>
      </w:pPr>
      <w:r>
        <w:rPr>
          <w:rFonts w:ascii="Arial" w:cs="Arial" w:eastAsia="Arial" w:hAnsi="Arial"/>
          <w:sz w:val="18"/>
          <w:szCs w:val="18"/>
          <w:color w:val="auto"/>
        </w:rPr>
        <w:t>Repayment of $1,267 of Notes in shares of common stock at a discount to the market Restructuring fee paid to the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2466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Total fair value of the considerations provided to the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46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Book value of Amended Notes after the Exchange Note Agreement on March 9,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Amortization of debt discount and debt issuance costs, included in interest expense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Early repayment fee of 15% of outstanding principal of $1,749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Repayment of Amended Notes in full on July 1, 2016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Book value of Amended Notes as of September 30,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631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Fair Value Measurements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9" w:lineRule="exact"/>
        <w:rPr>
          <w:sz w:val="20"/>
          <w:szCs w:val="20"/>
          <w:color w:val="auto"/>
        </w:rPr>
      </w:pPr>
    </w:p>
    <w:p>
      <w:pPr>
        <w:ind w:left="860" w:hanging="851"/>
        <w:spacing w:after="0"/>
        <w:tabs>
          <w:tab w:leader="none" w:pos="860" w:val="left"/>
        </w:tabs>
        <w:numPr>
          <w:ilvl w:val="0"/>
          <w:numId w:val="7"/>
        </w:numPr>
        <w:rPr>
          <w:rFonts w:ascii="Arial" w:cs="Arial" w:eastAsia="Arial" w:hAnsi="Arial"/>
          <w:sz w:val="18"/>
          <w:szCs w:val="18"/>
          <w:color w:val="auto"/>
        </w:rPr>
      </w:pPr>
      <w:r>
        <w:rPr>
          <w:rFonts w:ascii="Arial" w:cs="Arial" w:eastAsia="Arial" w:hAnsi="Arial"/>
          <w:sz w:val="18"/>
          <w:szCs w:val="18"/>
          <w:color w:val="auto"/>
        </w:rPr>
        <w:t>3,111</w:t>
      </w:r>
    </w:p>
    <w:p>
      <w:pPr>
        <w:spacing w:after="0" w:line="23" w:lineRule="exact"/>
        <w:rPr>
          <w:rFonts w:ascii="Arial" w:cs="Arial" w:eastAsia="Arial" w:hAnsi="Arial"/>
          <w:sz w:val="18"/>
          <w:szCs w:val="18"/>
          <w:color w:val="auto"/>
        </w:rPr>
      </w:pPr>
    </w:p>
    <w:p>
      <w:pPr>
        <w:ind w:left="780"/>
        <w:spacing w:after="0"/>
        <w:rPr>
          <w:rFonts w:ascii="Arial" w:cs="Arial" w:eastAsia="Arial" w:hAnsi="Arial"/>
          <w:sz w:val="18"/>
          <w:szCs w:val="18"/>
          <w:color w:val="auto"/>
        </w:rPr>
      </w:pPr>
      <w:r>
        <w:rPr>
          <w:rFonts w:ascii="Arial" w:cs="Arial" w:eastAsia="Arial" w:hAnsi="Arial"/>
          <w:sz w:val="17"/>
          <w:szCs w:val="17"/>
          <w:color w:val="auto"/>
        </w:rPr>
        <w:t>(1,190)</w:t>
      </w:r>
    </w:p>
    <w:p>
      <w:pPr>
        <w:spacing w:after="0" w:line="20"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356</w:t>
      </w:r>
    </w:p>
    <w:p>
      <w:pPr>
        <w:spacing w:after="0" w:line="22" w:lineRule="exact"/>
        <w:rPr>
          <w:rFonts w:ascii="Arial" w:cs="Arial" w:eastAsia="Arial" w:hAnsi="Arial"/>
          <w:sz w:val="18"/>
          <w:szCs w:val="18"/>
          <w:color w:val="auto"/>
        </w:rPr>
      </w:pPr>
    </w:p>
    <w:p>
      <w:pPr>
        <w:ind w:left="840"/>
        <w:spacing w:after="0"/>
        <w:rPr>
          <w:rFonts w:ascii="Arial" w:cs="Arial" w:eastAsia="Arial" w:hAnsi="Arial"/>
          <w:sz w:val="18"/>
          <w:szCs w:val="18"/>
          <w:color w:val="auto"/>
        </w:rPr>
      </w:pPr>
      <w:r>
        <w:rPr>
          <w:rFonts w:ascii="Arial" w:cs="Arial" w:eastAsia="Arial" w:hAnsi="Arial"/>
          <w:sz w:val="18"/>
          <w:szCs w:val="18"/>
          <w:color w:val="auto"/>
        </w:rPr>
        <w:t>2,277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-130810</wp:posOffset>
            </wp:positionV>
            <wp:extent cx="78867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281</w:t>
      </w:r>
    </w:p>
    <w:p>
      <w:pPr>
        <w:spacing w:after="0" w:line="2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1,267</w:t>
      </w:r>
    </w:p>
    <w:p>
      <w:pPr>
        <w:spacing w:after="0" w:line="9"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183</w:t>
      </w:r>
    </w:p>
    <w:p>
      <w:pPr>
        <w:spacing w:after="0" w:line="9"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50</w:t>
      </w:r>
    </w:p>
    <w:p>
      <w:pPr>
        <w:spacing w:after="0" w:line="2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1,781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78867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spacing w:after="0" w:line="218"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496</w:t>
      </w:r>
    </w:p>
    <w:p>
      <w:pPr>
        <w:spacing w:after="0" w:line="2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1,253</w:t>
      </w:r>
    </w:p>
    <w:p>
      <w:pPr>
        <w:spacing w:after="0" w:line="9"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262</w:t>
      </w:r>
    </w:p>
    <w:p>
      <w:pPr>
        <w:spacing w:after="0" w:line="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(2,011)</w:t>
      </w:r>
    </w:p>
    <w:p>
      <w:pPr>
        <w:spacing w:after="0" w:line="35" w:lineRule="exact"/>
        <w:rPr>
          <w:sz w:val="20"/>
          <w:szCs w:val="20"/>
          <w:color w:val="auto"/>
        </w:rPr>
      </w:pPr>
    </w:p>
    <w:p>
      <w:pPr>
        <w:ind w:left="1080" w:hanging="1071"/>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31750</wp:posOffset>
            </wp:positionV>
            <wp:extent cx="78867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spacing w:after="0" w:line="668" w:lineRule="exact"/>
        <w:rPr>
          <w:sz w:val="20"/>
          <w:szCs w:val="20"/>
          <w:color w:val="auto"/>
        </w:rPr>
      </w:pPr>
    </w:p>
    <w:p>
      <w:pPr>
        <w:sectPr>
          <w:pgSz w:w="11900" w:h="16838" w:orient="portrait"/>
          <w:cols w:equalWidth="0" w:num="2">
            <w:col w:w="9340" w:space="720"/>
            <w:col w:w="1360"/>
          </w:cols>
          <w:pgMar w:left="240" w:top="908" w:right="239" w:bottom="1440" w:gutter="0" w:footer="0" w:header="0"/>
          <w:type w:val="continuous"/>
        </w:sectPr>
      </w:pP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placement in the fair value hierarchy of liabilities measured at fair value on a recurring basis as of September 30, 2016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2015:</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0" w:type="dxa"/>
            <w:vAlign w:val="bottom"/>
            <w:gridSpan w:val="10"/>
          </w:tcPr>
          <w:p>
            <w:pPr>
              <w:jc w:val="center"/>
              <w:ind w:right="200"/>
              <w:spacing w:after="0"/>
              <w:rPr>
                <w:sz w:val="20"/>
                <w:szCs w:val="20"/>
                <w:color w:val="auto"/>
              </w:rPr>
            </w:pPr>
            <w:r>
              <w:rPr>
                <w:rFonts w:ascii="Arial" w:cs="Arial" w:eastAsia="Arial" w:hAnsi="Arial"/>
                <w:sz w:val="18"/>
                <w:szCs w:val="18"/>
                <w:color w:val="auto"/>
                <w:w w:val="89"/>
              </w:rPr>
              <w:t>Fair value measurement at reporting date using</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6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Borders>
              <w:top w:val="single" w:sz="8" w:color="auto"/>
            </w:tcBorders>
            <w:gridSpan w:val="3"/>
          </w:tcPr>
          <w:p>
            <w:pPr>
              <w:jc w:val="center"/>
              <w:ind w:right="100"/>
              <w:spacing w:after="0" w:line="195" w:lineRule="exact"/>
              <w:rPr>
                <w:sz w:val="20"/>
                <w:szCs w:val="20"/>
                <w:color w:val="auto"/>
              </w:rPr>
            </w:pPr>
            <w:r>
              <w:rPr>
                <w:rFonts w:ascii="Arial" w:cs="Arial" w:eastAsia="Arial" w:hAnsi="Arial"/>
                <w:sz w:val="18"/>
                <w:szCs w:val="18"/>
                <w:color w:val="auto"/>
                <w:w w:val="91"/>
              </w:rPr>
              <w:t>Quoted prices in</w:t>
            </w:r>
          </w:p>
        </w:tc>
        <w:tc>
          <w:tcPr>
            <w:tcW w:w="1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active markets</w:t>
            </w:r>
          </w:p>
        </w:tc>
        <w:tc>
          <w:tcPr>
            <w:tcW w:w="120" w:type="dxa"/>
            <w:vAlign w:val="bottom"/>
          </w:tcPr>
          <w:p>
            <w:pPr>
              <w:spacing w:after="0"/>
              <w:rPr>
                <w:sz w:val="18"/>
                <w:szCs w:val="18"/>
                <w:color w:val="auto"/>
              </w:rPr>
            </w:pPr>
          </w:p>
        </w:tc>
        <w:tc>
          <w:tcPr>
            <w:tcW w:w="1340" w:type="dxa"/>
            <w:vAlign w:val="bottom"/>
            <w:gridSpan w:val="3"/>
          </w:tcPr>
          <w:p>
            <w:pPr>
              <w:spacing w:after="0"/>
              <w:rPr>
                <w:sz w:val="20"/>
                <w:szCs w:val="20"/>
                <w:color w:val="auto"/>
              </w:rPr>
            </w:pPr>
            <w:r>
              <w:rPr>
                <w:rFonts w:ascii="Arial" w:cs="Arial" w:eastAsia="Arial" w:hAnsi="Arial"/>
                <w:sz w:val="18"/>
                <w:szCs w:val="18"/>
                <w:color w:val="auto"/>
              </w:rPr>
              <w:t>Significant other</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Significant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for identical</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observable</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unobservable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Balance</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3"/>
          </w:tcPr>
          <w:p>
            <w:pPr>
              <w:jc w:val="center"/>
              <w:ind w:right="100"/>
              <w:spacing w:after="0"/>
              <w:rPr>
                <w:sz w:val="20"/>
                <w:szCs w:val="20"/>
                <w:color w:val="auto"/>
              </w:rPr>
            </w:pPr>
            <w:r>
              <w:rPr>
                <w:rFonts w:ascii="Arial" w:cs="Arial" w:eastAsia="Arial" w:hAnsi="Arial"/>
                <w:sz w:val="18"/>
                <w:szCs w:val="18"/>
                <w:color w:val="auto"/>
                <w:w w:val="88"/>
              </w:rPr>
              <w:t>assets (Level 1)</w:t>
            </w:r>
          </w:p>
        </w:tc>
        <w:tc>
          <w:tcPr>
            <w:tcW w:w="120" w:type="dxa"/>
            <w:vAlign w:val="bottom"/>
          </w:tcPr>
          <w:p>
            <w:pPr>
              <w:spacing w:after="0"/>
              <w:rPr>
                <w:sz w:val="20"/>
                <w:szCs w:val="20"/>
                <w:color w:val="auto"/>
              </w:rPr>
            </w:pPr>
          </w:p>
        </w:tc>
        <w:tc>
          <w:tcPr>
            <w:tcW w:w="1340" w:type="dxa"/>
            <w:vAlign w:val="bottom"/>
            <w:gridSpan w:val="3"/>
          </w:tcPr>
          <w:p>
            <w:pPr>
              <w:jc w:val="center"/>
              <w:ind w:right="120"/>
              <w:spacing w:after="0"/>
              <w:rPr>
                <w:sz w:val="20"/>
                <w:szCs w:val="20"/>
                <w:color w:val="auto"/>
              </w:rPr>
            </w:pPr>
            <w:r>
              <w:rPr>
                <w:rFonts w:ascii="Arial" w:cs="Arial" w:eastAsia="Arial" w:hAnsi="Arial"/>
                <w:sz w:val="18"/>
                <w:szCs w:val="18"/>
                <w:color w:val="auto"/>
                <w:w w:val="92"/>
              </w:rPr>
              <w:t>inputs (Level 2)</w:t>
            </w:r>
          </w:p>
        </w:tc>
        <w:tc>
          <w:tcPr>
            <w:tcW w:w="100" w:type="dxa"/>
            <w:vAlign w:val="bottom"/>
          </w:tcPr>
          <w:p>
            <w:pPr>
              <w:spacing w:after="0"/>
              <w:rPr>
                <w:sz w:val="20"/>
                <w:szCs w:val="20"/>
                <w:color w:val="auto"/>
              </w:rPr>
            </w:pPr>
          </w:p>
        </w:tc>
        <w:tc>
          <w:tcPr>
            <w:tcW w:w="1360" w:type="dxa"/>
            <w:vAlign w:val="bottom"/>
            <w:gridSpan w:val="3"/>
          </w:tcPr>
          <w:p>
            <w:pPr>
              <w:jc w:val="center"/>
              <w:ind w:right="100"/>
              <w:spacing w:after="0"/>
              <w:rPr>
                <w:sz w:val="20"/>
                <w:szCs w:val="20"/>
                <w:color w:val="auto"/>
              </w:rPr>
            </w:pPr>
            <w:r>
              <w:rPr>
                <w:rFonts w:ascii="Arial" w:cs="Arial" w:eastAsia="Arial" w:hAnsi="Arial"/>
                <w:sz w:val="18"/>
                <w:szCs w:val="18"/>
                <w:color w:val="auto"/>
                <w:w w:val="92"/>
              </w:rPr>
              <w:t>inputs (Level 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September 30, 2016:</w:t>
            </w:r>
          </w:p>
        </w:tc>
        <w:tc>
          <w:tcPr>
            <w:tcW w:w="9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May 2015 Warrants</w:t>
            </w:r>
          </w:p>
        </w:tc>
        <w:tc>
          <w:tcPr>
            <w:tcW w:w="960" w:type="dxa"/>
            <w:vAlign w:val="bottom"/>
          </w:tcPr>
          <w:p>
            <w:pPr>
              <w:jc w:val="right"/>
              <w:ind w:right="801"/>
              <w:spacing w:after="0"/>
              <w:rPr>
                <w:sz w:val="20"/>
                <w:szCs w:val="20"/>
                <w:color w:val="auto"/>
              </w:rPr>
            </w:pPr>
            <w:r>
              <w:rPr>
                <w:rFonts w:ascii="Arial" w:cs="Arial" w:eastAsia="Arial" w:hAnsi="Arial"/>
                <w:sz w:val="15"/>
                <w:szCs w:val="15"/>
                <w:color w:val="auto"/>
                <w:w w:val="71"/>
              </w:rPr>
              <w:t>$</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601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601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December 31, 2015:</w:t>
            </w: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May 2015 Warrants</w:t>
            </w:r>
          </w:p>
        </w:tc>
        <w:tc>
          <w:tcPr>
            <w:tcW w:w="960" w:type="dxa"/>
            <w:vAlign w:val="bottom"/>
            <w:shd w:val="clear" w:color="auto" w:fill="CCEEFF"/>
          </w:tcPr>
          <w:p>
            <w:pPr>
              <w:jc w:val="right"/>
              <w:ind w:right="801"/>
              <w:spacing w:after="0"/>
              <w:rPr>
                <w:sz w:val="20"/>
                <w:szCs w:val="20"/>
                <w:color w:val="auto"/>
              </w:rPr>
            </w:pPr>
            <w:r>
              <w:rPr>
                <w:rFonts w:ascii="Arial" w:cs="Arial" w:eastAsia="Arial" w:hAnsi="Arial"/>
                <w:sz w:val="15"/>
                <w:szCs w:val="15"/>
                <w:color w:val="auto"/>
                <w:w w:val="71"/>
              </w:rPr>
              <w:t>$</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416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Conversion feature</w:t>
            </w:r>
          </w:p>
        </w:tc>
        <w:tc>
          <w:tcPr>
            <w:tcW w:w="960" w:type="dxa"/>
            <w:vAlign w:val="bottom"/>
          </w:tcPr>
          <w:p>
            <w:pPr>
              <w:jc w:val="right"/>
              <w:ind w:right="801"/>
              <w:spacing w:after="0"/>
              <w:rPr>
                <w:sz w:val="20"/>
                <w:szCs w:val="20"/>
                <w:color w:val="auto"/>
              </w:rPr>
            </w:pPr>
            <w:r>
              <w:rPr>
                <w:rFonts w:ascii="Arial" w:cs="Arial" w:eastAsia="Arial" w:hAnsi="Arial"/>
                <w:sz w:val="15"/>
                <w:szCs w:val="15"/>
                <w:color w:val="auto"/>
                <w:w w:val="71"/>
              </w:rPr>
              <w:t>$</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measures its derivative liabilities at fair value. The May 2015 Warrants were classified within Level 3 because they were valued using the Black-Scholes-Merton model, which utilizes significant inputs that are unobservable in the market. They are recorded as derivative warrant liabilities as they are freestanding instruments and there are several features within the warrants that may require the Company to cash settle or partially cash settle. In particular, the Company may have to cash settle, partially cash settle, or make cash payments to the Investors including cash settlement upon exercise when insufficient shares are authorized to be issued, and that the Company is obligated to issue registered shares when the warrants are exercised. The derivative warrant liabilities are initially measured at fair value and marked to market at each balance sheet date.</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to the above, the Company’s financial instruments as of September 30, 2016 and December 31, 2015 consisted of cash, cash equivalents, receivables, accounts payable, deposits and Notes. The carrying amounts of all the aforementioned financial instruments approximate fair value because of the short-term maturities of these instruments.</w:t>
      </w:r>
    </w:p>
    <w:p>
      <w:pPr>
        <w:spacing w:after="0" w:line="390"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type w:val="continuous"/>
        </w:sectPr>
      </w:pPr>
    </w:p>
    <w:bookmarkStart w:id="21" w:name="page22"/>
    <w:bookmarkEnd w:id="21"/>
    <w:p>
      <w:pPr>
        <w:jc w:val="both"/>
        <w:ind w:right="20"/>
        <w:spacing w:after="0" w:line="277" w:lineRule="auto"/>
        <w:rPr>
          <w:sz w:val="20"/>
          <w:szCs w:val="20"/>
          <w:color w:val="auto"/>
        </w:rPr>
      </w:pPr>
      <w:r>
        <w:rPr>
          <w:rFonts w:ascii="Arial" w:cs="Arial" w:eastAsia="Arial" w:hAnsi="Arial"/>
          <w:sz w:val="18"/>
          <w:szCs w:val="18"/>
          <w:color w:val="auto"/>
        </w:rPr>
        <w:t>The following table summarizes the changes in the Company’s liabilities measured at fair value using significant unobservable inputs (Level 3) during the nine-month period ended September 30, 2016:</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May 2015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w w:val="96"/>
              </w:rPr>
              <w:t>Conversion</w:t>
            </w:r>
          </w:p>
        </w:tc>
      </w:tr>
      <w:tr>
        <w:trPr>
          <w:trHeight w:val="230"/>
        </w:trPr>
        <w:tc>
          <w:tcPr>
            <w:tcW w:w="6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right"/>
              <w:ind w:right="500"/>
              <w:spacing w:after="0"/>
              <w:rPr>
                <w:sz w:val="20"/>
                <w:szCs w:val="20"/>
                <w:color w:val="auto"/>
              </w:rPr>
            </w:pPr>
            <w:r>
              <w:rPr>
                <w:rFonts w:ascii="Arial" w:cs="Arial" w:eastAsia="Arial" w:hAnsi="Arial"/>
                <w:sz w:val="18"/>
                <w:szCs w:val="18"/>
                <w:color w:val="auto"/>
              </w:rPr>
              <w:t>Warrants</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8"/>
                <w:szCs w:val="18"/>
                <w:color w:val="auto"/>
              </w:rPr>
              <w:t>feature</w:t>
            </w:r>
          </w:p>
        </w:tc>
      </w:tr>
      <w:tr>
        <w:trPr>
          <w:trHeight w:val="210"/>
        </w:trPr>
        <w:tc>
          <w:tcPr>
            <w:tcW w:w="6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December 31, 2015</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Decrease in fair value of the warrants and conversion feature</w:t>
            </w:r>
          </w:p>
        </w:tc>
        <w:tc>
          <w:tcPr>
            <w:tcW w:w="18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(96)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r>
      <w:tr>
        <w:trPr>
          <w:trHeight w:val="230"/>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Increase in fair value as a result of debt modification</w:t>
            </w:r>
          </w:p>
        </w:tc>
        <w:tc>
          <w:tcPr>
            <w:tcW w:w="1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281</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23"/>
        </w:trPr>
        <w:tc>
          <w:tcPr>
            <w:tcW w:w="6900" w:type="dxa"/>
            <w:vAlign w:val="bottom"/>
          </w:tcPr>
          <w:p>
            <w:pPr>
              <w:spacing w:after="0"/>
              <w:rPr>
                <w:sz w:val="20"/>
                <w:szCs w:val="20"/>
                <w:color w:val="auto"/>
              </w:rPr>
            </w:pPr>
            <w:r>
              <w:rPr>
                <w:rFonts w:ascii="Arial" w:cs="Arial" w:eastAsia="Arial" w:hAnsi="Arial"/>
                <w:sz w:val="18"/>
                <w:szCs w:val="18"/>
                <w:color w:val="auto"/>
              </w:rPr>
              <w:t>September 30, 2016</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601</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r>
      <w:tr>
        <w:trPr>
          <w:trHeight w:val="20"/>
        </w:trPr>
        <w:tc>
          <w:tcPr>
            <w:tcW w:w="6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processes for Level 3 Fair Value Measurements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Fair value measurement of the derivative warrant liabilities falls within Level 3 of the fair value hierarchy. The fair value measurements are evaluated by management to ensure that changes are consistent with expectations of management based upon the sensitivity and nature of the inputs.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80" w:type="dxa"/>
            <w:vAlign w:val="bottom"/>
          </w:tcPr>
          <w:p>
            <w:pPr>
              <w:spacing w:after="0"/>
              <w:rPr>
                <w:sz w:val="20"/>
                <w:szCs w:val="20"/>
                <w:color w:val="auto"/>
              </w:rPr>
            </w:pPr>
            <w:r>
              <w:rPr>
                <w:rFonts w:ascii="Arial" w:cs="Arial" w:eastAsia="Arial" w:hAnsi="Arial"/>
                <w:sz w:val="18"/>
                <w:szCs w:val="18"/>
                <w:color w:val="auto"/>
              </w:rPr>
              <w:t>September 30, 2016:</w:t>
            </w:r>
          </w:p>
        </w:tc>
        <w:tc>
          <w:tcPr>
            <w:tcW w:w="10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46"/>
        </w:trPr>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Description</w:t>
            </w:r>
          </w:p>
        </w:tc>
        <w:tc>
          <w:tcPr>
            <w:tcW w:w="100" w:type="dxa"/>
            <w:vAlign w:val="bottom"/>
            <w:tcBorders>
              <w:bottom w:val="single" w:sz="8" w:color="CCEEFF"/>
            </w:tcBorders>
          </w:tcPr>
          <w:p>
            <w:pPr>
              <w:spacing w:after="0"/>
              <w:rPr>
                <w:sz w:val="24"/>
                <w:szCs w:val="24"/>
                <w:color w:val="auto"/>
              </w:rPr>
            </w:pPr>
          </w:p>
        </w:tc>
        <w:tc>
          <w:tcPr>
            <w:tcW w:w="29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Valuation technique</w:t>
            </w:r>
          </w:p>
        </w:tc>
        <w:tc>
          <w:tcPr>
            <w:tcW w:w="100" w:type="dxa"/>
            <w:vAlign w:val="bottom"/>
            <w:tcBorders>
              <w:bottom w:val="single" w:sz="8" w:color="CCEEFF"/>
            </w:tcBorders>
          </w:tcPr>
          <w:p>
            <w:pPr>
              <w:spacing w:after="0"/>
              <w:rPr>
                <w:sz w:val="24"/>
                <w:szCs w:val="24"/>
                <w:color w:val="auto"/>
              </w:rPr>
            </w:pPr>
          </w:p>
        </w:tc>
        <w:tc>
          <w:tcPr>
            <w:tcW w:w="29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Unobservable inputs</w:t>
            </w:r>
          </w:p>
        </w:tc>
        <w:tc>
          <w:tcPr>
            <w:tcW w:w="120" w:type="dxa"/>
            <w:vAlign w:val="bottom"/>
            <w:tcBorders>
              <w:bottom w:val="single" w:sz="8" w:color="CCEEFF"/>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Range</w:t>
            </w:r>
          </w:p>
        </w:tc>
        <w:tc>
          <w:tcPr>
            <w:tcW w:w="160" w:type="dxa"/>
            <w:vAlign w:val="bottom"/>
            <w:tcBorders>
              <w:bottom w:val="single" w:sz="8" w:color="CCEEFF"/>
            </w:tcBorders>
          </w:tcPr>
          <w:p>
            <w:pPr>
              <w:spacing w:after="0"/>
              <w:rPr>
                <w:sz w:val="24"/>
                <w:szCs w:val="24"/>
                <w:color w:val="auto"/>
              </w:rPr>
            </w:pPr>
          </w:p>
        </w:tc>
      </w:tr>
      <w:tr>
        <w:trPr>
          <w:trHeight w:val="210"/>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May 2015 Warrants</w:t>
            </w:r>
          </w:p>
        </w:tc>
        <w:tc>
          <w:tcPr>
            <w:tcW w:w="100" w:type="dxa"/>
            <w:vAlign w:val="bottom"/>
            <w:shd w:val="clear" w:color="auto" w:fill="CCEEFF"/>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Black-Scholes-Merton</w:t>
            </w:r>
          </w:p>
        </w:tc>
        <w:tc>
          <w:tcPr>
            <w:tcW w:w="100" w:type="dxa"/>
            <w:vAlign w:val="bottom"/>
            <w:shd w:val="clear" w:color="auto" w:fill="CCEEFF"/>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60.78%</w:t>
            </w:r>
          </w:p>
        </w:tc>
      </w:tr>
      <w:tr>
        <w:trPr>
          <w:trHeight w:val="216"/>
        </w:trPr>
        <w:tc>
          <w:tcPr>
            <w:tcW w:w="3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Risk-free interest rate</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1.04%</w:t>
            </w:r>
          </w:p>
        </w:tc>
      </w:tr>
      <w:tr>
        <w:trPr>
          <w:trHeight w:val="216"/>
        </w:trPr>
        <w:tc>
          <w:tcPr>
            <w:tcW w:w="3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3.59</w:t>
            </w:r>
          </w:p>
        </w:tc>
      </w:tr>
      <w:tr>
        <w:trPr>
          <w:trHeight w:val="230"/>
        </w:trPr>
        <w:tc>
          <w:tcPr>
            <w:tcW w:w="3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Dividend yield</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0.00%</w:t>
            </w:r>
          </w:p>
        </w:tc>
      </w:tr>
      <w:tr>
        <w:trPr>
          <w:trHeight w:val="418"/>
        </w:trPr>
        <w:tc>
          <w:tcPr>
            <w:tcW w:w="3780" w:type="dxa"/>
            <w:vAlign w:val="bottom"/>
          </w:tcPr>
          <w:p>
            <w:pPr>
              <w:spacing w:after="0"/>
              <w:rPr>
                <w:sz w:val="20"/>
                <w:szCs w:val="20"/>
                <w:color w:val="auto"/>
              </w:rPr>
            </w:pPr>
            <w:r>
              <w:rPr>
                <w:rFonts w:ascii="Arial" w:cs="Arial" w:eastAsia="Arial" w:hAnsi="Arial"/>
                <w:sz w:val="18"/>
                <w:szCs w:val="18"/>
                <w:color w:val="auto"/>
              </w:rPr>
              <w:t>December 31, 2015:</w:t>
            </w:r>
          </w:p>
        </w:tc>
        <w:tc>
          <w:tcPr>
            <w:tcW w:w="10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8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c>
          <w:tcPr>
            <w:tcW w:w="3160" w:type="dxa"/>
            <w:vAlign w:val="bottom"/>
            <w:gridSpan w:val="3"/>
          </w:tcPr>
          <w:p>
            <w:pPr>
              <w:ind w:left="100"/>
              <w:spacing w:after="0"/>
              <w:rPr>
                <w:sz w:val="20"/>
                <w:szCs w:val="20"/>
                <w:color w:val="auto"/>
              </w:rPr>
            </w:pPr>
            <w:r>
              <w:rPr>
                <w:rFonts w:ascii="Arial" w:cs="Arial" w:eastAsia="Arial" w:hAnsi="Arial"/>
                <w:sz w:val="18"/>
                <w:szCs w:val="18"/>
                <w:b w:val="1"/>
                <w:bCs w:val="1"/>
                <w:color w:val="auto"/>
              </w:rPr>
              <w:t>Valuation technique</w:t>
            </w:r>
          </w:p>
        </w:tc>
        <w:tc>
          <w:tcPr>
            <w:tcW w:w="2960" w:type="dxa"/>
            <w:vAlign w:val="bottom"/>
          </w:tcPr>
          <w:p>
            <w:pPr>
              <w:spacing w:after="0"/>
              <w:rPr>
                <w:sz w:val="20"/>
                <w:szCs w:val="20"/>
                <w:color w:val="auto"/>
              </w:rPr>
            </w:pPr>
            <w:r>
              <w:rPr>
                <w:rFonts w:ascii="Arial" w:cs="Arial" w:eastAsia="Arial" w:hAnsi="Arial"/>
                <w:sz w:val="18"/>
                <w:szCs w:val="18"/>
                <w:b w:val="1"/>
                <w:bCs w:val="1"/>
                <w:color w:val="auto"/>
              </w:rPr>
              <w:t>Unobservable inputs</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Range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296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29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Conversion feature</w:t>
            </w:r>
          </w:p>
        </w:tc>
        <w:tc>
          <w:tcPr>
            <w:tcW w:w="100" w:type="dxa"/>
            <w:vAlign w:val="bottom"/>
            <w:vMerge w:val="continue"/>
            <w:shd w:val="clear" w:color="auto" w:fill="CCEEFF"/>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Monte-Carlo model</w:t>
            </w:r>
          </w:p>
        </w:tc>
        <w:tc>
          <w:tcPr>
            <w:tcW w:w="100" w:type="dxa"/>
            <w:vAlign w:val="bottom"/>
            <w:vMerge w:val="continue"/>
            <w:shd w:val="clear" w:color="auto" w:fill="CCEEFF"/>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Risk free interest rate</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0.46%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Conversion price</w:t>
            </w:r>
          </w:p>
        </w:tc>
        <w:tc>
          <w:tcPr>
            <w:tcW w:w="5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May 2015 Warrants</w:t>
            </w:r>
          </w:p>
        </w:tc>
        <w:tc>
          <w:tcPr>
            <w:tcW w:w="3160" w:type="dxa"/>
            <w:vAlign w:val="bottom"/>
            <w:gridSpan w:val="3"/>
          </w:tcPr>
          <w:p>
            <w:pPr>
              <w:ind w:left="100"/>
              <w:spacing w:after="0"/>
              <w:rPr>
                <w:sz w:val="20"/>
                <w:szCs w:val="20"/>
                <w:color w:val="auto"/>
              </w:rPr>
            </w:pPr>
            <w:r>
              <w:rPr>
                <w:rFonts w:ascii="Arial" w:cs="Arial" w:eastAsia="Arial" w:hAnsi="Arial"/>
                <w:sz w:val="18"/>
                <w:szCs w:val="18"/>
                <w:color w:val="auto"/>
              </w:rPr>
              <w:t>Black-Scholes-Merton</w:t>
            </w:r>
          </w:p>
        </w:tc>
        <w:tc>
          <w:tcPr>
            <w:tcW w:w="2960" w:type="dxa"/>
            <w:vAlign w:val="bottom"/>
          </w:tcPr>
          <w:p>
            <w:pPr>
              <w:spacing w:after="0"/>
              <w:rPr>
                <w:sz w:val="20"/>
                <w:szCs w:val="20"/>
                <w:color w:val="auto"/>
              </w:rPr>
            </w:pPr>
            <w:r>
              <w:rPr>
                <w:rFonts w:ascii="Arial" w:cs="Arial" w:eastAsia="Arial" w:hAnsi="Arial"/>
                <w:sz w:val="18"/>
                <w:szCs w:val="18"/>
                <w:color w:val="auto"/>
              </w:rPr>
              <w:t>Volatility</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79.13%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Risk free interest rate</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Expected term, in years</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Sensitivity of Level 3 measurements to changes in significant unobservable inputs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inputs to estimate the fair value of the Company’s derivative warrant liabilities and conversion feature were the current market price of the Company’s common stock, the exercise price of the warrants and conversion feature, their remaining expected term, the volatility of the Company’s common stock price and the risk-free interest rate over the expected term. Significant changes in any of those inputs in isolation can result in a significant change in the fair value measurement.</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Generally, an increase in the market price of the Company’s shares of common stock, an increase in the volatility of the Company’s shares of common stock, and an increase in the remaining term of the warrants and conversion feature would each result in a directionally similar change in the estimated fair value of the Company’s warrants. Such changes would increase the associated liability while decreases in these assumptions would decrease the associated liability. An increase in the risk-free interest rate or a decrease in the differential between the warrants’ and conversion feature’s exercise prices and the market price of the Company’s shares of common stock would result in a decrease in the estimated fair value measurement and thus a decrease in the associated liability. The Company has not, and does not plan to, declare dividends on its common stock, and as such, there is no change in the estimated fair value of the warrants and conversion feature due to the dividend assumption.</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table presents the placement in the fair value hierarchy of intangible assets measured at fair value on a non-recurring basis as of September 30, 2016 due to impairment. There was no impairment of intangible assets for the period ended December 31, 2015 and, as such, no fair value measurement was performed:</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0" w:type="dxa"/>
            <w:vAlign w:val="bottom"/>
            <w:gridSpan w:val="10"/>
          </w:tcPr>
          <w:p>
            <w:pPr>
              <w:jc w:val="center"/>
              <w:ind w:right="200"/>
              <w:spacing w:after="0"/>
              <w:rPr>
                <w:sz w:val="20"/>
                <w:szCs w:val="20"/>
                <w:color w:val="auto"/>
              </w:rPr>
            </w:pPr>
            <w:r>
              <w:rPr>
                <w:rFonts w:ascii="Arial" w:cs="Arial" w:eastAsia="Arial" w:hAnsi="Arial"/>
                <w:sz w:val="18"/>
                <w:szCs w:val="18"/>
                <w:color w:val="auto"/>
                <w:w w:val="89"/>
              </w:rPr>
              <w:t>Fair value measurement at reporting date using</w:t>
            </w:r>
          </w:p>
        </w:tc>
      </w:tr>
      <w:tr>
        <w:trPr>
          <w:trHeight w:val="195"/>
        </w:trPr>
        <w:tc>
          <w:tcPr>
            <w:tcW w:w="5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tcBorders>
              <w:top w:val="single" w:sz="8" w:color="auto"/>
            </w:tcBorders>
            <w:gridSpan w:val="3"/>
          </w:tcPr>
          <w:p>
            <w:pPr>
              <w:jc w:val="center"/>
              <w:ind w:right="100"/>
              <w:spacing w:after="0" w:line="195" w:lineRule="exact"/>
              <w:rPr>
                <w:sz w:val="20"/>
                <w:szCs w:val="20"/>
                <w:color w:val="auto"/>
              </w:rPr>
            </w:pPr>
            <w:r>
              <w:rPr>
                <w:rFonts w:ascii="Arial" w:cs="Arial" w:eastAsia="Arial" w:hAnsi="Arial"/>
                <w:sz w:val="18"/>
                <w:szCs w:val="18"/>
                <w:color w:val="auto"/>
                <w:w w:val="91"/>
              </w:rPr>
              <w:t>Quoted prices in</w:t>
            </w:r>
          </w:p>
        </w:tc>
        <w:tc>
          <w:tcPr>
            <w:tcW w:w="1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5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active markets</w:t>
            </w:r>
          </w:p>
        </w:tc>
        <w:tc>
          <w:tcPr>
            <w:tcW w:w="120" w:type="dxa"/>
            <w:vAlign w:val="bottom"/>
          </w:tcPr>
          <w:p>
            <w:pPr>
              <w:spacing w:after="0"/>
              <w:rPr>
                <w:sz w:val="18"/>
                <w:szCs w:val="18"/>
                <w:color w:val="auto"/>
              </w:rPr>
            </w:pPr>
          </w:p>
        </w:tc>
        <w:tc>
          <w:tcPr>
            <w:tcW w:w="1340" w:type="dxa"/>
            <w:vAlign w:val="bottom"/>
            <w:gridSpan w:val="3"/>
          </w:tcPr>
          <w:p>
            <w:pPr>
              <w:jc w:val="center"/>
              <w:ind w:right="120"/>
              <w:spacing w:after="0"/>
              <w:rPr>
                <w:sz w:val="20"/>
                <w:szCs w:val="20"/>
                <w:color w:val="auto"/>
              </w:rPr>
            </w:pPr>
            <w:r>
              <w:rPr>
                <w:rFonts w:ascii="Arial" w:cs="Arial" w:eastAsia="Arial" w:hAnsi="Arial"/>
                <w:sz w:val="18"/>
                <w:szCs w:val="18"/>
                <w:color w:val="auto"/>
                <w:w w:val="94"/>
              </w:rPr>
              <w:t>Significant other</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Significant</w:t>
            </w:r>
          </w:p>
        </w:tc>
      </w:tr>
      <w:tr>
        <w:trPr>
          <w:trHeight w:val="230"/>
        </w:trPr>
        <w:tc>
          <w:tcPr>
            <w:tcW w:w="5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for identical</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observable</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unobservable</w:t>
            </w:r>
          </w:p>
        </w:tc>
      </w:tr>
      <w:tr>
        <w:trPr>
          <w:trHeight w:val="230"/>
        </w:trPr>
        <w:tc>
          <w:tcPr>
            <w:tcW w:w="5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250"/>
              <w:spacing w:after="0"/>
              <w:rPr>
                <w:sz w:val="20"/>
                <w:szCs w:val="20"/>
                <w:color w:val="auto"/>
              </w:rPr>
            </w:pPr>
            <w:r>
              <w:rPr>
                <w:rFonts w:ascii="Arial" w:cs="Arial" w:eastAsia="Arial" w:hAnsi="Arial"/>
                <w:sz w:val="18"/>
                <w:szCs w:val="18"/>
                <w:color w:val="auto"/>
              </w:rPr>
              <w:t>Balance</w:t>
            </w:r>
          </w:p>
        </w:tc>
        <w:tc>
          <w:tcPr>
            <w:tcW w:w="240" w:type="dxa"/>
            <w:vAlign w:val="bottom"/>
          </w:tcPr>
          <w:p>
            <w:pPr>
              <w:spacing w:after="0"/>
              <w:rPr>
                <w:sz w:val="20"/>
                <w:szCs w:val="20"/>
                <w:color w:val="auto"/>
              </w:rPr>
            </w:pPr>
          </w:p>
        </w:tc>
        <w:tc>
          <w:tcPr>
            <w:tcW w:w="1380" w:type="dxa"/>
            <w:vAlign w:val="bottom"/>
            <w:gridSpan w:val="3"/>
          </w:tcPr>
          <w:p>
            <w:pPr>
              <w:jc w:val="center"/>
              <w:ind w:right="100"/>
              <w:spacing w:after="0"/>
              <w:rPr>
                <w:sz w:val="20"/>
                <w:szCs w:val="20"/>
                <w:color w:val="auto"/>
              </w:rPr>
            </w:pPr>
            <w:r>
              <w:rPr>
                <w:rFonts w:ascii="Arial" w:cs="Arial" w:eastAsia="Arial" w:hAnsi="Arial"/>
                <w:sz w:val="18"/>
                <w:szCs w:val="18"/>
                <w:color w:val="auto"/>
                <w:w w:val="88"/>
              </w:rPr>
              <w:t>assets (Level 1)</w:t>
            </w:r>
          </w:p>
        </w:tc>
        <w:tc>
          <w:tcPr>
            <w:tcW w:w="120" w:type="dxa"/>
            <w:vAlign w:val="bottom"/>
          </w:tcPr>
          <w:p>
            <w:pPr>
              <w:spacing w:after="0"/>
              <w:rPr>
                <w:sz w:val="20"/>
                <w:szCs w:val="20"/>
                <w:color w:val="auto"/>
              </w:rPr>
            </w:pPr>
          </w:p>
        </w:tc>
        <w:tc>
          <w:tcPr>
            <w:tcW w:w="1340" w:type="dxa"/>
            <w:vAlign w:val="bottom"/>
            <w:gridSpan w:val="3"/>
          </w:tcPr>
          <w:p>
            <w:pPr>
              <w:jc w:val="center"/>
              <w:ind w:right="120"/>
              <w:spacing w:after="0"/>
              <w:rPr>
                <w:sz w:val="20"/>
                <w:szCs w:val="20"/>
                <w:color w:val="auto"/>
              </w:rPr>
            </w:pPr>
            <w:r>
              <w:rPr>
                <w:rFonts w:ascii="Arial" w:cs="Arial" w:eastAsia="Arial" w:hAnsi="Arial"/>
                <w:sz w:val="18"/>
                <w:szCs w:val="18"/>
                <w:color w:val="auto"/>
                <w:w w:val="92"/>
              </w:rPr>
              <w:t>inputs (Level 2)</w:t>
            </w:r>
          </w:p>
        </w:tc>
        <w:tc>
          <w:tcPr>
            <w:tcW w:w="100" w:type="dxa"/>
            <w:vAlign w:val="bottom"/>
          </w:tcPr>
          <w:p>
            <w:pPr>
              <w:spacing w:after="0"/>
              <w:rPr>
                <w:sz w:val="20"/>
                <w:szCs w:val="20"/>
                <w:color w:val="auto"/>
              </w:rPr>
            </w:pPr>
          </w:p>
        </w:tc>
        <w:tc>
          <w:tcPr>
            <w:tcW w:w="1360" w:type="dxa"/>
            <w:vAlign w:val="bottom"/>
            <w:gridSpan w:val="3"/>
          </w:tcPr>
          <w:p>
            <w:pPr>
              <w:jc w:val="center"/>
              <w:ind w:right="100"/>
              <w:spacing w:after="0"/>
              <w:rPr>
                <w:sz w:val="20"/>
                <w:szCs w:val="20"/>
                <w:color w:val="auto"/>
              </w:rPr>
            </w:pPr>
            <w:r>
              <w:rPr>
                <w:rFonts w:ascii="Arial" w:cs="Arial" w:eastAsia="Arial" w:hAnsi="Arial"/>
                <w:sz w:val="18"/>
                <w:szCs w:val="18"/>
                <w:color w:val="auto"/>
                <w:w w:val="92"/>
              </w:rPr>
              <w:t>inputs (Level 3)</w:t>
            </w: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September 30, 2016:</w:t>
            </w:r>
          </w:p>
        </w:tc>
        <w:tc>
          <w:tcPr>
            <w:tcW w:w="2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5620" w:type="dxa"/>
            <w:vAlign w:val="bottom"/>
          </w:tcPr>
          <w:p>
            <w:pPr>
              <w:ind w:left="180"/>
              <w:spacing w:after="0"/>
              <w:rPr>
                <w:sz w:val="20"/>
                <w:szCs w:val="20"/>
                <w:color w:val="auto"/>
              </w:rPr>
            </w:pPr>
            <w:r>
              <w:rPr>
                <w:rFonts w:ascii="Arial" w:cs="Arial" w:eastAsia="Arial" w:hAnsi="Arial"/>
                <w:sz w:val="18"/>
                <w:szCs w:val="18"/>
                <w:color w:val="auto"/>
              </w:rPr>
              <w:t>Patents</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1,391</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1,391</w:t>
            </w:r>
          </w:p>
        </w:tc>
      </w:tr>
    </w:tbl>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nine-month period ended September 30, 2016, the Company recorded a noncash impairment charge of $11,937 to reduce the net carrying value of its patent assets to its estimated fair value of $1,526. Following the impairment charge, the net carrying value of the patent assets was reduced to $1,391 as of September 30, 2016 due to additional amortization expense during the period. The fair value of these assets were classified as Level 3 of the fair value hierarchy using an income-based approach.</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Warrants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about warrant activity during the nine-month period ended September 30, 2016:</w:t>
      </w:r>
    </w:p>
    <w:p>
      <w:pPr>
        <w:sectPr>
          <w:pgSz w:w="11900" w:h="16838" w:orient="portrait"/>
          <w:cols w:equalWidth="0" w:num="1">
            <w:col w:w="11420"/>
          </w:cols>
          <w:pgMar w:left="240" w:top="908" w:right="239" w:bottom="0" w:gutter="0" w:footer="0" w:header="0"/>
        </w:sectPr>
      </w:pPr>
    </w:p>
    <w:bookmarkStart w:id="22" w:name="page23"/>
    <w:bookmarkEnd w:id="22"/>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2015</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Granted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Exercised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Expired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September 30, 2016</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640" w:type="dxa"/>
            <w:vAlign w:val="bottom"/>
            <w:gridSpan w:val="2"/>
          </w:tcPr>
          <w:p>
            <w:pPr>
              <w:jc w:val="right"/>
              <w:ind w:right="360"/>
              <w:spacing w:after="0"/>
              <w:rPr>
                <w:sz w:val="20"/>
                <w:szCs w:val="20"/>
                <w:color w:val="auto"/>
              </w:rPr>
            </w:pPr>
            <w:r>
              <w:rPr>
                <w:rFonts w:ascii="Arial" w:cs="Arial" w:eastAsia="Arial" w:hAnsi="Arial"/>
                <w:sz w:val="18"/>
                <w:szCs w:val="18"/>
                <w:color w:val="auto"/>
              </w:rPr>
              <w:t>No. of warrants</w:t>
            </w:r>
          </w:p>
        </w:tc>
        <w:tc>
          <w:tcPr>
            <w:tcW w:w="1580" w:type="dxa"/>
            <w:vAlign w:val="bottom"/>
            <w:gridSpan w:val="3"/>
          </w:tcPr>
          <w:p>
            <w:pPr>
              <w:jc w:val="center"/>
              <w:ind w:right="200"/>
              <w:spacing w:after="0"/>
              <w:rPr>
                <w:sz w:val="20"/>
                <w:szCs w:val="20"/>
                <w:color w:val="auto"/>
              </w:rPr>
            </w:pPr>
            <w:r>
              <w:rPr>
                <w:rFonts w:ascii="Arial" w:cs="Arial" w:eastAsia="Arial" w:hAnsi="Arial"/>
                <w:sz w:val="18"/>
                <w:szCs w:val="18"/>
                <w:color w:val="auto"/>
                <w:w w:val="88"/>
              </w:rPr>
              <w:t>Weighted average</w:t>
            </w:r>
          </w:p>
        </w:tc>
        <w:tc>
          <w:tcPr>
            <w:tcW w:w="1400" w:type="dxa"/>
            <w:vAlign w:val="bottom"/>
            <w:gridSpan w:val="2"/>
          </w:tcPr>
          <w:p>
            <w:pPr>
              <w:jc w:val="right"/>
              <w:ind w:right="420"/>
              <w:spacing w:after="0"/>
              <w:rPr>
                <w:sz w:val="20"/>
                <w:szCs w:val="20"/>
                <w:color w:val="auto"/>
              </w:rPr>
            </w:pPr>
            <w:r>
              <w:rPr>
                <w:rFonts w:ascii="Arial" w:cs="Arial" w:eastAsia="Arial" w:hAnsi="Arial"/>
                <w:sz w:val="18"/>
                <w:szCs w:val="18"/>
                <w:color w:val="auto"/>
              </w:rPr>
              <w:t>Exercise</w:t>
            </w:r>
          </w:p>
        </w:tc>
      </w:tr>
      <w:tr>
        <w:trPr>
          <w:trHeight w:val="230"/>
        </w:trPr>
        <w:tc>
          <w:tcPr>
            <w:tcW w:w="1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exercise price</w:t>
            </w: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price range</w:t>
            </w:r>
          </w:p>
        </w:tc>
      </w:tr>
      <w:tr>
        <w:trPr>
          <w:trHeight w:val="195"/>
        </w:trPr>
        <w:tc>
          <w:tcPr>
            <w:tcW w:w="14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1,006,679</w:t>
            </w:r>
          </w:p>
        </w:tc>
        <w:tc>
          <w:tcPr>
            <w:tcW w:w="22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12.92</w:t>
            </w:r>
          </w:p>
        </w:tc>
        <w:tc>
          <w:tcPr>
            <w:tcW w:w="200" w:type="dxa"/>
            <w:vAlign w:val="bottom"/>
          </w:tcPr>
          <w:p>
            <w:pPr>
              <w:spacing w:after="0"/>
              <w:rPr>
                <w:sz w:val="16"/>
                <w:szCs w:val="16"/>
                <w:color w:val="auto"/>
              </w:rPr>
            </w:pPr>
          </w:p>
        </w:tc>
        <w:tc>
          <w:tcPr>
            <w:tcW w:w="13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$5.00 - $17.60</w:t>
            </w:r>
          </w:p>
        </w:tc>
        <w:tc>
          <w:tcPr>
            <w:tcW w:w="20" w:type="dxa"/>
            <w:vAlign w:val="bottom"/>
          </w:tcPr>
          <w:p>
            <w:pPr>
              <w:spacing w:after="0"/>
              <w:rPr>
                <w:sz w:val="16"/>
                <w:szCs w:val="16"/>
                <w:color w:val="auto"/>
              </w:rPr>
            </w:pPr>
          </w:p>
        </w:tc>
      </w:tr>
      <w:tr>
        <w:trPr>
          <w:trHeight w:val="216"/>
        </w:trPr>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4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30"/>
        </w:trPr>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4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30"/>
        </w:trPr>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44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23"/>
        </w:trPr>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1,006,679</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9.18</w:t>
            </w:r>
          </w:p>
        </w:tc>
        <w:tc>
          <w:tcPr>
            <w:tcW w:w="200" w:type="dxa"/>
            <w:vAlign w:val="bottom"/>
          </w:tcPr>
          <w:p>
            <w:pPr>
              <w:spacing w:after="0"/>
              <w:rPr>
                <w:sz w:val="19"/>
                <w:szCs w:val="19"/>
                <w:color w:val="auto"/>
              </w:rPr>
            </w:pPr>
          </w:p>
        </w:tc>
        <w:tc>
          <w:tcPr>
            <w:tcW w:w="14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$3.00 - $17.60</w:t>
            </w:r>
          </w:p>
        </w:tc>
      </w:tr>
      <w:tr>
        <w:trPr>
          <w:trHeight w:val="20"/>
        </w:trPr>
        <w:tc>
          <w:tcPr>
            <w:tcW w:w="1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-3385185</wp:posOffset>
            </wp:positionH>
            <wp:positionV relativeFrom="paragraph">
              <wp:posOffset>-745490</wp:posOffset>
            </wp:positionV>
            <wp:extent cx="6371590" cy="146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371590" cy="146050"/>
                    </a:xfrm>
                    <a:prstGeom prst="rect">
                      <a:avLst/>
                    </a:prstGeom>
                    <a:noFill/>
                  </pic:spPr>
                </pic:pic>
              </a:graphicData>
            </a:graphic>
          </wp:anchor>
        </w:drawing>
        <w:drawing>
          <wp:anchor simplePos="0" relativeHeight="251657728" behindDoc="1" locked="0" layoutInCell="0" allowOverlap="1">
            <wp:simplePos x="0" y="0"/>
            <wp:positionH relativeFrom="column">
              <wp:posOffset>-3385185</wp:posOffset>
            </wp:positionH>
            <wp:positionV relativeFrom="paragraph">
              <wp:posOffset>-462280</wp:posOffset>
            </wp:positionV>
            <wp:extent cx="637159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371590" cy="137160"/>
                    </a:xfrm>
                    <a:prstGeom prst="rect">
                      <a:avLst/>
                    </a:prstGeom>
                    <a:noFill/>
                  </pic:spPr>
                </pic:pic>
              </a:graphicData>
            </a:graphic>
          </wp:anchor>
        </w:drawing>
        <w:drawing>
          <wp:anchor simplePos="0" relativeHeight="251657728" behindDoc="1" locked="0" layoutInCell="0" allowOverlap="1">
            <wp:simplePos x="0" y="0"/>
            <wp:positionH relativeFrom="column">
              <wp:posOffset>-3385185</wp:posOffset>
            </wp:positionH>
            <wp:positionV relativeFrom="paragraph">
              <wp:posOffset>-179705</wp:posOffset>
            </wp:positionV>
            <wp:extent cx="6371590" cy="1631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371590" cy="163195"/>
                    </a:xfrm>
                    <a:prstGeom prst="rect">
                      <a:avLst/>
                    </a:prstGeom>
                    <a:noFill/>
                  </pic:spPr>
                </pic:pic>
              </a:graphicData>
            </a:graphic>
          </wp:anchor>
        </w:drawing>
      </w:r>
    </w:p>
    <w:p>
      <w:pPr>
        <w:spacing w:after="0" w:line="391" w:lineRule="exact"/>
        <w:rPr>
          <w:sz w:val="20"/>
          <w:szCs w:val="20"/>
          <w:color w:val="auto"/>
        </w:rPr>
      </w:pPr>
    </w:p>
    <w:p>
      <w:pPr>
        <w:jc w:val="center"/>
        <w:ind w:right="4179"/>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-3385185</wp:posOffset>
            </wp:positionH>
            <wp:positionV relativeFrom="paragraph">
              <wp:posOffset>7620</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2">
            <w:col w:w="4620" w:space="720"/>
            <w:col w:w="4879"/>
          </w:cols>
          <w:pgMar w:left="240" w:top="125" w:right="1440" w:bottom="1440" w:gutter="0" w:footer="0" w:header="0"/>
        </w:sectPr>
      </w:pPr>
    </w:p>
    <w:bookmarkStart w:id="23" w:name="page24"/>
    <w:bookmarkEnd w:id="23"/>
    <w:p>
      <w:pPr>
        <w:jc w:val="both"/>
        <w:spacing w:after="0" w:line="286" w:lineRule="auto"/>
        <w:rPr>
          <w:sz w:val="20"/>
          <w:szCs w:val="20"/>
          <w:color w:val="auto"/>
        </w:rPr>
      </w:pPr>
      <w:r>
        <w:rPr>
          <w:rFonts w:ascii="Arial" w:cs="Arial" w:eastAsia="Arial" w:hAnsi="Arial"/>
          <w:sz w:val="17"/>
          <w:szCs w:val="17"/>
          <w:color w:val="auto"/>
        </w:rPr>
        <w:t>On March 9, 2016, the Company modified the exercise price of the May 2015 Warrants, which are recorded as derivative warrant liabilities, from $10.00 to $3.00. There were no changes to other terms of the May 2015 Warrants (see Note 8). The change in fair value of the May 2015 Warrants as a result of the exercise price modification was accounted for as a debt discount to be amortized over the remaining term of the Amended Notes.</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Certain of the Company’s outstanding warrants are classified as equity warrants and certain are classified as derivative warrant liabilities. The Company’s outstanding equity warrants as of September 30, 2016 consist of the following: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Remaining</w:t>
            </w:r>
          </w:p>
        </w:tc>
        <w:tc>
          <w:tcPr>
            <w:tcW w:w="1360" w:type="dxa"/>
            <w:vAlign w:val="bottom"/>
          </w:tcPr>
          <w:p>
            <w:pPr>
              <w:spacing w:after="0"/>
              <w:rPr>
                <w:sz w:val="18"/>
                <w:szCs w:val="18"/>
                <w:color w:val="auto"/>
              </w:rPr>
            </w:pPr>
          </w:p>
        </w:tc>
      </w:tr>
      <w:tr>
        <w:trPr>
          <w:trHeight w:val="230"/>
        </w:trPr>
        <w:tc>
          <w:tcPr>
            <w:tcW w:w="5620" w:type="dxa"/>
            <w:vAlign w:val="bottom"/>
          </w:tcPr>
          <w:p>
            <w:pPr>
              <w:spacing w:after="0"/>
              <w:rPr>
                <w:sz w:val="20"/>
                <w:szCs w:val="20"/>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w w:val="93"/>
              </w:rPr>
              <w:t>No. outstanding</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w w:val="90"/>
              </w:rPr>
              <w:t>Exercise price</w:t>
            </w: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contractual life</w:t>
            </w:r>
          </w:p>
        </w:tc>
        <w:tc>
          <w:tcPr>
            <w:tcW w:w="1360" w:type="dxa"/>
            <w:vAlign w:val="bottom"/>
          </w:tcPr>
          <w:p>
            <w:pPr>
              <w:jc w:val="center"/>
              <w:spacing w:after="0"/>
              <w:rPr>
                <w:sz w:val="20"/>
                <w:szCs w:val="20"/>
                <w:color w:val="auto"/>
              </w:rPr>
            </w:pPr>
            <w:r>
              <w:rPr>
                <w:rFonts w:ascii="Arial" w:cs="Arial" w:eastAsia="Arial" w:hAnsi="Arial"/>
                <w:sz w:val="18"/>
                <w:szCs w:val="18"/>
                <w:color w:val="auto"/>
                <w:w w:val="94"/>
              </w:rPr>
              <w:t>Expiration Date</w:t>
            </w: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Series 1 Warrants</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149,025</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17.60</w:t>
            </w:r>
          </w:p>
        </w:tc>
        <w:tc>
          <w:tcPr>
            <w:tcW w:w="22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0.80 years</w:t>
            </w:r>
          </w:p>
        </w:tc>
        <w:tc>
          <w:tcPr>
            <w:tcW w:w="12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July 19, 2017</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Series 2 Warrants</w:t>
            </w:r>
          </w:p>
        </w:tc>
        <w:tc>
          <w:tcPr>
            <w:tcW w:w="1260" w:type="dxa"/>
            <w:vAlign w:val="bottom"/>
          </w:tcPr>
          <w:p>
            <w:pPr>
              <w:jc w:val="right"/>
              <w:spacing w:after="0"/>
              <w:rPr>
                <w:sz w:val="20"/>
                <w:szCs w:val="20"/>
                <w:color w:val="auto"/>
              </w:rPr>
            </w:pPr>
            <w:r>
              <w:rPr>
                <w:rFonts w:ascii="Arial" w:cs="Arial" w:eastAsia="Arial" w:hAnsi="Arial"/>
                <w:sz w:val="18"/>
                <w:szCs w:val="18"/>
                <w:color w:val="auto"/>
              </w:rPr>
              <w:t>194,352</w:t>
            </w:r>
          </w:p>
        </w:tc>
        <w:tc>
          <w:tcPr>
            <w:tcW w:w="12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17.60</w:t>
            </w: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0.80 years</w:t>
            </w: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July 19, 2017</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Reload Warrants</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75,802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17.60</w:t>
            </w:r>
          </w:p>
        </w:tc>
        <w:tc>
          <w:tcPr>
            <w:tcW w:w="14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7"/>
              </w:rPr>
              <w:t>0.35 years</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February 6, 2017</w:t>
            </w:r>
          </w:p>
        </w:tc>
      </w:t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October 2015 Warrants</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50,000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5.00</w:t>
            </w: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4.54 years</w:t>
            </w:r>
          </w:p>
        </w:tc>
        <w:tc>
          <w:tcPr>
            <w:tcW w:w="1360" w:type="dxa"/>
            <w:vAlign w:val="bottom"/>
          </w:tcPr>
          <w:p>
            <w:pPr>
              <w:jc w:val="center"/>
              <w:spacing w:after="0"/>
              <w:rPr>
                <w:sz w:val="20"/>
                <w:szCs w:val="20"/>
                <w:color w:val="auto"/>
              </w:rPr>
            </w:pPr>
            <w:r>
              <w:rPr>
                <w:rFonts w:ascii="Arial" w:cs="Arial" w:eastAsia="Arial" w:hAnsi="Arial"/>
                <w:sz w:val="18"/>
                <w:szCs w:val="18"/>
                <w:color w:val="auto"/>
                <w:w w:val="93"/>
              </w:rPr>
              <w:t>April 15, 2021</w:t>
            </w:r>
          </w:p>
        </w:tc>
      </w:tr>
      <w:tr>
        <w:trPr>
          <w:trHeight w:val="223"/>
        </w:trPr>
        <w:tc>
          <w:tcPr>
            <w:tcW w:w="56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September 30, 2016</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469,179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3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3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6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413"/>
        </w:trPr>
        <w:tc>
          <w:tcPr>
            <w:tcW w:w="7220" w:type="dxa"/>
            <w:vAlign w:val="bottom"/>
            <w:gridSpan w:val="5"/>
          </w:tcPr>
          <w:p>
            <w:pPr>
              <w:spacing w:after="0"/>
              <w:rPr>
                <w:sz w:val="20"/>
                <w:szCs w:val="20"/>
                <w:color w:val="auto"/>
              </w:rPr>
            </w:pPr>
            <w:r>
              <w:rPr>
                <w:rFonts w:ascii="Arial" w:cs="Arial" w:eastAsia="Arial" w:hAnsi="Arial"/>
                <w:sz w:val="18"/>
                <w:szCs w:val="18"/>
                <w:color w:val="auto"/>
                <w:w w:val="91"/>
              </w:rPr>
              <w:t>The Company’s outstanding derivative warrants as of September 30, 2016 consist of the following:</w:t>
            </w: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418"/>
        </w:trPr>
        <w:tc>
          <w:tcPr>
            <w:tcW w:w="56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Remaining</w:t>
            </w:r>
          </w:p>
        </w:tc>
        <w:tc>
          <w:tcPr>
            <w:tcW w:w="1360" w:type="dxa"/>
            <w:vAlign w:val="bottom"/>
          </w:tcPr>
          <w:p>
            <w:pPr>
              <w:spacing w:after="0"/>
              <w:rPr>
                <w:sz w:val="24"/>
                <w:szCs w:val="24"/>
                <w:color w:val="auto"/>
              </w:rPr>
            </w:pPr>
          </w:p>
        </w:tc>
      </w:tr>
      <w:tr>
        <w:trPr>
          <w:trHeight w:val="230"/>
        </w:trPr>
        <w:tc>
          <w:tcPr>
            <w:tcW w:w="5620" w:type="dxa"/>
            <w:vAlign w:val="bottom"/>
          </w:tcPr>
          <w:p>
            <w:pPr>
              <w:spacing w:after="0"/>
              <w:rPr>
                <w:sz w:val="20"/>
                <w:szCs w:val="20"/>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w w:val="93"/>
              </w:rPr>
              <w:t>No. outstanding</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w w:val="90"/>
              </w:rPr>
              <w:t>Exercise price</w:t>
            </w: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contractual life</w:t>
            </w:r>
          </w:p>
        </w:tc>
        <w:tc>
          <w:tcPr>
            <w:tcW w:w="1360" w:type="dxa"/>
            <w:vAlign w:val="bottom"/>
          </w:tcPr>
          <w:p>
            <w:pPr>
              <w:jc w:val="center"/>
              <w:spacing w:after="0"/>
              <w:rPr>
                <w:sz w:val="20"/>
                <w:szCs w:val="20"/>
                <w:color w:val="auto"/>
              </w:rPr>
            </w:pPr>
            <w:r>
              <w:rPr>
                <w:rFonts w:ascii="Arial" w:cs="Arial" w:eastAsia="Arial" w:hAnsi="Arial"/>
                <w:sz w:val="18"/>
                <w:szCs w:val="18"/>
                <w:color w:val="auto"/>
                <w:w w:val="94"/>
              </w:rPr>
              <w:t>Expiration Date</w:t>
            </w: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May 2015 Warrants</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537,500</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22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3.59 years</w:t>
            </w:r>
          </w:p>
        </w:tc>
        <w:tc>
          <w:tcPr>
            <w:tcW w:w="12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May 4, 2020</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Stock-based Compensation</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has a stock-based compensation plan available to grant stock options and RSUs to the Company’s directors, employees and consultants. Under the 2012 Employee, Director and Consultant Equity Incentive Plan (the “Plan”), a maximum of 1,560,000 shares of common stock may be awarded (after giving effect to the one-for-ten reverse stock split). In 2015, the Company amended its Plan, so that a maximum number of shares of common stock that may be awarded was increased to 2,100,000 (the “Amended Plan”). As of September 30, 2016, 302,510 shares were available for future grants under the Plan. Total stock-based compensation expense for the three-month periods ended September 30, 2016 and 2015 was $485 and $1,066, respectively. Total stock-based compensation expense for the nine-month periods ended September 30, 2016 and 2015 was $1,447 and $4,191, respectively.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illustrates the stock options granted during the nine-month period ended September 30, 2016.</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5"/>
              </w:rPr>
              <w:t>No. of</w:t>
            </w:r>
          </w:p>
        </w:tc>
        <w:tc>
          <w:tcPr>
            <w:tcW w:w="12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0"/>
              </w:rPr>
              <w:t>Exercise</w:t>
            </w:r>
          </w:p>
        </w:tc>
        <w:tc>
          <w:tcPr>
            <w:tcW w:w="1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Fair market value at</w:t>
            </w:r>
          </w:p>
        </w:tc>
        <w:tc>
          <w:tcPr>
            <w:tcW w:w="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88"/>
              </w:rPr>
              <w:t>Assumptions used in</w:t>
            </w:r>
          </w:p>
        </w:tc>
        <w:tc>
          <w:tcPr>
            <w:tcW w:w="0" w:type="dxa"/>
            <w:vAlign w:val="bottom"/>
          </w:tcPr>
          <w:p>
            <w:pPr>
              <w:spacing w:after="0"/>
              <w:rPr>
                <w:sz w:val="1"/>
                <w:szCs w:val="1"/>
                <w:color w:val="auto"/>
              </w:rPr>
            </w:pPr>
          </w:p>
        </w:tc>
      </w:tr>
      <w:tr>
        <w:trPr>
          <w:trHeight w:val="149"/>
        </w:trPr>
        <w:tc>
          <w:tcPr>
            <w:tcW w:w="2640" w:type="dxa"/>
            <w:vAlign w:val="bottom"/>
            <w:gridSpan w:val="2"/>
            <w:vMerge w:val="restart"/>
          </w:tcPr>
          <w:p>
            <w:pPr>
              <w:ind w:left="1120"/>
              <w:spacing w:after="0"/>
              <w:rPr>
                <w:sz w:val="20"/>
                <w:szCs w:val="20"/>
                <w:color w:val="auto"/>
              </w:rPr>
            </w:pPr>
            <w:r>
              <w:rPr>
                <w:rFonts w:ascii="Arial" w:cs="Arial" w:eastAsia="Arial" w:hAnsi="Arial"/>
                <w:sz w:val="14"/>
                <w:szCs w:val="14"/>
                <w:b w:val="1"/>
                <w:bCs w:val="1"/>
                <w:color w:val="auto"/>
              </w:rPr>
              <w:t>Title</w:t>
            </w:r>
          </w:p>
        </w:tc>
        <w:tc>
          <w:tcPr>
            <w:tcW w:w="12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7"/>
              </w:rPr>
              <w:t>Grant date</w:t>
            </w:r>
          </w:p>
        </w:tc>
        <w:tc>
          <w:tcPr>
            <w:tcW w:w="1260" w:type="dxa"/>
            <w:vAlign w:val="bottom"/>
            <w:gridSpan w:val="2"/>
            <w:vMerge w:val="continue"/>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3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Vesting terms</w:t>
            </w: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Black-Scholes option pricing</w:t>
            </w:r>
          </w:p>
        </w:tc>
        <w:tc>
          <w:tcPr>
            <w:tcW w:w="0" w:type="dxa"/>
            <w:vAlign w:val="bottom"/>
          </w:tcPr>
          <w:p>
            <w:pPr>
              <w:spacing w:after="0"/>
              <w:rPr>
                <w:sz w:val="1"/>
                <w:szCs w:val="1"/>
                <w:color w:val="auto"/>
              </w:rPr>
            </w:pPr>
          </w:p>
        </w:tc>
      </w:tr>
      <w:tr>
        <w:trPr>
          <w:trHeight w:val="171"/>
        </w:trPr>
        <w:tc>
          <w:tcPr>
            <w:tcW w:w="2640" w:type="dxa"/>
            <w:vAlign w:val="bottom"/>
            <w:gridSpan w:val="2"/>
            <w:vMerge w:val="continue"/>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options</w:t>
            </w: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price</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4"/>
              </w:rPr>
              <w:t>grant date</w:t>
            </w:r>
          </w:p>
        </w:tc>
        <w:tc>
          <w:tcPr>
            <w:tcW w:w="120" w:type="dxa"/>
            <w:vAlign w:val="bottom"/>
          </w:tcPr>
          <w:p>
            <w:pPr>
              <w:spacing w:after="0"/>
              <w:rPr>
                <w:sz w:val="14"/>
                <w:szCs w:val="14"/>
                <w:color w:val="auto"/>
              </w:rPr>
            </w:pPr>
          </w:p>
        </w:tc>
        <w:tc>
          <w:tcPr>
            <w:tcW w:w="1700" w:type="dxa"/>
            <w:vAlign w:val="bottom"/>
            <w:gridSpan w:val="2"/>
            <w:vMerge w:val="continue"/>
          </w:tcPr>
          <w:p>
            <w:pPr>
              <w:spacing w:after="0"/>
              <w:rPr>
                <w:sz w:val="14"/>
                <w:szCs w:val="14"/>
                <w:color w:val="auto"/>
              </w:rPr>
            </w:pP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92"/>
              </w:rPr>
              <w:t>model</w:t>
            </w:r>
          </w:p>
        </w:tc>
        <w:tc>
          <w:tcPr>
            <w:tcW w:w="0" w:type="dxa"/>
            <w:vAlign w:val="bottom"/>
          </w:tcPr>
          <w:p>
            <w:pPr>
              <w:spacing w:after="0"/>
              <w:rPr>
                <w:sz w:val="1"/>
                <w:szCs w:val="1"/>
                <w:color w:val="auto"/>
              </w:rPr>
            </w:pPr>
          </w:p>
        </w:tc>
      </w:tr>
      <w:tr>
        <w:trPr>
          <w:trHeight w:val="123"/>
        </w:trPr>
        <w:tc>
          <w:tcPr>
            <w:tcW w:w="2520" w:type="dxa"/>
            <w:vAlign w:val="bottom"/>
            <w:tcBorders>
              <w:top w:val="single" w:sz="8" w:color="auto"/>
            </w:tcBorders>
            <w:shd w:val="clear" w:color="auto" w:fill="CCEEFF"/>
          </w:tcPr>
          <w:p>
            <w:pPr>
              <w:spacing w:after="0" w:line="123" w:lineRule="exact"/>
              <w:rPr>
                <w:sz w:val="20"/>
                <w:szCs w:val="20"/>
                <w:color w:val="auto"/>
              </w:rPr>
            </w:pPr>
            <w:r>
              <w:rPr>
                <w:rFonts w:ascii="Arial" w:cs="Arial" w:eastAsia="Arial" w:hAnsi="Arial"/>
                <w:sz w:val="14"/>
                <w:szCs w:val="14"/>
                <w:color w:val="auto"/>
              </w:rPr>
              <w:t>Directors, management and employees</w:t>
            </w:r>
          </w:p>
        </w:tc>
        <w:tc>
          <w:tcPr>
            <w:tcW w:w="120" w:type="dxa"/>
            <w:vAlign w:val="bottom"/>
            <w:tcBorders>
              <w:top w:val="single" w:sz="8" w:color="CCEEFF"/>
            </w:tcBorders>
            <w:shd w:val="clear" w:color="auto" w:fill="CCEEFF"/>
          </w:tcPr>
          <w:p>
            <w:pPr>
              <w:spacing w:after="0"/>
              <w:rPr>
                <w:sz w:val="10"/>
                <w:szCs w:val="10"/>
                <w:color w:val="auto"/>
              </w:rPr>
            </w:pPr>
          </w:p>
        </w:tc>
        <w:tc>
          <w:tcPr>
            <w:tcW w:w="1140" w:type="dxa"/>
            <w:vAlign w:val="bottom"/>
            <w:tcBorders>
              <w:top w:val="single" w:sz="8" w:color="auto"/>
            </w:tcBorders>
            <w:shd w:val="clear" w:color="auto" w:fill="CCEEFF"/>
          </w:tcPr>
          <w:p>
            <w:pPr>
              <w:jc w:val="center"/>
              <w:spacing w:after="0" w:line="123" w:lineRule="exact"/>
              <w:rPr>
                <w:sz w:val="20"/>
                <w:szCs w:val="20"/>
                <w:color w:val="auto"/>
              </w:rPr>
            </w:pPr>
            <w:r>
              <w:rPr>
                <w:rFonts w:ascii="Arial" w:cs="Arial" w:eastAsia="Arial" w:hAnsi="Arial"/>
                <w:sz w:val="14"/>
                <w:szCs w:val="14"/>
                <w:color w:val="auto"/>
                <w:w w:val="95"/>
              </w:rPr>
              <w:t>April – June 2016</w:t>
            </w:r>
          </w:p>
        </w:tc>
        <w:tc>
          <w:tcPr>
            <w:tcW w:w="140" w:type="dxa"/>
            <w:vAlign w:val="bottom"/>
            <w:tcBorders>
              <w:top w:val="single" w:sz="8" w:color="CCEEFF"/>
            </w:tcBorders>
            <w:shd w:val="clear" w:color="auto" w:fill="CCEEFF"/>
          </w:tcPr>
          <w:p>
            <w:pPr>
              <w:spacing w:after="0"/>
              <w:rPr>
                <w:sz w:val="10"/>
                <w:szCs w:val="10"/>
                <w:color w:val="auto"/>
              </w:rPr>
            </w:pPr>
          </w:p>
        </w:tc>
        <w:tc>
          <w:tcPr>
            <w:tcW w:w="1040" w:type="dxa"/>
            <w:vAlign w:val="bottom"/>
            <w:tcBorders>
              <w:top w:val="single" w:sz="8" w:color="auto"/>
            </w:tcBorders>
            <w:shd w:val="clear" w:color="auto" w:fill="CCEEFF"/>
          </w:tcPr>
          <w:p>
            <w:pPr>
              <w:jc w:val="right"/>
              <w:ind w:right="168"/>
              <w:spacing w:after="0" w:line="123" w:lineRule="exact"/>
              <w:rPr>
                <w:sz w:val="20"/>
                <w:szCs w:val="20"/>
                <w:color w:val="auto"/>
              </w:rPr>
            </w:pPr>
            <w:r>
              <w:rPr>
                <w:rFonts w:ascii="Arial" w:cs="Arial" w:eastAsia="Arial" w:hAnsi="Arial"/>
                <w:sz w:val="14"/>
                <w:szCs w:val="14"/>
                <w:color w:val="auto"/>
              </w:rPr>
              <w:t>730,000</w:t>
            </w:r>
          </w:p>
        </w:tc>
        <w:tc>
          <w:tcPr>
            <w:tcW w:w="220" w:type="dxa"/>
            <w:vAlign w:val="bottom"/>
            <w:tcBorders>
              <w:top w:val="single" w:sz="8" w:color="CCEEFF"/>
            </w:tcBorders>
            <w:shd w:val="clear" w:color="auto" w:fill="CCEEFF"/>
          </w:tcPr>
          <w:p>
            <w:pPr>
              <w:spacing w:after="0"/>
              <w:rPr>
                <w:sz w:val="10"/>
                <w:szCs w:val="10"/>
                <w:color w:val="auto"/>
              </w:rPr>
            </w:pPr>
          </w:p>
        </w:tc>
        <w:tc>
          <w:tcPr>
            <w:tcW w:w="1140" w:type="dxa"/>
            <w:vAlign w:val="bottom"/>
            <w:tcBorders>
              <w:top w:val="single" w:sz="8" w:color="auto"/>
            </w:tcBorders>
            <w:shd w:val="clear" w:color="auto" w:fill="CCEEFF"/>
          </w:tcPr>
          <w:p>
            <w:pPr>
              <w:jc w:val="center"/>
              <w:spacing w:after="0" w:line="123" w:lineRule="exact"/>
              <w:rPr>
                <w:sz w:val="20"/>
                <w:szCs w:val="20"/>
                <w:color w:val="auto"/>
              </w:rPr>
            </w:pPr>
            <w:r>
              <w:rPr>
                <w:rFonts w:ascii="Arial" w:cs="Arial" w:eastAsia="Arial" w:hAnsi="Arial"/>
                <w:sz w:val="14"/>
                <w:szCs w:val="14"/>
                <w:color w:val="auto"/>
                <w:w w:val="94"/>
              </w:rPr>
              <w:t>$1.55 - $1.92</w:t>
            </w:r>
          </w:p>
        </w:tc>
        <w:tc>
          <w:tcPr>
            <w:tcW w:w="100" w:type="dxa"/>
            <w:vAlign w:val="bottom"/>
            <w:tcBorders>
              <w:top w:val="single" w:sz="8" w:color="CCEEFF"/>
            </w:tcBorders>
            <w:shd w:val="clear" w:color="auto" w:fill="CCEEFF"/>
          </w:tcPr>
          <w:p>
            <w:pPr>
              <w:spacing w:after="0"/>
              <w:rPr>
                <w:sz w:val="10"/>
                <w:szCs w:val="10"/>
                <w:color w:val="auto"/>
              </w:rPr>
            </w:pPr>
          </w:p>
        </w:tc>
        <w:tc>
          <w:tcPr>
            <w:tcW w:w="1360" w:type="dxa"/>
            <w:vAlign w:val="bottom"/>
            <w:tcBorders>
              <w:top w:val="single" w:sz="8" w:color="auto"/>
            </w:tcBorders>
            <w:shd w:val="clear" w:color="auto" w:fill="CCEEFF"/>
          </w:tcPr>
          <w:p>
            <w:pPr>
              <w:jc w:val="center"/>
              <w:spacing w:after="0" w:line="123" w:lineRule="exact"/>
              <w:rPr>
                <w:sz w:val="20"/>
                <w:szCs w:val="20"/>
                <w:color w:val="auto"/>
              </w:rPr>
            </w:pPr>
            <w:r>
              <w:rPr>
                <w:rFonts w:ascii="Arial" w:cs="Arial" w:eastAsia="Arial" w:hAnsi="Arial"/>
                <w:sz w:val="14"/>
                <w:szCs w:val="14"/>
                <w:color w:val="auto"/>
                <w:w w:val="92"/>
              </w:rPr>
              <w:t>$0.82 - $1.04</w:t>
            </w:r>
          </w:p>
        </w:tc>
        <w:tc>
          <w:tcPr>
            <w:tcW w:w="120" w:type="dxa"/>
            <w:vAlign w:val="bottom"/>
            <w:tcBorders>
              <w:top w:val="single" w:sz="8" w:color="CCEEFF"/>
            </w:tcBorders>
            <w:shd w:val="clear" w:color="auto" w:fill="CCEEFF"/>
          </w:tcPr>
          <w:p>
            <w:pPr>
              <w:spacing w:after="0"/>
              <w:rPr>
                <w:sz w:val="10"/>
                <w:szCs w:val="10"/>
                <w:color w:val="auto"/>
              </w:rPr>
            </w:pPr>
          </w:p>
        </w:tc>
        <w:tc>
          <w:tcPr>
            <w:tcW w:w="1580" w:type="dxa"/>
            <w:vAlign w:val="bottom"/>
            <w:tcBorders>
              <w:top w:val="single" w:sz="8" w:color="auto"/>
            </w:tcBorders>
            <w:shd w:val="clear" w:color="auto" w:fill="CCEEFF"/>
          </w:tcPr>
          <w:p>
            <w:pPr>
              <w:spacing w:after="0" w:line="123" w:lineRule="exact"/>
              <w:rPr>
                <w:sz w:val="20"/>
                <w:szCs w:val="20"/>
                <w:color w:val="auto"/>
              </w:rPr>
            </w:pPr>
            <w:r>
              <w:rPr>
                <w:rFonts w:ascii="Arial" w:cs="Arial" w:eastAsia="Arial" w:hAnsi="Arial"/>
                <w:sz w:val="14"/>
                <w:szCs w:val="14"/>
                <w:color w:val="auto"/>
              </w:rPr>
              <w:t>Over 1 year for directors;</w:t>
            </w:r>
          </w:p>
        </w:tc>
        <w:tc>
          <w:tcPr>
            <w:tcW w:w="120" w:type="dxa"/>
            <w:vAlign w:val="bottom"/>
            <w:tcBorders>
              <w:top w:val="single" w:sz="8" w:color="CCEEFF"/>
            </w:tcBorders>
            <w:shd w:val="clear" w:color="auto" w:fill="CCEEFF"/>
          </w:tcPr>
          <w:p>
            <w:pPr>
              <w:spacing w:after="0"/>
              <w:rPr>
                <w:sz w:val="10"/>
                <w:szCs w:val="10"/>
                <w:color w:val="auto"/>
              </w:rPr>
            </w:pPr>
          </w:p>
        </w:tc>
        <w:tc>
          <w:tcPr>
            <w:tcW w:w="1820" w:type="dxa"/>
            <w:vAlign w:val="bottom"/>
            <w:tcBorders>
              <w:top w:val="single" w:sz="8" w:color="auto"/>
            </w:tcBorders>
            <w:shd w:val="clear" w:color="auto" w:fill="CCEEFF"/>
          </w:tcPr>
          <w:p>
            <w:pPr>
              <w:spacing w:after="0" w:line="123" w:lineRule="exact"/>
              <w:rPr>
                <w:sz w:val="20"/>
                <w:szCs w:val="20"/>
                <w:color w:val="auto"/>
              </w:rPr>
            </w:pPr>
            <w:r>
              <w:rPr>
                <w:rFonts w:ascii="Arial" w:cs="Arial" w:eastAsia="Arial" w:hAnsi="Arial"/>
                <w:sz w:val="14"/>
                <w:szCs w:val="14"/>
                <w:color w:val="auto"/>
              </w:rPr>
              <w:t>Volatility: 58.92% - 59.75%</w:t>
            </w:r>
          </w:p>
        </w:tc>
        <w:tc>
          <w:tcPr>
            <w:tcW w:w="0" w:type="dxa"/>
            <w:vAlign w:val="bottom"/>
          </w:tcPr>
          <w:p>
            <w:pPr>
              <w:spacing w:after="0"/>
              <w:rPr>
                <w:sz w:val="1"/>
                <w:szCs w:val="1"/>
                <w:color w:val="auto"/>
              </w:rPr>
            </w:pPr>
          </w:p>
        </w:tc>
      </w:tr>
      <w:tr>
        <w:trPr>
          <w:trHeight w:val="149"/>
        </w:trPr>
        <w:tc>
          <w:tcPr>
            <w:tcW w:w="2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82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Over 3 years for</w:t>
            </w:r>
          </w:p>
        </w:tc>
        <w:tc>
          <w:tcPr>
            <w:tcW w:w="1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5"/>
              </w:rPr>
              <w:t>Risk free interest rate: 1.24% -</w:t>
            </w:r>
          </w:p>
        </w:tc>
        <w:tc>
          <w:tcPr>
            <w:tcW w:w="0" w:type="dxa"/>
            <w:vAlign w:val="bottom"/>
          </w:tcPr>
          <w:p>
            <w:pPr>
              <w:spacing w:after="0"/>
              <w:rPr>
                <w:sz w:val="1"/>
                <w:szCs w:val="1"/>
                <w:color w:val="auto"/>
              </w:rPr>
            </w:pPr>
          </w:p>
        </w:tc>
      </w:tr>
      <w:tr>
        <w:trPr>
          <w:trHeight w:val="149"/>
        </w:trPr>
        <w:tc>
          <w:tcPr>
            <w:tcW w:w="2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82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management and</w:t>
            </w:r>
          </w:p>
        </w:tc>
        <w:tc>
          <w:tcPr>
            <w:tcW w:w="1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1.56%</w:t>
            </w:r>
          </w:p>
        </w:tc>
        <w:tc>
          <w:tcPr>
            <w:tcW w:w="0" w:type="dxa"/>
            <w:vAlign w:val="bottom"/>
          </w:tcPr>
          <w:p>
            <w:pPr>
              <w:spacing w:after="0"/>
              <w:rPr>
                <w:sz w:val="1"/>
                <w:szCs w:val="1"/>
                <w:color w:val="auto"/>
              </w:rPr>
            </w:pPr>
          </w:p>
        </w:tc>
      </w:tr>
      <w:tr>
        <w:trPr>
          <w:trHeight w:val="149"/>
        </w:trPr>
        <w:tc>
          <w:tcPr>
            <w:tcW w:w="2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82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employees</w:t>
            </w:r>
          </w:p>
        </w:tc>
        <w:tc>
          <w:tcPr>
            <w:tcW w:w="1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4"/>
              </w:rPr>
              <w:t>Expected term, in years: 5.31 -</w:t>
            </w:r>
          </w:p>
        </w:tc>
        <w:tc>
          <w:tcPr>
            <w:tcW w:w="0" w:type="dxa"/>
            <w:vAlign w:val="bottom"/>
          </w:tcPr>
          <w:p>
            <w:pPr>
              <w:spacing w:after="0"/>
              <w:rPr>
                <w:sz w:val="1"/>
                <w:szCs w:val="1"/>
                <w:color w:val="auto"/>
              </w:rPr>
            </w:pPr>
          </w:p>
        </w:tc>
      </w:tr>
      <w:tr>
        <w:trPr>
          <w:trHeight w:val="149"/>
        </w:trPr>
        <w:tc>
          <w:tcPr>
            <w:tcW w:w="2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5.81</w:t>
            </w:r>
          </w:p>
        </w:tc>
        <w:tc>
          <w:tcPr>
            <w:tcW w:w="0" w:type="dxa"/>
            <w:vAlign w:val="bottom"/>
          </w:tcPr>
          <w:p>
            <w:pPr>
              <w:spacing w:after="0"/>
              <w:rPr>
                <w:sz w:val="1"/>
                <w:szCs w:val="1"/>
                <w:color w:val="auto"/>
              </w:rPr>
            </w:pPr>
          </w:p>
        </w:tc>
      </w:tr>
      <w:tr>
        <w:trPr>
          <w:trHeight w:val="167"/>
        </w:trPr>
        <w:tc>
          <w:tcPr>
            <w:tcW w:w="2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4"/>
                <w:szCs w:val="14"/>
                <w:color w:val="auto"/>
              </w:rPr>
              <w:t>Dividend yield: 0.00%</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to the stock options listed in the table above, on April 4, 2016, the Company's Board of Directors authorized another 2,260,000 stock options to be granted to management and employees. This amount of stock options granted was greater than the amount available under the Amended Plan and, as such, the stock options were not issued to management and employees as they require stockholder approval. These stock options are expected to be granted when stockholders’ approval is received in the fourth quarter of 2016.</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illustrates the RSUs granted during the nine-month period ended September 30, 2016.</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ind w:left="80"/>
              <w:spacing w:after="0"/>
              <w:rPr>
                <w:sz w:val="20"/>
                <w:szCs w:val="20"/>
                <w:color w:val="auto"/>
              </w:rPr>
            </w:pPr>
            <w:r>
              <w:rPr>
                <w:rFonts w:ascii="Arial" w:cs="Arial" w:eastAsia="Arial" w:hAnsi="Arial"/>
                <w:sz w:val="18"/>
                <w:szCs w:val="18"/>
                <w:b w:val="1"/>
                <w:bCs w:val="1"/>
                <w:color w:val="auto"/>
              </w:rPr>
              <w:t>Fair market</w:t>
            </w:r>
          </w:p>
        </w:tc>
        <w:tc>
          <w:tcPr>
            <w:tcW w:w="1360" w:type="dxa"/>
            <w:vAlign w:val="bottom"/>
          </w:tcPr>
          <w:p>
            <w:pPr>
              <w:spacing w:after="0"/>
              <w:rPr>
                <w:sz w:val="18"/>
                <w:szCs w:val="18"/>
                <w:color w:val="auto"/>
              </w:rPr>
            </w:pPr>
          </w:p>
        </w:tc>
      </w:tr>
      <w:tr>
        <w:trPr>
          <w:trHeight w:val="234"/>
        </w:trPr>
        <w:tc>
          <w:tcPr>
            <w:tcW w:w="4020" w:type="dxa"/>
            <w:vAlign w:val="bottom"/>
            <w:gridSpan w:val="2"/>
          </w:tcPr>
          <w:p>
            <w:pPr>
              <w:ind w:left="1780"/>
              <w:spacing w:after="0"/>
              <w:rPr>
                <w:sz w:val="20"/>
                <w:szCs w:val="20"/>
                <w:color w:val="auto"/>
              </w:rPr>
            </w:pPr>
            <w:r>
              <w:rPr>
                <w:rFonts w:ascii="Arial" w:cs="Arial" w:eastAsia="Arial" w:hAnsi="Arial"/>
                <w:sz w:val="18"/>
                <w:szCs w:val="18"/>
                <w:b w:val="1"/>
                <w:bCs w:val="1"/>
                <w:color w:val="auto"/>
              </w:rPr>
              <w:t>Title</w:t>
            </w: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Grant date</w:t>
            </w:r>
          </w:p>
        </w:tc>
        <w:tc>
          <w:tcPr>
            <w:tcW w:w="1440" w:type="dxa"/>
            <w:vAlign w:val="bottom"/>
            <w:gridSpan w:val="2"/>
          </w:tcPr>
          <w:p>
            <w:pPr>
              <w:ind w:left="140"/>
              <w:spacing w:after="0"/>
              <w:rPr>
                <w:sz w:val="20"/>
                <w:szCs w:val="20"/>
                <w:color w:val="auto"/>
              </w:rPr>
            </w:pPr>
            <w:r>
              <w:rPr>
                <w:rFonts w:ascii="Arial" w:cs="Arial" w:eastAsia="Arial" w:hAnsi="Arial"/>
                <w:sz w:val="18"/>
                <w:szCs w:val="18"/>
                <w:b w:val="1"/>
                <w:bCs w:val="1"/>
                <w:color w:val="auto"/>
              </w:rPr>
              <w:t>No. of RSUs</w:t>
            </w:r>
          </w:p>
        </w:tc>
        <w:tc>
          <w:tcPr>
            <w:tcW w:w="1260" w:type="dxa"/>
            <w:vAlign w:val="bottom"/>
          </w:tcPr>
          <w:p>
            <w:pPr>
              <w:ind w:left="100"/>
              <w:spacing w:after="0"/>
              <w:rPr>
                <w:sz w:val="20"/>
                <w:szCs w:val="20"/>
                <w:color w:val="auto"/>
              </w:rPr>
            </w:pPr>
            <w:r>
              <w:rPr>
                <w:rFonts w:ascii="Arial" w:cs="Arial" w:eastAsia="Arial" w:hAnsi="Arial"/>
                <w:sz w:val="18"/>
                <w:szCs w:val="18"/>
                <w:b w:val="1"/>
                <w:bCs w:val="1"/>
                <w:color w:val="auto"/>
                <w:w w:val="93"/>
              </w:rPr>
              <w:t>Exercise price</w:t>
            </w:r>
          </w:p>
        </w:tc>
        <w:tc>
          <w:tcPr>
            <w:tcW w:w="1860" w:type="dxa"/>
            <w:vAlign w:val="bottom"/>
            <w:gridSpan w:val="4"/>
          </w:tcPr>
          <w:p>
            <w:pPr>
              <w:ind w:left="200"/>
              <w:spacing w:after="0"/>
              <w:rPr>
                <w:sz w:val="20"/>
                <w:szCs w:val="20"/>
                <w:color w:val="auto"/>
              </w:rPr>
            </w:pPr>
            <w:r>
              <w:rPr>
                <w:rFonts w:ascii="Arial" w:cs="Arial" w:eastAsia="Arial" w:hAnsi="Arial"/>
                <w:sz w:val="18"/>
                <w:szCs w:val="18"/>
                <w:b w:val="1"/>
                <w:bCs w:val="1"/>
                <w:color w:val="auto"/>
              </w:rPr>
              <w:t>value at grant date</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9"/>
              </w:rPr>
              <w:t>Vesting term</w:t>
            </w:r>
          </w:p>
        </w:tc>
      </w:tr>
      <w:tr>
        <w:trPr>
          <w:trHeight w:val="210"/>
        </w:trPr>
        <w:tc>
          <w:tcPr>
            <w:tcW w:w="3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Consultant</w:t>
            </w:r>
          </w:p>
        </w:tc>
        <w:tc>
          <w:tcPr>
            <w:tcW w:w="1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March 9, 2016</w:t>
            </w:r>
          </w:p>
        </w:tc>
        <w:tc>
          <w:tcPr>
            <w:tcW w:w="1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2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ind w:left="1080"/>
              <w:spacing w:after="0"/>
              <w:rPr>
                <w:sz w:val="20"/>
                <w:szCs w:val="20"/>
                <w:color w:val="auto"/>
              </w:rPr>
            </w:pPr>
            <w:r>
              <w:rPr>
                <w:rFonts w:ascii="Arial" w:cs="Arial" w:eastAsia="Arial" w:hAnsi="Arial"/>
                <w:sz w:val="18"/>
                <w:szCs w:val="18"/>
                <w:color w:val="auto"/>
                <w:w w:val="88"/>
              </w:rPr>
              <w:t>—</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22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0.33 years</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activity related to stock options and RSUs during the nine-month period ended September 30, 2016 consisted of the following:</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20" w:type="dxa"/>
            <w:vAlign w:val="bottom"/>
            <w:gridSpan w:val="4"/>
          </w:tcPr>
          <w:p>
            <w:pPr>
              <w:jc w:val="center"/>
              <w:ind w:right="1600"/>
              <w:spacing w:after="0"/>
              <w:rPr>
                <w:sz w:val="20"/>
                <w:szCs w:val="20"/>
                <w:color w:val="auto"/>
              </w:rPr>
            </w:pPr>
            <w:r>
              <w:rPr>
                <w:rFonts w:ascii="Arial" w:cs="Arial" w:eastAsia="Arial" w:hAnsi="Arial"/>
                <w:sz w:val="18"/>
                <w:szCs w:val="18"/>
                <w:color w:val="auto"/>
                <w:w w:val="89"/>
              </w:rPr>
              <w:t>RSUs</w:t>
            </w:r>
          </w:p>
        </w:tc>
        <w:tc>
          <w:tcPr>
            <w:tcW w:w="1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20" w:type="dxa"/>
            <w:vAlign w:val="bottom"/>
            <w:gridSpan w:val="6"/>
          </w:tcPr>
          <w:p>
            <w:pPr>
              <w:ind w:left="1260"/>
              <w:spacing w:after="0"/>
              <w:rPr>
                <w:sz w:val="20"/>
                <w:szCs w:val="20"/>
                <w:color w:val="auto"/>
              </w:rPr>
            </w:pPr>
            <w:r>
              <w:rPr>
                <w:rFonts w:ascii="Arial" w:cs="Arial" w:eastAsia="Arial" w:hAnsi="Arial"/>
                <w:sz w:val="18"/>
                <w:szCs w:val="18"/>
                <w:color w:val="auto"/>
              </w:rPr>
              <w:t>Options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1620" w:type="dxa"/>
            <w:vAlign w:val="bottom"/>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jc w:val="center"/>
              <w:ind w:right="50"/>
              <w:spacing w:after="0" w:line="195" w:lineRule="exact"/>
              <w:rPr>
                <w:sz w:val="20"/>
                <w:szCs w:val="20"/>
                <w:color w:val="auto"/>
              </w:rPr>
            </w:pPr>
            <w:r>
              <w:rPr>
                <w:rFonts w:ascii="Arial" w:cs="Arial" w:eastAsia="Arial" w:hAnsi="Arial"/>
                <w:sz w:val="18"/>
                <w:szCs w:val="18"/>
                <w:color w:val="auto"/>
                <w:w w:val="88"/>
              </w:rPr>
              <w:t>Weighted average</w:t>
            </w:r>
          </w:p>
        </w:tc>
        <w:tc>
          <w:tcPr>
            <w:tcW w:w="240" w:type="dxa"/>
            <w:vAlign w:val="bottom"/>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jc w:val="center"/>
              <w:ind w:right="30"/>
              <w:spacing w:after="0" w:line="195" w:lineRule="exact"/>
              <w:rPr>
                <w:sz w:val="20"/>
                <w:szCs w:val="20"/>
                <w:color w:val="auto"/>
              </w:rPr>
            </w:pPr>
            <w:r>
              <w:rPr>
                <w:rFonts w:ascii="Arial" w:cs="Arial" w:eastAsia="Arial" w:hAnsi="Arial"/>
                <w:sz w:val="18"/>
                <w:szCs w:val="18"/>
                <w:color w:val="auto"/>
                <w:w w:val="87"/>
              </w:rPr>
              <w:t>Weighted average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8"/>
                <w:szCs w:val="18"/>
                <w:color w:val="auto"/>
              </w:rPr>
              <w:t>No. of</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gridSpan w:val="2"/>
          </w:tcPr>
          <w:p>
            <w:pPr>
              <w:jc w:val="center"/>
              <w:ind w:right="380"/>
              <w:spacing w:after="0"/>
              <w:rPr>
                <w:sz w:val="20"/>
                <w:szCs w:val="20"/>
                <w:color w:val="auto"/>
              </w:rPr>
            </w:pPr>
            <w:r>
              <w:rPr>
                <w:rFonts w:ascii="Arial" w:cs="Arial" w:eastAsia="Arial" w:hAnsi="Arial"/>
                <w:sz w:val="18"/>
                <w:szCs w:val="18"/>
                <w:color w:val="auto"/>
                <w:w w:val="91"/>
              </w:rPr>
              <w:t>grant date fair</w:t>
            </w:r>
          </w:p>
        </w:tc>
        <w:tc>
          <w:tcPr>
            <w:tcW w:w="1420" w:type="dxa"/>
            <w:vAlign w:val="bottom"/>
            <w:gridSpan w:val="2"/>
          </w:tcPr>
          <w:p>
            <w:pPr>
              <w:jc w:val="right"/>
              <w:ind w:right="560"/>
              <w:spacing w:after="0"/>
              <w:rPr>
                <w:sz w:val="20"/>
                <w:szCs w:val="20"/>
                <w:color w:val="auto"/>
              </w:rPr>
            </w:pPr>
            <w:r>
              <w:rPr>
                <w:rFonts w:ascii="Arial" w:cs="Arial" w:eastAsia="Arial" w:hAnsi="Arial"/>
                <w:sz w:val="18"/>
                <w:szCs w:val="18"/>
                <w:color w:val="auto"/>
              </w:rPr>
              <w:t>No. of</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Weighted average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Exercise price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grant date fair</w:t>
            </w:r>
          </w:p>
        </w:tc>
        <w:tc>
          <w:tcPr>
            <w:tcW w:w="0" w:type="dxa"/>
            <w:vAlign w:val="bottom"/>
          </w:tcPr>
          <w:p>
            <w:pPr>
              <w:spacing w:after="0"/>
              <w:rPr>
                <w:sz w:val="1"/>
                <w:szCs w:val="1"/>
                <w:color w:val="auto"/>
              </w:rPr>
            </w:pPr>
          </w:p>
        </w:tc>
      </w:tr>
      <w:tr>
        <w:trPr>
          <w:trHeight w:val="230"/>
        </w:trPr>
        <w:tc>
          <w:tcPr>
            <w:tcW w:w="1620" w:type="dxa"/>
            <w:vAlign w:val="bottom"/>
          </w:tcPr>
          <w:p>
            <w:pPr>
              <w:spacing w:after="0"/>
              <w:rPr>
                <w:sz w:val="20"/>
                <w:szCs w:val="20"/>
                <w:color w:val="auto"/>
              </w:rPr>
            </w:pPr>
          </w:p>
        </w:tc>
        <w:tc>
          <w:tcPr>
            <w:tcW w:w="1340" w:type="dxa"/>
            <w:vAlign w:val="bottom"/>
            <w:gridSpan w:val="2"/>
          </w:tcPr>
          <w:p>
            <w:pPr>
              <w:jc w:val="right"/>
              <w:ind w:right="500"/>
              <w:spacing w:after="0"/>
              <w:rPr>
                <w:sz w:val="20"/>
                <w:szCs w:val="20"/>
                <w:color w:val="auto"/>
              </w:rPr>
            </w:pPr>
            <w:r>
              <w:rPr>
                <w:rFonts w:ascii="Arial" w:cs="Arial" w:eastAsia="Arial" w:hAnsi="Arial"/>
                <w:sz w:val="18"/>
                <w:szCs w:val="18"/>
                <w:color w:val="auto"/>
              </w:rPr>
              <w:t>RSUs</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20" w:type="dxa"/>
            <w:vAlign w:val="bottom"/>
            <w:gridSpan w:val="2"/>
          </w:tcPr>
          <w:p>
            <w:pPr>
              <w:jc w:val="center"/>
              <w:ind w:right="380"/>
              <w:spacing w:after="0"/>
              <w:rPr>
                <w:sz w:val="20"/>
                <w:szCs w:val="20"/>
                <w:color w:val="auto"/>
              </w:rPr>
            </w:pPr>
            <w:r>
              <w:rPr>
                <w:rFonts w:ascii="Arial" w:cs="Arial" w:eastAsia="Arial" w:hAnsi="Arial"/>
                <w:sz w:val="18"/>
                <w:szCs w:val="18"/>
                <w:color w:val="auto"/>
                <w:w w:val="88"/>
              </w:rPr>
              <w:t>value</w:t>
            </w:r>
          </w:p>
        </w:tc>
        <w:tc>
          <w:tcPr>
            <w:tcW w:w="1420" w:type="dxa"/>
            <w:vAlign w:val="bottom"/>
            <w:gridSpan w:val="2"/>
          </w:tcPr>
          <w:p>
            <w:pPr>
              <w:jc w:val="right"/>
              <w:ind w:right="520"/>
              <w:spacing w:after="0"/>
              <w:rPr>
                <w:sz w:val="20"/>
                <w:szCs w:val="20"/>
                <w:color w:val="auto"/>
              </w:rPr>
            </w:pPr>
            <w:r>
              <w:rPr>
                <w:rFonts w:ascii="Arial" w:cs="Arial" w:eastAsia="Arial" w:hAnsi="Arial"/>
                <w:sz w:val="18"/>
                <w:szCs w:val="18"/>
                <w:color w:val="auto"/>
              </w:rPr>
              <w:t>options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exercise price</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range</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value</w:t>
            </w:r>
          </w:p>
        </w:tc>
        <w:tc>
          <w:tcPr>
            <w:tcW w:w="0" w:type="dxa"/>
            <w:vAlign w:val="bottom"/>
          </w:tcPr>
          <w:p>
            <w:pPr>
              <w:spacing w:after="0"/>
              <w:rPr>
                <w:sz w:val="1"/>
                <w:szCs w:val="1"/>
                <w:color w:val="auto"/>
              </w:rPr>
            </w:pPr>
          </w:p>
        </w:tc>
      </w:tr>
      <w:tr>
        <w:trPr>
          <w:trHeight w:val="182"/>
        </w:trPr>
        <w:tc>
          <w:tcPr>
            <w:tcW w:w="162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Outstanding at</w:t>
            </w:r>
          </w:p>
        </w:tc>
        <w:tc>
          <w:tcPr>
            <w:tcW w:w="12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4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4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4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January 1, 2016</w:t>
            </w: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53,280</w:t>
            </w:r>
          </w:p>
        </w:tc>
        <w:tc>
          <w:tcPr>
            <w:tcW w:w="30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9"/>
              </w:rPr>
              <w:t>$</w:t>
            </w:r>
          </w:p>
        </w:tc>
        <w:tc>
          <w:tcPr>
            <w:tcW w:w="1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36.31</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871,484</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30.65</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5.10 - 55.00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20.49</w:t>
            </w:r>
          </w:p>
        </w:tc>
        <w:tc>
          <w:tcPr>
            <w:tcW w:w="0" w:type="dxa"/>
            <w:vAlign w:val="bottom"/>
          </w:tcPr>
          <w:p>
            <w:pPr>
              <w:spacing w:after="0"/>
              <w:rPr>
                <w:sz w:val="1"/>
                <w:szCs w:val="1"/>
                <w:color w:val="auto"/>
              </w:rPr>
            </w:pP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Granted</w:t>
            </w: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10,000</w:t>
            </w:r>
          </w:p>
        </w:tc>
        <w:tc>
          <w:tcPr>
            <w:tcW w:w="300" w:type="dxa"/>
            <w:vAlign w:val="bottom"/>
            <w:gridSpan w:val="2"/>
          </w:tcPr>
          <w:p>
            <w:pPr>
              <w:jc w:val="center"/>
              <w:ind w:left="30"/>
              <w:spacing w:after="0"/>
              <w:rPr>
                <w:sz w:val="20"/>
                <w:szCs w:val="20"/>
                <w:color w:val="auto"/>
              </w:rPr>
            </w:pPr>
            <w:r>
              <w:rPr>
                <w:rFonts w:ascii="Arial" w:cs="Arial" w:eastAsia="Arial" w:hAnsi="Arial"/>
                <w:sz w:val="18"/>
                <w:szCs w:val="18"/>
                <w:color w:val="auto"/>
                <w:w w:val="99"/>
              </w:rPr>
              <w:t>$</w:t>
            </w:r>
          </w:p>
        </w:tc>
        <w:tc>
          <w:tcPr>
            <w:tcW w:w="1720" w:type="dxa"/>
            <w:vAlign w:val="bottom"/>
            <w:gridSpan w:val="2"/>
          </w:tcPr>
          <w:p>
            <w:pPr>
              <w:jc w:val="right"/>
              <w:ind w:right="240"/>
              <w:spacing w:after="0"/>
              <w:rPr>
                <w:sz w:val="20"/>
                <w:szCs w:val="20"/>
                <w:color w:val="auto"/>
              </w:rPr>
            </w:pPr>
            <w:r>
              <w:rPr>
                <w:rFonts w:ascii="Arial" w:cs="Arial" w:eastAsia="Arial" w:hAnsi="Arial"/>
                <w:sz w:val="18"/>
                <w:szCs w:val="18"/>
                <w:color w:val="auto"/>
              </w:rPr>
              <w:t>2.13</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730,000</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1.66</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1.55 - 1.92</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0.89</w:t>
            </w: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Vested/Exercised</w:t>
            </w: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(63,280)</w:t>
            </w:r>
          </w:p>
        </w:tc>
        <w:tc>
          <w:tcPr>
            <w:tcW w:w="30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9"/>
              </w:rPr>
              <w:t>$</w:t>
            </w:r>
          </w:p>
        </w:tc>
        <w:tc>
          <w:tcPr>
            <w:tcW w:w="1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30.91</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Forfeited</w:t>
            </w: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(100,050)</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27.88</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5.90 – 41.00</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17.04</w:t>
            </w: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Expired</w:t>
            </w: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(9,000)</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55.00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55.00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26.20</w:t>
            </w:r>
          </w:p>
        </w:tc>
        <w:tc>
          <w:tcPr>
            <w:tcW w:w="0" w:type="dxa"/>
            <w:vAlign w:val="bottom"/>
          </w:tcPr>
          <w:p>
            <w:pPr>
              <w:spacing w:after="0"/>
              <w:rPr>
                <w:sz w:val="1"/>
                <w:szCs w:val="1"/>
                <w:color w:val="auto"/>
              </w:rPr>
            </w:pPr>
          </w:p>
        </w:tc>
      </w:tr>
      <w:tr>
        <w:trPr>
          <w:trHeight w:val="20"/>
        </w:trPr>
        <w:tc>
          <w:tcPr>
            <w:tcW w:w="1620" w:type="dxa"/>
            <w:vAlign w:val="bottom"/>
            <w:vMerge w:val="restart"/>
          </w:tcPr>
          <w:p>
            <w:pPr>
              <w:spacing w:after="0" w:line="201" w:lineRule="exact"/>
              <w:rPr>
                <w:sz w:val="20"/>
                <w:szCs w:val="20"/>
                <w:color w:val="auto"/>
              </w:rPr>
            </w:pPr>
            <w:r>
              <w:rPr>
                <w:rFonts w:ascii="Arial" w:cs="Arial" w:eastAsia="Arial" w:hAnsi="Arial"/>
                <w:sz w:val="18"/>
                <w:szCs w:val="18"/>
                <w:color w:val="auto"/>
              </w:rPr>
              <w:t>Outstanding at</w:t>
            </w:r>
          </w:p>
        </w:tc>
        <w:tc>
          <w:tcPr>
            <w:tcW w:w="12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620" w:type="dxa"/>
            <w:vAlign w:val="bottom"/>
            <w:vMerge w:val="continue"/>
          </w:tcPr>
          <w:p>
            <w:pPr>
              <w:spacing w:after="0"/>
              <w:rPr>
                <w:sz w:val="15"/>
                <w:szCs w:val="15"/>
                <w:color w:val="auto"/>
              </w:rPr>
            </w:pPr>
          </w:p>
        </w:tc>
        <w:tc>
          <w:tcPr>
            <w:tcW w:w="134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w:t>
            </w:r>
          </w:p>
        </w:tc>
        <w:tc>
          <w:tcPr>
            <w:tcW w:w="300" w:type="dxa"/>
            <w:vAlign w:val="bottom"/>
            <w:gridSpan w:val="2"/>
            <w:vMerge w:val="restart"/>
          </w:tcPr>
          <w:p>
            <w:pPr>
              <w:jc w:val="center"/>
              <w:ind w:left="30"/>
              <w:spacing w:after="0"/>
              <w:rPr>
                <w:sz w:val="20"/>
                <w:szCs w:val="20"/>
                <w:color w:val="auto"/>
              </w:rPr>
            </w:pPr>
            <w:r>
              <w:rPr>
                <w:rFonts w:ascii="Arial" w:cs="Arial" w:eastAsia="Arial" w:hAnsi="Arial"/>
                <w:sz w:val="18"/>
                <w:szCs w:val="18"/>
                <w:color w:val="auto"/>
                <w:w w:val="99"/>
              </w:rPr>
              <w:t>$</w:t>
            </w:r>
          </w:p>
        </w:tc>
        <w:tc>
          <w:tcPr>
            <w:tcW w:w="172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1,492,434</w:t>
            </w:r>
          </w:p>
        </w:tc>
        <w:tc>
          <w:tcPr>
            <w:tcW w:w="160" w:type="dxa"/>
            <w:vAlign w:val="bottom"/>
          </w:tcPr>
          <w:p>
            <w:pPr>
              <w:spacing w:after="0"/>
              <w:rPr>
                <w:sz w:val="15"/>
                <w:szCs w:val="15"/>
                <w:color w:val="auto"/>
              </w:rPr>
            </w:pPr>
          </w:p>
        </w:tc>
        <w:tc>
          <w:tcPr>
            <w:tcW w:w="20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w:t>
            </w:r>
          </w:p>
        </w:tc>
        <w:tc>
          <w:tcPr>
            <w:tcW w:w="156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16.51</w:t>
            </w:r>
          </w:p>
        </w:tc>
        <w:tc>
          <w:tcPr>
            <w:tcW w:w="2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1.55 – 55.00</w:t>
            </w:r>
          </w:p>
        </w:tc>
        <w:tc>
          <w:tcPr>
            <w:tcW w:w="2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w:t>
            </w:r>
          </w:p>
        </w:tc>
        <w:tc>
          <w:tcPr>
            <w:tcW w:w="15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11.08</w:t>
            </w:r>
          </w:p>
        </w:tc>
        <w:tc>
          <w:tcPr>
            <w:tcW w:w="0" w:type="dxa"/>
            <w:vAlign w:val="bottom"/>
          </w:tcPr>
          <w:p>
            <w:pPr>
              <w:spacing w:after="0"/>
              <w:rPr>
                <w:sz w:val="1"/>
                <w:szCs w:val="1"/>
                <w:color w:val="auto"/>
              </w:rPr>
            </w:pPr>
          </w:p>
        </w:tc>
      </w:tr>
      <w:tr>
        <w:trPr>
          <w:trHeight w:val="237"/>
        </w:trPr>
        <w:tc>
          <w:tcPr>
            <w:tcW w:w="1620" w:type="dxa"/>
            <w:vAlign w:val="bottom"/>
          </w:tcPr>
          <w:p>
            <w:pPr>
              <w:spacing w:after="0"/>
              <w:rPr>
                <w:sz w:val="20"/>
                <w:szCs w:val="20"/>
                <w:color w:val="auto"/>
              </w:rPr>
            </w:pPr>
            <w:r>
              <w:rPr>
                <w:rFonts w:ascii="Arial" w:cs="Arial" w:eastAsia="Arial" w:hAnsi="Arial"/>
                <w:sz w:val="18"/>
                <w:szCs w:val="18"/>
                <w:color w:val="auto"/>
                <w:w w:val="98"/>
              </w:rPr>
              <w:t>September 30, 2016</w:t>
            </w:r>
          </w:p>
        </w:tc>
        <w:tc>
          <w:tcPr>
            <w:tcW w:w="1340" w:type="dxa"/>
            <w:vAlign w:val="bottom"/>
            <w:gridSpan w:val="2"/>
            <w:vMerge w:val="continue"/>
          </w:tcPr>
          <w:p>
            <w:pPr>
              <w:spacing w:after="0"/>
              <w:rPr>
                <w:sz w:val="20"/>
                <w:szCs w:val="20"/>
                <w:color w:val="auto"/>
              </w:rPr>
            </w:pPr>
          </w:p>
        </w:tc>
        <w:tc>
          <w:tcPr>
            <w:tcW w:w="300" w:type="dxa"/>
            <w:vAlign w:val="bottom"/>
            <w:gridSpan w:val="2"/>
            <w:vMerge w:val="continue"/>
          </w:tcPr>
          <w:p>
            <w:pPr>
              <w:spacing w:after="0"/>
              <w:rPr>
                <w:sz w:val="20"/>
                <w:szCs w:val="20"/>
                <w:color w:val="auto"/>
              </w:rPr>
            </w:pPr>
          </w:p>
        </w:tc>
        <w:tc>
          <w:tcPr>
            <w:tcW w:w="1720" w:type="dxa"/>
            <w:vAlign w:val="bottom"/>
            <w:gridSpan w:val="2"/>
            <w:vMerge w:val="continue"/>
          </w:tcPr>
          <w:p>
            <w:pPr>
              <w:spacing w:after="0"/>
              <w:rPr>
                <w:sz w:val="20"/>
                <w:szCs w:val="20"/>
                <w:color w:val="auto"/>
              </w:rPr>
            </w:pPr>
          </w:p>
        </w:tc>
        <w:tc>
          <w:tcPr>
            <w:tcW w:w="126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gridSpan w:val="2"/>
            <w:vMerge w:val="continue"/>
          </w:tcPr>
          <w:p>
            <w:pPr>
              <w:spacing w:after="0"/>
              <w:rPr>
                <w:sz w:val="20"/>
                <w:szCs w:val="20"/>
                <w:color w:val="auto"/>
              </w:rPr>
            </w:pPr>
          </w:p>
        </w:tc>
        <w:tc>
          <w:tcPr>
            <w:tcW w:w="1560" w:type="dxa"/>
            <w:vAlign w:val="bottom"/>
            <w:gridSpan w:val="2"/>
            <w:vMerge w:val="continue"/>
          </w:tcPr>
          <w:p>
            <w:pPr>
              <w:spacing w:after="0"/>
              <w:rPr>
                <w:sz w:val="20"/>
                <w:szCs w:val="20"/>
                <w:color w:val="auto"/>
              </w:rPr>
            </w:pPr>
          </w:p>
        </w:tc>
        <w:tc>
          <w:tcPr>
            <w:tcW w:w="220" w:type="dxa"/>
            <w:vAlign w:val="bottom"/>
            <w:gridSpan w:val="2"/>
            <w:vMerge w:val="continue"/>
          </w:tcPr>
          <w:p>
            <w:pPr>
              <w:spacing w:after="0"/>
              <w:rPr>
                <w:sz w:val="20"/>
                <w:szCs w:val="20"/>
                <w:color w:val="auto"/>
              </w:rPr>
            </w:pPr>
          </w:p>
        </w:tc>
        <w:tc>
          <w:tcPr>
            <w:tcW w:w="1240" w:type="dxa"/>
            <w:vAlign w:val="bottom"/>
            <w:gridSpan w:val="2"/>
            <w:vMerge w:val="continue"/>
          </w:tcPr>
          <w:p>
            <w:pPr>
              <w:spacing w:after="0"/>
              <w:rPr>
                <w:sz w:val="20"/>
                <w:szCs w:val="20"/>
                <w:color w:val="auto"/>
              </w:rPr>
            </w:pPr>
          </w:p>
        </w:tc>
        <w:tc>
          <w:tcPr>
            <w:tcW w:w="220" w:type="dxa"/>
            <w:vAlign w:val="bottom"/>
            <w:gridSpan w:val="2"/>
            <w:vMerge w:val="continue"/>
          </w:tcPr>
          <w:p>
            <w:pPr>
              <w:spacing w:after="0"/>
              <w:rPr>
                <w:sz w:val="20"/>
                <w:szCs w:val="20"/>
                <w:color w:val="auto"/>
              </w:rPr>
            </w:pPr>
          </w:p>
        </w:tc>
        <w:tc>
          <w:tcPr>
            <w:tcW w:w="158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620" w:type="dxa"/>
            <w:vAlign w:val="bottom"/>
            <w:tcBorders>
              <w:top w:val="single" w:sz="8" w:color="CCEEFF"/>
            </w:tcBorders>
            <w:vMerge w:val="restart"/>
            <w:shd w:val="clear" w:color="auto" w:fill="CCEEFF"/>
          </w:tcPr>
          <w:p>
            <w:pPr>
              <w:spacing w:after="0" w:line="176" w:lineRule="exact"/>
              <w:rPr>
                <w:sz w:val="20"/>
                <w:szCs w:val="20"/>
                <w:color w:val="auto"/>
              </w:rPr>
            </w:pPr>
            <w:r>
              <w:rPr>
                <w:rFonts w:ascii="Arial" w:cs="Arial" w:eastAsia="Arial" w:hAnsi="Arial"/>
                <w:sz w:val="18"/>
                <w:szCs w:val="18"/>
                <w:color w:val="auto"/>
              </w:rPr>
              <w:t>Exercisable at</w:t>
            </w: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620" w:type="dxa"/>
            <w:vAlign w:val="bottom"/>
            <w:vMerge w:val="continue"/>
            <w:shd w:val="clear" w:color="auto" w:fill="CCEEFF"/>
          </w:tcPr>
          <w:p>
            <w:pPr>
              <w:spacing w:after="0"/>
              <w:rPr>
                <w:sz w:val="13"/>
                <w:szCs w:val="13"/>
                <w:color w:val="auto"/>
              </w:rPr>
            </w:pPr>
          </w:p>
        </w:tc>
        <w:tc>
          <w:tcPr>
            <w:tcW w:w="134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7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995,767</w:t>
            </w:r>
          </w:p>
        </w:tc>
        <w:tc>
          <w:tcPr>
            <w:tcW w:w="20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5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23.65</w:t>
            </w:r>
          </w:p>
        </w:tc>
        <w:tc>
          <w:tcPr>
            <w:tcW w:w="2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1.55 – 55.00</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w w:val="98"/>
              </w:rPr>
              <w:t>September 30, 2016</w:t>
            </w:r>
          </w:p>
        </w:tc>
        <w:tc>
          <w:tcPr>
            <w:tcW w:w="13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20" w:type="dxa"/>
            <w:vAlign w:val="bottom"/>
            <w:gridSpan w:val="2"/>
            <w:vMerge w:val="continue"/>
            <w:shd w:val="clear" w:color="auto" w:fill="CCEEFF"/>
          </w:tcPr>
          <w:p>
            <w:pPr>
              <w:spacing w:after="0"/>
              <w:rPr>
                <w:sz w:val="18"/>
                <w:szCs w:val="18"/>
                <w:color w:val="auto"/>
              </w:rPr>
            </w:pPr>
          </w:p>
        </w:tc>
        <w:tc>
          <w:tcPr>
            <w:tcW w:w="1420" w:type="dxa"/>
            <w:vAlign w:val="bottom"/>
            <w:gridSpan w:val="2"/>
            <w:vMerge w:val="continue"/>
            <w:shd w:val="clear" w:color="auto" w:fill="CCEEFF"/>
          </w:tcPr>
          <w:p>
            <w:pPr>
              <w:spacing w:after="0"/>
              <w:rPr>
                <w:sz w:val="18"/>
                <w:szCs w:val="18"/>
                <w:color w:val="auto"/>
              </w:rPr>
            </w:pPr>
          </w:p>
        </w:tc>
        <w:tc>
          <w:tcPr>
            <w:tcW w:w="200" w:type="dxa"/>
            <w:vAlign w:val="bottom"/>
            <w:gridSpan w:val="2"/>
            <w:vMerge w:val="continue"/>
            <w:shd w:val="clear" w:color="auto" w:fill="CCEEFF"/>
          </w:tcPr>
          <w:p>
            <w:pPr>
              <w:spacing w:after="0"/>
              <w:rPr>
                <w:sz w:val="18"/>
                <w:szCs w:val="18"/>
                <w:color w:val="auto"/>
              </w:rPr>
            </w:pPr>
          </w:p>
        </w:tc>
        <w:tc>
          <w:tcPr>
            <w:tcW w:w="1560" w:type="dxa"/>
            <w:vAlign w:val="bottom"/>
            <w:gridSpan w:val="2"/>
            <w:vMerge w:val="continue"/>
            <w:shd w:val="clear" w:color="auto" w:fill="CCEEFF"/>
          </w:tcPr>
          <w:p>
            <w:pPr>
              <w:spacing w:after="0"/>
              <w:rPr>
                <w:sz w:val="18"/>
                <w:szCs w:val="18"/>
                <w:color w:val="auto"/>
              </w:rPr>
            </w:pPr>
          </w:p>
        </w:tc>
        <w:tc>
          <w:tcPr>
            <w:tcW w:w="220" w:type="dxa"/>
            <w:vAlign w:val="bottom"/>
            <w:gridSpan w:val="2"/>
            <w:vMerge w:val="continue"/>
            <w:shd w:val="clear" w:color="auto" w:fill="CCEEFF"/>
          </w:tcPr>
          <w:p>
            <w:pPr>
              <w:spacing w:after="0"/>
              <w:rPr>
                <w:sz w:val="18"/>
                <w:szCs w:val="18"/>
                <w:color w:val="auto"/>
              </w:rPr>
            </w:pPr>
          </w:p>
        </w:tc>
        <w:tc>
          <w:tcPr>
            <w:tcW w:w="12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Company did not recognize tax benefits related to its stock-based compensation as there is a full valuation allowance recorded for deferred tax assets.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Related Parties Transactions</w:t>
      </w:r>
    </w:p>
    <w:p>
      <w:pPr>
        <w:sectPr>
          <w:pgSz w:w="11900" w:h="16838" w:orient="portrait"/>
          <w:cols w:equalWidth="0" w:num="1">
            <w:col w:w="11420"/>
          </w:cols>
          <w:pgMar w:left="240" w:top="1125" w:right="239" w:bottom="0" w:gutter="0" w:footer="0" w:header="0"/>
        </w:sectPr>
      </w:pPr>
    </w:p>
    <w:bookmarkStart w:id="24" w:name="page25"/>
    <w:bookmarkEnd w:id="24"/>
    <w:p>
      <w:pPr>
        <w:jc w:val="both"/>
        <w:spacing w:after="0" w:line="255" w:lineRule="auto"/>
        <w:rPr>
          <w:sz w:val="20"/>
          <w:szCs w:val="20"/>
          <w:color w:val="auto"/>
        </w:rPr>
      </w:pPr>
      <w:r>
        <w:rPr>
          <w:rFonts w:ascii="Arial" w:cs="Arial" w:eastAsia="Arial" w:hAnsi="Arial"/>
          <w:sz w:val="18"/>
          <w:szCs w:val="18"/>
          <w:color w:val="181818"/>
        </w:rPr>
        <w:t>The Company engaged various third parties to perform valuations, legal, financial and tax due diligence associated with the XpresSpa Merger and other merger and acquisition projects. Among the service providers, the Company engaged RedRidge Lender Services LLC (“RedRidge”) to perform financial due diligence. The audit committee of the Company’s CEO and certain members of his family own a minority equity position in RedRidge, which may be considered a related party. The audit committee of the Company’s Board of Directors reviewed and approved the engagement of RedRidge. The fee for the XpresSpa engagement was $101 and the fees for other engagements were $60, all of which, except for $10, were incurred in the three-month period ended September 30, 2016. These fees are reflected in general and administrative expenses for the three- and nine-month periods ended September 30, 2016 in the condensed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Note 13. Income Taxes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September 30, 2016, deferred tax assets generated from the Company’s U.S. activities were fully offset by a valuation allowance because realization depends on generating future taxable income, which, in the Company’s estimation, is not more likely than not to be generated before such net operating loss carryforwards expire.</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did not have any material unrecognized tax benefits as of September 30, 2016. The Company does not expect to record any additional material provisions for unrecognized tax benefits within the next year.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FLI Charge</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FLI Charge launched its consumer product line on Indiegogo, a crowdfunding platform, on June 15, 2016; the campaign was completed on August 15, 2016. The Company accounts for funds raised from crowdfunding campaigns and presales, which were approximately $224, as deferred revenue on the condensed consolidated balance sheets. FLI Charge expects to deliver products to the participants in the fourth quarter of 2016.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 and legal proceedings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ZTE</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On December 7, 2015, the Company entered into a confidential settlement and license agreement (the “Settlement Agreement”) with ZTE Corporation and its affiliates (collectively, “ZTE”), pursuant to which the parties withdrew all pending litigations and proceedings against each other and the Company granted ZTE a non-exclusive, non-transferable, worldwide perpetual license to certain patents and patent applications owned by the Company.</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several jurisdictions, though ZTE requested that government organizations close proceedings against FORM, those organizations make such determinations on their own volition. In China, ZTE requested that the National Developmental and Reform Commission (“NDRC”) conclude its investigation against FORM; however, it is not clear whether the NDRC has closed its investigation.</w:t>
      </w:r>
    </w:p>
    <w:p>
      <w:pPr>
        <w:spacing w:after="0" w:line="18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 addition, in China and the Netherlands, FORM continues to appeal patent invalidity rulings issued in connection with proceedings originally brought by ZTE. In each instance, ZTE has indicated that it will not oppose FORM’s appeals, though FORM must still plead its case before the respective adjudicatory body in each jurisdiction. No liability is expected or recorded for the ZTE-related legal proceedings.</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color w:val="auto"/>
        </w:rPr>
        <w:t>All deposits that had been posted with the courts in connection with our litigation with ZTE have been returned.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ASUS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March 2016, the Company and ASUSTeK Computer Inc. and its subsidiaries (collectively, “ASUS”) settled their disputes and ended all litigations between them. The Company and Google, Inc. (“Google”), who intervened as a party in the Company’s litigation against ASUS in India, have agreed to withdraw their respective outstanding claims against one another. The Company and Google are currently in the process of finalizing such withdrawals, and each party will cover its own costs.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is currently in discussions with the previous owner of some of its patents regarding whether the entirety of the payment received from ZTE in December 2015 is subject to the royalty rate under the Confidential Patent Purchase Agreement dated August 9, 2012.</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The Company is also engaged in other litigation, for which no liability is recorded, as the Company does not expect any material negative outcome.</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leases office space in New York, NY for its corporate headquarters. Minimum annual lease payments are approximately $403 (subject to certain future escalations and adjustments). This lease will expire in October 2019. Group Mobile has a lease for its office space in Chandler, AZ. The annual rental fee is approximately $72; the current lease, which originally was due to expire on June 30, 2016, was amended in February 2016 and extended until July 31, 2019. Rent expense for operating leases for the three and nine month periods ended September 30, 2016 were $109 and $327, respectively. Rent expense for operating leases for the three and nine month periods ended September 30, 2015 were $91 and $274, respectively.</w:t>
      </w:r>
    </w:p>
    <w:p>
      <w:pPr>
        <w:spacing w:after="0" w:line="200" w:lineRule="exact"/>
        <w:rPr>
          <w:sz w:val="20"/>
          <w:szCs w:val="20"/>
          <w:color w:val="auto"/>
        </w:rPr>
      </w:pPr>
    </w:p>
    <w:p>
      <w:pPr>
        <w:spacing w:after="0" w:line="398"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6" w:name="page27"/>
    <w:bookmarkEnd w:id="26"/>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i w:val="1"/>
          <w:iCs w:val="1"/>
          <w:color w:val="auto"/>
        </w:rPr>
        <w:t>This Quarterly Report on Form 10-Q contains “forward-looking statements” that involve risks and uncertainties, as well as assumptions that, if they never materialize or prove incorrect, could cause our results to differ materially from those expressed or implied by such forward-looking statements. The statements contained herein that are not purely historical are forward-looking statements within the meaning of Section 27A of the Securities Act of 1933, as amended, and Section 21E of the Securities Exchange Act of 1934, as amended. Forward-looking statements are often identified by the use of words such as, but not limited to, “anticipates,” “believes,” “can,” “continues,” “could,” “estimates,” “expects,” “intends,” “may,” “will be,” “plans,” “projects,” “seeks,” “should,” “targets,” “will,” “would,” and similar expressions or variations intended to identify forward-looking statements. These statements are based on the beliefs and assumptions of our management based on information currently available to management. Such forward-looking statements are subject to risks, uncertainties and other important factors that could cause actual results and the timing of certain events to differ materially from future results expressed or implied by such forward-looking statements. Factors that could cause or contribute to such differences include, but are not limited to, those identified below, and those discussed in the section titled “Risk Factors” included in our Annual Report on Form 10-K for the year ended December 31, 2015 filed on March 10, 2016 (the “2015 Annual Report”) and this Quarterly Report on Form 10-Q and any future reports we file with the Securities and Exchange Commission (“SEC”). The forward-looking statements set forth herein speak only as of the date of this report. Except as required by law, we undertake no obligation to update any forward-looking statements to reflect events or circumstances after the date of such statements, except as required by law.</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All references in this Quarterly Report on Form 10-Q to “we,” “us” and “our” refer to FORM Holdings Corp. (prior to May 5, 2016, known as “Vringo, Inc.”), a Delaware corporation, and its consolidated subsidiaries.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May 6, 2016, we changed the name of our company from Vringo, Inc. to FORM Holdings Corp. (“FORM” or the “Company”) and concurrently announced our repositioning as a holding company of small and middle market growth companies. Our focus is on acquiring and building companies that would benefit from:</w:t>
      </w:r>
    </w:p>
    <w:p>
      <w:pPr>
        <w:spacing w:after="0" w:line="181"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additional capital;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exposure to visibility from the public markets;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talent recruiting;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rebranding;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implementation of best practices.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management team is committed to execute on our strategy. We are industry agnostic, but limit the scope of our pipeline by looking only at companies with a clear path to grow in excess of $100,000,000 in revenue.</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common stock, par value $0.01 per share, which was previously listed on The NASDAQ Capital Market under the trading symbol “VRNG,” has been listed under the trading symbol “FH” since May 9, 2016.</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currently have three operating segments:</w:t>
      </w:r>
    </w:p>
    <w:p>
      <w:pPr>
        <w:spacing w:after="0" w:line="225"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Group Mobile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FLI Charge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Intellectual property</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Prior to December 31, 2013, we operated a global platform for the distribution of mobile social applications and services. On February 18, 2014, we sold our mobile social application business to InfoMedia Services Limited (“InfoMedia”), receiving an 8.25% ownership interest in InfoMedia as consideration and a seat on the board of directors of InfoMedia. As part of the transaction, we have the opportunity to license certain intellectual property assets and work with InfoMedia to identify and protect new intellectual property.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operate in three operating segments: Group Mobile, FLI Charge and intellectual property.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Our Strategy and Outlook</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181818"/>
        </w:rPr>
        <w:t xml:space="preserve">Group Mobile is a supplier of built-to-order rugged computers, mobile devices and accessories. We plan to increase Group Mobile’s revenue, which we believe can be achieved by adding new products, exploring new distribution verticals, such as military and government, and increasing the sales team’s geographic coverage. </w:t>
      </w:r>
      <w:r>
        <w:rPr>
          <w:rFonts w:ascii="Arial" w:cs="Arial" w:eastAsia="Arial" w:hAnsi="Arial"/>
          <w:sz w:val="18"/>
          <w:szCs w:val="18"/>
          <w:color w:val="000000"/>
        </w:rPr>
        <w:t>In addition, we plan to continue to enhance our intellectual property rights around our FLI Charge technology and products.</w:t>
      </w:r>
      <w:r>
        <w:rPr>
          <w:rFonts w:ascii="Arial" w:cs="Arial" w:eastAsia="Arial" w:hAnsi="Arial"/>
          <w:sz w:val="18"/>
          <w:szCs w:val="18"/>
          <w:color w:val="181818"/>
        </w:rPr>
        <w:t xml:space="preserve"> FLI Charge </w:t>
      </w:r>
      <w:r>
        <w:rPr>
          <w:rFonts w:ascii="Arial" w:cs="Arial" w:eastAsia="Arial" w:hAnsi="Arial"/>
          <w:sz w:val="18"/>
          <w:szCs w:val="18"/>
          <w:color w:val="000000"/>
        </w:rPr>
        <w:t>plans to strengthen and develop partnerships in numerous markets including automotive, education, office, healthcare, power tools and vaporizers. Our strategy for our intellectual property operating segment is to continue to monetize our existing portfolio of intellectual property through licensing and strategic partnerships.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Group Mobile</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Group Mobile is a growing and innovative full, end-to-end solution provider for project lifecycle services including system integration, hardware service support, pre- and post-deployment and customer support helpdesk. Group Mobile provides total hardware solutions, including rugged laptops, tablets, and handheld computers. Group Mobile also markets rugged mobile printers, vehicle computer docking and mounting gear, power accessories, wireless</w:t>
      </w:r>
    </w:p>
    <w:p>
      <w:pPr>
        <w:sectPr>
          <w:pgSz w:w="11900" w:h="16952" w:orient="portrait"/>
          <w:cols w:equalWidth="0" w:num="1">
            <w:col w:w="11420"/>
          </w:cols>
          <w:pgMar w:left="240" w:top="904" w:right="239" w:bottom="0" w:gutter="0" w:footer="0" w:header="0"/>
        </w:sectPr>
      </w:pPr>
    </w:p>
    <w:bookmarkStart w:id="27" w:name="page28"/>
    <w:bookmarkEnd w:id="27"/>
    <w:p>
      <w:pPr>
        <w:jc w:val="both"/>
        <w:spacing w:after="0" w:line="312" w:lineRule="auto"/>
        <w:rPr>
          <w:sz w:val="20"/>
          <w:szCs w:val="20"/>
          <w:color w:val="auto"/>
        </w:rPr>
      </w:pPr>
      <w:r>
        <w:rPr>
          <w:rFonts w:ascii="Arial" w:cs="Arial" w:eastAsia="Arial" w:hAnsi="Arial"/>
          <w:sz w:val="16"/>
          <w:szCs w:val="16"/>
          <w:color w:val="auto"/>
        </w:rPr>
        <w:t>communication products, antennas, carrying cases and other peripherals, accessories and add-ons needed to maximize productivity in a mobile- or field-computing environment. Group Mobile’s professional service offerings are evolving into project lifecycle services including technology consultations, development and deployment, project and asset management, equipment installation, break-fix, hardware service technical support, 24-7 helpdesk and more.</w:t>
      </w:r>
    </w:p>
    <w:p>
      <w:pPr>
        <w:spacing w:after="0" w:line="356"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8" w:name="page29"/>
    <w:bookmarkEnd w:id="28"/>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Group Mobile is moving aggressively to provide industry leading Law Enforcement In-Vehicle “Video and Body Worn” camera solutions to meet the complex mobile technology demands of thousands of law enforcement agencies and officers in the United States (“U.S.”) market. Key to the Group Mobile long-term strategy is the complete professional services, post deployment services and lifecycle management of Group Mobile offerings to bring stability to the customer mobile technology platforms.</w:t>
      </w:r>
    </w:p>
    <w:p>
      <w:pPr>
        <w:spacing w:after="0" w:line="18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Group Mobile purchases rugged mobile computing equipment and complementary products from its primary distribution and manufacturing partners and sells them to enterprises, resellers, and retail customers. Our primary customers range from corporations to local governments, emergency first responders and healthcare organizations. We believe that Group Mobile’s business is characterized by gross profits as a percentage of revenue slightly higher than is commonly found in resellers of computing devices. The market for rugged mobile computing products is trending towards an increase in the volume of unit sales combined with declining unit prices as the business transitions from primarily being comprised of laptops to one primarily comprised of rugged tablets. As this transition has occurred, Group Mobile is seeing shortened product life cycles and industry specific devices for segments such as healthcare. Group Mobile sets sale prices based on the market supply and demand characteristics for each particular product. Group Mobile is highly dependent on the end-market demand for rugged mobile computing products, which is influenced by many factors including the introduction of new IT products by OEM, replacement cycles for existing rugged mobile computing products, overall economic growth, local and state budgets, and general business activity.</w:t>
      </w:r>
    </w:p>
    <w:p>
      <w:pPr>
        <w:spacing w:after="0" w:line="16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Product costs represent the single largest expense and product inventory is one of the largest working capital investments for Group Mobile. Group Mobile’s primary suppliers include Synnex Corporation, Ingram Micro Inc., and Xplore Technologies Corporation, which, combined, represent approximately 80% of Group Mobile’s inventory purchases. We have reseller agreements with most of our OEM and distribution partners. These agreements usually provide for nonexclusive resale and distribution rights. The agreements are generally short-term, subject to periodic renewal, and often contain provisions permitting termination by either our supplier or us without cause upon relatively short notice. Furthermore, product procurement from the OEM suppliers is a highly complex process and, as such, efficient and effective purchasing operations are critical to Group Mobile’s success.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81818"/>
        </w:rPr>
        <w:t>FLI Charge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FLI Charge is a wireless power company dedicated to making it easier for people to power and charge the multitude of mobile electronic devices they use on a daily basis. By eliminating the need to search and compete for outlets and charging cables, we are improving the powering and charging experience for all battery and DC powered devices.</w:t>
      </w:r>
    </w:p>
    <w:p>
      <w:pPr>
        <w:spacing w:after="0" w:line="18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FLI Charge designs, develops, licenses, manufactures and markets wireless conductive power and charging solutions. FLI Charge is currently working with partners in several verticals to bring products to market. These verticals include education, office, hospitality, automotive and consumer electronics among others. To date, we have not yet generated any substantial revenue from our products. We believe that FLI Charge’s patented technology is the only wireless power solution that is fully interoperable between different mobile devices ranging from smartphones to power tools, and many more. FLI Charge’s wireless power solution can simultaneously power multiple devices on the same pad no matter their power requirements or positions on the pad.</w:t>
      </w:r>
    </w:p>
    <w:p>
      <w:pPr>
        <w:spacing w:after="0" w:line="15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FLI Charge ecosystem consists of power pads or surfaces as well as devices that are connected to or embedded with FLI Charge enabling technology. FLI Charge pads and surfaces are connected to a power source or battery. The surface of the pad has conductive contact strips that provide power and are constantly monitored by control circuitry that immediately halts power transfer if an unapproved load or short-circuit condition is detected. FLI Charge-enabled devices are embedded with the FLI Charge contact enablement that consists of four contact points, known as the FLI Charge “constellation.” The constellation is designed to make an immediate and continuous electrical connection with the contact strips regardless of the device’s orientation on the pad. The enablement monitors the power coming from the pad and ensures that the correct amount of power goes to the device. Once an approved FLI Charge device is placed on a pad, power is transferred immediately to charge or power the device.</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There are several competing wireless charging technologies on the market or under development today. The most popular competing technology is inductive wireless charging, in which magnetic induction uses a magnetic coil to create resonance, which can transmit energy over a relatively short distance. The amount of power delivered is a function of the size of the coils, and the coils must be aligned and paired within a typical distance of less than one inch. Products utilizing magnetic induction have been available for 10+ years in products such as rechargeable electronic toothbrushes and pace makers. The leading inductive technologies deliver a maximum of 10-15 watts. Other competing technologies include magnetic resonance, RF harvesting, laser and ultrasound.</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compared to each of the competing wireless technologies above, we believe that our conductive technology exhibits many competitive advantages including:</w:t>
      </w:r>
    </w:p>
    <w:p>
      <w:pPr>
        <w:spacing w:after="0" w:line="170"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charge rates/efficiency – FLI Charge pads charge devices nearly as fast as plugging them into a wall outlet;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multiple devices – FLI Charge pads can charge or power multiple devices at the same time without reducing the charging speed;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safety – FLI Charge’s technology is as safe as plugging devices into a wall outlet;</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maximum power – FLI Charge pads can supply as much as 150 watts of power, which is enough to charge or power devices with relatively high power requirements such as power tool batteries and flat screen monitors;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positioning freedom – FLI Charge’s technology allows for devices to be placed in any orientation, anywhere on the pad, without sacrificing any charging speed;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compatibility – all FLI Charge enabled electronic devices are compatible with all FLI Charge pads.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FLI Charge launched its consumer product line on Indiegogo, a crowdfunding platform, on June 15, 2016; the campaign was completed on August 15, 2016. We account for funds raised from crowdfunding campaigns and presales, which were approximately $224, as deferred revenue on the condensed consolidated balance sheets. FLI Charge expects to deliver products to the participants in the fourth quarter of 2016.</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currently contemplating financing the expansion of the FLI Charge operating segment through a direct investment in the FLI Charge subsidiary in the form of a convertible preferred security, which may be exchangeable for our common stock under certain circumstances. No assurance can be made that such financing will occur on the terms currently contemplated or at all.</w:t>
      </w:r>
    </w:p>
    <w:p>
      <w:pPr>
        <w:sectPr>
          <w:pgSz w:w="11900" w:h="16918" w:orient="portrait"/>
          <w:cols w:equalWidth="0" w:num="1">
            <w:col w:w="11420"/>
          </w:cols>
          <w:pgMar w:left="240" w:top="908" w:right="239" w:bottom="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181818"/>
        </w:rPr>
        <w:t>Intellectual Property</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intellectual property operating segment is engaged in the innovation, development and monetization of intellectual property. Our portfolio consists of over 600 patents and patent applications covering telecom infrastructure, internet search, ad-insertion and mobile technologies.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currently focused on monetizing our technology portfolio through a variety of value enhancing initiatives including, but not limited to, licensing, litigation and strategic partnerships. For further information regarding our intellectual property enforcement activities, refer to Part II, Item 1, Legal Proceedings, in this Quarterly Report on Form 10-Q.</w:t>
      </w:r>
    </w:p>
    <w:p>
      <w:pPr>
        <w:spacing w:after="0" w:line="390"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u w:val="single" w:color="auto"/>
          <w:color w:val="181818"/>
        </w:rPr>
        <w:t>Recent Developments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181818"/>
        </w:rPr>
        <w:t>XpresSpa</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181818"/>
        </w:rPr>
        <w:t>On August 8, 2016, we entered into an Agreement and Plan of Merger (the “Merger Agreement”) with FHXMS, LLC, a Delaware limited liability company and our wholly-owned subsidiary (the “Merger Sub”), XpresSpa Holdings, LLC, a Delaware limited liability company (“XpresSpa”), the unitholders of XpresSpa who are parties thereto (the “Unitholders”) and Mistral XH Representative, LLC, as representative of the Unitholders (the “Representative”), pursuant to which the Merger Sub will merge with and into XpresSpa, with XpresSpa being the surviving entity and our wholly-owned subsidiary (the “Surviving Entity”) and the Unitholders becoming our stockholders (the “Merger”).</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XpresSpa is a leading airport retailer of spa services and related products, and also sells spa products through its internet site. Services and products include:</w:t>
      </w:r>
    </w:p>
    <w:p>
      <w:pPr>
        <w:spacing w:after="0" w:line="46" w:lineRule="exact"/>
        <w:rPr>
          <w:sz w:val="20"/>
          <w:szCs w:val="20"/>
          <w:color w:val="auto"/>
        </w:rPr>
      </w:pPr>
    </w:p>
    <w:p>
      <w:pPr>
        <w:jc w:val="both"/>
        <w:ind w:firstLine="8"/>
        <w:spacing w:after="0" w:line="255" w:lineRule="auto"/>
        <w:tabs>
          <w:tab w:leader="none" w:pos="219"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massage services for the neck, back, feet and whole body, (ii) nail care, such as pedicures, manicures and polish changes, (iii) beauty care services such as waxing and facials, (iv) hair care, such as haircuts and blow outs, (v) spa products such as massagers, lotions and aromatherapy aids and (vi) travel products such as neck pillows and eye masks.</w:t>
      </w:r>
    </w:p>
    <w:p>
      <w:pPr>
        <w:spacing w:after="0" w:line="19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181818"/>
        </w:rPr>
        <w:t>Upon completion of the Merger, (i) the then-outstanding common units of XpresSpa (other than those held by us, which will be cancelled without any consideration) and (ii) the then-outstanding preferred units of XpresSpa (other than those held by us, which will be cancelled without any consideration) will be automatically converted into the right to receive an aggregate of:</w:t>
      </w:r>
    </w:p>
    <w:p>
      <w:pPr>
        <w:spacing w:after="0" w:line="181"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181818"/>
        </w:rPr>
      </w:pPr>
      <w:r>
        <w:rPr>
          <w:rFonts w:ascii="Arial" w:cs="Arial" w:eastAsia="Arial" w:hAnsi="Arial"/>
          <w:sz w:val="18"/>
          <w:szCs w:val="18"/>
          <w:color w:val="181818"/>
        </w:rPr>
        <w:t>2,500,000 shares of our common stock, par value $0.01 per share (“FORM Common Stock”),</w:t>
      </w:r>
    </w:p>
    <w:p>
      <w:pPr>
        <w:spacing w:after="0" w:line="225" w:lineRule="exact"/>
        <w:rPr>
          <w:rFonts w:ascii="Arial" w:cs="Arial" w:eastAsia="Arial" w:hAnsi="Arial"/>
          <w:sz w:val="18"/>
          <w:szCs w:val="18"/>
          <w:color w:val="181818"/>
        </w:rPr>
      </w:pPr>
    </w:p>
    <w:p>
      <w:pPr>
        <w:ind w:left="660" w:right="2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494,792 shares of our newly designated Series D Convertible Preferred Stock, par value $0.01 per share, (“FORM Preferred Stock”) with an aggregate initial liquidation preference of $23,750,000, and</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five-year warrants to purchase an aggregate of 2,500,000 shares of FORM Common Stock, at an exercise price of $3.00 per share, each subject to adjustment in the event of a stock split, dividend or similar events.</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FORM Preferred Stock shall be initially convertible into an aggregate of 3,958,336 shares of FORM Common Stock, which equals a $6.00 per share conversion price, and each holder of FORM Preferred Stock shall be entitled to vote on an as converted basis. The FORM Preferred Stock is senior to the FORM Common Stock and the terms of the FORM Preferred Stock contain no restrictions on our ability to issue additional senior preferred securities or our ability to issue additional preferred securities in the future. We have the right, but not the obligation, upon ten trading days’ notice to convert the outstanding shares of FORM Preferred Stock into FORM Common Stock at the then applicable conversion ratio, at any time or from time to time, if the volume weighted average price per share of the FORM Common Stock exceeds $9.00 for over any 20 days in a 30 consecutive trading day period. The term of the FORM Preferred Stock is seven years, after which time we can repay the holders in shares of FORM Common Stock or cash at our election. If we elect to make a payment, or any portion thereof, in shares of FORM Common Stock, the number of shares deliverable (the “Base Shares”) will be based on the volume weighted average price per share of FORM Common Stock for the 30 trading days prior to the date of calculation (the “Base Price”) plus an additional number of shares of FORM Common Stock (the “Premium Shares”), calculated as follows: (i) if the Base Price is greater than $9.00, no Premium Shares shall be issued, (ii) if the Base Price is greater than $7.00 and equal to or less than $9.00, an additional number of shares equal to 5% of the Base Shares shall be issued, (iii) if the Base Price is greater than $6.00 and equal to or less than $7.00, an additional number of shares equal to 10% of the Base Shares shall be issued, (iv) if the Base Price is greater than $5.00 and equal to or less than $6.00, an additional number of shares equal to 20% of the Base Shares shall be issued and (v) if the Base Price is less than or equal to $5.00, an additional number of shares equal to 25% of the Base Shares shall be issued. The FORM Preferred Stock will accrue interest at 9% per annum, or $4.32 per share of FORM Preferred Stock.</w:t>
      </w:r>
    </w:p>
    <w:p>
      <w:pPr>
        <w:spacing w:after="0" w:line="16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181818"/>
        </w:rPr>
        <w:t>In addition, we entered into subscription agreements to sell 750,574 shares of our unregistered Common Stock to certain holders of XpresSpa, at a purchase price of $2.31 per share, for an aggregate purchase price of $1,734,000.</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181818"/>
        </w:rPr>
        <w:t xml:space="preserve">On August 8, 2016, we purchased from XpresSpa an aggregate of 1,733,826 of Series C Preferred Units of XpresSpa, at a per unit purchase price of $1.00 per unit, for an aggregate purchase price of $1,734,000, which is included in other current assets </w:t>
      </w:r>
      <w:r>
        <w:rPr>
          <w:rFonts w:ascii="Arial" w:cs="Arial" w:eastAsia="Arial" w:hAnsi="Arial"/>
          <w:sz w:val="18"/>
          <w:szCs w:val="18"/>
          <w:color w:val="000000"/>
        </w:rPr>
        <w:t>in the condensed consolidated balance sheets</w:t>
      </w:r>
      <w:r>
        <w:rPr>
          <w:rFonts w:ascii="Arial" w:cs="Arial" w:eastAsia="Arial" w:hAnsi="Arial"/>
          <w:sz w:val="18"/>
          <w:szCs w:val="18"/>
          <w:color w:val="181818"/>
        </w:rPr>
        <w:t>. The Series C Preferred Units of XpresSpa will have a preference in the amount of its initial investment and shall bear 12% interest until the closing of the anticipated merger agreement.</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holding our annual meeting of stockholders on November 28, 2016 to approve, among other things, the Merger and the issuance of shares of FORM Common Stock, FORM Preferred Stock and warrants to the Unitholders in connection with the Merger. Assuming stockholder approval is received, we expect to complete the Merger shortly after the stockholders vote. Immediately following the completion of the Merger (without taking into account any shares of FORM Common Stock held by XpresSpa equity holders prior to the completion of the Merger), the former Unitholders of XpresSpa are expected to own approximately 18% of the outstanding FORM Common Stock (or 33% of the outstanding FORM Common Stock calculated on a fully diluted basis) and our current stockholders are expected to own approximately 82% of the outstanding FORM Common Stock (or 67% of the outstanding FORM Common Stock calculated on a fully diluted basis).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181818"/>
        </w:rPr>
        <w:t>Impairment of Patents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181818"/>
        </w:rPr>
        <w:t>Our name change and repositioning as a holding company was deemed a triggering event, which required our patent assets to be tested for impairment. In performing this impairment test, we determined that the patent portfolios, which together represent an asset group, were subject to impairment testing. In the first step of the impairment test, we utilized our projections of future undiscounted cash flows based on our existing plans for the patents. As a result, it was determined that our projections of future undiscounted cash flows were less than the carrying value of the asset group. Accordingly, we performed the second step of the impairment test to measure the potential impairment by calculating the asset group’s fair value as of May 6, 2016. As a result, following amortization for the month of April, we recorded an impairment charge of $11,937,000, which resulted in a new carrying value of $1,526,000 on May 6, 2016. Following the impairment, we reevaluated the remaining useful life and concluded that there were no changes in the estimated useful life.</w:t>
      </w:r>
    </w:p>
    <w:p>
      <w:pPr>
        <w:spacing w:after="0" w:line="376"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0" w:gutter="0" w:footer="0" w:header="0"/>
        </w:sectPr>
      </w:pPr>
    </w:p>
    <w:bookmarkStart w:id="31" w:name="page32"/>
    <w:bookmarkEnd w:id="31"/>
    <w:p>
      <w:pPr>
        <w:spacing w:after="0"/>
        <w:rPr>
          <w:sz w:val="20"/>
          <w:szCs w:val="20"/>
          <w:color w:val="auto"/>
        </w:rPr>
      </w:pPr>
      <w:r>
        <w:rPr>
          <w:rFonts w:ascii="Arial" w:cs="Arial" w:eastAsia="Arial" w:hAnsi="Arial"/>
          <w:sz w:val="18"/>
          <w:szCs w:val="18"/>
          <w:i w:val="1"/>
          <w:iCs w:val="1"/>
          <w:color w:val="181818"/>
        </w:rPr>
        <w:t>Stockholder Rights Plan</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On March 18, 2016, we announced that our Board of Directors adopted a stockholder rights plan in the form of a Section 382 Rights Agreement designed to preserve our tax assets. As a part of the plan, our Board of Directors declared a dividend of one preferred-share-purchase right for each share of our common stock outstanding as of March 29, 2016. Effective on March 18, 2016, if any group or person acquires 4.99% or more of our outstanding shares of common stock, or if a group or person that already owns 4.99% or more of our common stock acquires additional shares representing 0.5% or more of our common stock, then, subject to certain exceptions, there would be a triggering event under the plan. The rights would then separate from our common stock and would be adjusted to become exercisable to purchase shares of our common stock having a market value equal to twice the purchase price of $9.50, resulting in significant dilution in the ownership interest of the acquiring person or group. Our Board of Directors has the discretion to exempt any acquisition of our common stock from the provisions of the plan and has the ability to terminate the plan prior to a triggering event. In connection with this plan, we filed a Certificate of Designation of Series C Junior Preferred Stock with the Secretary of State of Delaware on March 18, 2016.</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Secured Notes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March 9, 2016, we entered into an exchange note agreement (the “Exchange Note Agreement”) with the holders (the “Investors”) of our $12,500,000 Senior Secured Notes (the “Notes”), which we originally issued in a registered direct offering on May 4, 2015. Pursuant to the Exchange Note Agreement, we issued to the Investors an aggregate of 703,644 shares of our common stock, par value $0.01 per share, in exchange for the reduction of $1,267,000 of the outstanding aggregate principal amount of the Notes and $49,000 of accrued interest. As a result, the outstanding aggregate principal amount under the Notes was reduced from $3,016,000 to $1,749,000 as of March 9, 2016.</w:t>
      </w:r>
    </w:p>
    <w:p>
      <w:pPr>
        <w:spacing w:after="0" w:line="18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addition, on March 9, 2016, with the consent of each of the Investors, we agreed to amend the Notes. Pursuant to the Amended and Restated Senior Secured Notes (the “Amended Notes”) and the Indenture dated May 4, 2015, as supplemented by a First Supplemental Indenture dated May 4, 2015 and further supplemented by a Second Supplemental Indenture (the “Second Supplemental Indenture”) dated March 9, 2016: (i) the Amended Notes are no longer convertible into shares of our common stock and will be payable by us on the Maturity Date (as defined below) in cash only, (ii) the Maturity Date of the Amended Notes will extend to June 30, 2017 (the “Maturity Date”), (iii) we will discontinue the payment of principal prior to the Maturity Date (subject to certain exceptions), (iv) the interest rate increased from 8% to 10% per annum and will accrue on the outstanding aggregate principal amount of the Amended Notes, payable monthly, and (v) we will pay to the Investors on the Maturity Date 102% of the outstanding aggregate principal amount of the Amended Notes. We also agreed to maintain a cash balance (including cash equivalents) of not less than $2,900,000.</w:t>
      </w:r>
    </w:p>
    <w:p>
      <w:pPr>
        <w:spacing w:after="0" w:line="1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we agreed to reduce the exercise price of the warrants to purchase an aggregate of 537,500 shares of our common stock granted as part of the initial agreement (the “May 2015 Warrants”) from $10.00 to $3.00 per share and the parties also agreed to remove from the May 2015 Warrants certain anti-dilution features. Other terms of the May 2015 Warrants remained the same. Furthermore, in connection with the Amended Notes, we paid a restructuring fee of $50,000 to the Investors.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July 1, 2016, we repaid in full our Amended Notes that were due on June 30, 2017. As required by the terms of the Amended Notes, notice of repayment was delivered to the Investors on June 30, 2016. We repaid the Amended Notes in full, including a 15% fee for early repayment. We used an aggregate of $2,011,000 of cash on hand for repayment of the Amended Notes. As a result of the repayment in full of the Amended Notes, all liens on our assets, including intellectual property, were released by the Investors.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181818"/>
        </w:rPr>
        <w:t>Reverse Stock Split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Unless otherwise noted, the information contained in this Quarterly Report on Form 10-Q gives effect to a one-for-ten reverse stock split of our common stock effected on November 27, 2015 on a retroactive basis for all periods presented.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Three-month period ended September 30, 2016 compared to the three-month period ended September 30, 2015</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We generate revenue through our three operating segments: </w:t>
      </w:r>
      <w:r>
        <w:rPr>
          <w:rFonts w:ascii="Arial" w:cs="Arial" w:eastAsia="Arial" w:hAnsi="Arial"/>
          <w:sz w:val="18"/>
          <w:szCs w:val="18"/>
          <w:color w:val="181818"/>
        </w:rPr>
        <w:t>Group Mobile, FLI Charge and intellectual property</w:t>
      </w:r>
      <w:r>
        <w:rPr>
          <w:rFonts w:ascii="Arial" w:cs="Arial" w:eastAsia="Arial" w:hAnsi="Arial"/>
          <w:sz w:val="18"/>
          <w:szCs w:val="18"/>
          <w:color w:val="auto"/>
        </w:rPr>
        <w:t>.</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980" w:type="dxa"/>
            <w:vAlign w:val="bottom"/>
            <w:gridSpan w:val="8"/>
          </w:tcPr>
          <w:p>
            <w:pPr>
              <w:jc w:val="center"/>
              <w:ind w:right="360"/>
              <w:spacing w:after="0"/>
              <w:rPr>
                <w:sz w:val="20"/>
                <w:szCs w:val="20"/>
                <w:color w:val="auto"/>
              </w:rPr>
            </w:pPr>
            <w:r>
              <w:rPr>
                <w:rFonts w:ascii="Arial" w:cs="Arial" w:eastAsia="Arial" w:hAnsi="Arial"/>
                <w:sz w:val="18"/>
                <w:szCs w:val="18"/>
                <w:color w:val="auto"/>
                <w:w w:val="87"/>
              </w:rPr>
              <w:t>Three months ended September 30,</w:t>
            </w:r>
          </w:p>
        </w:tc>
      </w:tr>
      <w:tr>
        <w:trPr>
          <w:trHeight w:val="223"/>
        </w:trPr>
        <w:tc>
          <w:tcPr>
            <w:tcW w:w="546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rPr>
              <w:t>2016</w:t>
            </w:r>
          </w:p>
        </w:tc>
        <w:tc>
          <w:tcPr>
            <w:tcW w:w="18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rPr>
              <w:t>2015</w:t>
            </w:r>
          </w:p>
        </w:tc>
        <w:tc>
          <w:tcPr>
            <w:tcW w:w="20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Change</w:t>
            </w:r>
          </w:p>
        </w:tc>
        <w:tc>
          <w:tcPr>
            <w:tcW w:w="80" w:type="dxa"/>
            <w:vAlign w:val="bottom"/>
            <w:tcBorders>
              <w:bottom w:val="single" w:sz="8" w:color="CCEEFF"/>
            </w:tcBorders>
          </w:tcPr>
          <w:p>
            <w:pPr>
              <w:spacing w:after="0"/>
              <w:rPr>
                <w:sz w:val="19"/>
                <w:szCs w:val="19"/>
                <w:color w:val="auto"/>
              </w:rPr>
            </w:pPr>
          </w:p>
        </w:tc>
      </w:tr>
      <w:tr>
        <w:trPr>
          <w:trHeight w:val="210"/>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Licensing revenue</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1,350,000</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ind w:left="800"/>
              <w:spacing w:after="0"/>
              <w:rPr>
                <w:sz w:val="20"/>
                <w:szCs w:val="20"/>
                <w:color w:val="auto"/>
              </w:rPr>
            </w:pPr>
            <w:r>
              <w:rPr>
                <w:rFonts w:ascii="Arial" w:cs="Arial" w:eastAsia="Arial" w:hAnsi="Arial"/>
                <w:sz w:val="18"/>
                <w:szCs w:val="18"/>
                <w:color w:val="auto"/>
                <w:w w:val="88"/>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1,350,000</w:t>
            </w:r>
          </w:p>
        </w:tc>
        <w:tc>
          <w:tcPr>
            <w:tcW w:w="80" w:type="dxa"/>
            <w:vAlign w:val="bottom"/>
            <w:shd w:val="clear" w:color="auto" w:fill="CCEEFF"/>
          </w:tcPr>
          <w:p>
            <w:pPr>
              <w:spacing w:after="0"/>
              <w:rPr>
                <w:sz w:val="18"/>
                <w:szCs w:val="18"/>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Product revenue</w:t>
            </w:r>
          </w:p>
        </w:tc>
        <w:tc>
          <w:tcPr>
            <w:tcW w:w="26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1,755,000</w:t>
            </w:r>
          </w:p>
        </w:tc>
        <w:tc>
          <w:tcPr>
            <w:tcW w:w="280" w:type="dxa"/>
            <w:vAlign w:val="bottom"/>
          </w:tcPr>
          <w:p>
            <w:pPr>
              <w:spacing w:after="0"/>
              <w:rPr>
                <w:sz w:val="19"/>
                <w:szCs w:val="19"/>
                <w:color w:val="auto"/>
              </w:rPr>
            </w:pPr>
          </w:p>
        </w:tc>
        <w:tc>
          <w:tcPr>
            <w:tcW w:w="118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1,755,000</w:t>
            </w:r>
          </w:p>
        </w:tc>
        <w:tc>
          <w:tcPr>
            <w:tcW w:w="80" w:type="dxa"/>
            <w:vAlign w:val="bottom"/>
          </w:tcPr>
          <w:p>
            <w:pPr>
              <w:spacing w:after="0"/>
              <w:rPr>
                <w:sz w:val="19"/>
                <w:szCs w:val="19"/>
                <w:color w:val="auto"/>
              </w:rPr>
            </w:pPr>
          </w:p>
        </w:tc>
      </w:tr>
      <w:tr>
        <w:trPr>
          <w:trHeight w:val="223"/>
        </w:trPr>
        <w:tc>
          <w:tcPr>
            <w:tcW w:w="54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w:t>
            </w: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3,105,000</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w w:val="88"/>
              </w:rPr>
              <w:t>—</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3,105,000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three-month period ended September 30, 2016, we recorded total revenue of $3,105,000. There was no revenue recognized for the three-month period ended September 30, 2015. The increase was attributable to each of our operating segments. Group Mobile recognized $1,751,000 of product revenue, FLI Charge recognized $4,000 of product revenue, and our intellectual property operating segment recognized a one-time lump sum payment of $1,350,000 in connection with a settlement agreement. We did not recognize any revenue generated by Group Mobile or FLI Charge prior to their acquisition on October 15, 2015.</w:t>
      </w:r>
    </w:p>
    <w:p>
      <w:pPr>
        <w:spacing w:after="0" w:line="18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181818"/>
        </w:rPr>
        <w:t xml:space="preserve">We believe that growth in Group Mobile’s revenue can be achieved by adding new products, exploring new distribution verticals, such as military and government, and increasing the sales team’s geographic coverage. </w:t>
      </w:r>
      <w:r>
        <w:rPr>
          <w:rFonts w:ascii="Arial" w:cs="Arial" w:eastAsia="Arial" w:hAnsi="Arial"/>
          <w:sz w:val="16"/>
          <w:szCs w:val="16"/>
          <w:color w:val="000000"/>
        </w:rPr>
        <w:t>In addition, we plan to enhance our intellectual property rights around our FLI Charge</w:t>
      </w:r>
      <w:r>
        <w:rPr>
          <w:rFonts w:ascii="Arial" w:cs="Arial" w:eastAsia="Arial" w:hAnsi="Arial"/>
          <w:sz w:val="16"/>
          <w:szCs w:val="16"/>
          <w:color w:val="181818"/>
        </w:rPr>
        <w:t xml:space="preserve"> </w:t>
      </w:r>
      <w:r>
        <w:rPr>
          <w:rFonts w:ascii="Arial" w:cs="Arial" w:eastAsia="Arial" w:hAnsi="Arial"/>
          <w:sz w:val="16"/>
          <w:szCs w:val="16"/>
          <w:color w:val="000000"/>
        </w:rPr>
        <w:t xml:space="preserve">technology and products. </w:t>
      </w:r>
      <w:r>
        <w:rPr>
          <w:rFonts w:ascii="Arial" w:cs="Arial" w:eastAsia="Arial" w:hAnsi="Arial"/>
          <w:sz w:val="16"/>
          <w:szCs w:val="16"/>
          <w:color w:val="181818"/>
        </w:rPr>
        <w:t>FLI Charge</w:t>
      </w:r>
      <w:r>
        <w:rPr>
          <w:rFonts w:ascii="Arial" w:cs="Arial" w:eastAsia="Arial" w:hAnsi="Arial"/>
          <w:sz w:val="16"/>
          <w:szCs w:val="16"/>
          <w:color w:val="000000"/>
        </w:rPr>
        <w:t xml:space="preserve"> plans to strengthen and develop partnerships in numerous markets including automotive, education, office, healthcare, power tools and vaporizers. We intend to continue to monetize our existing portfolio of intellectual property through licensing and strategic partnerships.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goods sold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We incur cost of goods sold through two of our operating segments: </w:t>
      </w:r>
      <w:r>
        <w:rPr>
          <w:rFonts w:ascii="Arial" w:cs="Arial" w:eastAsia="Arial" w:hAnsi="Arial"/>
          <w:sz w:val="18"/>
          <w:szCs w:val="18"/>
          <w:color w:val="181818"/>
        </w:rPr>
        <w:t>Group Mobile and FLI Charge</w:t>
      </w:r>
      <w:r>
        <w:rPr>
          <w:rFonts w:ascii="Arial" w:cs="Arial" w:eastAsia="Arial" w:hAnsi="Arial"/>
          <w:sz w:val="18"/>
          <w:szCs w:val="18"/>
          <w:color w:val="auto"/>
        </w:rPr>
        <w:t>.</w:t>
      </w:r>
    </w:p>
    <w:p>
      <w:pPr>
        <w:sectPr>
          <w:pgSz w:w="11900" w:h="16838" w:orient="portrait"/>
          <w:cols w:equalWidth="0" w:num="1">
            <w:col w:w="11420"/>
          </w:cols>
          <w:pgMar w:left="240" w:top="908" w:right="239" w:bottom="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30"/>
        </w:trPr>
        <w:tc>
          <w:tcPr>
            <w:tcW w:w="5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980" w:type="dxa"/>
            <w:vAlign w:val="bottom"/>
            <w:gridSpan w:val="8"/>
          </w:tcPr>
          <w:p>
            <w:pPr>
              <w:jc w:val="center"/>
              <w:ind w:right="360"/>
              <w:spacing w:after="0"/>
              <w:rPr>
                <w:sz w:val="20"/>
                <w:szCs w:val="20"/>
                <w:color w:val="auto"/>
              </w:rPr>
            </w:pPr>
            <w:r>
              <w:rPr>
                <w:rFonts w:ascii="Arial" w:cs="Arial" w:eastAsia="Arial" w:hAnsi="Arial"/>
                <w:sz w:val="18"/>
                <w:szCs w:val="18"/>
                <w:color w:val="auto"/>
                <w:w w:val="87"/>
              </w:rPr>
              <w:t>Three months ended September 30,</w:t>
            </w:r>
          </w:p>
        </w:tc>
      </w:tr>
      <w:tr>
        <w:trPr>
          <w:trHeight w:val="223"/>
        </w:trPr>
        <w:tc>
          <w:tcPr>
            <w:tcW w:w="546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rPr>
              <w:t>2016</w:t>
            </w:r>
          </w:p>
        </w:tc>
        <w:tc>
          <w:tcPr>
            <w:tcW w:w="18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rPr>
              <w:t>2015</w:t>
            </w:r>
          </w:p>
        </w:tc>
        <w:tc>
          <w:tcPr>
            <w:tcW w:w="20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Change</w:t>
            </w:r>
          </w:p>
        </w:tc>
        <w:tc>
          <w:tcPr>
            <w:tcW w:w="80" w:type="dxa"/>
            <w:vAlign w:val="bottom"/>
            <w:tcBorders>
              <w:bottom w:val="single" w:sz="8" w:color="CCEEFF"/>
            </w:tcBorders>
          </w:tcPr>
          <w:p>
            <w:pPr>
              <w:spacing w:after="0"/>
              <w:rPr>
                <w:sz w:val="19"/>
                <w:szCs w:val="19"/>
                <w:color w:val="auto"/>
              </w:rPr>
            </w:pPr>
          </w:p>
        </w:tc>
      </w:tr>
      <w:tr>
        <w:trPr>
          <w:trHeight w:val="223"/>
        </w:trPr>
        <w:tc>
          <w:tcPr>
            <w:tcW w:w="5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1,560,000</w:t>
            </w:r>
          </w:p>
        </w:tc>
        <w:tc>
          <w:tcPr>
            <w:tcW w:w="1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w w:val="88"/>
              </w:rPr>
              <w:t>—</w:t>
            </w:r>
          </w:p>
        </w:tc>
        <w:tc>
          <w:tcPr>
            <w:tcW w:w="2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1,560,000</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0"/>
        </w:trPr>
        <w:tc>
          <w:tcPr>
            <w:tcW w:w="5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three-month period ended September 30, 2016, we recorded total cost of goods sold of $1,560,000, which represents the costs of products sold by Group Mobile for the period. We did not recognize any cost of goods sold for FLI Charge during the three-month period ended September 30, 2016 and we did not recognize any expenses incurred by Group Mobile or FLI Charge prior to their acquisition on October 15, 2015. We expect the cost of goods sold to increase over time as our product revenue increases.</w:t>
      </w:r>
    </w:p>
    <w:p>
      <w:pPr>
        <w:spacing w:after="0" w:line="396"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34"/>
        </w:trPr>
        <w:tc>
          <w:tcPr>
            <w:tcW w:w="5460" w:type="dxa"/>
            <w:vAlign w:val="bottom"/>
          </w:tcPr>
          <w:p>
            <w:pPr>
              <w:spacing w:after="0"/>
              <w:rPr>
                <w:sz w:val="20"/>
                <w:szCs w:val="20"/>
                <w:color w:val="auto"/>
              </w:rPr>
            </w:pPr>
            <w:r>
              <w:rPr>
                <w:rFonts w:ascii="Arial" w:cs="Arial" w:eastAsia="Arial" w:hAnsi="Arial"/>
                <w:sz w:val="18"/>
                <w:szCs w:val="18"/>
                <w:b w:val="1"/>
                <w:bCs w:val="1"/>
                <w:color w:val="auto"/>
              </w:rPr>
              <w:t>Operating legal costs</w:t>
            </w: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5460" w:type="dxa"/>
            <w:vAlign w:val="bottom"/>
          </w:tcPr>
          <w:p>
            <w:pPr>
              <w:spacing w:after="0"/>
              <w:rPr>
                <w:sz w:val="20"/>
                <w:szCs w:val="20"/>
                <w:color w:val="auto"/>
              </w:rPr>
            </w:pPr>
            <w:r>
              <w:rPr>
                <w:rFonts w:ascii="Arial" w:cs="Arial" w:eastAsia="Arial" w:hAnsi="Arial"/>
                <w:sz w:val="18"/>
                <w:szCs w:val="18"/>
                <w:color w:val="auto"/>
                <w:w w:val="92"/>
              </w:rPr>
              <w:t>Operating legal costs relate to our intellectual property operating segment.</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46"/>
        </w:trPr>
        <w:tc>
          <w:tcPr>
            <w:tcW w:w="5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980" w:type="dxa"/>
            <w:vAlign w:val="bottom"/>
            <w:gridSpan w:val="8"/>
          </w:tcPr>
          <w:p>
            <w:pPr>
              <w:jc w:val="center"/>
              <w:ind w:right="280"/>
              <w:spacing w:after="0"/>
              <w:rPr>
                <w:sz w:val="20"/>
                <w:szCs w:val="20"/>
                <w:color w:val="auto"/>
              </w:rPr>
            </w:pPr>
            <w:r>
              <w:rPr>
                <w:rFonts w:ascii="Arial" w:cs="Arial" w:eastAsia="Arial" w:hAnsi="Arial"/>
                <w:sz w:val="18"/>
                <w:szCs w:val="18"/>
                <w:color w:val="auto"/>
                <w:w w:val="87"/>
              </w:rPr>
              <w:t>Three months ended September 30,</w:t>
            </w:r>
          </w:p>
        </w:tc>
      </w:tr>
      <w:tr>
        <w:trPr>
          <w:trHeight w:val="223"/>
        </w:trPr>
        <w:tc>
          <w:tcPr>
            <w:tcW w:w="546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rPr>
              <w:t>2016</w:t>
            </w:r>
          </w:p>
        </w:tc>
        <w:tc>
          <w:tcPr>
            <w:tcW w:w="18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rPr>
              <w:t>2015</w:t>
            </w:r>
          </w:p>
        </w:tc>
        <w:tc>
          <w:tcPr>
            <w:tcW w:w="20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Change</w:t>
            </w:r>
          </w:p>
        </w:tc>
        <w:tc>
          <w:tcPr>
            <w:tcW w:w="80" w:type="dxa"/>
            <w:vAlign w:val="bottom"/>
            <w:tcBorders>
              <w:bottom w:val="single" w:sz="8" w:color="CCEEFF"/>
            </w:tcBorders>
          </w:tcPr>
          <w:p>
            <w:pPr>
              <w:spacing w:after="0"/>
              <w:rPr>
                <w:sz w:val="19"/>
                <w:szCs w:val="19"/>
                <w:color w:val="auto"/>
              </w:rPr>
            </w:pPr>
          </w:p>
        </w:tc>
      </w:tr>
      <w:tr>
        <w:trPr>
          <w:trHeight w:val="223"/>
        </w:trPr>
        <w:tc>
          <w:tcPr>
            <w:tcW w:w="5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legal costs</w:t>
            </w: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1,164,000</w:t>
            </w:r>
          </w:p>
        </w:tc>
        <w:tc>
          <w:tcPr>
            <w:tcW w:w="1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6,776,000</w:t>
            </w:r>
          </w:p>
        </w:tc>
        <w:tc>
          <w:tcPr>
            <w:tcW w:w="2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(5,612,000</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5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the three-month period ended September 30, 2016, our operating legal costs were $1,164,000, which represents a decrease of $5,612,000 (or 82.8%) from operating legal costs recorded for the three-month period ended September 30, 2015. This decrease was primarily due to the timing and nature of consulting and patent litigation costs related to legal proceedings against ZTE and ASUS, especially as costs pertaining to our ZTE campaign declined significantly following the execution of the confidential settlement and license agreement in December 2015.</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expect that our legal costs will continue to decrease over time.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 royalties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Inventor royalties relate to royalties owed to the inventors of certain of our patent portfolios owned by our intellectual property operating segment.</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980" w:type="dxa"/>
            <w:vAlign w:val="bottom"/>
            <w:gridSpan w:val="8"/>
          </w:tcPr>
          <w:p>
            <w:pPr>
              <w:jc w:val="center"/>
              <w:ind w:right="360"/>
              <w:spacing w:after="0"/>
              <w:rPr>
                <w:sz w:val="20"/>
                <w:szCs w:val="20"/>
                <w:color w:val="auto"/>
              </w:rPr>
            </w:pPr>
            <w:r>
              <w:rPr>
                <w:rFonts w:ascii="Arial" w:cs="Arial" w:eastAsia="Arial" w:hAnsi="Arial"/>
                <w:sz w:val="18"/>
                <w:szCs w:val="18"/>
                <w:color w:val="auto"/>
                <w:w w:val="87"/>
              </w:rPr>
              <w:t>Three months ended September 30,</w:t>
            </w:r>
          </w:p>
        </w:tc>
      </w:tr>
      <w:tr>
        <w:trPr>
          <w:trHeight w:val="223"/>
        </w:trPr>
        <w:tc>
          <w:tcPr>
            <w:tcW w:w="546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rPr>
              <w:t>2016</w:t>
            </w:r>
          </w:p>
        </w:tc>
        <w:tc>
          <w:tcPr>
            <w:tcW w:w="18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rPr>
              <w:t>2015</w:t>
            </w:r>
          </w:p>
        </w:tc>
        <w:tc>
          <w:tcPr>
            <w:tcW w:w="20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Change</w:t>
            </w:r>
          </w:p>
        </w:tc>
        <w:tc>
          <w:tcPr>
            <w:tcW w:w="80" w:type="dxa"/>
            <w:vAlign w:val="bottom"/>
            <w:tcBorders>
              <w:bottom w:val="single" w:sz="8" w:color="CCEEFF"/>
            </w:tcBorders>
          </w:tcPr>
          <w:p>
            <w:pPr>
              <w:spacing w:after="0"/>
              <w:rPr>
                <w:sz w:val="19"/>
                <w:szCs w:val="19"/>
                <w:color w:val="auto"/>
              </w:rPr>
            </w:pPr>
          </w:p>
        </w:tc>
      </w:tr>
      <w:tr>
        <w:trPr>
          <w:trHeight w:val="223"/>
        </w:trPr>
        <w:tc>
          <w:tcPr>
            <w:tcW w:w="5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Inventor royalties</w:t>
            </w: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270,000</w:t>
            </w:r>
          </w:p>
        </w:tc>
        <w:tc>
          <w:tcPr>
            <w:tcW w:w="1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w w:val="88"/>
              </w:rPr>
              <w:t>—</w:t>
            </w:r>
          </w:p>
        </w:tc>
        <w:tc>
          <w:tcPr>
            <w:tcW w:w="2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270,000</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0"/>
        </w:trPr>
        <w:tc>
          <w:tcPr>
            <w:tcW w:w="5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Inventor royalties fluctuate period to period, based on the amount of licensing revenue we recognize each period, the terms and conditions of agreements executed each period and the mix of specific patent portfolios with varying economic terms and obligations generating revenues each period. During the three-month period ended September 30, 2016, our inventor royalty expense totaled $270,000, which relates to the royalties owed to the inventor of the patent portfolio, for which a settlement agreement was entered into during September 2016. We did not recognize any inventor royalty expense during the three-month period ended September 30, 2015.</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60" w:type="dxa"/>
            <w:vAlign w:val="bottom"/>
          </w:tcPr>
          <w:p>
            <w:pPr>
              <w:spacing w:after="0"/>
              <w:rPr>
                <w:sz w:val="20"/>
                <w:szCs w:val="20"/>
                <w:color w:val="auto"/>
              </w:rPr>
            </w:pPr>
            <w:r>
              <w:rPr>
                <w:rFonts w:ascii="Arial" w:cs="Arial" w:eastAsia="Arial" w:hAnsi="Arial"/>
                <w:sz w:val="18"/>
                <w:szCs w:val="18"/>
                <w:b w:val="1"/>
                <w:bCs w:val="1"/>
                <w:color w:val="auto"/>
              </w:rPr>
              <w:t>Amortization and impairment of intangible assets</w:t>
            </w: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46"/>
        </w:trPr>
        <w:tc>
          <w:tcPr>
            <w:tcW w:w="5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980" w:type="dxa"/>
            <w:vAlign w:val="bottom"/>
            <w:gridSpan w:val="8"/>
          </w:tcPr>
          <w:p>
            <w:pPr>
              <w:jc w:val="center"/>
              <w:ind w:right="280"/>
              <w:spacing w:after="0"/>
              <w:rPr>
                <w:sz w:val="20"/>
                <w:szCs w:val="20"/>
                <w:color w:val="auto"/>
              </w:rPr>
            </w:pPr>
            <w:r>
              <w:rPr>
                <w:rFonts w:ascii="Arial" w:cs="Arial" w:eastAsia="Arial" w:hAnsi="Arial"/>
                <w:sz w:val="18"/>
                <w:szCs w:val="18"/>
                <w:color w:val="auto"/>
                <w:w w:val="87"/>
              </w:rPr>
              <w:t>Three months ended September 30,</w:t>
            </w:r>
          </w:p>
        </w:tc>
      </w:tr>
      <w:tr>
        <w:trPr>
          <w:trHeight w:val="223"/>
        </w:trPr>
        <w:tc>
          <w:tcPr>
            <w:tcW w:w="546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rPr>
              <w:t>2016</w:t>
            </w:r>
          </w:p>
        </w:tc>
        <w:tc>
          <w:tcPr>
            <w:tcW w:w="18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rPr>
              <w:t>2015</w:t>
            </w:r>
          </w:p>
        </w:tc>
        <w:tc>
          <w:tcPr>
            <w:tcW w:w="20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Change</w:t>
            </w:r>
          </w:p>
        </w:tc>
        <w:tc>
          <w:tcPr>
            <w:tcW w:w="80" w:type="dxa"/>
            <w:vAlign w:val="bottom"/>
            <w:tcBorders>
              <w:bottom w:val="single" w:sz="8" w:color="CCEEFF"/>
            </w:tcBorders>
          </w:tcPr>
          <w:p>
            <w:pPr>
              <w:spacing w:after="0"/>
              <w:rPr>
                <w:sz w:val="19"/>
                <w:szCs w:val="19"/>
                <w:color w:val="auto"/>
              </w:rPr>
            </w:pPr>
          </w:p>
        </w:tc>
      </w:tr>
      <w:tr>
        <w:trPr>
          <w:trHeight w:val="223"/>
        </w:trPr>
        <w:tc>
          <w:tcPr>
            <w:tcW w:w="5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Amortization and impairment of intangible assets</w:t>
            </w: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203,000</w:t>
            </w:r>
          </w:p>
        </w:tc>
        <w:tc>
          <w:tcPr>
            <w:tcW w:w="1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819,000</w:t>
            </w:r>
          </w:p>
        </w:tc>
        <w:tc>
          <w:tcPr>
            <w:tcW w:w="2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(616,000</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5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the three-month period ended September 30, 2016, amortization expenses related to our intangible assets totaled $203,000, which represents a decrease of $616,000 (or 75.2%) compared to the amortization expense recorded during the three-month period ended September 30, 2015. The decrease was due to an impairment taken on our patents asset group on May 6, 2016, which significantly reduced the carrying value of our patents and resulted in a sharp decline from the previous amortization of the patents. There was no impairment expense recorded during either three-month period.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60" w:type="dxa"/>
            <w:vAlign w:val="bottom"/>
          </w:tcPr>
          <w:p>
            <w:pPr>
              <w:spacing w:after="0"/>
              <w:rPr>
                <w:sz w:val="20"/>
                <w:szCs w:val="20"/>
                <w:color w:val="auto"/>
              </w:rPr>
            </w:pPr>
            <w:r>
              <w:rPr>
                <w:rFonts w:ascii="Arial" w:cs="Arial" w:eastAsia="Arial" w:hAnsi="Arial"/>
                <w:sz w:val="18"/>
                <w:szCs w:val="18"/>
                <w:b w:val="1"/>
                <w:bCs w:val="1"/>
                <w:color w:val="auto"/>
              </w:rPr>
              <w:t>General and administrative</w:t>
            </w: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46"/>
        </w:trPr>
        <w:tc>
          <w:tcPr>
            <w:tcW w:w="5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980" w:type="dxa"/>
            <w:vAlign w:val="bottom"/>
            <w:gridSpan w:val="8"/>
          </w:tcPr>
          <w:p>
            <w:pPr>
              <w:jc w:val="center"/>
              <w:ind w:right="360"/>
              <w:spacing w:after="0"/>
              <w:rPr>
                <w:sz w:val="20"/>
                <w:szCs w:val="20"/>
                <w:color w:val="auto"/>
              </w:rPr>
            </w:pPr>
            <w:r>
              <w:rPr>
                <w:rFonts w:ascii="Arial" w:cs="Arial" w:eastAsia="Arial" w:hAnsi="Arial"/>
                <w:sz w:val="18"/>
                <w:szCs w:val="18"/>
                <w:color w:val="auto"/>
                <w:w w:val="87"/>
              </w:rPr>
              <w:t>Three months ended September 30,</w:t>
            </w:r>
          </w:p>
        </w:tc>
      </w:tr>
      <w:tr>
        <w:trPr>
          <w:trHeight w:val="223"/>
        </w:trPr>
        <w:tc>
          <w:tcPr>
            <w:tcW w:w="546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rPr>
              <w:t>2016</w:t>
            </w:r>
          </w:p>
        </w:tc>
        <w:tc>
          <w:tcPr>
            <w:tcW w:w="18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rPr>
              <w:t>2015</w:t>
            </w:r>
          </w:p>
        </w:tc>
        <w:tc>
          <w:tcPr>
            <w:tcW w:w="20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Change</w:t>
            </w:r>
          </w:p>
        </w:tc>
        <w:tc>
          <w:tcPr>
            <w:tcW w:w="80" w:type="dxa"/>
            <w:vAlign w:val="bottom"/>
            <w:tcBorders>
              <w:bottom w:val="single" w:sz="8" w:color="CCEEFF"/>
            </w:tcBorders>
          </w:tcPr>
          <w:p>
            <w:pPr>
              <w:spacing w:after="0"/>
              <w:rPr>
                <w:sz w:val="19"/>
                <w:szCs w:val="19"/>
                <w:color w:val="auto"/>
              </w:rPr>
            </w:pPr>
          </w:p>
        </w:tc>
      </w:tr>
      <w:tr>
        <w:trPr>
          <w:trHeight w:val="223"/>
        </w:trPr>
        <w:tc>
          <w:tcPr>
            <w:tcW w:w="5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3,955,000</w:t>
            </w:r>
          </w:p>
        </w:tc>
        <w:tc>
          <w:tcPr>
            <w:tcW w:w="1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2,095,000</w:t>
            </w:r>
          </w:p>
        </w:tc>
        <w:tc>
          <w:tcPr>
            <w:tcW w:w="2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1,860,000</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0"/>
        </w:trPr>
        <w:tc>
          <w:tcPr>
            <w:tcW w:w="5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During the three-month period ended September 30, 2016, general and administrative expenses increased by $1,860,000 (or 88.8%), to $3,955,000, compared to $2,095,000 that was recorded during the three-month period ended September 30, 2015. The overall increase was primarily due to two key factors: 1) merger and acquisition costs related to the Merger with XpresSpa and 2) general and administrative costs associated with Group Mobile and FLI Charge, which were acquired on October 15, 2015 and, as such, were not included in the three-month period ended September 30, 2015. During the three-month period ended September 30, 2016, we incurred $952,000 of merger and acquisition costs associated with legal, diligence, valuation, and other costs pertaining to the Merger with XpresSpa. Following the acquisition of Group Mobile and FLI Charge, we experienced increases in salaries and benefits due to our expanded workforce and we incurred advertising and marketing costs for Group Mobile and FLI Charge’s product lines and product development costs as we continued to develop and improve FLI Charge’s product line. These increases in general and administrative expenses were offset by a significant decrease in stock-based compensation expense, which was a result of equity awards granted in 2012 and 2013 becoming fully vested during the latter half of 2015, as well as insurance, accounting, and audit fees.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60" w:type="dxa"/>
            <w:vAlign w:val="bottom"/>
          </w:tcPr>
          <w:p>
            <w:pPr>
              <w:spacing w:after="0"/>
              <w:rPr>
                <w:sz w:val="20"/>
                <w:szCs w:val="20"/>
                <w:color w:val="auto"/>
              </w:rPr>
            </w:pPr>
            <w:r>
              <w:rPr>
                <w:rFonts w:ascii="Arial" w:cs="Arial" w:eastAsia="Arial" w:hAnsi="Arial"/>
                <w:sz w:val="18"/>
                <w:szCs w:val="18"/>
                <w:b w:val="1"/>
                <w:bCs w:val="1"/>
                <w:color w:val="auto"/>
              </w:rPr>
              <w:t>Non-operating expense, net</w:t>
            </w: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46"/>
        </w:trPr>
        <w:tc>
          <w:tcPr>
            <w:tcW w:w="5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980" w:type="dxa"/>
            <w:vAlign w:val="bottom"/>
            <w:gridSpan w:val="8"/>
          </w:tcPr>
          <w:p>
            <w:pPr>
              <w:jc w:val="center"/>
              <w:ind w:right="360"/>
              <w:spacing w:after="0"/>
              <w:rPr>
                <w:sz w:val="20"/>
                <w:szCs w:val="20"/>
                <w:color w:val="auto"/>
              </w:rPr>
            </w:pPr>
            <w:r>
              <w:rPr>
                <w:rFonts w:ascii="Arial" w:cs="Arial" w:eastAsia="Arial" w:hAnsi="Arial"/>
                <w:sz w:val="18"/>
                <w:szCs w:val="18"/>
                <w:color w:val="auto"/>
                <w:w w:val="87"/>
              </w:rPr>
              <w:t>Three months ended September 30,</w:t>
            </w:r>
          </w:p>
        </w:tc>
      </w:tr>
      <w:tr>
        <w:trPr>
          <w:trHeight w:val="223"/>
        </w:trPr>
        <w:tc>
          <w:tcPr>
            <w:tcW w:w="546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rPr>
              <w:t>2016</w:t>
            </w:r>
          </w:p>
        </w:tc>
        <w:tc>
          <w:tcPr>
            <w:tcW w:w="18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rPr>
              <w:t>2015</w:t>
            </w:r>
          </w:p>
        </w:tc>
        <w:tc>
          <w:tcPr>
            <w:tcW w:w="20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Change</w:t>
            </w:r>
          </w:p>
        </w:tc>
        <w:tc>
          <w:tcPr>
            <w:tcW w:w="80" w:type="dxa"/>
            <w:vAlign w:val="bottom"/>
            <w:tcBorders>
              <w:bottom w:val="single" w:sz="8" w:color="CCEEFF"/>
            </w:tcBorders>
          </w:tcPr>
          <w:p>
            <w:pPr>
              <w:spacing w:after="0"/>
              <w:rPr>
                <w:sz w:val="19"/>
                <w:szCs w:val="19"/>
                <w:color w:val="auto"/>
              </w:rPr>
            </w:pPr>
          </w:p>
        </w:tc>
      </w:tr>
      <w:tr>
        <w:trPr>
          <w:trHeight w:val="223"/>
        </w:trPr>
        <w:tc>
          <w:tcPr>
            <w:tcW w:w="5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Non-operating expense, net</w:t>
            </w: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(1,484,000</w:t>
            </w:r>
          </w:p>
        </w:tc>
        <w:tc>
          <w:tcPr>
            <w:tcW w:w="1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(2,181,000</w:t>
            </w:r>
          </w:p>
        </w:tc>
        <w:tc>
          <w:tcPr>
            <w:tcW w:w="2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697,000</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0"/>
        </w:trPr>
        <w:tc>
          <w:tcPr>
            <w:tcW w:w="5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During the three-month period ended September 30, 2016, we recorded net non-operating expense in the amount of $1,484,000 compared to net non-operating expense in the amount of $2,181,000 recorded during the three-month period ended September 30, 2015.</w:t>
      </w:r>
    </w:p>
    <w:p>
      <w:pPr>
        <w:sectPr>
          <w:pgSz w:w="11900" w:h="16838" w:orient="portrait"/>
          <w:cols w:equalWidth="0" w:num="1">
            <w:col w:w="11420"/>
          </w:cols>
          <w:pgMar w:left="240" w:top="904" w:right="239" w:bottom="0" w:gutter="0" w:footer="0" w:header="0"/>
        </w:sectPr>
      </w:pPr>
    </w:p>
    <w:bookmarkStart w:id="34" w:name="page35"/>
    <w:bookmarkEnd w:id="34"/>
    <w:p>
      <w:pPr>
        <w:jc w:val="both"/>
        <w:spacing w:after="0" w:line="286" w:lineRule="auto"/>
        <w:rPr>
          <w:sz w:val="20"/>
          <w:szCs w:val="20"/>
          <w:color w:val="auto"/>
        </w:rPr>
      </w:pPr>
      <w:r>
        <w:rPr>
          <w:rFonts w:ascii="Arial" w:cs="Arial" w:eastAsia="Arial" w:hAnsi="Arial"/>
          <w:sz w:val="17"/>
          <w:szCs w:val="17"/>
          <w:color w:val="auto"/>
        </w:rPr>
        <w:t>For the three-month period ended September 30, 2016, we recorded interest expense of $949,000 for the amortization of the debt discount and debt issuance costs and $262,000 of loss on extinguishment of debt for the 15% early debt repayment fee on July 1, 2016. We also recognized a $272,000 loss on the revaluation of the derivative warrant liabilities related to the Amended Notes and a $1,000 foreign exchange loss for the period.</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net non-operating expense recognized in the three-month period ended September 30, 2015 was driven by various factors. Installment payments made to holders of the Notes resulted in an increase in interest expense of $1,708,000 for the three-month period ended September 30, 2015. The interest expense was calculated using the effective interest method. In addition, we elected to repay the installments in registered shares, which were issued at a discount of 15% to market prices. This resulted in a $1,044,000 loss on the extinguishment of debt. The expense also includes foreign exchange losses in connection with deposits with courts.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expenses reported during the three-month period ended September 30, 2015 were offset by a gain on the revaluation of derivative liability warrants and conversion feature related to the Notes. On May 4, 2015, the net proceeds received were allocated amongst the Notes, the conversion feature, and the warrants issued to the holders of the Notes. The warrants and conversion feature were then revalued and marked to market as of each balance sheet date, which resulted in a gain of $716,000 for the three-month period ended September 30, 2015.</w:t>
      </w:r>
    </w:p>
    <w:p>
      <w:pPr>
        <w:spacing w:after="0" w:line="396"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i w:val="1"/>
          <w:iCs w:val="1"/>
          <w:color w:val="auto"/>
        </w:rPr>
        <w:t>Nine-month period ended September 30, 2016 compared to the nine-month period ended September 30, 2015</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We generate revenue through our three operating segments: </w:t>
      </w:r>
      <w:r>
        <w:rPr>
          <w:rFonts w:ascii="Arial" w:cs="Arial" w:eastAsia="Arial" w:hAnsi="Arial"/>
          <w:sz w:val="18"/>
          <w:szCs w:val="18"/>
          <w:color w:val="181818"/>
        </w:rPr>
        <w:t>Group Mobile, FLI Charge and intellectual property</w:t>
      </w:r>
      <w:r>
        <w:rPr>
          <w:rFonts w:ascii="Arial" w:cs="Arial" w:eastAsia="Arial" w:hAnsi="Arial"/>
          <w:sz w:val="18"/>
          <w:szCs w:val="18"/>
          <w:color w:val="auto"/>
        </w:rPr>
        <w:t>.</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980" w:type="dxa"/>
            <w:vAlign w:val="bottom"/>
            <w:gridSpan w:val="8"/>
          </w:tcPr>
          <w:p>
            <w:pPr>
              <w:ind w:left="560"/>
              <w:spacing w:after="0"/>
              <w:rPr>
                <w:sz w:val="20"/>
                <w:szCs w:val="20"/>
                <w:color w:val="auto"/>
              </w:rPr>
            </w:pPr>
            <w:r>
              <w:rPr>
                <w:rFonts w:ascii="Arial" w:cs="Arial" w:eastAsia="Arial" w:hAnsi="Arial"/>
                <w:sz w:val="18"/>
                <w:szCs w:val="18"/>
                <w:color w:val="auto"/>
              </w:rPr>
              <w:t>Nine months ended September 30,</w:t>
            </w:r>
          </w:p>
        </w:tc>
      </w:tr>
      <w:tr>
        <w:trPr>
          <w:trHeight w:val="223"/>
        </w:trPr>
        <w:tc>
          <w:tcPr>
            <w:tcW w:w="546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rPr>
              <w:t>2016</w:t>
            </w:r>
          </w:p>
        </w:tc>
        <w:tc>
          <w:tcPr>
            <w:tcW w:w="18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rPr>
              <w:t>2015</w:t>
            </w:r>
          </w:p>
        </w:tc>
        <w:tc>
          <w:tcPr>
            <w:tcW w:w="20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Change</w:t>
            </w:r>
          </w:p>
        </w:tc>
        <w:tc>
          <w:tcPr>
            <w:tcW w:w="80" w:type="dxa"/>
            <w:vAlign w:val="bottom"/>
            <w:tcBorders>
              <w:bottom w:val="single" w:sz="8" w:color="CCEEFF"/>
            </w:tcBorders>
          </w:tcPr>
          <w:p>
            <w:pPr>
              <w:spacing w:after="0"/>
              <w:rPr>
                <w:sz w:val="19"/>
                <w:szCs w:val="19"/>
                <w:color w:val="auto"/>
              </w:rPr>
            </w:pPr>
          </w:p>
        </w:tc>
      </w:tr>
      <w:tr>
        <w:trPr>
          <w:trHeight w:val="210"/>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Licensing revenue</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11,025,000</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10,875,000</w:t>
            </w:r>
          </w:p>
        </w:tc>
        <w:tc>
          <w:tcPr>
            <w:tcW w:w="80" w:type="dxa"/>
            <w:vAlign w:val="bottom"/>
            <w:shd w:val="clear" w:color="auto" w:fill="CCEEFF"/>
          </w:tcPr>
          <w:p>
            <w:pPr>
              <w:spacing w:after="0"/>
              <w:rPr>
                <w:sz w:val="18"/>
                <w:szCs w:val="18"/>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Product revenue</w:t>
            </w:r>
          </w:p>
        </w:tc>
        <w:tc>
          <w:tcPr>
            <w:tcW w:w="26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5,486,000</w:t>
            </w:r>
          </w:p>
        </w:tc>
        <w:tc>
          <w:tcPr>
            <w:tcW w:w="28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5,486,000</w:t>
            </w:r>
          </w:p>
        </w:tc>
        <w:tc>
          <w:tcPr>
            <w:tcW w:w="80" w:type="dxa"/>
            <w:vAlign w:val="bottom"/>
          </w:tcPr>
          <w:p>
            <w:pPr>
              <w:spacing w:after="0"/>
              <w:rPr>
                <w:sz w:val="19"/>
                <w:szCs w:val="19"/>
                <w:color w:val="auto"/>
              </w:rPr>
            </w:pPr>
          </w:p>
        </w:tc>
      </w:tr>
      <w:tr>
        <w:trPr>
          <w:trHeight w:val="223"/>
        </w:trPr>
        <w:tc>
          <w:tcPr>
            <w:tcW w:w="54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w:t>
            </w: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16,511,000</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16,361,000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ind w:left="5580"/>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908" w:right="1440" w:bottom="1440" w:gutter="0" w:footer="0" w:header="0"/>
        </w:sectPr>
      </w:pPr>
    </w:p>
    <w:bookmarkStart w:id="36" w:name="page37"/>
    <w:bookmarkEnd w:id="36"/>
    <w:p>
      <w:pPr>
        <w:spacing w:after="0" w:line="10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During the nine-month period ended September 30, 2016, we recorded total revenue of $16,511,000, which represents an increase of $16,361,000 as compared to $150,000 recorded in the nine-month period ended September 30, 2015. The increase was attributable to each of our operating segments. Group Mobile recognized $5,478,000 and FLI Charge recognized $8,000 of product revenue, FLI Charge also recognized $25,000 of licensing revenue in connection with an ongoing license agreement with a customer, and our intellectual property operating segment recognized $11,000,000 of revenue for the amounts received in connection with two separate executed confidential license agreements and an additional settlement agreement. We did not recognize any revenue generated by Group Mobile or FLI Charge prior to their acquisition on October 15, 2015. Revenue during the nine-month period ended September 30, 2015 of $150,000 was due to a one-time payment in connection with a license and settlement agreement for certain of our owned intellectual property.</w:t>
      </w:r>
    </w:p>
    <w:p>
      <w:pPr>
        <w:spacing w:after="0" w:line="16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181818"/>
        </w:rPr>
        <w:t xml:space="preserve">We believe that growth in Group Mobile’s revenue can be achieved by adding new products, exploring new distribution verticals, such as military and government, and increasing the sales team’s geographic coverage. </w:t>
      </w:r>
      <w:r>
        <w:rPr>
          <w:rFonts w:ascii="Arial" w:cs="Arial" w:eastAsia="Arial" w:hAnsi="Arial"/>
          <w:sz w:val="16"/>
          <w:szCs w:val="16"/>
          <w:color w:val="000000"/>
        </w:rPr>
        <w:t>In addition, we plan to enhance our intellectual property rights around our FLI Charge</w:t>
      </w:r>
      <w:r>
        <w:rPr>
          <w:rFonts w:ascii="Arial" w:cs="Arial" w:eastAsia="Arial" w:hAnsi="Arial"/>
          <w:sz w:val="16"/>
          <w:szCs w:val="16"/>
          <w:color w:val="181818"/>
        </w:rPr>
        <w:t xml:space="preserve"> </w:t>
      </w:r>
      <w:r>
        <w:rPr>
          <w:rFonts w:ascii="Arial" w:cs="Arial" w:eastAsia="Arial" w:hAnsi="Arial"/>
          <w:sz w:val="16"/>
          <w:szCs w:val="16"/>
          <w:color w:val="000000"/>
        </w:rPr>
        <w:t xml:space="preserve">technology and products. </w:t>
      </w:r>
      <w:r>
        <w:rPr>
          <w:rFonts w:ascii="Arial" w:cs="Arial" w:eastAsia="Arial" w:hAnsi="Arial"/>
          <w:sz w:val="16"/>
          <w:szCs w:val="16"/>
          <w:color w:val="181818"/>
        </w:rPr>
        <w:t>FLI Charge</w:t>
      </w:r>
      <w:r>
        <w:rPr>
          <w:rFonts w:ascii="Arial" w:cs="Arial" w:eastAsia="Arial" w:hAnsi="Arial"/>
          <w:sz w:val="16"/>
          <w:szCs w:val="16"/>
          <w:color w:val="000000"/>
        </w:rPr>
        <w:t xml:space="preserve"> plans to strengthen and develop partnerships in numerous markets including automotive, education, office, healthcare, power tools and vaporizers. We intend to continue to monetize our existing portfolio of intellectual property through licensing and strategic partnerships.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goods sold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We incur cost of goods sold through two of our operating segments: </w:t>
      </w:r>
      <w:r>
        <w:rPr>
          <w:rFonts w:ascii="Arial" w:cs="Arial" w:eastAsia="Arial" w:hAnsi="Arial"/>
          <w:sz w:val="18"/>
          <w:szCs w:val="18"/>
          <w:color w:val="181818"/>
        </w:rPr>
        <w:t>Group Mobile and FLI Charge</w:t>
      </w:r>
      <w:r>
        <w:rPr>
          <w:rFonts w:ascii="Arial" w:cs="Arial" w:eastAsia="Arial" w:hAnsi="Arial"/>
          <w:sz w:val="18"/>
          <w:szCs w:val="18"/>
          <w:color w:val="auto"/>
        </w:rPr>
        <w:t>.</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980" w:type="dxa"/>
            <w:vAlign w:val="bottom"/>
            <w:gridSpan w:val="8"/>
          </w:tcPr>
          <w:p>
            <w:pPr>
              <w:jc w:val="center"/>
              <w:ind w:right="360"/>
              <w:spacing w:after="0"/>
              <w:rPr>
                <w:sz w:val="20"/>
                <w:szCs w:val="20"/>
                <w:color w:val="auto"/>
              </w:rPr>
            </w:pPr>
            <w:r>
              <w:rPr>
                <w:rFonts w:ascii="Arial" w:cs="Arial" w:eastAsia="Arial" w:hAnsi="Arial"/>
                <w:sz w:val="18"/>
                <w:szCs w:val="18"/>
                <w:color w:val="auto"/>
                <w:w w:val="89"/>
              </w:rPr>
              <w:t>Nine months ended September 30,</w:t>
            </w:r>
          </w:p>
        </w:tc>
      </w:tr>
      <w:tr>
        <w:trPr>
          <w:trHeight w:val="223"/>
        </w:trPr>
        <w:tc>
          <w:tcPr>
            <w:tcW w:w="546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rPr>
              <w:t>2016</w:t>
            </w:r>
          </w:p>
        </w:tc>
        <w:tc>
          <w:tcPr>
            <w:tcW w:w="18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rPr>
              <w:t>2015</w:t>
            </w:r>
          </w:p>
        </w:tc>
        <w:tc>
          <w:tcPr>
            <w:tcW w:w="20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Change</w:t>
            </w:r>
          </w:p>
        </w:tc>
        <w:tc>
          <w:tcPr>
            <w:tcW w:w="80" w:type="dxa"/>
            <w:vAlign w:val="bottom"/>
            <w:tcBorders>
              <w:bottom w:val="single" w:sz="8" w:color="CCEEFF"/>
            </w:tcBorders>
          </w:tcPr>
          <w:p>
            <w:pPr>
              <w:spacing w:after="0"/>
              <w:rPr>
                <w:sz w:val="19"/>
                <w:szCs w:val="19"/>
                <w:color w:val="auto"/>
              </w:rPr>
            </w:pPr>
          </w:p>
        </w:tc>
      </w:tr>
      <w:tr>
        <w:trPr>
          <w:trHeight w:val="223"/>
        </w:trPr>
        <w:tc>
          <w:tcPr>
            <w:tcW w:w="5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4,866,000</w:t>
            </w:r>
          </w:p>
        </w:tc>
        <w:tc>
          <w:tcPr>
            <w:tcW w:w="1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w w:val="88"/>
              </w:rPr>
              <w:t>—</w:t>
            </w:r>
          </w:p>
        </w:tc>
        <w:tc>
          <w:tcPr>
            <w:tcW w:w="2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4,866,000</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0"/>
        </w:trPr>
        <w:tc>
          <w:tcPr>
            <w:tcW w:w="5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nine-month period ended September 30, 2016, we recorded total cost of goods sold of $4,866,000, which mainly represents the costs of products sold by Group Mobile during the period. We did not recognize any cost of goods sold for Group Mobile or FLI Charge prior to their acquisition on October 15, 2015. We expect the cost of goods sold to increase over time as our product revenue increases.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legal costs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Operating legal costs relate to our intellectual property operating segment.</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980" w:type="dxa"/>
            <w:vAlign w:val="bottom"/>
            <w:gridSpan w:val="8"/>
          </w:tcPr>
          <w:p>
            <w:pPr>
              <w:jc w:val="right"/>
              <w:ind w:right="840"/>
              <w:spacing w:after="0"/>
              <w:rPr>
                <w:sz w:val="20"/>
                <w:szCs w:val="20"/>
                <w:color w:val="auto"/>
              </w:rPr>
            </w:pPr>
            <w:r>
              <w:rPr>
                <w:rFonts w:ascii="Arial" w:cs="Arial" w:eastAsia="Arial" w:hAnsi="Arial"/>
                <w:sz w:val="18"/>
                <w:szCs w:val="18"/>
                <w:color w:val="auto"/>
              </w:rPr>
              <w:t>Nine months ended September 30,</w:t>
            </w:r>
          </w:p>
        </w:tc>
      </w:tr>
      <w:tr>
        <w:trPr>
          <w:trHeight w:val="223"/>
        </w:trPr>
        <w:tc>
          <w:tcPr>
            <w:tcW w:w="546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rPr>
              <w:t>2016</w:t>
            </w:r>
          </w:p>
        </w:tc>
        <w:tc>
          <w:tcPr>
            <w:tcW w:w="18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color w:val="auto"/>
              </w:rPr>
              <w:t>2015</w:t>
            </w:r>
          </w:p>
        </w:tc>
        <w:tc>
          <w:tcPr>
            <w:tcW w:w="20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Change</w:t>
            </w:r>
          </w:p>
        </w:tc>
        <w:tc>
          <w:tcPr>
            <w:tcW w:w="80" w:type="dxa"/>
            <w:vAlign w:val="bottom"/>
            <w:tcBorders>
              <w:bottom w:val="single" w:sz="8" w:color="CCEEFF"/>
            </w:tcBorders>
          </w:tcPr>
          <w:p>
            <w:pPr>
              <w:spacing w:after="0"/>
              <w:rPr>
                <w:sz w:val="19"/>
                <w:szCs w:val="19"/>
                <w:color w:val="auto"/>
              </w:rPr>
            </w:pPr>
          </w:p>
        </w:tc>
      </w:tr>
      <w:tr>
        <w:trPr>
          <w:trHeight w:val="223"/>
        </w:trPr>
        <w:tc>
          <w:tcPr>
            <w:tcW w:w="5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legal costs</w:t>
            </w: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6,127,000</w:t>
            </w:r>
          </w:p>
        </w:tc>
        <w:tc>
          <w:tcPr>
            <w:tcW w:w="1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86"/>
              </w:rPr>
              <w:t>15,341,000</w:t>
            </w:r>
          </w:p>
        </w:tc>
        <w:tc>
          <w:tcPr>
            <w:tcW w:w="2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(9,214,000</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5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nine-month period ended September 30, 2016, our operating legal costs were $6,127,000, which represents a decrease of $9,214,000 (or 60.1%) from operating legal costs recorded for the nine months ended September 30, 2015. This decrease was primarily due to the timing and nature of consulting and patent litigation costs related to legal proceedings against ZTE and ASUS, especially as costs pertaining to our ZTE campaign declined significantly following the execution of the confidential settlement and license agreement in December 2015. Costs in 2016 also include royalty expenses to a previous owner of some of our patents.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We expect that our legal costs will continue to decrease over time.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 royalties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Inventor royalties relate to royalties owed to the inventors of certain of our patent portfolios owned by our intellectual property operating segment.</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980" w:type="dxa"/>
            <w:vAlign w:val="bottom"/>
            <w:gridSpan w:val="8"/>
          </w:tcPr>
          <w:p>
            <w:pPr>
              <w:jc w:val="center"/>
              <w:ind w:right="360"/>
              <w:spacing w:after="0"/>
              <w:rPr>
                <w:sz w:val="20"/>
                <w:szCs w:val="20"/>
                <w:color w:val="auto"/>
              </w:rPr>
            </w:pPr>
            <w:r>
              <w:rPr>
                <w:rFonts w:ascii="Arial" w:cs="Arial" w:eastAsia="Arial" w:hAnsi="Arial"/>
                <w:sz w:val="18"/>
                <w:szCs w:val="18"/>
                <w:color w:val="auto"/>
                <w:w w:val="89"/>
              </w:rPr>
              <w:t>Nine months ended September 30,</w:t>
            </w:r>
          </w:p>
        </w:tc>
      </w:tr>
      <w:tr>
        <w:trPr>
          <w:trHeight w:val="223"/>
        </w:trPr>
        <w:tc>
          <w:tcPr>
            <w:tcW w:w="546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rPr>
              <w:t>2016</w:t>
            </w:r>
          </w:p>
        </w:tc>
        <w:tc>
          <w:tcPr>
            <w:tcW w:w="18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rPr>
              <w:t>2015</w:t>
            </w:r>
          </w:p>
        </w:tc>
        <w:tc>
          <w:tcPr>
            <w:tcW w:w="20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Change</w:t>
            </w:r>
          </w:p>
        </w:tc>
        <w:tc>
          <w:tcPr>
            <w:tcW w:w="80" w:type="dxa"/>
            <w:vAlign w:val="bottom"/>
            <w:tcBorders>
              <w:bottom w:val="single" w:sz="8" w:color="CCEEFF"/>
            </w:tcBorders>
          </w:tcPr>
          <w:p>
            <w:pPr>
              <w:spacing w:after="0"/>
              <w:rPr>
                <w:sz w:val="19"/>
                <w:szCs w:val="19"/>
                <w:color w:val="auto"/>
              </w:rPr>
            </w:pPr>
          </w:p>
        </w:tc>
      </w:tr>
      <w:tr>
        <w:trPr>
          <w:trHeight w:val="223"/>
        </w:trPr>
        <w:tc>
          <w:tcPr>
            <w:tcW w:w="5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Inventor royalties</w:t>
            </w: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3,658,000</w:t>
            </w:r>
          </w:p>
        </w:tc>
        <w:tc>
          <w:tcPr>
            <w:tcW w:w="1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w w:val="88"/>
              </w:rPr>
              <w:t>—</w:t>
            </w:r>
          </w:p>
        </w:tc>
        <w:tc>
          <w:tcPr>
            <w:tcW w:w="2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3,658,000</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0"/>
        </w:trPr>
        <w:tc>
          <w:tcPr>
            <w:tcW w:w="5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Inventor royalties fluctuate period to period, based on the amount of licensing revenue we recognize each period, the terms and conditions of agreements executed each period and the mix of specific patent portfolios with varying economic terms and obligations generating revenues each period. During the nine-month period ended September 30, 2016, our inventor royalty expense totaled $3,658,000, which relates to the royalties owed to the inventors of our patent portfolios, for which license and settlement agreements were entered into during 2016. We did not recognize any inventor royalty expense during the nine-month period ended September 30, 2015.</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60" w:type="dxa"/>
            <w:vAlign w:val="bottom"/>
          </w:tcPr>
          <w:p>
            <w:pPr>
              <w:spacing w:after="0"/>
              <w:rPr>
                <w:sz w:val="20"/>
                <w:szCs w:val="20"/>
                <w:color w:val="auto"/>
              </w:rPr>
            </w:pPr>
            <w:r>
              <w:rPr>
                <w:rFonts w:ascii="Arial" w:cs="Arial" w:eastAsia="Arial" w:hAnsi="Arial"/>
                <w:sz w:val="18"/>
                <w:szCs w:val="18"/>
                <w:b w:val="1"/>
                <w:bCs w:val="1"/>
                <w:color w:val="auto"/>
              </w:rPr>
              <w:t>Amortization and impairment of intangible assets</w:t>
            </w: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46"/>
        </w:trPr>
        <w:tc>
          <w:tcPr>
            <w:tcW w:w="5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980" w:type="dxa"/>
            <w:vAlign w:val="bottom"/>
            <w:gridSpan w:val="8"/>
          </w:tcPr>
          <w:p>
            <w:pPr>
              <w:jc w:val="center"/>
              <w:ind w:right="360"/>
              <w:spacing w:after="0"/>
              <w:rPr>
                <w:sz w:val="20"/>
                <w:szCs w:val="20"/>
                <w:color w:val="auto"/>
              </w:rPr>
            </w:pPr>
            <w:r>
              <w:rPr>
                <w:rFonts w:ascii="Arial" w:cs="Arial" w:eastAsia="Arial" w:hAnsi="Arial"/>
                <w:sz w:val="18"/>
                <w:szCs w:val="18"/>
                <w:color w:val="auto"/>
                <w:w w:val="89"/>
              </w:rPr>
              <w:t>Nine months ended September 30,</w:t>
            </w:r>
          </w:p>
        </w:tc>
      </w:tr>
      <w:tr>
        <w:trPr>
          <w:trHeight w:val="223"/>
        </w:trPr>
        <w:tc>
          <w:tcPr>
            <w:tcW w:w="546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color w:val="auto"/>
              </w:rPr>
              <w:t>2016</w:t>
            </w:r>
          </w:p>
        </w:tc>
        <w:tc>
          <w:tcPr>
            <w:tcW w:w="18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rPr>
              <w:t>2015</w:t>
            </w:r>
          </w:p>
        </w:tc>
        <w:tc>
          <w:tcPr>
            <w:tcW w:w="20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Change</w:t>
            </w:r>
          </w:p>
        </w:tc>
        <w:tc>
          <w:tcPr>
            <w:tcW w:w="80" w:type="dxa"/>
            <w:vAlign w:val="bottom"/>
            <w:tcBorders>
              <w:bottom w:val="single" w:sz="8" w:color="CCEEFF"/>
            </w:tcBorders>
          </w:tcPr>
          <w:p>
            <w:pPr>
              <w:spacing w:after="0"/>
              <w:rPr>
                <w:sz w:val="19"/>
                <w:szCs w:val="19"/>
                <w:color w:val="auto"/>
              </w:rPr>
            </w:pPr>
          </w:p>
        </w:tc>
      </w:tr>
      <w:tr>
        <w:trPr>
          <w:trHeight w:val="223"/>
        </w:trPr>
        <w:tc>
          <w:tcPr>
            <w:tcW w:w="5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Amortization and impairment of intangible assets</w:t>
            </w: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w w:val="86"/>
              </w:rPr>
              <w:t>13,404,000</w:t>
            </w:r>
          </w:p>
        </w:tc>
        <w:tc>
          <w:tcPr>
            <w:tcW w:w="1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2,436,000</w:t>
            </w:r>
          </w:p>
        </w:tc>
        <w:tc>
          <w:tcPr>
            <w:tcW w:w="2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10,968,000</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0"/>
        </w:trPr>
        <w:tc>
          <w:tcPr>
            <w:tcW w:w="5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nine-month period ended September 30, 2016, amortization and impairment expenses related to our intangible assets totaled $13,404,000, which represents an increase of $10,968,000 (or 450.2%) compared to the amortization expense of $2,436,000 recorded during the nine-month period ended September 30, 2015. There was no impairment expense recorded during the nine-month period ended September 30, 2015. The increase was due to the impairment of our patents asset group during the current period.</w:t>
      </w:r>
    </w:p>
    <w:p>
      <w:pPr>
        <w:spacing w:after="0" w:line="18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During the nine-month period ended September 30, 2016, we determined that there were impairment indicators related to certain of our patents. A significant factor considered when making this determination occurred on May 6, 2016, when we changed the name of our company from “Vringo, Inc.” to “FORM Holdings Corp.” and concurrently announced our repositioning as a holding company of small and middle market growth companies. We concluded that this factor was deemed a “triggering” event, which required the related patent assets to be tested for impairment. In performing this impairment test, we</w:t>
      </w:r>
    </w:p>
    <w:p>
      <w:pPr>
        <w:sectPr>
          <w:pgSz w:w="11900" w:h="16945" w:orient="portrait"/>
          <w:cols w:equalWidth="0" w:num="1">
            <w:col w:w="11420"/>
          </w:cols>
          <w:pgMar w:left="240" w:top="908" w:right="239" w:bottom="0" w:gutter="0" w:footer="0" w:header="0"/>
        </w:sectPr>
      </w:pPr>
    </w:p>
    <w:bookmarkStart w:id="37" w:name="page38"/>
    <w:bookmarkEnd w:id="37"/>
    <w:p>
      <w:pPr>
        <w:jc w:val="both"/>
        <w:spacing w:after="0" w:line="254" w:lineRule="auto"/>
        <w:rPr>
          <w:sz w:val="20"/>
          <w:szCs w:val="20"/>
          <w:color w:val="auto"/>
        </w:rPr>
      </w:pPr>
      <w:r>
        <w:rPr>
          <w:rFonts w:ascii="Arial" w:cs="Arial" w:eastAsia="Arial" w:hAnsi="Arial"/>
          <w:sz w:val="18"/>
          <w:szCs w:val="18"/>
          <w:color w:val="auto"/>
        </w:rPr>
        <w:t>determined that the patent portfolios, which together represent an asset group, were subject to impairment testing. In the first step of the impairment test, we utilized our projections of future undiscounted cash flows based on our existing plans for the patents. As a result, it was determined that our projections of future undiscounted cash flows were less than the carrying value of the asset group. Accordingly, we performed the second step of the impairment test to measure the potential impairment by calculating the asset group’s fair value as of May 6, 2016. As a result, following amortization for the month of April, we recorded an impairment charge of $11,937,000, or 88.7% of the carrying value of the patents prior to impairment, which resulted in a new carrying value of $1,526,000 on May 6, 2016. Following the impairment, we reevaluated the remaining useful life and concluded that there were no changes in the estimated useful life. There were no impairment indicators related to any of our other amortizable intangible assets during the nine-month period ended September 30, 2016.</w:t>
      </w:r>
    </w:p>
    <w:p>
      <w:pPr>
        <w:spacing w:after="0" w:line="200" w:lineRule="exact"/>
        <w:rPr>
          <w:sz w:val="20"/>
          <w:szCs w:val="20"/>
          <w:color w:val="auto"/>
        </w:rPr>
      </w:pPr>
    </w:p>
    <w:p>
      <w:pPr>
        <w:spacing w:after="0" w:line="201"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34"/>
        </w:trPr>
        <w:tc>
          <w:tcPr>
            <w:tcW w:w="5460" w:type="dxa"/>
            <w:vAlign w:val="bottom"/>
          </w:tcPr>
          <w:p>
            <w:pPr>
              <w:spacing w:after="0"/>
              <w:rPr>
                <w:sz w:val="20"/>
                <w:szCs w:val="20"/>
                <w:color w:val="auto"/>
              </w:rPr>
            </w:pPr>
            <w:r>
              <w:rPr>
                <w:rFonts w:ascii="Arial" w:cs="Arial" w:eastAsia="Arial" w:hAnsi="Arial"/>
                <w:sz w:val="18"/>
                <w:szCs w:val="18"/>
                <w:b w:val="1"/>
                <w:bCs w:val="1"/>
                <w:color w:val="auto"/>
              </w:rPr>
              <w:t>General and administrative</w:t>
            </w: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46"/>
        </w:trPr>
        <w:tc>
          <w:tcPr>
            <w:tcW w:w="5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980" w:type="dxa"/>
            <w:vAlign w:val="bottom"/>
            <w:gridSpan w:val="8"/>
          </w:tcPr>
          <w:p>
            <w:pPr>
              <w:jc w:val="center"/>
              <w:ind w:right="360"/>
              <w:spacing w:after="0"/>
              <w:rPr>
                <w:sz w:val="20"/>
                <w:szCs w:val="20"/>
                <w:color w:val="auto"/>
              </w:rPr>
            </w:pPr>
            <w:r>
              <w:rPr>
                <w:rFonts w:ascii="Arial" w:cs="Arial" w:eastAsia="Arial" w:hAnsi="Arial"/>
                <w:sz w:val="18"/>
                <w:szCs w:val="18"/>
                <w:color w:val="auto"/>
                <w:w w:val="89"/>
              </w:rPr>
              <w:t>Nine months ended September 30,</w:t>
            </w:r>
          </w:p>
        </w:tc>
      </w:tr>
      <w:tr>
        <w:trPr>
          <w:trHeight w:val="223"/>
        </w:trPr>
        <w:tc>
          <w:tcPr>
            <w:tcW w:w="546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color w:val="auto"/>
              </w:rPr>
              <w:t>2016</w:t>
            </w:r>
          </w:p>
        </w:tc>
        <w:tc>
          <w:tcPr>
            <w:tcW w:w="18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rPr>
              <w:t>2015</w:t>
            </w:r>
          </w:p>
        </w:tc>
        <w:tc>
          <w:tcPr>
            <w:tcW w:w="20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Change</w:t>
            </w:r>
          </w:p>
        </w:tc>
        <w:tc>
          <w:tcPr>
            <w:tcW w:w="80" w:type="dxa"/>
            <w:vAlign w:val="bottom"/>
            <w:tcBorders>
              <w:bottom w:val="single" w:sz="8" w:color="CCEEFF"/>
            </w:tcBorders>
          </w:tcPr>
          <w:p>
            <w:pPr>
              <w:spacing w:after="0"/>
              <w:rPr>
                <w:sz w:val="19"/>
                <w:szCs w:val="19"/>
                <w:color w:val="auto"/>
              </w:rPr>
            </w:pPr>
          </w:p>
        </w:tc>
      </w:tr>
      <w:tr>
        <w:trPr>
          <w:trHeight w:val="223"/>
        </w:trPr>
        <w:tc>
          <w:tcPr>
            <w:tcW w:w="5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w w:val="86"/>
              </w:rPr>
              <w:t>10,212,000</w:t>
            </w:r>
          </w:p>
        </w:tc>
        <w:tc>
          <w:tcPr>
            <w:tcW w:w="1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7,391,000</w:t>
            </w:r>
          </w:p>
        </w:tc>
        <w:tc>
          <w:tcPr>
            <w:tcW w:w="2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2,821,000</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0"/>
        </w:trPr>
        <w:tc>
          <w:tcPr>
            <w:tcW w:w="5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During the nine-month period ended September 30, 2016, general and administrative expenses increased by $2,821,000 (or 38.2%), to $10,212,000, compared to $7,391,000 that was recorded during the nine-month period ended September 30, 2015. The overall increase was primarily due to two key factors: 1) merger and acquisition costs related to the Merger with XpresSpa and 2) general and administrative costs associated with Group Mobile and FLI Charge, which were acquired on October 15, 2015 and, as such, were not included in the nine-month period ended September 30, 2015. During the nine-month period ended September 30, 2016, we incurred $1,008,000 of merger and acquisition costs associated with legal, diligence, valuation, and other costs pertaining to the Merger with XpresSpa. Following the acquisition of Group Mobile and FLI Charge, we experienced increases in salaries and benefits due to our expanded workforce and we incurred advertising and marketing costs for Group Mobile and FLI Charge’s product lines and product development costs as we continued to develop and improve FLI Charge’s product line. These increases in general and administrative expenses were offset by a significant decrease in stock-based compensation expense, which was a result of equity awards granted in 2012 and 2013 becoming fully vested during the latter half of 2015, as well as insurance, accounting, and audit fees.</w:t>
      </w:r>
    </w:p>
    <w:p>
      <w:pPr>
        <w:spacing w:after="0" w:line="387"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34"/>
        </w:trPr>
        <w:tc>
          <w:tcPr>
            <w:tcW w:w="5460" w:type="dxa"/>
            <w:vAlign w:val="bottom"/>
          </w:tcPr>
          <w:p>
            <w:pPr>
              <w:spacing w:after="0"/>
              <w:rPr>
                <w:sz w:val="20"/>
                <w:szCs w:val="20"/>
                <w:color w:val="auto"/>
              </w:rPr>
            </w:pPr>
            <w:r>
              <w:rPr>
                <w:rFonts w:ascii="Arial" w:cs="Arial" w:eastAsia="Arial" w:hAnsi="Arial"/>
                <w:sz w:val="18"/>
                <w:szCs w:val="18"/>
                <w:b w:val="1"/>
                <w:bCs w:val="1"/>
                <w:color w:val="auto"/>
              </w:rPr>
              <w:t>Non-operating income (expense), net</w:t>
            </w: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46"/>
        </w:trPr>
        <w:tc>
          <w:tcPr>
            <w:tcW w:w="5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980" w:type="dxa"/>
            <w:vAlign w:val="bottom"/>
            <w:gridSpan w:val="8"/>
          </w:tcPr>
          <w:p>
            <w:pPr>
              <w:jc w:val="center"/>
              <w:ind w:right="360"/>
              <w:spacing w:after="0"/>
              <w:rPr>
                <w:sz w:val="20"/>
                <w:szCs w:val="20"/>
                <w:color w:val="auto"/>
              </w:rPr>
            </w:pPr>
            <w:r>
              <w:rPr>
                <w:rFonts w:ascii="Arial" w:cs="Arial" w:eastAsia="Arial" w:hAnsi="Arial"/>
                <w:sz w:val="18"/>
                <w:szCs w:val="18"/>
                <w:color w:val="auto"/>
                <w:w w:val="89"/>
              </w:rPr>
              <w:t>Nine months ended September 30,</w:t>
            </w:r>
          </w:p>
        </w:tc>
      </w:tr>
      <w:tr>
        <w:trPr>
          <w:trHeight w:val="223"/>
        </w:trPr>
        <w:tc>
          <w:tcPr>
            <w:tcW w:w="546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rPr>
              <w:t>2016</w:t>
            </w:r>
          </w:p>
        </w:tc>
        <w:tc>
          <w:tcPr>
            <w:tcW w:w="18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rPr>
              <w:t>2015</w:t>
            </w:r>
          </w:p>
        </w:tc>
        <w:tc>
          <w:tcPr>
            <w:tcW w:w="20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Change</w:t>
            </w:r>
          </w:p>
        </w:tc>
        <w:tc>
          <w:tcPr>
            <w:tcW w:w="80" w:type="dxa"/>
            <w:vAlign w:val="bottom"/>
            <w:tcBorders>
              <w:bottom w:val="single" w:sz="8" w:color="CCEEFF"/>
            </w:tcBorders>
          </w:tcPr>
          <w:p>
            <w:pPr>
              <w:spacing w:after="0"/>
              <w:rPr>
                <w:sz w:val="19"/>
                <w:szCs w:val="19"/>
                <w:color w:val="auto"/>
              </w:rPr>
            </w:pPr>
          </w:p>
        </w:tc>
      </w:tr>
      <w:tr>
        <w:trPr>
          <w:trHeight w:val="223"/>
        </w:trPr>
        <w:tc>
          <w:tcPr>
            <w:tcW w:w="5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Non-operating expense, net</w:t>
            </w: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(1,925,000</w:t>
            </w:r>
          </w:p>
        </w:tc>
        <w:tc>
          <w:tcPr>
            <w:tcW w:w="1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(2,338,000</w:t>
            </w:r>
          </w:p>
        </w:tc>
        <w:tc>
          <w:tcPr>
            <w:tcW w:w="2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413,000</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0"/>
        </w:trPr>
        <w:tc>
          <w:tcPr>
            <w:tcW w:w="5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nine-month period ended September 30, 2016, we recorded net non-operating expense in the amount of $1,925,000 compared to net non-operating expense in the amount of $2,338,000 recorded during the nine-month period ended September 30, 2015.</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the nine-month period ended September 30, 2016, we recorded interest expense of $1,697,000 for the interest recorded related to the monthly interest payments and the amortization of the debt discount and debt issuance costs as well as accrued interest calculated using the effective interest method. In addition, we elected to repay principal installments for January and February 2016 in shares of our common stock, which were issued at a discount of 15% to market prices, which resulted in $210,000 recorded as a loss on the extinguishment of debt. We also recorded $262,000 of loss on extinguishment of debt for the 15% early debt repayment fee on July 1, 2016.</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net non-operating expenses reported during the nine-month period ended September 30, 2016 were reduced by a gain of $97,000 on the revaluation of the derivative warrant liabilities related to the Amended Notes and a $147,000 foreign exchange gain attributable to our deposits with courts prior to them being returned to us during the first half of 2016.</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net non-operating expense recognized in the nine-month period ended September 30, 2015 was driven by various factors. Installment payments made to holders of the Notes resulted in interest expense of $2,173,000 for the nine-month period ended September 30, 2015. The interest expense was calculated using the effective interest method. In addition, we elected to repay the installments in registered shares, which were issued at a discount of 15% to market prices. This resulted in $1,254,000 recorded as a loss on the extinguishment of debt. The expense also relates to foreign exchange losses in connection with deposits with courts.</w:t>
      </w:r>
    </w:p>
    <w:p>
      <w:pPr>
        <w:spacing w:after="0" w:line="18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expect that our non-operating income (expense) will remain highly volatile, and we may choose to fund our operations through additional financing. In particular, non-operating income (expense) will be affected by the adjustments to the fair value of our derivative instruments. Fair value of these derivative instruments depends on a variety of assumptions, such as estimations regarding triggering of down-round protection and estimated future share price. An estimated increase in the price of our common stock increases the value of the warrants and thus results in a loss on our statements of operations. In addition, high estimated probability of a down-round protection increases the value of the warrants and again results in a loss on our statements of operations.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As of September 30, 2016, we had a cash balance of $21,679,000, which represents a decrease of $3,272,000 compared to our cash balance as of December 31, 2015. We anticipate that our need for capital will continue to decline as project-based activities related to the improvement of systems and digital marketing attributed to Group Mobile and FLI Charge near completion which will be offset by the decline in litigation and licensing costs for our intellectual property operating segment. Cash expenditures during the nine-month period ended September 30, 2016 were offset by cash received for refunds of court fees and our deposits with the courts in Germany, Brazil, and Romania, as well as cash received by our Group Mobile and intellectual property operating segments during the normal course of business. All deposits that had been posted with the courts in connection with our litigation with ZTE have been returned.</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August 8, 2016, we entered into subscription agreements and received the proceeds from selling 750,574 shares of our unregistered common stock to certain holders of XpresSpa, at a purchase price of $2.31 per share, for an aggregate purchase price of $1,734,000.</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addition, on August 8, 2016, we purchased from XpresSpa an aggregate of 1,733,826 of Series C Preferred Units of XpresSpa, at a per unit purchase price of $1.00 per unit, for an aggregate purchase price of $1,734,000</w:t>
      </w:r>
      <w:r>
        <w:rPr>
          <w:rFonts w:ascii="Arial" w:cs="Arial" w:eastAsia="Arial" w:hAnsi="Arial"/>
          <w:sz w:val="17"/>
          <w:szCs w:val="17"/>
          <w:color w:val="181818"/>
        </w:rPr>
        <w:t>, which is included in other current assets</w:t>
      </w:r>
      <w:r>
        <w:rPr>
          <w:rFonts w:ascii="Arial" w:cs="Arial" w:eastAsia="Arial" w:hAnsi="Arial"/>
          <w:sz w:val="17"/>
          <w:szCs w:val="17"/>
          <w:color w:val="auto"/>
        </w:rPr>
        <w:t xml:space="preserve"> in the condensed consolidated balance sheets. Assuming stockholder approval is received, </w:t>
      </w:r>
      <w:r>
        <w:rPr>
          <w:rFonts w:ascii="Arial" w:cs="Arial" w:eastAsia="Arial" w:hAnsi="Arial"/>
          <w:sz w:val="17"/>
          <w:szCs w:val="17"/>
          <w:color w:val="181818"/>
        </w:rPr>
        <w:t>the Merger is expected to be completed</w:t>
      </w:r>
      <w:r>
        <w:rPr>
          <w:rFonts w:ascii="Arial" w:cs="Arial" w:eastAsia="Arial" w:hAnsi="Arial"/>
          <w:sz w:val="17"/>
          <w:szCs w:val="17"/>
          <w:color w:val="auto"/>
        </w:rPr>
        <w:t xml:space="preserve"> shortly after the stockholders vote</w:t>
      </w:r>
      <w:r>
        <w:rPr>
          <w:rFonts w:ascii="Arial" w:cs="Arial" w:eastAsia="Arial" w:hAnsi="Arial"/>
          <w:sz w:val="17"/>
          <w:szCs w:val="17"/>
          <w:color w:val="181818"/>
        </w:rPr>
        <w:t>.</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July 1, 2016, we repaid in full our Amended Notes that were due on June 30, 2017. As required by the terms of the Amended Notes, notice of repayment was delivered to the Investors on June 30, 2016. We repaid the Amended Notes in full, including a 15% fee for early repayment. We used an aggregate of $2,011,000 of cash on hand for repayment of the Amended Notes. As a result of the repayment in full of the Amended Notes, all liens on our assets, including intellectual property, were released by the Investors.</w:t>
      </w:r>
    </w:p>
    <w:p>
      <w:pPr>
        <w:spacing w:after="0" w:line="187"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On March 9, 2016, pursuant to the Exchange Note Agreement, we issued to the Investors an aggregate of 703,644 shares of our common stock, par value $0.01 per share, in exchange for the reduction of $1,267,000 of the outstanding principal amount of the Notes and $49,000 of accrued interest. As a result, the outstanding aggregate principal amount under the Notes was reduced from $3,016,000 to $1,749,000 as of March 9, 2016.</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average monthly net cash used in operations for the nine-month period ended September 30, 2016 was approximately $330,000 compared to average monthly net cash used in operations of approximately $1,506,000 during the nine-month period ended September 30, 2015. This is driven by the increase in revenues derived from our Group Mobile and intellectual property operating segments.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Based on current operating plans, we expect to have sufficient funds for at least the next 12 months and beyond. In addition, we may choose to raise additional funds in connection with potential acquisitions of operating assets, patent portfolios or other businesses that we may pursue. There can be no assurance, however, that any such opportunities will materialize.</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40" w:type="dxa"/>
            <w:vAlign w:val="bottom"/>
          </w:tcPr>
          <w:p>
            <w:pPr>
              <w:spacing w:after="0"/>
              <w:rPr>
                <w:sz w:val="20"/>
                <w:szCs w:val="20"/>
                <w:color w:val="auto"/>
              </w:rPr>
            </w:pPr>
            <w:r>
              <w:rPr>
                <w:rFonts w:ascii="Arial" w:cs="Arial" w:eastAsia="Arial" w:hAnsi="Arial"/>
                <w:sz w:val="18"/>
                <w:szCs w:val="18"/>
                <w:b w:val="1"/>
                <w:bCs w:val="1"/>
                <w:i w:val="1"/>
                <w:iCs w:val="1"/>
                <w:color w:val="auto"/>
              </w:rPr>
              <w:t>Cash flows</w:t>
            </w: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46"/>
        </w:trPr>
        <w:tc>
          <w:tcPr>
            <w:tcW w:w="4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980" w:type="dxa"/>
            <w:vAlign w:val="bottom"/>
            <w:gridSpan w:val="10"/>
          </w:tcPr>
          <w:p>
            <w:pPr>
              <w:jc w:val="right"/>
              <w:ind w:right="920"/>
              <w:spacing w:after="0"/>
              <w:rPr>
                <w:sz w:val="20"/>
                <w:szCs w:val="20"/>
                <w:color w:val="auto"/>
              </w:rPr>
            </w:pPr>
            <w:r>
              <w:rPr>
                <w:rFonts w:ascii="Arial" w:cs="Arial" w:eastAsia="Arial" w:hAnsi="Arial"/>
                <w:sz w:val="18"/>
                <w:szCs w:val="18"/>
                <w:color w:val="auto"/>
              </w:rPr>
              <w:t>Nine months ended September 30,</w:t>
            </w:r>
          </w:p>
        </w:tc>
      </w:tr>
      <w:tr>
        <w:trPr>
          <w:trHeight w:val="223"/>
        </w:trPr>
        <w:tc>
          <w:tcPr>
            <w:tcW w:w="454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rPr>
              <w:t>2016</w:t>
            </w:r>
          </w:p>
        </w:tc>
        <w:tc>
          <w:tcPr>
            <w:tcW w:w="120" w:type="dxa"/>
            <w:vAlign w:val="bottom"/>
            <w:tcBorders>
              <w:top w:val="single" w:sz="8" w:color="auto"/>
              <w:bottom w:val="single" w:sz="8" w:color="CCEEFF"/>
            </w:tcBorders>
          </w:tcPr>
          <w:p>
            <w:pPr>
              <w:spacing w:after="0"/>
              <w:rPr>
                <w:sz w:val="19"/>
                <w:szCs w:val="19"/>
                <w:color w:val="auto"/>
              </w:rPr>
            </w:pPr>
          </w:p>
        </w:tc>
        <w:tc>
          <w:tcPr>
            <w:tcW w:w="6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rPr>
              <w:t>2015</w:t>
            </w:r>
          </w:p>
        </w:tc>
        <w:tc>
          <w:tcPr>
            <w:tcW w:w="12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Change</w:t>
            </w:r>
          </w:p>
        </w:tc>
        <w:tc>
          <w:tcPr>
            <w:tcW w:w="80" w:type="dxa"/>
            <w:vAlign w:val="bottom"/>
            <w:tcBorders>
              <w:bottom w:val="single" w:sz="8" w:color="CCEEFF"/>
            </w:tcBorders>
          </w:tcPr>
          <w:p>
            <w:pPr>
              <w:spacing w:after="0"/>
              <w:rPr>
                <w:sz w:val="19"/>
                <w:szCs w:val="19"/>
                <w:color w:val="auto"/>
              </w:rPr>
            </w:pPr>
          </w:p>
        </w:tc>
      </w:tr>
      <w:tr>
        <w:trPr>
          <w:trHeight w:val="210"/>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(2,969,000)</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(13,553,000)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10,584,000</w:t>
            </w:r>
          </w:p>
        </w:tc>
        <w:tc>
          <w:tcPr>
            <w:tcW w:w="80" w:type="dxa"/>
            <w:vAlign w:val="bottom"/>
            <w:shd w:val="clear" w:color="auto" w:fill="CCEEFF"/>
          </w:tcPr>
          <w:p>
            <w:pPr>
              <w:spacing w:after="0"/>
              <w:rPr>
                <w:sz w:val="18"/>
                <w:szCs w:val="18"/>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Net cash provided by (used in) investing activities</w:t>
            </w:r>
          </w:p>
        </w:tc>
        <w:tc>
          <w:tcPr>
            <w:tcW w:w="11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24,000</w:t>
            </w:r>
          </w:p>
        </w:tc>
        <w:tc>
          <w:tcPr>
            <w:tcW w:w="3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(272,000)</w:t>
            </w:r>
          </w:p>
        </w:tc>
        <w:tc>
          <w:tcPr>
            <w:tcW w:w="3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296,000</w:t>
            </w: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118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(327,000)</w:t>
            </w:r>
          </w:p>
        </w:tc>
        <w:tc>
          <w:tcPr>
            <w:tcW w:w="3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12,207,000</w:t>
            </w:r>
          </w:p>
        </w:tc>
        <w:tc>
          <w:tcPr>
            <w:tcW w:w="30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(12,534,000)</w:t>
            </w:r>
          </w:p>
        </w:tc>
      </w:tr>
    </w:tbl>
    <w:p>
      <w:pPr>
        <w:sectPr>
          <w:pgSz w:w="11900" w:h="16838" w:orient="portrait"/>
          <w:cols w:equalWidth="0" w:num="1">
            <w:col w:w="11420"/>
          </w:cols>
          <w:pgMar w:left="240" w:top="904" w:right="239" w:bottom="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nine-month period ended September 30, 2016, net cash used in operating activities totaled $2,969,000 compared to net cash used in operating activities of $13,553,000 during the nine-month period ended September 30, 2015. The increase of $10,584,000 was mainly due to cash received from our Group Mobile and intellectual property operating segments during the normal course of business.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net cash used in operating activities could increase if we engage in future business development activities. As we expect to move towards greater revenue generation in the future, we expect that these amounts will be offset over time by operating expenses. There is no assurance that our licensing efforts will be successful in the future. Furthermore, there is no guarantee that we will generate sufficient revenue to offset future operating expenses and our ability to raise additional capital may be limited.</w:t>
      </w:r>
    </w:p>
    <w:p>
      <w:pPr>
        <w:spacing w:after="0" w:line="396"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nine-month period ended September 30, 2016, net cash provided by investing activities totaled $24,000, mainly attributable to the refunds of our deposits with the German, Brazilian and Romanian courts. These proceeds were offset by $1,734,000 net cash invested in XpresSpa on August 8, 2016 and $243,000 net cash used to acquire software related to Group Mobile’s website. During the nine-month period ended September 30, 2015, net cash used in investing activities totaled $272,000, which represents the deposit we made to a Romanian court to enforce an injunction against ZTE in Romania and the deposit we made in Germany to enforce review of ZTE’s accounting records.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expect that net cash used in investing activities will increase as we intend to continue to acquire and develop supporting infrastructure and systems for our operating segments.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During the nine-month period ended September 30, 2016, net cash used in financing activities totaled $327,000, which is comprised of the $2,011,000 net cash used to repay the Notes on July 1, 2016 and $50,000 net cash paid to the Investors related to their expenses incurred as a result of the debt modification. These cash outflows were offset by $1,734,000 proceeds received from certain holders of XpresSpa as a result of the subscription agreement entered into on August 8, 2016. During the nine-month period ended September 30, 2015, we received net proceeds of $12,207,000 from a securities purchase in a registered direct offering of $12,500,000 of Notes and warrants to purchase up to 537,500 shares of our common stock. This amount was offset by the $218,000 of debt issuance costs that were paid in relation to the agreement.</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significant portion of our issued and outstanding warrants, for which the underlying shares of common stock held by non-affiliates are freely tradable, are currently “out of the money.” Therefore, the potential of additional incoming funds from exercises by our warrant holders is currently very limited. To the extent that any of our issued and outstanding warrants were “in the money,” it could be used as a source of additional funding if the warrant holders choose to exercise their warrants for cash.</w:t>
      </w:r>
    </w:p>
    <w:p>
      <w:pPr>
        <w:spacing w:after="0" w:line="18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may also choose to raise additional funds in connection with any acquisitions of patent portfolios or other assets or other businesses that we may pursue. There can be no assurance, however, that any such opportunity will materialize. Moreover, any such financing would most likely be dilutive to our current stockholders.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Off-Balance Sheet Arrangements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no obligations, assets or liabilities that would be considered off-balance sheet arrangements. We do not participate in transactions that create relationships with unconsolidated entities or financial partnerships, often referred to as variable interest entities, which would have been established for the purpose of facilitating off-balance sheet arrangements.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Critical Accounting Estimates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These condensed consolidated financial statements should be read in conjunction with the audited consolidated financial statements included in our Annual Report on Form 10-K filed with the SEC on March 10, 2016, which includes a description of our critical accounting policies that involve subjective and complex judgments that could potentially affect reported results. While there have been no material changes to our critical accounting policies as to the methodologies or assumptions we apply under them, we continue to monitor such methodologies and assumptions.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required as we are a smaller reporting company.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management, with the participation of our chief executive officer and chief financial officer, evaluated the effectiveness of our disclosure controls and procedures pursuant to Rule 13a-15(e) and 15d-15(e) under the Securities Exchange Act of 1934, as amended (the “Exchange Act”), as of the end of the period covered by this Quarterly Report on Form 10-Q.</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Based on this evaluation, our chief executive officer and chief financial officer concluded that, as of September 30, 2016, our disclosure controls and procedures are designed at a reasonable assurance level and are effective to provide reasonable assurance that information we are required to disclose in reports that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or persons performing similar functions, as appropriate, to allow timely decisions regarding required disclosure.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On October 15, 2015, we acquired IDG. During the nine-month period ended September 30, 2016, we implemented relevant internal controls over financial reporting around Group Mobile and FLI Charge operating segments. We believe that our internal controls over financial reporting are overall effective.</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were no changes in our internal control over financial reporting that occurred during the last fiscal quarter that have materially affected, or are reasonably likely to materially affect, our internal control over financial reporting.</w:t>
      </w:r>
    </w:p>
    <w:p>
      <w:pPr>
        <w:spacing w:after="0" w:line="379"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641"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Infrastructure Patents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ZTE</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December 7, 2015, we entered into a confidential settlement and license agreement (the “Settlement Agreement”) with ZTE Corporation and its affiliates (collectively, “ZTE”), pursuant to which: (i) ZTE paid us a total of $21,500,000, net of all withholding, value added or other taxes; (ii) the parties withdrew all pending litigations and proceedings against each other including the litigations related to ZTE’s breach of its non-disclosure agreement with us; and (iii) we granted ZTE certain rights with respect to our patents including a non-exclusive, non-transferable, worldwide perpetual license to certain of our owned patents and patent applications.</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several jurisdictions, though ZTE requested that government organizations close proceedings against us, those organizations make such determinations on their own volition. In China, ZTE requested that the National Developmental and Reform Commission (“NDRC”) conclude its investigation against us; however, it is not clear whether the NDRC has closed its investigation.</w:t>
      </w:r>
    </w:p>
    <w:p>
      <w:pPr>
        <w:spacing w:after="0" w:line="18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 addition, in China and the Netherlands, FORM continues to appeal patent invalidity rulings issued in connection with proceedings originally brought by ZTE. In each instance, ZTE has indicated that it will not oppose FORM’s appeals, though FORM must still plead its case before the respective adjudicatory body in each jurisdiction.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ASUS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March 2016, we settled all disputes and ended all litigations with ASUSTeK Computer Inc. and its subsidiary (collectively, “ASUS”). Google, Inc. (“Google”), who intervened as a party in our litigation against ASUS in India, and us have agreed to withdraw our respective outstanding claims against one another. We are currently in the process of finalizing such withdrawals with Google, and each party will cover its own costs.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Confidential License Agreement</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April 25, 2016, we entered into a Confidential License Agreement (the “License Agreement”). Pursuant to the terms of the License Agreement, the licensee paid us a one-time lump sum payment of $8,900,000 on May 30, 2016. As a result, we granted to the licensee a non-exclusive, non-transferable, worldwide perpetual license to certain patents and patent applications we own.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Content Distribution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2012, we purchased a portfolio of patents invented by Tayo Akadiri relating to content distribution. The portfolio includes seven patents as well as several pending patent applications. As one of the means of realizing the value of these patents, on October 20, 2015, we filed suit against DirecTV, LLC (“DirecTV”) in the United States District Court for the Southern District of New York. As of September 30, 2016, the lawsuit between the parties has been resolved.</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May 25, 2016, Iron Gate Security, Inc. (“Iron Gate”), one of our subsidiaries, filed a Second Amended Complaint (the “Complaint”) against Lowe’s Companies, Inc. (“Lowe’s”) in the U.S. District Court for the Southern District of New York. During the fourth quarter of 2016, the parties successfully resolved the litigation.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are holding our annual meeting of stockholders on November 28, 2016 to approve, among other things, the Merger and the issuance of shares of FORM Common Stock, FORM Preferred Stock and warrants to the Unitholders in connection with the Merger. Assuming stockholder approval is received, we expect to complete the Merger shortly after the stockholders vote. The risks described in our Registration Statement on Form S-4 (File No. 333-213566) (the “S-4 Registration Statement”) under the headings “Risk Factors – Risks Related to FORM’s Business” and “Risk Factors – Risks Related to XpresSpa’s Business” are incorporated by reference herein. Other than as set forth in the S-4 Registration Statement and as set forth below, there have been no material changes to the risk factors discussed in Item 1A. Risk Factors in our Annual Report on Form 10-K for the year ended December 31, 2015.</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issuance of our securities to XpresSpa equity holders in connection with the Merger will dilute the voting power of current FORM stockholders.</w:t>
      </w:r>
    </w:p>
    <w:p>
      <w:pPr>
        <w:spacing w:after="0" w:line="24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Pursuant to the terms of the Merger Agreement, it is anticipated that we will issue to XpresSpa unit holders shares of our common stock and our preferred stock, and warrants to purchase shares of our common stock. After such issuance (without taking into account any shares of our common stock held by XpresSpa equity holders prior to the completion of the Merger but assuming that all shares held in escrow are released to the former equity holders of XpresSpa), the former equity holders of XpresSpa are expected to own approximately 18% of our outstanding common stock (or 33% of our outstanding common stock calculated on a fully diluted basis) and our current stockholders are expected to own approximately 82% of our outstanding common stock (or 67% of our outstanding common stock calculated on a fully diluted basis). In addition, the holders of our preferred stock will have voting rights as specified in the Certificate of Designation of Preferences, Rights and Limitations of Series D Convertible Preferred Stock, the form of which is filed herewith as Exhibit 3.1. Accordingly, the issuance of shares of our common stock and our preferred stock to XpresSpa equity holders in connection with the Merger will reduce the relative voting power of each share of our common stock held by our current stockholders.</w:t>
      </w:r>
    </w:p>
    <w:p>
      <w:pPr>
        <w:spacing w:after="0" w:line="391"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641" w:gutter="0" w:footer="0" w:header="0"/>
        </w:sectPr>
      </w:pPr>
    </w:p>
    <w:bookmarkStart w:id="43" w:name="page44"/>
    <w:bookmarkEnd w:id="43"/>
    <w:p>
      <w:pPr>
        <w:jc w:val="both"/>
        <w:spacing w:after="0" w:line="264" w:lineRule="auto"/>
        <w:rPr>
          <w:sz w:val="20"/>
          <w:szCs w:val="20"/>
          <w:color w:val="auto"/>
        </w:rPr>
      </w:pPr>
      <w:r>
        <w:rPr>
          <w:rFonts w:ascii="Arial" w:cs="Arial" w:eastAsia="Arial" w:hAnsi="Arial"/>
          <w:sz w:val="18"/>
          <w:szCs w:val="18"/>
          <w:b w:val="1"/>
          <w:bCs w:val="1"/>
          <w:i w:val="1"/>
          <w:iCs w:val="1"/>
          <w:color w:val="auto"/>
        </w:rPr>
        <w:t>If we exercise the option to repay the preferred stock to be issued in connection with the Merger in stock rather than cash, such repayment may result in the issuance of a large number of shares of common stock which may have a negative effect on the trading price of our common stock as well as a dilutive effect.</w:t>
      </w:r>
    </w:p>
    <w:p>
      <w:pPr>
        <w:spacing w:after="0" w:line="18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Pursuant to the terms of the Series D Convertible Preferred Stock to be issued in connection with the Merger, on the seven year anniversary of the initial issuance date of the shares of Series D Convertible Preferred Stock, we may repay each share of Series D Convertible Preferred Stock, at our option, in cash, by delivery of shares of common stock or through any combination thereof. If we elect to make a payment, or any portion thereof, in shares of common stock, the number of shares deliverable (the “Base Shares”) will be based on the volume weighted average price per share of our common stock for the thirty trading days prior to the date of calculation (the “Base Price”) plus an additional number of shares of common stock (the “Premium Shares”), calculated as follows:</w:t>
      </w:r>
    </w:p>
    <w:p>
      <w:pPr>
        <w:spacing w:after="0" w:line="2" w:lineRule="exact"/>
        <w:rPr>
          <w:sz w:val="20"/>
          <w:szCs w:val="20"/>
          <w:color w:val="auto"/>
        </w:rPr>
      </w:pPr>
    </w:p>
    <w:p>
      <w:pPr>
        <w:jc w:val="both"/>
        <w:ind w:firstLine="8"/>
        <w:spacing w:after="0" w:line="268" w:lineRule="auto"/>
        <w:tabs>
          <w:tab w:leader="none" w:pos="226" w:val="left"/>
        </w:tabs>
        <w:numPr>
          <w:ilvl w:val="0"/>
          <w:numId w:val="14"/>
        </w:numPr>
        <w:rPr>
          <w:rFonts w:ascii="Arial" w:cs="Arial" w:eastAsia="Arial" w:hAnsi="Arial"/>
          <w:sz w:val="17"/>
          <w:szCs w:val="17"/>
          <w:color w:val="auto"/>
        </w:rPr>
      </w:pPr>
      <w:r>
        <w:rPr>
          <w:rFonts w:ascii="Arial" w:cs="Arial" w:eastAsia="Arial" w:hAnsi="Arial"/>
          <w:sz w:val="17"/>
          <w:szCs w:val="17"/>
          <w:color w:val="auto"/>
        </w:rPr>
        <w:t>if the Base Price is greater than $9.00, no Premium Shares shall be issued, (ii) if the Base Price is greater than $7.00 and equal to or less than $9.00, an additional number of shares equal to 5% of the Base Shares shall be issued, (iii) if the Base Price is greater than $6.00 and equal to or less than $7.00, an additional number of shares equal to 10% of the Base Shares shall be issued, (iv) if the Base Price is greater than $5.00 and equal to or less than $6.00, an additional number of shares equal to 20% of the Base Shares shall be issued and (v) if the Base Price is less than or equal to $5.00, an additional number of shares equal to 25% of the Base Shares shall be issued. Accordingly, if the volume weighted average price per share of our common stock is below $9.00 per share at the time of repayment and we exercise the option to make such repayment in shares of our common stock, a large number of shares of our common stock may be issued to the holders of the Series D Convertible Preferred Stock upon maturity which may have a negative effect on the trading price of our common stock. At the seven year maturity date of the Series D Convertible Preferred Stock (which shall be the date that is seven years from the closing date of the Merger), we, at our election, may decide to issue shares of our common stock based on the formula set forth above or to re-pay in cash all or any portion of the Series D Convertible Preferred Stock.</w:t>
      </w:r>
    </w:p>
    <w:p>
      <w:pPr>
        <w:spacing w:after="0" w:line="1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2023, upon the maturity date of the Series D Convertible Preferred Stock, when determining whether to repay the Series D Convertible Preferred Stock in cash or shares of common stock, we expect to consider a number of factors, including our cash position, the price of our common stock and our capital structure at such time. Because we do not have to make a determination as to which option to elect until 2023, it is impossible to predict whether it is more or less likely to repay in cash, stock or a portion of each.</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example, assuming the entire amount of the Series D Convertible Preferred Stock was outstanding at the seven year maturity date, and we opted to repay such Series D Convertible Preferred Stock entirely in shares of common stock, the number of shares of common stock to be issued at such repayment if the Base Price was $9.00 per share, $6.50 per share and $2.50 (slightly below the closing price on November 7, 2016) would be approximately 2,770,833 shares, 4,019,231 shares and 11,875,000, respectively.</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announcement and pendency of the Merger could have an adverse effect on our business prospects and/or XpresSpa and on our stock price and/or business, financial condition or results of operations.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While there have been no significant adverse effects to date, the announcement and pendency of the Merger could disrupt XpresSpa’s and/or our prospective and current businesses in the following ways, among others:</w:t>
      </w:r>
    </w:p>
    <w:p>
      <w:pPr>
        <w:spacing w:after="0" w:line="170" w:lineRule="exact"/>
        <w:rPr>
          <w:sz w:val="20"/>
          <w:szCs w:val="20"/>
          <w:color w:val="auto"/>
        </w:rPr>
      </w:pPr>
    </w:p>
    <w:p>
      <w:pPr>
        <w:jc w:val="both"/>
        <w:ind w:left="660" w:hanging="328"/>
        <w:spacing w:after="0" w:line="264"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third parties, including customers, suppliers and operators, may seek to terminate and/or renegotiate their relationships with us or XpresSpa or decide not to conduct business with either us or XpresSpa as a result of the Merger, whether pursuant to the terms of their existing agreements with us and/or XpresSpa or otherwise; and</w:t>
      </w:r>
    </w:p>
    <w:p>
      <w:pPr>
        <w:spacing w:after="0" w:line="181"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attention of XpresSpa’s and/or our management may be directed toward the completion of the Merger and related matters and may be diverted from the day-to-day business operations of their respective companies, including from other opportunities that might otherwise be beneficial to us or XpresSpa. Should they occur, any of these matters could adversely affect our stock price or harm XpresSpa’s and/or our financial condition, results of operations, or business prospects.</w:t>
      </w:r>
    </w:p>
    <w:p>
      <w:pPr>
        <w:spacing w:after="0" w:line="396"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4" w:name="page45"/>
    <w:bookmarkEnd w:id="44"/>
    <w:p>
      <w:pPr>
        <w:ind w:right="20"/>
        <w:spacing w:after="0" w:line="277" w:lineRule="auto"/>
        <w:rPr>
          <w:sz w:val="20"/>
          <w:szCs w:val="20"/>
          <w:color w:val="auto"/>
        </w:rPr>
      </w:pPr>
      <w:r>
        <w:rPr>
          <w:rFonts w:ascii="Arial" w:cs="Arial" w:eastAsia="Arial" w:hAnsi="Arial"/>
          <w:sz w:val="18"/>
          <w:szCs w:val="18"/>
          <w:b w:val="1"/>
          <w:bCs w:val="1"/>
          <w:i w:val="1"/>
          <w:iCs w:val="1"/>
          <w:color w:val="auto"/>
        </w:rPr>
        <w:t>Failure to complete the Merger or delays in completing the Merger could negatively impact our business, financial condition, or results of operations or our stock price.</w:t>
      </w:r>
    </w:p>
    <w:p>
      <w:pPr>
        <w:spacing w:after="0" w:line="170"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completion of the Merger is subject to a number of conditions and there can be no assurance that the conditions to the completion of the Merger will be satisfied at all or satisfied in a timely manner. If the Merger is not completed or is delayed, we will be subject to several risks, including:</w:t>
      </w:r>
    </w:p>
    <w:p>
      <w:pPr>
        <w:spacing w:after="0" w:line="147" w:lineRule="exact"/>
        <w:rPr>
          <w:sz w:val="20"/>
          <w:szCs w:val="20"/>
          <w:color w:val="auto"/>
        </w:rPr>
      </w:pPr>
    </w:p>
    <w:p>
      <w:pPr>
        <w:ind w:left="660" w:right="2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current trading price of our common stock may reflect a market assumption that the Merger will occur, meaning that a failure to complete the Merger or delays in completing the Merger could result in a decline in the price of our common stock;</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certain of our executive officers and/or directors or XpresSpa’s may seek other employment opportunities, and the departure of any of our or XpresSpa’s executive officers and the possibility that we would be unable to recruit and hire experienced executives could negatively impact our future business;</w:t>
      </w:r>
    </w:p>
    <w:p>
      <w:pPr>
        <w:spacing w:after="0" w:line="18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our board of directors will need to reevaluate our strategic alternatives, such alternatives will include other merger and acquisition opportunities;</w:t>
      </w:r>
    </w:p>
    <w:p>
      <w:pPr>
        <w:spacing w:after="0" w:line="248" w:lineRule="exact"/>
        <w:rPr>
          <w:rFonts w:ascii="Arial" w:cs="Arial" w:eastAsia="Arial" w:hAnsi="Arial"/>
          <w:sz w:val="16"/>
          <w:szCs w:val="16"/>
          <w:color w:val="auto"/>
        </w:rPr>
      </w:pPr>
    </w:p>
    <w:p>
      <w:pPr>
        <w:jc w:val="both"/>
        <w:ind w:left="660" w:hanging="328"/>
        <w:spacing w:after="0" w:line="286" w:lineRule="auto"/>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under certain circumstances, if the Merger is terminated by either us or XpresSpa in connection with or due to our entering into an alternate transaction constituting a superior proposal, then we are required to pay to XpresSpa a fee equal to $750,000, plus an amount in cash equal to XpresSpa’s reasonable out-of-pocket fees and expenses incurred in connection with the Merger, in an amount not to exceed $500,000;</w:t>
      </w:r>
    </w:p>
    <w:p>
      <w:pPr>
        <w:spacing w:after="0" w:line="165" w:lineRule="exact"/>
        <w:rPr>
          <w:rFonts w:ascii="Arial" w:cs="Arial" w:eastAsia="Arial" w:hAnsi="Arial"/>
          <w:sz w:val="17"/>
          <w:szCs w:val="17"/>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are expected to incur substantial transaction costs in connection with the Merger whether or not the Merger is completed;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would not realize any of the anticipated benefits of having completed the Merger.</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the Merger is not completed or is delayed, these risks may materialize and materially and adversely affect our business, financial condition, results of operations, and our stock price.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delay in completing the Merger may substantially reduce the benefits that we expect to obtain from the Merger.</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addition to obtaining the approval of our stockholders for the consummation of the Merger, the Merger is subject to a number of other conditions beyond our control that may prevent, delay, or otherwise materially adversely affect its completion. We cannot predict whether or when the conditions required to complete the Merger will be satisfied. The requirements for satisfying the closing conditions could delay the completion of the Merger for a significant period of time or prevent it from occurring. Any delay in completing the Merger may materially adversely affect the benefits that we expect to achieve if the Merger and the integration of the companies’ respective businesses are completed within the expected timeframe.</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Some of our directors and executive officers have interests in the Merger that are different from, or in addition to, those of our other stockholders.</w:t>
      </w:r>
    </w:p>
    <w:p>
      <w:pPr>
        <w:spacing w:after="0" w:line="24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When considering the recommendation by our board of directors that our stockholders vote “for” the FORM Merger Proposal, our stockholders should be aware that certain of our directors and executive officers have arrangements that provide them with interests in the Merger that are different from, or in addition to, those of our stockholders. For instance, in connection with the Merger, (i) each of Andrew D. Perlman, John Engelman, Donald E. Stout, Salvatore Giardina, Bruce T. Bernstein and Richard K. Abbe, each a current director of our board of directors, will continue to serve as our director following the completion of the Merger, (ii) Andrew D. Perlman, Anastasia Nyrkovskaya and Clifford Weinstein, currently our executive officers, will remain our executive officers following the completion of the Merger and (iii) Rockmore Investment Master Fund Ltd. (“Rockmore”), an investment entity controlled by our board member Bruce T. Bernstein and a significant equity holder of XpresSpa, currently owns equity securities of XpresSpa that are expected to receive approximately 9.5% of the merger consideration and, following completion of the Merger, Rockmore will still be the holder of the senior secured note payable to Rockmore, with an outstanding balance of approximately $6,500,000 (the “Senior Secured Note”) and will hold approximately 4.7% of our outstanding common stock on a fully diluted basis (in each case, based on the assumptions used in the section entitled “Security Ownership of Certain Beneficial Owners and Management of FORM Following the Merger” in the S-4 Registration Statement). Pursuant to the terms of the Senior Secured Note, XpresSpa may not merge into or consolidate with any other person or entity or permit any other person or entity to merge into or consolidate with XpresSpa without the consent of Rockmore. Rockmore has provided its consent to the Merger. In addition, our directors and executive officers also have certain rights to indemnification and to directors’ and officers’ liability insurance that will be provided by us following the completion of the Merger. Our board of directors was aware of and considered these interests, among other matters, in evaluating and negotiating the Merger Agreement and in recommending that our stockholders approve the Merger.</w:t>
      </w:r>
    </w:p>
    <w:p>
      <w:pPr>
        <w:spacing w:after="0" w:line="390"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5" w:name="page46"/>
    <w:bookmarkEnd w:id="45"/>
    <w:p>
      <w:pPr>
        <w:jc w:val="both"/>
        <w:spacing w:after="0" w:line="277" w:lineRule="auto"/>
        <w:rPr>
          <w:sz w:val="20"/>
          <w:szCs w:val="20"/>
          <w:color w:val="auto"/>
        </w:rPr>
      </w:pPr>
      <w:r>
        <w:rPr>
          <w:rFonts w:ascii="Arial" w:cs="Arial" w:eastAsia="Arial" w:hAnsi="Arial"/>
          <w:sz w:val="18"/>
          <w:szCs w:val="18"/>
          <w:b w:val="1"/>
          <w:bCs w:val="1"/>
          <w:i w:val="1"/>
          <w:iCs w:val="1"/>
          <w:color w:val="auto"/>
        </w:rPr>
        <w:t>XpresSpa can terminate the Merger Agreement for any reason or no reason upon payment of a termination fee and we will have no recourse against XpresSpa.</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the Merger Agreement, XpresSpa can terminate the Merger Agreement, at any time, for any reason or no reason, upon payment to us of a termination fee equal to $750,000, plus an amount in cash equal to our reasonable out-of-pocket fees and expenses incurred in connection with the Merger, in an amount not to exceed $500,000. We will have no recourse against XpresSpa other than receiving such termination fee and would not realize any of the anticipated benefits of having completed the Merger.</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Litigation has been instituted challenging the Merger and adverse judgments in this lawsuit (and any other lawsuits that may be instituted challenging the Merger) may prevent the Merger from becoming effective within the expected timeframe or at all.</w:t>
      </w:r>
    </w:p>
    <w:p>
      <w:pPr>
        <w:spacing w:after="0" w:line="17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As referenced below, Bruce Bernstein, a member of our Board of Directors, and XpresSpa have been named as defendants in a lawsuit challenging the Merger. If the plaintiffs in this case, or in any other cases challenging the Merger are successful, they may prevent the parties from completing the Merger in the expected timeframe, if at all. Even if the plaintiffs in the pending action or any potential actions are not successful, the costs of defending against such claims could adversely affect our and XpresSpa’s financial condition and the consummation of the Merger could be delayed or the Merger Agreement could be terminated. In August 2016, Amiral Holdings SAS (“Amiral”), the operator of BeRelax spas, filed a complaint for breach of contract against XpresSpa related to a potential strategic transaction between Amiral and XpresSpa. </w:t>
      </w:r>
      <w:r>
        <w:rPr>
          <w:rFonts w:ascii="Arial" w:cs="Arial" w:eastAsia="Arial" w:hAnsi="Arial"/>
          <w:sz w:val="17"/>
          <w:szCs w:val="17"/>
          <w:i w:val="1"/>
          <w:iCs w:val="1"/>
          <w:color w:val="auto"/>
        </w:rPr>
        <w:t>Amiral Holdings SAS v. XpresSpa Holdings LLC et al., Supreme Court of the State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of New York, County of New York </w:t>
      </w:r>
      <w:r>
        <w:rPr>
          <w:rFonts w:ascii="Arial" w:cs="Arial" w:eastAsia="Arial" w:hAnsi="Arial"/>
          <w:sz w:val="17"/>
          <w:szCs w:val="17"/>
          <w:color w:val="auto"/>
        </w:rPr>
        <w:t>(Index No. 654051/2016). Among other things, Amiral seeks specific performance related to the contract; an injunction</w:t>
      </w:r>
      <w:r>
        <w:rPr>
          <w:rFonts w:ascii="Arial" w:cs="Arial" w:eastAsia="Arial" w:hAnsi="Arial"/>
          <w:sz w:val="17"/>
          <w:szCs w:val="17"/>
          <w:i w:val="1"/>
          <w:iCs w:val="1"/>
          <w:color w:val="auto"/>
        </w:rPr>
        <w:t xml:space="preserve"> </w:t>
      </w:r>
      <w:r>
        <w:rPr>
          <w:rFonts w:ascii="Arial" w:cs="Arial" w:eastAsia="Arial" w:hAnsi="Arial"/>
          <w:sz w:val="17"/>
          <w:szCs w:val="17"/>
          <w:color w:val="auto"/>
        </w:rPr>
        <w:t>prohibiting the defendants from entering into or consummating a competing transaction; and a declaration with respect to Amiral’s right of first refusal and certain related matters. On October 4, 2016, Amiral filed an amended complaint and motion for a preliminary injunction. On October 14, 2016, XpresSpa filed its response to Amiral’s motion, and on October 20, 2016, Amiral filed a reply brief. A hearing on the preliminary injunction has been scheduled for December 5, 2016, although this date is subject to change by the court. If Amiral is successful in this lawsuit or its motion for a preliminary injunction, pending appeal, the completion of the Merger could be delayed or not occur at all. In addition, should Amiral’s motion for a preliminary injunction be granted after the closing of the Merger, the Court could force the Merger to become undone or award damages to Amiral, in which case we may not be indemnified by XpresSpa’s equity holders for losses incurred. There is no guarantee that XpresSpa will prevail in this (or any litigation) and the combined company’s business, financial condition or results of operations may be materially harmed as a result of such litigation, in addition to diverting management’s attention away from operations to attend to the litigation.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realize the potential value and benefits created by the Merger.</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success of the Merger will depend, in part, on our ability to realize the expected potential value and benefits created from integrating our existing businesses with XpresSpa’s business, which includes the maximization of the economic benefits of our strategic vision after completion of the Merger and plans, cash balances (which, in the case of XpresSpa, would be used for the build-out of new airport locations), financial reporting and analysis functions and legal expertise. The integration process may be complex, costly, and time-consuming. The difficulties of integrating the operations of XpresSpa’s business could include, among others:</w:t>
      </w:r>
    </w:p>
    <w:p>
      <w:pPr>
        <w:spacing w:after="0" w:line="188"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failure to implement our business plan for the business after the completion of the Merger;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unanticipated issues in integrating the business of both companies;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loss of key employees with knowledge of our or XpresSpa’s historical business and operations;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unanticipated changes in applicable laws and regulations; and</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other unanticipated issues, expenses, or liabilities that could impact, among other things, our ability to realize any expected benefits on a timely basis, or at all.</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may not accomplish the integration of XpresSpa’s business smoothly, successfully, or within the anticipated costs or time frame. The diversion of the attention of management from our current operations to the integration effort and any difficulties encountered in combining businesses could prevent us from realizing the full expected potential value and benefits to result from the Merger and could adversely affect our business. In addition, the integration efforts could divert the focus and resources of our and XpresSpa’s from other strategic opportunities and operational matters during the integration process. We will be dependent on certain key personnel, and the loss of these key personnel could have a material adverse effect on our business, financial conditions and results of operations. Our success and future prospects largely depend on the skills, experience and efforts of our and XpresSpa’s key personnel, including Andrew D. Perlman, our current Chief Executive Officer and a Director, and Edward Jankowski, XpresSpa’s Chief Executive Officer. The loss of Mr. Perlman or Mr. Jankowski or other of our or XpresSpa’s executives, or our failure to retain other key personnel, would jeopardize our ability to execute our strategic plan and materially harm our business.</w:t>
      </w:r>
    </w:p>
    <w:p>
      <w:pPr>
        <w:spacing w:after="0" w:line="18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Ownership of our common stock may be highly concentrated, and it may prevent our existing stockholders from influencing significant corporate decisions and may result in conflicts of interest that could cause our stock price to decline.</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Upon completion of the Merger, our and XpresSpa’s executive officers and directors continuing with us are expected to beneficially own or control approximately 37.8% of us on a fully diluted basis (see the sections entitled “FORM Security Ownership of Certain Beneficial Owners and Management.” “XpresSpa Security Ownership of Certain Beneficial Owners and Management” and “Security Ownership of Certain Beneficial Owners and Management of FORM Following the Merger” each in the S-4 Registration Statement for more information on the estimated ownership of us following the Merger). Accordingly, these executive officers and directors, acting individually or as a group, will have substantial influence over the outcome of a corporate action requiring stockholder approval, including the election of directors, any merger, consolidation or sale of all or substantially all of our assets or any other significant corporate transaction. These stockholders may also exert influence in delaying or preventing a change in control of us, even if such change in control would benefit our other stockholders. In addition, the significant concentration of stock ownership may adversely affect the market value of our common stock due to investors’ perception that conflicts of interest may exist or arise.</w:t>
      </w:r>
    </w:p>
    <w:p>
      <w:pPr>
        <w:spacing w:after="0" w:line="391"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0" w:gutter="0" w:footer="0" w:header="0"/>
        </w:sectPr>
      </w:pPr>
    </w:p>
    <w:bookmarkStart w:id="46" w:name="page47"/>
    <w:bookmarkEnd w:id="46"/>
    <w:p>
      <w:pPr>
        <w:jc w:val="both"/>
        <w:spacing w:after="0" w:line="342" w:lineRule="auto"/>
        <w:rPr>
          <w:sz w:val="20"/>
          <w:szCs w:val="20"/>
          <w:color w:val="auto"/>
        </w:rPr>
      </w:pPr>
      <w:r>
        <w:rPr>
          <w:rFonts w:ascii="Arial" w:cs="Arial" w:eastAsia="Arial" w:hAnsi="Arial"/>
          <w:sz w:val="16"/>
          <w:szCs w:val="16"/>
          <w:b w:val="1"/>
          <w:bCs w:val="1"/>
          <w:i w:val="1"/>
          <w:iCs w:val="1"/>
          <w:color w:val="auto"/>
        </w:rPr>
        <w:t>Our success will depend in part on relationships with third parties, which relationships may be affected by third-party preferences or public attitudes about the Merger. Any adverse changes in these relationships could adversely affect our business, financial condition, or results of operations.</w:t>
      </w:r>
    </w:p>
    <w:p>
      <w:pPr>
        <w:spacing w:after="0" w:line="12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success after the Merger will be dependent on our ability to maintain and renew our and XpresSpa’s business relationships and to establish new business relationships. There can be no assurance that our management will be able to maintain such business relationships, or enter into or maintain new business contracts and other business relationships, on acceptable terms, if at all. The failure to maintain important business relationships could have a material adverse effect on our business, financial condition, or results of operations. Our future results may be materially different from those shown in the unaudited pro forma consolidated and condensed financial statements presented in the S-4 Registration Statement, which show only a combination of our historical results and XpresSpa’s historical results prepared by us and XpresSpa in connection with discussions concerning the Merger. We expect to incur significant costs associated with the completion of the Merger and integrating the operations of the two companies. The exact magnitude of these costs is not yet known.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and financial condition could be constrained by XpresSpa’s outstanding debt.</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XpresSpa is obligated under the Senior Secured Note payable to Rockmore, which has an outstanding balance of approximately $6,500,000, with a maturity date of May 1, 2018, with an additional one-year extension if both we and Rockmore consent to such extension. The Senior Secured Note accrues interest of 9.24% per annum, payable monthly, plus an additional 2.0% per annum. XpresSpa has granted Rockmore a security interest in all of its tangible and intangible personal property to secure its obligations under the Senior Secured Note. After the completion of the Merger the debt will remain outstanding as an obligation of XpresSpa, but will be guaranteed by us.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price of our common stock after the Merger is completed may be affected by factors different from those currently affecting our shares.</w:t>
      </w:r>
    </w:p>
    <w:p>
      <w:pPr>
        <w:spacing w:after="0" w:line="23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business differs from the business of XpresSpa and, accordingly, our results of operations and the trading price of our common stock following the completion of the Merger may be significantly affected by factors different from those currently affecting our independent results of operations because after the Merger we will be conducting activities not undertaken by us prior to the completion of the Merger. For a discussion of the businesses of FORM and XpresSpa and of certain factors to consider in connection with those businesses, see the sections entitled “FORM’s Business,” “FORM’s Management’s Discussion and Analysis of Financial Condition and Results of Operations,” “XpresSpa’s Business,” “XpresSpa’s Management’s Discussion and Analysis of Financial Condition and Results of Operations,” and our and XpresSpa’s financial statements in the S-4 Registration Statement, including the notes thereto, which are included elsewhere in the S-4 Registration Statement, and the other information contained in the S-4 Registration Statement.</w:t>
      </w:r>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Material weaknesses may exist when we report on the effectiveness of its internal controls over financial reporting for purposes of our reporting requirements after the Merger.</w:t>
      </w:r>
    </w:p>
    <w:p>
      <w:pPr>
        <w:spacing w:after="0" w:line="17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Prior to the Merger, XpresSpa, as a private company, was not subject to Sarbanes-Oxley Act of 2002 (“Sarbanes-Oxley”). Therefore, XpresSpa’s management and independent auditors were not required to perform an evaluation of XpresSpa’s internal controls over financial reporting as of December 31, 2015 in accordance with the provisions of Sarbanes-Oxley. Following the completion of the Merger within the expected timeframe, we will be required to provide management’s report on internal control over financial reporting in our Annual Report on Form 10-K for the year ending December 31, 2016, as required by Section 404 of Sarbanes-Oxley. We have not yet assessed the effectiveness of the internal controls for XpresSpa and material weaknesses may exist.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expect to pay cash dividends on our common stock.</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anticipate that we will retain our earnings, if any, for future growth and therefore do not anticipate paying cash dividends on our common stock in the future. Investors seeking cash dividends should not invest in our common stock for that purpose. However, from and after the date of the issuance of any shares of our preferred stock, dividends at the rate per annum of $4.32 per share (which represents 9% per annum) will accrue on such shares (subject to appropriate adjustment in the event of any stock dividend, stock split, combination or other similar recapitalization with respect to the our preferred stock).</w:t>
      </w:r>
    </w:p>
    <w:p>
      <w:pPr>
        <w:spacing w:after="0" w:line="1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Anti-takeover provisions in our charter and bylaws may prevent or frustrate attempts by stockholders to change the board of directors or current management and could make a third-party acquisition of us difficult.</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certificate of incorporation and bylaws contain provisions that may discourage, delay or prevent a merger, acquisition or other change in control that stockholders may consider favorable, including transactions in which stockholders might otherwise receive a premium for their shares. These provisions could limit the price that investors might be willing to pay in the future for shares of our common stock.</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Because the lack of a public market for XpresSpa’s units makes it difficult to evaluate the fairness of the Merger, XpresSpa’s equity holders may receive consideration in the Merger that is greater than or less than the fair market value of XpresSpa’s units.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outstanding equity of XpresSpa is privately held and is not traded in any public market. The lack of a public market makes it difficult to determine the fair market value of XpresSpa. Since the amount of our common stock, preferred stock and warrants to be issued to XpresSpa’s equity holders was determined based on negotiations between the parties, it is possible that the value of the our common stock, preferred stock and warrants to be issued in connection with the Merger will be greater than the fair market value of XpresSpa. Alternatively, it is possible that the value of the shares of our common stock, preferred stock and warrants to be issued in connection with the Merger will be less than the fair market value of XpresSpa. If the Merger is not completed or is delayed, these risks may materialize and materially and adversely affect our business, financial condition, results of operations, and our stock price.</w:t>
      </w:r>
    </w:p>
    <w:p>
      <w:pPr>
        <w:spacing w:after="0" w:line="398"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7" w:name="page48"/>
    <w:bookmarkEnd w:id="47"/>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any of the events described in “Risks Related to FORM’s Business” or “Risks Related to XpresSpa’s Business” in the S-4 Registration Statement occur, those events could cause the potential benefits of the Merger not to be realized.</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Following the completion of the Merger, our current executive officers and certain XpresSpa executive officers and certain of our and XpresSpa’s directors will direct our business and operations. Additionally, XpresSpa’s business is expected to be an important part of our business following the Merger. As a result, the risks described in the sections entitled “Risks Related to FORM’s Business” and “Risks Related to XpresSpa’s Business” in the S-4 Registration Statement are among the significant risks to us if the Merger is completed. To the extent any of the events described in either the section entitled “Risks Related to FORM’s Business” or “Risks Related to XpresSpa’s Business” occur, those events could cause the potential benefits of the Merger not to be realized and the market price of our common stock to decline.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August 8, 2016, we entered into subscription agreements for the sale of 750,574 shares of our unregistered common stock to certain holders of XpresSpa, at a purchase price of $2.31 per share, for an aggregate purchase price of $1,734,000. The proceeds were used for the purchase of Series C Preferred Units of XpresSpa. This issuance was made in reliance upon an exemption from the registration requirements pursuant to Section 4(a)(2) under the Securities Act, and Rule 506 promulgated thereunder.</w:t>
      </w:r>
    </w:p>
    <w:p>
      <w:pPr>
        <w:spacing w:after="0" w:line="18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Additionally, we issued 30,000 shares of our unregistered common stock to a third-party consultant for professional services. This issuance was made in reliance upon an exemption from the registration requirements pursuant to Section 4(a)(2) under the Securities Act, and Rule 506 promulgated thereunder.</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18"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Item 6.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ind w:left="300"/>
              <w:spacing w:after="0"/>
              <w:rPr>
                <w:sz w:val="20"/>
                <w:szCs w:val="20"/>
                <w:color w:val="auto"/>
              </w:rPr>
            </w:pPr>
            <w:r>
              <w:rPr>
                <w:rFonts w:ascii="Arial" w:cs="Arial" w:eastAsia="Arial" w:hAnsi="Arial"/>
                <w:sz w:val="18"/>
                <w:szCs w:val="18"/>
                <w:b w:val="1"/>
                <w:bCs w:val="1"/>
                <w:color w:val="auto"/>
              </w:rPr>
              <w:t>Exhibit</w:t>
            </w:r>
          </w:p>
        </w:tc>
        <w:tc>
          <w:tcPr>
            <w:tcW w:w="100" w:type="dxa"/>
            <w:vAlign w:val="bottom"/>
          </w:tcPr>
          <w:p>
            <w:pPr>
              <w:spacing w:after="0"/>
              <w:rPr>
                <w:sz w:val="18"/>
                <w:szCs w:val="18"/>
                <w:color w:val="auto"/>
              </w:rPr>
            </w:pPr>
          </w:p>
        </w:tc>
        <w:tc>
          <w:tcPr>
            <w:tcW w:w="10160" w:type="dxa"/>
            <w:vAlign w:val="bottom"/>
          </w:tcPr>
          <w:p>
            <w:pPr>
              <w:spacing w:after="0"/>
              <w:rPr>
                <w:sz w:val="18"/>
                <w:szCs w:val="18"/>
                <w:color w:val="auto"/>
              </w:rPr>
            </w:pPr>
          </w:p>
        </w:tc>
      </w:tr>
      <w:tr>
        <w:trPr>
          <w:trHeight w:val="234"/>
        </w:trPr>
        <w:tc>
          <w:tcPr>
            <w:tcW w:w="1160" w:type="dxa"/>
            <w:vAlign w:val="bottom"/>
            <w:tcBorders>
              <w:bottom w:val="single" w:sz="8" w:color="auto"/>
            </w:tcBorders>
          </w:tcPr>
          <w:p>
            <w:pPr>
              <w:ind w:left="440"/>
              <w:spacing w:after="0"/>
              <w:rPr>
                <w:sz w:val="20"/>
                <w:szCs w:val="20"/>
                <w:color w:val="auto"/>
              </w:rPr>
            </w:pPr>
            <w:r>
              <w:rPr>
                <w:rFonts w:ascii="Arial" w:cs="Arial" w:eastAsia="Arial" w:hAnsi="Arial"/>
                <w:sz w:val="18"/>
                <w:szCs w:val="18"/>
                <w:b w:val="1"/>
                <w:bCs w:val="1"/>
                <w:color w:val="auto"/>
              </w:rPr>
              <w:t>No.</w:t>
            </w:r>
          </w:p>
        </w:tc>
        <w:tc>
          <w:tcPr>
            <w:tcW w:w="100" w:type="dxa"/>
            <w:vAlign w:val="bottom"/>
          </w:tcPr>
          <w:p>
            <w:pPr>
              <w:spacing w:after="0"/>
              <w:rPr>
                <w:sz w:val="20"/>
                <w:szCs w:val="20"/>
                <w:color w:val="auto"/>
              </w:rPr>
            </w:pPr>
          </w:p>
        </w:tc>
        <w:tc>
          <w:tcPr>
            <w:tcW w:w="10160" w:type="dxa"/>
            <w:vAlign w:val="bottom"/>
            <w:tcBorders>
              <w:bottom w:val="single" w:sz="8" w:color="auto"/>
            </w:tcBorders>
          </w:tcPr>
          <w:p>
            <w:pPr>
              <w:ind w:left="4640"/>
              <w:spacing w:after="0"/>
              <w:rPr>
                <w:sz w:val="20"/>
                <w:szCs w:val="20"/>
                <w:color w:val="auto"/>
              </w:rPr>
            </w:pPr>
            <w:r>
              <w:rPr>
                <w:rFonts w:ascii="Arial" w:cs="Arial" w:eastAsia="Arial" w:hAnsi="Arial"/>
                <w:sz w:val="18"/>
                <w:szCs w:val="18"/>
                <w:b w:val="1"/>
                <w:bCs w:val="1"/>
                <w:color w:val="auto"/>
              </w:rPr>
              <w:t>Description</w:t>
            </w:r>
          </w:p>
        </w:tc>
      </w:tr>
      <w:tr>
        <w:trPr>
          <w:trHeight w:val="411"/>
        </w:trPr>
        <w:tc>
          <w:tcPr>
            <w:tcW w:w="1160" w:type="dxa"/>
            <w:vAlign w:val="bottom"/>
          </w:tcPr>
          <w:p>
            <w:pPr>
              <w:spacing w:after="0"/>
              <w:rPr>
                <w:sz w:val="20"/>
                <w:szCs w:val="20"/>
                <w:color w:val="auto"/>
              </w:rPr>
            </w:pPr>
            <w:r>
              <w:rPr>
                <w:rFonts w:ascii="Arial" w:cs="Arial" w:eastAsia="Arial" w:hAnsi="Arial"/>
                <w:sz w:val="18"/>
                <w:szCs w:val="18"/>
                <w:color w:val="auto"/>
              </w:rPr>
              <w:t>2.1</w:t>
            </w: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w w:val="99"/>
              </w:rPr>
              <w:t>Agreement and Plan of Merger by and among FORM Holdings Corp., FHXMS, LLC, XpresSpa Holdings, LLC, the unitholders of</w:t>
            </w:r>
          </w:p>
        </w:tc>
      </w:tr>
      <w:tr>
        <w:trPr>
          <w:trHeight w:val="216"/>
        </w:trPr>
        <w:tc>
          <w:tcPr>
            <w:tcW w:w="1160" w:type="dxa"/>
            <w:vAlign w:val="bottom"/>
          </w:tcPr>
          <w:p>
            <w:pPr>
              <w:spacing w:after="0"/>
              <w:rPr>
                <w:sz w:val="18"/>
                <w:szCs w:val="18"/>
                <w:color w:val="auto"/>
              </w:rPr>
            </w:pP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w w:val="94"/>
              </w:rPr>
              <w:t>XpresSpa who are parties thereto and Mistral XH Representative, LLC, as representative of the unitholders, dated as of August 8, 2016</w:t>
            </w:r>
          </w:p>
        </w:tc>
      </w:tr>
      <w:tr>
        <w:trPr>
          <w:trHeight w:val="230"/>
        </w:trPr>
        <w:tc>
          <w:tcPr>
            <w:tcW w:w="1160" w:type="dxa"/>
            <w:vAlign w:val="bottom"/>
          </w:tcPr>
          <w:p>
            <w:pPr>
              <w:spacing w:after="0"/>
              <w:rPr>
                <w:sz w:val="20"/>
                <w:szCs w:val="20"/>
                <w:color w:val="auto"/>
              </w:rPr>
            </w:pP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rPr>
              <w:t>(incorporated by reference to Exhibit 2.1 to our Current Report on Form 8-K filed with the SEC on August 8, 2016).</w:t>
            </w: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3.1</w:t>
            </w: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w w:val="98"/>
              </w:rPr>
              <w:t>Form of Certificate of Designation of Preferences, Rights and Limitations of Series D Convertible Preferred Stock (incorporated by</w:t>
            </w:r>
          </w:p>
        </w:tc>
      </w:tr>
      <w:tr>
        <w:trPr>
          <w:trHeight w:val="230"/>
        </w:trPr>
        <w:tc>
          <w:tcPr>
            <w:tcW w:w="1160" w:type="dxa"/>
            <w:vAlign w:val="bottom"/>
          </w:tcPr>
          <w:p>
            <w:pPr>
              <w:spacing w:after="0"/>
              <w:rPr>
                <w:sz w:val="20"/>
                <w:szCs w:val="20"/>
                <w:color w:val="auto"/>
              </w:rPr>
            </w:pP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rPr>
              <w:t>reference to Exhibit 3.1 to our Current Report on Form 8-K filed with the SEC on August 8, 2016).</w:t>
            </w: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10.1</w:t>
            </w: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w w:val="92"/>
              </w:rPr>
              <w:t>Subscription Agreement, dated as of August 8, 2016, by and between FORM Holdings Corp. and Mistral Spa Holdings, LLC (incorporated</w:t>
            </w:r>
          </w:p>
        </w:tc>
      </w:tr>
      <w:tr>
        <w:trPr>
          <w:trHeight w:val="230"/>
        </w:trPr>
        <w:tc>
          <w:tcPr>
            <w:tcW w:w="1160" w:type="dxa"/>
            <w:vAlign w:val="bottom"/>
          </w:tcPr>
          <w:p>
            <w:pPr>
              <w:spacing w:after="0"/>
              <w:rPr>
                <w:sz w:val="20"/>
                <w:szCs w:val="20"/>
                <w:color w:val="auto"/>
              </w:rPr>
            </w:pP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rPr>
              <w:t>by reference to Exhibit 10.1 to our Current Report on Form 8-K filed with the SEC on August 8, 2016).</w:t>
            </w: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10.2</w:t>
            </w: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w w:val="94"/>
              </w:rPr>
              <w:t>Subscription Agreement and Joinder, dated as of August 8, 2016, by and between XpresSpa Holdings, LLC and FORM Holdings Corp</w:t>
            </w:r>
          </w:p>
        </w:tc>
      </w:tr>
      <w:tr>
        <w:trPr>
          <w:trHeight w:val="230"/>
        </w:trPr>
        <w:tc>
          <w:tcPr>
            <w:tcW w:w="1160" w:type="dxa"/>
            <w:vAlign w:val="bottom"/>
          </w:tcPr>
          <w:p>
            <w:pPr>
              <w:spacing w:after="0"/>
              <w:rPr>
                <w:sz w:val="20"/>
                <w:szCs w:val="20"/>
                <w:color w:val="auto"/>
              </w:rPr>
            </w:pP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rPr>
              <w:t>(incorporated by reference to Exhibit 10.2 to our Current Report on Form 8-K filed with the SEC on August 8, 2016).</w:t>
            </w: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31.1*</w:t>
            </w: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w w:val="91"/>
              </w:rPr>
              <w:t>Certification of Principal Executive Officer pursuant to Exchange Act, Rules 13a - 14(a) and 15d - 14(a), as adopted pursuant to Section 302</w:t>
            </w:r>
          </w:p>
        </w:tc>
      </w:tr>
      <w:tr>
        <w:trPr>
          <w:trHeight w:val="230"/>
        </w:trPr>
        <w:tc>
          <w:tcPr>
            <w:tcW w:w="1160" w:type="dxa"/>
            <w:vAlign w:val="bottom"/>
          </w:tcPr>
          <w:p>
            <w:pPr>
              <w:spacing w:after="0"/>
              <w:rPr>
                <w:sz w:val="20"/>
                <w:szCs w:val="20"/>
                <w:color w:val="auto"/>
              </w:rPr>
            </w:pP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rPr>
              <w:t>of the Sarbanes-Oxley Act of 2002.</w:t>
            </w: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31.2*</w:t>
            </w: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w w:val="92"/>
              </w:rPr>
              <w:t>Certification of Principal Financial Officer pursuant to Exchange Act Rules 13a - 14(a) and 15d - 14(a), as adopted pursuant to Section 302</w:t>
            </w:r>
          </w:p>
        </w:tc>
      </w:tr>
      <w:tr>
        <w:trPr>
          <w:trHeight w:val="230"/>
        </w:trPr>
        <w:tc>
          <w:tcPr>
            <w:tcW w:w="1160" w:type="dxa"/>
            <w:vAlign w:val="bottom"/>
          </w:tcPr>
          <w:p>
            <w:pPr>
              <w:spacing w:after="0"/>
              <w:rPr>
                <w:sz w:val="20"/>
                <w:szCs w:val="20"/>
                <w:color w:val="auto"/>
              </w:rPr>
            </w:pP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rPr>
              <w:t>of the Sarbanes-Oxley Act of 2002.</w:t>
            </w: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32**</w:t>
            </w: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w w:val="94"/>
              </w:rPr>
              <w:t>Certifications of Principal Executive Officer and Principal Financial Officer Pursuant to 18 U.S.C. Section 1350, as adopted pursuant to</w:t>
            </w:r>
          </w:p>
        </w:tc>
      </w:tr>
      <w:tr>
        <w:trPr>
          <w:trHeight w:val="230"/>
        </w:trPr>
        <w:tc>
          <w:tcPr>
            <w:tcW w:w="1160" w:type="dxa"/>
            <w:vAlign w:val="bottom"/>
          </w:tcPr>
          <w:p>
            <w:pPr>
              <w:spacing w:after="0"/>
              <w:rPr>
                <w:sz w:val="20"/>
                <w:szCs w:val="20"/>
                <w:color w:val="auto"/>
              </w:rPr>
            </w:pP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rPr>
              <w:t>Section 906 of the Sarbanes-Oxley Act of 2002.</w:t>
            </w: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101.INS*</w:t>
            </w: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rPr>
              <w:t>XBRL Instance Document</w:t>
            </w: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101.SCH*</w:t>
            </w: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rPr>
              <w:t>XBRL Taxonomy Extension Schema Document</w:t>
            </w: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101.CAL*</w:t>
            </w: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rPr>
              <w:t>XBRL Taxonomy Extension Calculation Linkbase Document</w:t>
            </w: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101.DEF*</w:t>
            </w: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rPr>
              <w:t>XBRL Taxonomy Extension Definition Linkbase Document</w:t>
            </w: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101.LAB*</w:t>
            </w: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rPr>
              <w:t>XBRL Taxonomy Extension Label Linkbase Document</w:t>
            </w: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101.PRE*</w:t>
            </w: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2" w:lineRule="exact"/>
        <w:rPr>
          <w:sz w:val="20"/>
          <w:szCs w:val="20"/>
          <w:color w:val="auto"/>
        </w:rPr>
      </w:pPr>
    </w:p>
    <w:p>
      <w:pPr>
        <w:ind w:left="1260" w:hanging="1252"/>
        <w:spacing w:after="0"/>
        <w:tabs>
          <w:tab w:leader="none" w:pos="1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1260" w:hanging="1252"/>
        <w:spacing w:after="0"/>
        <w:tabs>
          <w:tab w:leader="none" w:pos="12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Furnished herein.</w:t>
      </w:r>
    </w:p>
    <w:p>
      <w:pPr>
        <w:spacing w:after="0" w:line="200" w:lineRule="exact"/>
        <w:rPr>
          <w:sz w:val="20"/>
          <w:szCs w:val="20"/>
          <w:color w:val="auto"/>
        </w:rPr>
      </w:pPr>
    </w:p>
    <w:p>
      <w:pPr>
        <w:spacing w:after="0" w:line="220"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9" w:name="page50"/>
    <w:bookmarkEnd w:id="49"/>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on the 9th day of November 2016.</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80" w:type="dxa"/>
            <w:vAlign w:val="bottom"/>
            <w:gridSpan w:val="2"/>
          </w:tcPr>
          <w:p>
            <w:pPr>
              <w:spacing w:after="0"/>
              <w:rPr>
                <w:sz w:val="20"/>
                <w:szCs w:val="20"/>
                <w:color w:val="auto"/>
              </w:rPr>
            </w:pPr>
            <w:r>
              <w:rPr>
                <w:rFonts w:ascii="Arial" w:cs="Arial" w:eastAsia="Arial" w:hAnsi="Arial"/>
                <w:sz w:val="18"/>
                <w:szCs w:val="18"/>
                <w:b w:val="1"/>
                <w:bCs w:val="1"/>
                <w:color w:val="auto"/>
              </w:rPr>
              <w:t>FORM Holdings Corp.</w:t>
            </w:r>
          </w:p>
        </w:tc>
        <w:tc>
          <w:tcPr>
            <w:tcW w:w="8240" w:type="dxa"/>
            <w:vAlign w:val="bottom"/>
          </w:tcPr>
          <w:p>
            <w:pPr>
              <w:spacing w:after="0"/>
              <w:rPr>
                <w:sz w:val="20"/>
                <w:szCs w:val="20"/>
                <w:color w:val="auto"/>
              </w:rPr>
            </w:pPr>
          </w:p>
        </w:tc>
      </w:tr>
      <w:tr>
        <w:trPr>
          <w:trHeight w:val="432"/>
        </w:trPr>
        <w:tc>
          <w:tcPr>
            <w:tcW w:w="3180" w:type="dxa"/>
            <w:vAlign w:val="bottom"/>
            <w:gridSpan w:val="2"/>
          </w:tcPr>
          <w:p>
            <w:pPr>
              <w:spacing w:after="0"/>
              <w:rPr>
                <w:sz w:val="20"/>
                <w:szCs w:val="20"/>
                <w:color w:val="auto"/>
              </w:rPr>
            </w:pPr>
            <w:r>
              <w:rPr>
                <w:rFonts w:ascii="Arial" w:cs="Arial" w:eastAsia="Arial" w:hAnsi="Arial"/>
                <w:sz w:val="18"/>
                <w:szCs w:val="18"/>
                <w:color w:val="auto"/>
              </w:rPr>
              <w:t>By:</w:t>
            </w:r>
          </w:p>
        </w:tc>
        <w:tc>
          <w:tcPr>
            <w:tcW w:w="8240" w:type="dxa"/>
            <w:vAlign w:val="bottom"/>
          </w:tcPr>
          <w:p>
            <w:pPr>
              <w:jc w:val="center"/>
              <w:ind w:right="1926"/>
              <w:spacing w:after="0"/>
              <w:rPr>
                <w:sz w:val="20"/>
                <w:szCs w:val="20"/>
                <w:color w:val="auto"/>
              </w:rPr>
            </w:pPr>
            <w:r>
              <w:rPr>
                <w:rFonts w:ascii="Arial" w:cs="Arial" w:eastAsia="Arial" w:hAnsi="Arial"/>
                <w:sz w:val="18"/>
                <w:szCs w:val="18"/>
                <w:color w:val="auto"/>
                <w:w w:val="98"/>
              </w:rPr>
              <w:t>/s/ ANASTASIA NYRKOVSKAYA</w:t>
            </w:r>
          </w:p>
        </w:tc>
      </w:tr>
      <w:tr>
        <w:trPr>
          <w:trHeight w:val="191"/>
        </w:trPr>
        <w:tc>
          <w:tcPr>
            <w:tcW w:w="1160" w:type="dxa"/>
            <w:vAlign w:val="bottom"/>
          </w:tcPr>
          <w:p>
            <w:pPr>
              <w:spacing w:after="0"/>
              <w:rPr>
                <w:sz w:val="16"/>
                <w:szCs w:val="16"/>
                <w:color w:val="auto"/>
              </w:rPr>
            </w:pPr>
          </w:p>
        </w:tc>
        <w:tc>
          <w:tcPr>
            <w:tcW w:w="2020" w:type="dxa"/>
            <w:vAlign w:val="bottom"/>
            <w:tcBorders>
              <w:top w:val="single" w:sz="8" w:color="auto"/>
            </w:tcBorders>
          </w:tcPr>
          <w:p>
            <w:pPr>
              <w:spacing w:after="0"/>
              <w:rPr>
                <w:sz w:val="16"/>
                <w:szCs w:val="16"/>
                <w:color w:val="auto"/>
              </w:rPr>
            </w:pPr>
          </w:p>
        </w:tc>
        <w:tc>
          <w:tcPr>
            <w:tcW w:w="8240" w:type="dxa"/>
            <w:vAlign w:val="bottom"/>
            <w:tcBorders>
              <w:top w:val="single" w:sz="8" w:color="auto"/>
            </w:tcBorders>
          </w:tcPr>
          <w:p>
            <w:pPr>
              <w:jc w:val="center"/>
              <w:ind w:right="1926"/>
              <w:spacing w:after="0" w:line="191" w:lineRule="exact"/>
              <w:rPr>
                <w:sz w:val="20"/>
                <w:szCs w:val="20"/>
                <w:color w:val="auto"/>
              </w:rPr>
            </w:pPr>
            <w:r>
              <w:rPr>
                <w:rFonts w:ascii="Arial" w:cs="Arial" w:eastAsia="Arial" w:hAnsi="Arial"/>
                <w:sz w:val="18"/>
                <w:szCs w:val="18"/>
                <w:b w:val="1"/>
                <w:bCs w:val="1"/>
                <w:color w:val="auto"/>
                <w:w w:val="90"/>
              </w:rPr>
              <w:t>Anastasia Nyrkovskaya</w:t>
            </w:r>
          </w:p>
        </w:tc>
      </w:tr>
      <w:tr>
        <w:trPr>
          <w:trHeight w:val="216"/>
        </w:trPr>
        <w:tc>
          <w:tcPr>
            <w:tcW w:w="11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8240" w:type="dxa"/>
            <w:vAlign w:val="bottom"/>
          </w:tcPr>
          <w:p>
            <w:pPr>
              <w:jc w:val="center"/>
              <w:ind w:right="1926"/>
              <w:spacing w:after="0"/>
              <w:rPr>
                <w:sz w:val="20"/>
                <w:szCs w:val="20"/>
                <w:color w:val="auto"/>
              </w:rPr>
            </w:pPr>
            <w:r>
              <w:rPr>
                <w:rFonts w:ascii="Arial" w:cs="Arial" w:eastAsia="Arial" w:hAnsi="Arial"/>
                <w:sz w:val="18"/>
                <w:szCs w:val="18"/>
                <w:b w:val="1"/>
                <w:bCs w:val="1"/>
                <w:color w:val="auto"/>
                <w:w w:val="93"/>
              </w:rPr>
              <w:t>Chief Financial Officer</w:t>
            </w:r>
          </w:p>
        </w:tc>
      </w:tr>
      <w:tr>
        <w:trPr>
          <w:trHeight w:val="234"/>
        </w:trPr>
        <w:tc>
          <w:tcPr>
            <w:tcW w:w="11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8240" w:type="dxa"/>
            <w:vAlign w:val="bottom"/>
          </w:tcPr>
          <w:p>
            <w:pPr>
              <w:jc w:val="center"/>
              <w:ind w:right="1926"/>
              <w:spacing w:after="0"/>
              <w:rPr>
                <w:sz w:val="20"/>
                <w:szCs w:val="20"/>
                <w:color w:val="auto"/>
              </w:rPr>
            </w:pPr>
            <w:r>
              <w:rPr>
                <w:rFonts w:ascii="Arial" w:cs="Arial" w:eastAsia="Arial" w:hAnsi="Arial"/>
                <w:sz w:val="18"/>
                <w:szCs w:val="18"/>
                <w:b w:val="1"/>
                <w:bCs w:val="1"/>
                <w:color w:val="auto"/>
                <w:w w:val="92"/>
              </w:rPr>
              <w:t>(Principal Financial and Accounting Officer)</w:t>
            </w:r>
          </w:p>
        </w:tc>
      </w:tr>
      <w:tr>
        <w:trPr>
          <w:trHeight w:val="675"/>
        </w:trPr>
        <w:tc>
          <w:tcPr>
            <w:tcW w:w="116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8240" w:type="dxa"/>
            <w:vAlign w:val="bottom"/>
            <w:tcBorders>
              <w:bottom w:val="single" w:sz="8" w:color="auto"/>
            </w:tcBorders>
          </w:tcPr>
          <w:p>
            <w:pPr>
              <w:jc w:val="right"/>
              <w:ind w:right="5526"/>
              <w:spacing w:after="0"/>
              <w:rPr>
                <w:sz w:val="20"/>
                <w:szCs w:val="20"/>
                <w:color w:val="auto"/>
              </w:rPr>
            </w:pPr>
            <w:r>
              <w:rPr>
                <w:rFonts w:ascii="Arial" w:cs="Arial" w:eastAsia="Arial" w:hAnsi="Arial"/>
                <w:sz w:val="22"/>
                <w:szCs w:val="22"/>
                <w:color w:val="auto"/>
              </w:rPr>
              <w:t>37</w:t>
            </w:r>
          </w:p>
        </w:tc>
      </w:tr>
    </w:tbl>
    <w:p>
      <w:pPr>
        <w:sectPr>
          <w:pgSz w:w="11900" w:h="16838" w:orient="portrait"/>
          <w:cols w:equalWidth="0" w:num="1">
            <w:col w:w="11420"/>
          </w:cols>
          <w:pgMar w:left="240" w:top="904" w:right="2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Andrew D. Perlman, certify that:</w:t>
      </w:r>
    </w:p>
    <w:p>
      <w:pPr>
        <w:spacing w:after="0" w:line="225" w:lineRule="exact"/>
        <w:rPr>
          <w:sz w:val="20"/>
          <w:szCs w:val="20"/>
          <w:color w:val="auto"/>
        </w:rPr>
      </w:pPr>
    </w:p>
    <w:p>
      <w:pPr>
        <w:ind w:left="180" w:hanging="172"/>
        <w:spacing w:after="0"/>
        <w:tabs>
          <w:tab w:leader="none" w:pos="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FORM Holdings Corp.;</w:t>
      </w:r>
    </w:p>
    <w:p>
      <w:pPr>
        <w:spacing w:after="0" w:line="225" w:lineRule="exact"/>
        <w:rPr>
          <w:rFonts w:ascii="Arial" w:cs="Arial" w:eastAsia="Arial" w:hAnsi="Arial"/>
          <w:sz w:val="18"/>
          <w:szCs w:val="18"/>
          <w:color w:val="auto"/>
        </w:rPr>
      </w:pPr>
    </w:p>
    <w:p>
      <w:pPr>
        <w:ind w:firstLine="8"/>
        <w:spacing w:after="0" w:line="342" w:lineRule="auto"/>
        <w:tabs>
          <w:tab w:leader="none" w:pos="208" w:val="left"/>
        </w:tabs>
        <w:numPr>
          <w:ilvl w:val="0"/>
          <w:numId w:val="2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182"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right="20" w:firstLine="8"/>
        <w:spacing w:after="0" w:line="264" w:lineRule="auto"/>
        <w:tabs>
          <w:tab w:leader="none" w:pos="186"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jc w:val="both"/>
        <w:ind w:firstLine="8"/>
        <w:spacing w:after="0" w:line="264" w:lineRule="auto"/>
        <w:tabs>
          <w:tab w:leader="none" w:pos="193"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firstLine="8"/>
        <w:spacing w:after="0" w:line="264" w:lineRule="auto"/>
        <w:tabs>
          <w:tab w:leader="none" w:pos="208"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firstLine="8"/>
        <w:spacing w:after="0" w:line="277" w:lineRule="auto"/>
        <w:tabs>
          <w:tab w:leader="none" w:pos="189" w:val="left"/>
        </w:tabs>
        <w:numPr>
          <w:ilvl w:val="0"/>
          <w:numId w:val="2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right="20" w:firstLine="8"/>
        <w:spacing w:after="0" w:line="264" w:lineRule="auto"/>
        <w:tabs>
          <w:tab w:leader="none" w:pos="195"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first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firstLine="8"/>
        <w:spacing w:after="0" w:line="277" w:lineRule="auto"/>
        <w:tabs>
          <w:tab w:leader="none" w:pos="205"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sz w:val="20"/>
          <w:szCs w:val="20"/>
          <w:color w:val="auto"/>
        </w:rPr>
      </w:pPr>
    </w:p>
    <w:p>
      <w:pPr>
        <w:ind w:firstLine="8"/>
        <w:spacing w:after="0" w:line="277" w:lineRule="auto"/>
        <w:tabs>
          <w:tab w:leader="none" w:pos="188" w:val="left"/>
        </w:tabs>
        <w:numPr>
          <w:ilvl w:val="0"/>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20" w:firstLine="8"/>
        <w:spacing w:after="0" w:line="277" w:lineRule="auto"/>
        <w:tabs>
          <w:tab w:leader="none" w:pos="207"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9, 2016</w:t>
      </w:r>
    </w:p>
    <w:p>
      <w:pPr>
        <w:spacing w:after="0" w:line="225"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/s/ ANDREW D. PERLMAN</w:t>
      </w:r>
    </w:p>
    <w:p>
      <w:pPr>
        <w:spacing w:after="0" w:line="23"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Anastasia Nyrkovskaya, certify that:</w:t>
      </w:r>
    </w:p>
    <w:p>
      <w:pPr>
        <w:spacing w:after="0" w:line="225" w:lineRule="exact"/>
        <w:rPr>
          <w:sz w:val="20"/>
          <w:szCs w:val="20"/>
          <w:color w:val="auto"/>
        </w:rPr>
      </w:pPr>
    </w:p>
    <w:p>
      <w:pPr>
        <w:ind w:left="180" w:hanging="172"/>
        <w:spacing w:after="0"/>
        <w:tabs>
          <w:tab w:leader="none" w:pos="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FORM Holdings Corp.;</w:t>
      </w:r>
    </w:p>
    <w:p>
      <w:pPr>
        <w:spacing w:after="0" w:line="225" w:lineRule="exact"/>
        <w:rPr>
          <w:rFonts w:ascii="Arial" w:cs="Arial" w:eastAsia="Arial" w:hAnsi="Arial"/>
          <w:sz w:val="18"/>
          <w:szCs w:val="18"/>
          <w:color w:val="auto"/>
        </w:rPr>
      </w:pPr>
    </w:p>
    <w:p>
      <w:pPr>
        <w:ind w:firstLine="8"/>
        <w:spacing w:after="0" w:line="342" w:lineRule="auto"/>
        <w:tabs>
          <w:tab w:leader="none" w:pos="208" w:val="left"/>
        </w:tabs>
        <w:numPr>
          <w:ilvl w:val="0"/>
          <w:numId w:val="2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182"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right="20" w:firstLine="8"/>
        <w:spacing w:after="0" w:line="264" w:lineRule="auto"/>
        <w:tabs>
          <w:tab w:leader="none" w:pos="186"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jc w:val="both"/>
        <w:ind w:firstLine="8"/>
        <w:spacing w:after="0" w:line="264" w:lineRule="auto"/>
        <w:tabs>
          <w:tab w:leader="none" w:pos="193"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firstLine="8"/>
        <w:spacing w:after="0" w:line="264" w:lineRule="auto"/>
        <w:tabs>
          <w:tab w:leader="none" w:pos="208"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firstLine="8"/>
        <w:spacing w:after="0" w:line="277" w:lineRule="auto"/>
        <w:tabs>
          <w:tab w:leader="none" w:pos="189" w:val="left"/>
        </w:tabs>
        <w:numPr>
          <w:ilvl w:val="0"/>
          <w:numId w:val="2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right="20" w:firstLine="8"/>
        <w:spacing w:after="0" w:line="264" w:lineRule="auto"/>
        <w:tabs>
          <w:tab w:leader="none" w:pos="195"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first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firstLine="8"/>
        <w:spacing w:after="0" w:line="277" w:lineRule="auto"/>
        <w:tabs>
          <w:tab w:leader="none" w:pos="20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sz w:val="20"/>
          <w:szCs w:val="20"/>
          <w:color w:val="auto"/>
        </w:rPr>
      </w:pPr>
    </w:p>
    <w:p>
      <w:pPr>
        <w:ind w:firstLine="8"/>
        <w:spacing w:after="0" w:line="277" w:lineRule="auto"/>
        <w:tabs>
          <w:tab w:leader="none" w:pos="188" w:val="left"/>
        </w:tabs>
        <w:numPr>
          <w:ilvl w:val="0"/>
          <w:numId w:val="2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20" w:firstLine="8"/>
        <w:spacing w:after="0" w:line="277" w:lineRule="auto"/>
        <w:tabs>
          <w:tab w:leader="none" w:pos="207"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9, 2016</w:t>
      </w:r>
    </w:p>
    <w:p>
      <w:pPr>
        <w:spacing w:after="0" w:line="225"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/s/ ANASTASIA NYRKOVSKAYA</w:t>
      </w:r>
    </w:p>
    <w:p>
      <w:pPr>
        <w:spacing w:after="0" w:line="23"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PRINCIPAL EXECUTIVE OFFICER AND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PERSUANT SECTION 906 OF THE SARBANES-OXLEY ACT OF 2002</w:t>
      </w:r>
    </w:p>
    <w:p>
      <w:pPr>
        <w:spacing w:after="0" w:line="21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Pursuant to section 906 of the Sarbanes-Oxley Act of 2002 (subsections (a) and (b) of section 1350, chapter 63 of title 18, United States Code), each of the undersigned officers of FORM Holdings, Corp., a Delaware corporation (the “Company”), does hereby certify, to such officer’s knowledge, that:</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Quarterly Report for the quarter ended September 30, 2016 (the “Form 10-Q”) of the Company fully complies with the requirements of Section 13(a) or 15(d) of the Securities Exchange Act of 1934, and the information contained in the Form 10-Q fairly presents, in all material respects, the financial condition and results of operations of the Company.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2016</w:t>
      </w:r>
    </w:p>
    <w:p>
      <w:pPr>
        <w:spacing w:after="0" w:line="225"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/s/ ANDREW D. PERLMAN</w:t>
      </w:r>
    </w:p>
    <w:p>
      <w:pPr>
        <w:spacing w:after="0" w:line="23"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Andrew D. Perlman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2016</w:t>
      </w:r>
    </w:p>
    <w:p>
      <w:pPr>
        <w:spacing w:after="0" w:line="225"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/s/ ANASTASIA NYRKOVSKAYA</w:t>
      </w:r>
    </w:p>
    <w:p>
      <w:pPr>
        <w:spacing w:after="0" w:line="23"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Anastasia Nyrkovskaya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x"/>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
      <w:numFmt w:val="bullet"/>
      <w:start w:val="1"/>
    </w:lvl>
  </w:abstractNum>
  <w:abstractNum w:abstractNumId="3">
    <w:nsid w:val="41A7C4C9"/>
    <w:multiLevelType w:val="hybridMultilevel"/>
    <w:lvl w:ilvl="0">
      <w:lvlJc w:val="left"/>
      <w:lvlText w:val="•"/>
      <w:numFmt w:val="bullet"/>
      <w:start w:val="1"/>
    </w:lvl>
  </w:abstractNum>
  <w:abstractNum w:abstractNumId="4">
    <w:nsid w:val="6B68079A"/>
    <w:multiLevelType w:val="hybridMultilevel"/>
    <w:lvl w:ilvl="0">
      <w:lvlJc w:val="left"/>
      <w:lvlText w:val="•"/>
      <w:numFmt w:val="bullet"/>
      <w:start w:val="1"/>
    </w:lvl>
  </w:abstractNum>
  <w:abstractNum w:abstractNumId="5">
    <w:nsid w:val="4E6AFB66"/>
    <w:multiLevelType w:val="hybridMultilevel"/>
    <w:lvl w:ilvl="0">
      <w:lvlJc w:val="left"/>
      <w:lvlText w:val="(%1)"/>
      <w:numFmt w:val="lowerLetter"/>
      <w:start w:val="1"/>
    </w:lvl>
  </w:abstractNum>
  <w:abstractNum w:abstractNumId="6">
    <w:nsid w:val="25E45D32"/>
    <w:multiLevelType w:val="hybridMultilevel"/>
    <w:lvl w:ilvl="0">
      <w:lvlJc w:val="left"/>
      <w:lvlText w:val="$"/>
      <w:numFmt w:val="bullet"/>
      <w:start w:val="1"/>
    </w:lvl>
  </w:abstractNum>
  <w:abstractNum w:abstractNumId="7">
    <w:nsid w:val="519B500D"/>
    <w:multiLevelType w:val="hybridMultilevel"/>
    <w:lvl w:ilvl="0">
      <w:lvlJc w:val="left"/>
      <w:lvlText w:val="$"/>
      <w:numFmt w:val="bullet"/>
      <w:start w:val="1"/>
    </w:lvl>
  </w:abstractNum>
  <w:abstractNum w:abstractNumId="8">
    <w:nsid w:val="431BD7B7"/>
    <w:multiLevelType w:val="hybridMultilevel"/>
    <w:lvl w:ilvl="0">
      <w:lvlJc w:val="left"/>
      <w:lvlText w:val="•"/>
      <w:numFmt w:val="bullet"/>
      <w:start w:val="1"/>
    </w:lvl>
  </w:abstractNum>
  <w:abstractNum w:abstractNumId="9">
    <w:nsid w:val="3F2DBA31"/>
    <w:multiLevelType w:val="hybridMultilevel"/>
    <w:lvl w:ilvl="0">
      <w:lvlJc w:val="left"/>
      <w:lvlText w:val="•"/>
      <w:numFmt w:val="bullet"/>
      <w:start w:val="1"/>
    </w:lvl>
  </w:abstractNum>
  <w:abstractNum w:abstractNumId="10">
    <w:nsid w:val="7C83E458"/>
    <w:multiLevelType w:val="hybridMultilevel"/>
    <w:lvl w:ilvl="0">
      <w:lvlJc w:val="left"/>
      <w:lvlText w:val="•"/>
      <w:numFmt w:val="bullet"/>
      <w:start w:val="1"/>
    </w:lvl>
  </w:abstractNum>
  <w:abstractNum w:abstractNumId="11">
    <w:nsid w:val="257130A3"/>
    <w:multiLevelType w:val="hybridMultilevel"/>
    <w:lvl w:ilvl="0">
      <w:lvlJc w:val="left"/>
      <w:lvlText w:val="(%1)"/>
      <w:numFmt w:val="lowerRoman"/>
      <w:start w:val="1"/>
    </w:lvl>
  </w:abstractNum>
  <w:abstractNum w:abstractNumId="12">
    <w:nsid w:val="62BBD95A"/>
    <w:multiLevelType w:val="hybridMultilevel"/>
    <w:lvl w:ilvl="0">
      <w:lvlJc w:val="left"/>
      <w:lvlText w:val="(%1)"/>
      <w:numFmt w:val="lowerLetter"/>
      <w:start w:val="1"/>
    </w:lvl>
  </w:abstractNum>
  <w:abstractNum w:abstractNumId="13">
    <w:nsid w:val="436C6125"/>
    <w:multiLevelType w:val="hybridMultilevel"/>
    <w:lvl w:ilvl="0">
      <w:lvlJc w:val="left"/>
      <w:lvlText w:val="(%1)"/>
      <w:numFmt w:val="lowerRoman"/>
      <w:start w:val="1"/>
    </w:lvl>
  </w:abstractNum>
  <w:abstractNum w:abstractNumId="14">
    <w:nsid w:val="628C895D"/>
    <w:multiLevelType w:val="hybridMultilevel"/>
    <w:lvl w:ilvl="0">
      <w:lvlJc w:val="left"/>
      <w:lvlText w:val="·"/>
      <w:numFmt w:val="bullet"/>
      <w:start w:val="1"/>
    </w:lvl>
  </w:abstractNum>
  <w:abstractNum w:abstractNumId="15">
    <w:nsid w:val="333AB105"/>
    <w:multiLevelType w:val="hybridMultilevel"/>
    <w:lvl w:ilvl="0">
      <w:lvlJc w:val="left"/>
      <w:lvlText w:val="·"/>
      <w:numFmt w:val="bullet"/>
      <w:start w:val="1"/>
    </w:lvl>
  </w:abstractNum>
  <w:abstractNum w:abstractNumId="16">
    <w:nsid w:val="721DA317"/>
    <w:multiLevelType w:val="hybridMultilevel"/>
    <w:lvl w:ilvl="0">
      <w:lvlJc w:val="left"/>
      <w:lvlText w:val="·"/>
      <w:numFmt w:val="bullet"/>
      <w:start w:val="1"/>
    </w:lvl>
  </w:abstractNum>
  <w:abstractNum w:abstractNumId="17">
    <w:nsid w:val="2443A858"/>
    <w:multiLevelType w:val="hybridMultilevel"/>
    <w:lvl w:ilvl="0">
      <w:lvlJc w:val="left"/>
      <w:lvlText w:val="*"/>
      <w:numFmt w:val="bullet"/>
      <w:start w:val="1"/>
    </w:lvl>
  </w:abstractNum>
  <w:abstractNum w:abstractNumId="18">
    <w:nsid w:val="2D1D5AE9"/>
    <w:multiLevelType w:val="hybridMultilevel"/>
    <w:lvl w:ilvl="0">
      <w:lvlJc w:val="left"/>
      <w:lvlText w:val="**"/>
      <w:numFmt w:val="bullet"/>
      <w:start w:val="1"/>
    </w:lvl>
  </w:abstractNum>
  <w:abstractNum w:abstractNumId="19">
    <w:nsid w:val="6763845E"/>
    <w:multiLevelType w:val="hybridMultilevel"/>
    <w:lvl w:ilvl="0">
      <w:lvlJc w:val="left"/>
      <w:lvlText w:val="%1."/>
      <w:numFmt w:val="decimal"/>
      <w:start w:val="1"/>
    </w:lvl>
  </w:abstractNum>
  <w:abstractNum w:abstractNumId="20">
    <w:nsid w:val="75A2A8D4"/>
    <w:multiLevelType w:val="hybridMultilevel"/>
    <w:lvl w:ilvl="0">
      <w:lvlJc w:val="left"/>
      <w:lvlText w:val="%1)"/>
      <w:numFmt w:val="lowerLetter"/>
      <w:start w:val="1"/>
    </w:lvl>
  </w:abstractNum>
  <w:abstractNum w:abstractNumId="21">
    <w:nsid w:val="8EDBDAB"/>
    <w:multiLevelType w:val="hybridMultilevel"/>
    <w:lvl w:ilvl="0">
      <w:lvlJc w:val="left"/>
      <w:lvlText w:val="%1."/>
      <w:numFmt w:val="decimal"/>
      <w:start w:val="5"/>
    </w:lvl>
  </w:abstractNum>
  <w:abstractNum w:abstractNumId="22">
    <w:nsid w:val="79838CB2"/>
    <w:multiLevelType w:val="hybridMultilevel"/>
    <w:lvl w:ilvl="0">
      <w:lvlJc w:val="left"/>
      <w:lvlText w:val="%1)"/>
      <w:numFmt w:val="lowerLetter"/>
      <w:start w:val="1"/>
    </w:lvl>
  </w:abstractNum>
  <w:abstractNum w:abstractNumId="23">
    <w:nsid w:val="4353D0CD"/>
    <w:multiLevelType w:val="hybridMultilevel"/>
    <w:lvl w:ilvl="0">
      <w:lvlJc w:val="left"/>
      <w:lvlText w:val="%1."/>
      <w:numFmt w:val="decimal"/>
      <w:start w:val="1"/>
    </w:lvl>
  </w:abstractNum>
  <w:abstractNum w:abstractNumId="24">
    <w:nsid w:val="B03E0C6"/>
    <w:multiLevelType w:val="hybridMultilevel"/>
    <w:lvl w:ilvl="0">
      <w:lvlJc w:val="left"/>
      <w:lvlText w:val="%1)"/>
      <w:numFmt w:val="lowerLetter"/>
      <w:start w:val="1"/>
    </w:lvl>
  </w:abstractNum>
  <w:abstractNum w:abstractNumId="25">
    <w:nsid w:val="189A769B"/>
    <w:multiLevelType w:val="hybridMultilevel"/>
    <w:lvl w:ilvl="0">
      <w:lvlJc w:val="left"/>
      <w:lvlText w:val="%1."/>
      <w:numFmt w:val="decimal"/>
      <w:start w:val="5"/>
    </w:lvl>
  </w:abstractNum>
  <w:abstractNum w:abstractNumId="26">
    <w:nsid w:val="54E49EB4"/>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2019-12-29T09:55:37Z</dcterms:created>
  <dcterms:modified xsi:type="dcterms:W3CDTF">2019-12-29T09:55:37Z</dcterms:modified>
</cp:coreProperties>
</file>