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 filed with the Securities and Exchange Commission on August 4, 2023</w:t>
      </w:r>
    </w:p>
    <w:p>
      <w:pPr>
        <w:spacing w:after="0" w:line="50" w:lineRule="exact"/>
        <w:rPr>
          <w:sz w:val="24"/>
          <w:szCs w:val="24"/>
          <w:color w:val="auto"/>
        </w:rPr>
      </w:pPr>
    </w:p>
    <w:p>
      <w:pPr>
        <w:ind w:left="9200"/>
        <w:spacing w:after="0"/>
        <w:rPr>
          <w:sz w:val="20"/>
          <w:szCs w:val="20"/>
          <w:color w:val="auto"/>
        </w:rPr>
      </w:pPr>
      <w:r>
        <w:rPr>
          <w:rFonts w:ascii="Arial" w:cs="Arial" w:eastAsia="Arial" w:hAnsi="Arial"/>
          <w:sz w:val="16"/>
          <w:szCs w:val="16"/>
          <w:b w:val="1"/>
          <w:bCs w:val="1"/>
          <w:color w:val="auto"/>
        </w:rPr>
        <w:t>Registration No. 333-</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S-3</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XWELL, Inc.</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40"/>
          </w:cols>
          <w:pgMar w:left="320" w:top="688" w:right="439" w:bottom="132" w:gutter="0" w:footer="0" w:header="0"/>
        </w:sectPr>
      </w:pPr>
    </w:p>
    <w:p>
      <w:pPr>
        <w:spacing w:after="0" w:line="20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20-4988129</w:t>
      </w:r>
    </w:p>
    <w:p>
      <w:pPr>
        <w:spacing w:after="0" w:line="50" w:lineRule="exact"/>
        <w:rPr>
          <w:sz w:val="24"/>
          <w:szCs w:val="24"/>
          <w:color w:val="auto"/>
        </w:rPr>
      </w:pPr>
    </w:p>
    <w:p>
      <w:pPr>
        <w:sectPr>
          <w:pgSz w:w="11900" w:h="16838" w:orient="portrait"/>
          <w:cols w:equalWidth="0" w:num="2">
            <w:col w:w="7380" w:space="720"/>
            <w:col w:w="3040"/>
          </w:cols>
          <w:pgMar w:left="320" w:top="688" w:right="439" w:bottom="132" w:gutter="0" w:footer="0" w:header="0"/>
          <w:type w:val="continuous"/>
        </w:sectPr>
      </w:pPr>
    </w:p>
    <w:p>
      <w:pPr>
        <w:ind w:left="7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360" w:space="720"/>
            <w:col w:w="4060"/>
          </w:cols>
          <w:pgMar w:left="320" w:top="688" w:right="439" w:bottom="132"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99"/>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750-9595</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Scott R. Milford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XWELL, Inc.</w:t>
      </w:r>
    </w:p>
    <w:p>
      <w:pPr>
        <w:jc w:val="center"/>
        <w:ind w:right="-99"/>
        <w:spacing w:after="0" w:line="192" w:lineRule="auto"/>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99"/>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750-9595</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Robert J. Endicott, Esq.</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Kenneth L. Henderson, Esq.</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Bryan Cave Leighton Paisner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One Metropolitan Square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211 North Broadway, Suite 3600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St. Louis, MO 63102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(314) 259-2000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this Registration Statement becomes effective.</w:t>
      </w:r>
    </w:p>
    <w:p>
      <w:pPr>
        <w:spacing w:after="0" w:line="18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93" w:lineRule="exact"/>
        <w:rPr>
          <w:sz w:val="24"/>
          <w:szCs w:val="24"/>
          <w:color w:val="auto"/>
        </w:rPr>
      </w:pPr>
    </w:p>
    <w:p>
      <w:pPr>
        <w:ind w:right="280"/>
        <w:spacing w:after="0" w:line="238"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74" w:lineRule="exact"/>
        <w:rPr>
          <w:sz w:val="24"/>
          <w:szCs w:val="24"/>
          <w:color w:val="auto"/>
        </w:rPr>
      </w:pPr>
    </w:p>
    <w:p>
      <w:pPr>
        <w:ind w:right="180"/>
        <w:spacing w:after="0" w:line="238"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ind w:right="460"/>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ind w:right="180"/>
        <w:spacing w:after="0" w:line="238"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340"/>
        <w:spacing w:after="0" w:line="238"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688" w:right="439" w:bottom="132" w:gutter="0" w:footer="0" w:header="0"/>
          <w:type w:val="continuous"/>
        </w:sectPr>
      </w:pPr>
    </w:p>
    <w:p>
      <w:pPr>
        <w:spacing w:after="0" w:line="152"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600" w:space="720"/>
            <w:col w:w="3820"/>
          </w:cols>
          <w:pgMar w:left="320" w:top="688" w:right="439" w:bottom="132" w:gutter="0" w:footer="0" w:header="0"/>
          <w:type w:val="continuous"/>
        </w:sectPr>
      </w:pPr>
    </w:p>
    <w:p>
      <w:pPr>
        <w:spacing w:after="0" w:line="32" w:lineRule="exact"/>
        <w:rPr>
          <w:sz w:val="24"/>
          <w:szCs w:val="24"/>
          <w:color w:val="auto"/>
        </w:rPr>
      </w:pPr>
    </w:p>
    <w:p>
      <w:pPr>
        <w:ind w:right="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88" w:right="439" w:bottom="132"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160"/>
        <w:spacing w:after="0" w:line="261"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August 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XWELL, INC.</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$200,000,000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6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common stock is quoted on The Nasdaq Capital Market (“Nasdaq”) under the symbol “XWEL.” On August 3, 2023, the last reported sale price of our common stock was $0.2528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5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Pursuant to General Instruction I.B.6 of Form S-3, in no event will we sell shares of our common stock in a public primary offering with a value exceeding more than one-third of the aggregate market value of our outstanding common stock held by non-affiliates, or our public float, in any 12-month period, so long as our public float remains below $75 million. As of August 1, 2023, our public float was $21,525,263.20, based on 77,151,481 shares of our outstanding stock held by non-affiliates at the per share price of $0.279, the closing sale price of our common stock on August 1, 2023. One-third of our public float, calculated in accordance with General Instruction I.B.6 of Form S-3 as of August 1, 2023, is equal to $7,175,087.73. We have not offered any securities pursuant to General Instruction I.B.6 of Form S-3 during the 12 calendar months prior to and including the date of this prospectus.</w:t>
      </w:r>
    </w:p>
    <w:p>
      <w:pPr>
        <w:spacing w:after="0" w:line="160" w:lineRule="exact"/>
        <w:rPr>
          <w:sz w:val="20"/>
          <w:szCs w:val="20"/>
          <w:color w:val="auto"/>
        </w:rPr>
      </w:pPr>
    </w:p>
    <w:p>
      <w:pPr>
        <w:jc w:val="both"/>
        <w:ind w:right="200"/>
        <w:spacing w:after="0" w:line="343" w:lineRule="auto"/>
        <w:rPr>
          <w:sz w:val="20"/>
          <w:szCs w:val="20"/>
          <w:color w:val="auto"/>
        </w:rPr>
      </w:pPr>
      <w:r>
        <w:rPr>
          <w:rFonts w:ascii="Arial" w:cs="Arial" w:eastAsia="Arial" w:hAnsi="Arial"/>
          <w:sz w:val="15"/>
          <w:szCs w:val="15"/>
          <w:b w:val="1"/>
          <w:bCs w:val="1"/>
          <w:color w:val="auto"/>
        </w:rPr>
        <w:t>Investing in our securities involves risks. Before deciding whether to invest in our securities, you should consider carefully the risks that we have described on page 3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24" w:lineRule="exact"/>
        <w:rPr>
          <w:sz w:val="20"/>
          <w:szCs w:val="20"/>
          <w:color w:val="auto"/>
        </w:rPr>
      </w:pPr>
    </w:p>
    <w:p>
      <w:pPr>
        <w:ind w:right="26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4000"/>
              <w:spacing w:after="0"/>
              <w:rPr>
                <w:sz w:val="20"/>
                <w:szCs w:val="20"/>
                <w:color w:val="auto"/>
              </w:rPr>
            </w:pPr>
            <w:r>
              <w:rPr>
                <w:rFonts w:ascii="Arial" w:cs="Arial" w:eastAsia="Arial" w:hAnsi="Arial"/>
                <w:sz w:val="18"/>
                <w:szCs w:val="18"/>
                <w:b w:val="1"/>
                <w:bCs w:val="1"/>
                <w:color w:val="auto"/>
                <w:w w:val="97"/>
              </w:rPr>
              <w:t>The date of this prospectus is</w:t>
            </w:r>
          </w:p>
        </w:tc>
        <w:tc>
          <w:tcPr>
            <w:tcW w:w="4740" w:type="dxa"/>
            <w:vAlign w:val="bottom"/>
          </w:tcPr>
          <w:p>
            <w:pPr>
              <w:jc w:val="right"/>
              <w:ind w:right="3890"/>
              <w:spacing w:after="0"/>
              <w:rPr>
                <w:sz w:val="20"/>
                <w:szCs w:val="20"/>
                <w:color w:val="auto"/>
              </w:rPr>
            </w:pPr>
            <w:r>
              <w:rPr>
                <w:rFonts w:ascii="Arial" w:cs="Arial" w:eastAsia="Arial" w:hAnsi="Arial"/>
                <w:sz w:val="18"/>
                <w:szCs w:val="18"/>
                <w:b w:val="1"/>
                <w:bCs w:val="1"/>
                <w:color w:val="auto"/>
              </w:rPr>
              <w:t>, 2023.</w:t>
            </w:r>
          </w:p>
        </w:tc>
      </w:tr>
      <w:tr>
        <w:trPr>
          <w:trHeight w:val="67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260" w:type="dxa"/>
            <w:vAlign w:val="bottom"/>
            <w:gridSpan w:val="5"/>
          </w:tcPr>
          <w:p>
            <w:pPr>
              <w:jc w:val="right"/>
              <w:spacing w:after="0" w:line="203" w:lineRule="exact"/>
              <w:rPr>
                <w:sz w:val="20"/>
                <w:szCs w:val="20"/>
                <w:color w:val="auto"/>
              </w:rPr>
            </w:pPr>
            <w:r>
              <w:rPr>
                <w:rFonts w:ascii="Arial" w:cs="Arial" w:eastAsia="Arial" w:hAnsi="Arial"/>
                <w:sz w:val="18"/>
                <w:szCs w:val="18"/>
                <w:color w:val="auto"/>
              </w:rPr>
              <w:t>Page</w:t>
            </w:r>
          </w:p>
        </w:tc>
      </w:tr>
      <w:tr>
        <w:trPr>
          <w:trHeight w:val="412"/>
        </w:trPr>
        <w:tc>
          <w:tcPr>
            <w:tcW w:w="22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3"/>
              </w:rPr>
              <w:t>ABOUT THIS PROSPECTUS</w:t>
            </w:r>
          </w:p>
        </w:tc>
        <w:tc>
          <w:tcPr>
            <w:tcW w:w="7740" w:type="dxa"/>
            <w:vAlign w:val="bottom"/>
            <w:gridSpan w:val="8"/>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0000EE"/>
            </w:tcBorders>
            <w:gridSpan w:val="2"/>
          </w:tcPr>
          <w:p>
            <w:pPr>
              <w:jc w:val="right"/>
              <w:spacing w:after="0"/>
              <w:rPr>
                <w:sz w:val="20"/>
                <w:szCs w:val="20"/>
                <w:color w:val="auto"/>
              </w:rPr>
            </w:pPr>
            <w:r>
              <w:rPr>
                <w:rFonts w:ascii="Arial" w:cs="Arial" w:eastAsia="Arial" w:hAnsi="Arial"/>
                <w:sz w:val="18"/>
                <w:szCs w:val="18"/>
                <w:color w:val="0000EE"/>
                <w:w w:val="99"/>
              </w:rPr>
              <w:t>ii</w:t>
            </w:r>
          </w:p>
        </w:tc>
      </w:tr>
      <w:tr>
        <w:trPr>
          <w:trHeight w:val="291"/>
        </w:trPr>
        <w:tc>
          <w:tcPr>
            <w:tcW w:w="2100" w:type="dxa"/>
            <w:vAlign w:val="bottom"/>
            <w:gridSpan w:val="6"/>
          </w:tcPr>
          <w:p>
            <w:pPr>
              <w:spacing w:after="0"/>
              <w:rPr>
                <w:sz w:val="20"/>
                <w:szCs w:val="20"/>
                <w:color w:val="auto"/>
              </w:rPr>
            </w:pPr>
            <w:r>
              <w:rPr>
                <w:rFonts w:ascii="Arial" w:cs="Arial" w:eastAsia="Arial" w:hAnsi="Arial"/>
                <w:sz w:val="18"/>
                <w:szCs w:val="18"/>
                <w:color w:val="0000EE"/>
                <w:w w:val="94"/>
              </w:rPr>
              <w:t>PROSPECTUS SUMMARY</w:t>
            </w:r>
          </w:p>
        </w:tc>
        <w:tc>
          <w:tcPr>
            <w:tcW w:w="7880" w:type="dxa"/>
            <w:vAlign w:val="bottom"/>
            <w:gridSpan w:val="10"/>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0000EE"/>
              </w:rPr>
              <w:t>1</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260" w:type="dxa"/>
            <w:vAlign w:val="bottom"/>
            <w:gridSpan w:val="2"/>
          </w:tcPr>
          <w:p>
            <w:pPr>
              <w:spacing w:after="0"/>
              <w:rPr>
                <w:sz w:val="20"/>
                <w:szCs w:val="20"/>
                <w:color w:val="auto"/>
              </w:rPr>
            </w:pPr>
            <w:r>
              <w:rPr>
                <w:rFonts w:ascii="Arial" w:cs="Arial" w:eastAsia="Arial" w:hAnsi="Arial"/>
                <w:sz w:val="18"/>
                <w:szCs w:val="18"/>
                <w:color w:val="0000EE"/>
                <w:w w:val="93"/>
              </w:rPr>
              <w:t>RISK FACTORS</w:t>
            </w:r>
          </w:p>
        </w:tc>
        <w:tc>
          <w:tcPr>
            <w:tcW w:w="840" w:type="dxa"/>
            <w:vAlign w:val="bottom"/>
            <w:gridSpan w:val="4"/>
          </w:tcPr>
          <w:p>
            <w:pPr>
              <w:spacing w:after="0"/>
              <w:rPr>
                <w:sz w:val="24"/>
                <w:szCs w:val="24"/>
                <w:color w:val="auto"/>
              </w:rPr>
            </w:pPr>
          </w:p>
        </w:tc>
        <w:tc>
          <w:tcPr>
            <w:tcW w:w="7880" w:type="dxa"/>
            <w:vAlign w:val="bottom"/>
            <w:gridSpan w:val="10"/>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0000EE"/>
              </w:rPr>
              <w:t>3</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91"/>
        </w:trPr>
        <w:tc>
          <w:tcPr>
            <w:tcW w:w="5340" w:type="dxa"/>
            <w:vAlign w:val="bottom"/>
            <w:gridSpan w:val="15"/>
          </w:tcPr>
          <w:p>
            <w:pPr>
              <w:spacing w:after="0"/>
              <w:rPr>
                <w:sz w:val="20"/>
                <w:szCs w:val="20"/>
                <w:color w:val="auto"/>
              </w:rPr>
            </w:pPr>
            <w:r>
              <w:rPr>
                <w:rFonts w:ascii="Arial" w:cs="Arial" w:eastAsia="Arial" w:hAnsi="Arial"/>
                <w:sz w:val="18"/>
                <w:szCs w:val="18"/>
                <w:color w:val="0000EE"/>
                <w:w w:val="95"/>
              </w:rPr>
              <w:t>SPECIAL NOTE REGARDING FORWARD-LOOKING STATEMENTS</w:t>
            </w:r>
          </w:p>
        </w:tc>
        <w:tc>
          <w:tcPr>
            <w:tcW w:w="464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0000EE"/>
              </w:rPr>
              <w:t>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90"/>
        </w:trPr>
        <w:tc>
          <w:tcPr>
            <w:tcW w:w="5340" w:type="dxa"/>
            <w:vAlign w:val="bottom"/>
            <w:gridSpan w:val="15"/>
          </w:tcPr>
          <w:p>
            <w:pPr>
              <w:spacing w:after="0"/>
              <w:rPr>
                <w:sz w:val="20"/>
                <w:szCs w:val="20"/>
                <w:color w:val="auto"/>
              </w:rPr>
            </w:pPr>
            <w:r>
              <w:rPr>
                <w:rFonts w:ascii="Arial" w:cs="Arial" w:eastAsia="Arial" w:hAnsi="Arial"/>
                <w:sz w:val="18"/>
                <w:szCs w:val="18"/>
                <w:color w:val="0000EE"/>
              </w:rPr>
              <w:t>USE OF PROCEEDS</w:t>
            </w:r>
          </w:p>
        </w:tc>
        <w:tc>
          <w:tcPr>
            <w:tcW w:w="464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0000EE"/>
              </w:rPr>
              <w:t>7</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020" w:type="dxa"/>
            <w:vAlign w:val="bottom"/>
            <w:gridSpan w:val="5"/>
          </w:tcPr>
          <w:p>
            <w:pPr>
              <w:spacing w:after="0"/>
              <w:rPr>
                <w:sz w:val="20"/>
                <w:szCs w:val="20"/>
                <w:color w:val="auto"/>
              </w:rPr>
            </w:pPr>
            <w:r>
              <w:rPr>
                <w:rFonts w:ascii="Arial" w:cs="Arial" w:eastAsia="Arial" w:hAnsi="Arial"/>
                <w:sz w:val="18"/>
                <w:szCs w:val="18"/>
                <w:color w:val="0000EE"/>
                <w:w w:val="94"/>
              </w:rPr>
              <w:t>PLAN OF DISTRIBUTION</w:t>
            </w:r>
          </w:p>
        </w:tc>
        <w:tc>
          <w:tcPr>
            <w:tcW w:w="7960" w:type="dxa"/>
            <w:vAlign w:val="bottom"/>
            <w:gridSpan w:val="11"/>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0000EE"/>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90"/>
        </w:trPr>
        <w:tc>
          <w:tcPr>
            <w:tcW w:w="29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5"/>
              </w:rPr>
              <w:t>DESCRIPTION OF COMMON STOCK</w:t>
            </w:r>
          </w:p>
        </w:tc>
        <w:tc>
          <w:tcPr>
            <w:tcW w:w="7020" w:type="dxa"/>
            <w:vAlign w:val="bottom"/>
            <w:gridSpan w:val="6"/>
          </w:tcPr>
          <w:p>
            <w:pPr>
              <w:spacing w:after="0"/>
              <w:rPr>
                <w:sz w:val="24"/>
                <w:szCs w:val="24"/>
                <w:color w:val="auto"/>
              </w:rPr>
            </w:pPr>
          </w:p>
        </w:tc>
        <w:tc>
          <w:tcPr>
            <w:tcW w:w="108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10</w:t>
            </w:r>
          </w:p>
        </w:tc>
      </w:tr>
      <w:tr>
        <w:trPr>
          <w:trHeight w:val="291"/>
        </w:trPr>
        <w:tc>
          <w:tcPr>
            <w:tcW w:w="9980" w:type="dxa"/>
            <w:vAlign w:val="bottom"/>
            <w:gridSpan w:val="16"/>
          </w:tcPr>
          <w:p>
            <w:pPr>
              <w:spacing w:after="0"/>
              <w:rPr>
                <w:sz w:val="20"/>
                <w:szCs w:val="20"/>
                <w:color w:val="auto"/>
              </w:rPr>
            </w:pPr>
            <w:r>
              <w:rPr>
                <w:rFonts w:ascii="Arial" w:cs="Arial" w:eastAsia="Arial" w:hAnsi="Arial"/>
                <w:sz w:val="18"/>
                <w:szCs w:val="18"/>
                <w:color w:val="0000EE"/>
              </w:rPr>
              <w:t>DESCRIPTION OF PREFERRED STOCK</w:t>
            </w:r>
          </w:p>
        </w:tc>
        <w:tc>
          <w:tcPr>
            <w:tcW w:w="1260" w:type="dxa"/>
            <w:vAlign w:val="bottom"/>
            <w:gridSpan w:val="5"/>
          </w:tcPr>
          <w:p>
            <w:pPr>
              <w:jc w:val="right"/>
              <w:spacing w:after="0"/>
              <w:rPr>
                <w:sz w:val="20"/>
                <w:szCs w:val="20"/>
                <w:color w:val="auto"/>
              </w:rPr>
            </w:pPr>
            <w:r>
              <w:rPr>
                <w:rFonts w:ascii="Arial" w:cs="Arial" w:eastAsia="Arial" w:hAnsi="Arial"/>
                <w:sz w:val="18"/>
                <w:szCs w:val="18"/>
                <w:color w:val="0000EE"/>
              </w:rPr>
              <w:t>12</w:t>
            </w:r>
          </w:p>
        </w:tc>
      </w:tr>
      <w:tr>
        <w:trPr>
          <w:trHeight w:val="277"/>
        </w:trPr>
        <w:tc>
          <w:tcPr>
            <w:tcW w:w="31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w w:val="97"/>
              </w:rPr>
              <w:t>DESCRIPTION OF DEBT SECURITIES</w:t>
            </w:r>
          </w:p>
        </w:tc>
        <w:tc>
          <w:tcPr>
            <w:tcW w:w="6840" w:type="dxa"/>
            <w:vAlign w:val="bottom"/>
            <w:gridSpan w:val="4"/>
          </w:tcPr>
          <w:p>
            <w:pPr>
              <w:spacing w:after="0"/>
              <w:rPr>
                <w:sz w:val="24"/>
                <w:szCs w:val="24"/>
                <w:color w:val="auto"/>
              </w:rPr>
            </w:pPr>
          </w:p>
        </w:tc>
        <w:tc>
          <w:tcPr>
            <w:tcW w:w="1080" w:type="dxa"/>
            <w:vAlign w:val="bottom"/>
            <w:gridSpan w:val="2"/>
          </w:tcPr>
          <w:p>
            <w:pPr>
              <w:spacing w:after="0"/>
              <w:rPr>
                <w:sz w:val="24"/>
                <w:szCs w:val="24"/>
                <w:color w:val="auto"/>
              </w:rPr>
            </w:pPr>
          </w:p>
        </w:tc>
        <w:tc>
          <w:tcPr>
            <w:tcW w:w="180" w:type="dxa"/>
            <w:vAlign w:val="bottom"/>
            <w:tcBorders>
              <w:top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14</w:t>
            </w:r>
          </w:p>
        </w:tc>
      </w:tr>
      <w:tr>
        <w:trPr>
          <w:trHeight w:val="291"/>
        </w:trPr>
        <w:tc>
          <w:tcPr>
            <w:tcW w:w="302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DESCRIPTION OF WARRANTS</w:t>
            </w:r>
          </w:p>
        </w:tc>
        <w:tc>
          <w:tcPr>
            <w:tcW w:w="6960" w:type="dxa"/>
            <w:vAlign w:val="bottom"/>
            <w:gridSpan w:val="5"/>
          </w:tcPr>
          <w:p>
            <w:pPr>
              <w:spacing w:after="0"/>
              <w:rPr>
                <w:sz w:val="24"/>
                <w:szCs w:val="24"/>
                <w:color w:val="auto"/>
              </w:rPr>
            </w:pPr>
          </w:p>
        </w:tc>
        <w:tc>
          <w:tcPr>
            <w:tcW w:w="1080" w:type="dxa"/>
            <w:vAlign w:val="bottom"/>
            <w:gridSpan w:val="2"/>
          </w:tcPr>
          <w:p>
            <w:pPr>
              <w:spacing w:after="0"/>
              <w:rPr>
                <w:sz w:val="24"/>
                <w:szCs w:val="24"/>
                <w:color w:val="auto"/>
              </w:rPr>
            </w:pPr>
          </w:p>
        </w:tc>
        <w:tc>
          <w:tcPr>
            <w:tcW w:w="180" w:type="dxa"/>
            <w:vAlign w:val="bottom"/>
            <w:tcBorders>
              <w:top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20</w:t>
            </w:r>
          </w:p>
        </w:tc>
      </w:tr>
      <w:tr>
        <w:trPr>
          <w:trHeight w:val="290"/>
        </w:trPr>
        <w:tc>
          <w:tcPr>
            <w:tcW w:w="248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DESCRIPTION OF RIGHTS</w:t>
            </w:r>
          </w:p>
        </w:tc>
        <w:tc>
          <w:tcPr>
            <w:tcW w:w="7500" w:type="dxa"/>
            <w:vAlign w:val="bottom"/>
            <w:gridSpan w:val="7"/>
          </w:tcPr>
          <w:p>
            <w:pPr>
              <w:spacing w:after="0"/>
              <w:rPr>
                <w:sz w:val="24"/>
                <w:szCs w:val="24"/>
                <w:color w:val="auto"/>
              </w:rPr>
            </w:pPr>
          </w:p>
        </w:tc>
        <w:tc>
          <w:tcPr>
            <w:tcW w:w="1080" w:type="dxa"/>
            <w:vAlign w:val="bottom"/>
            <w:gridSpan w:val="2"/>
          </w:tcPr>
          <w:p>
            <w:pPr>
              <w:spacing w:after="0"/>
              <w:rPr>
                <w:sz w:val="24"/>
                <w:szCs w:val="24"/>
                <w:color w:val="auto"/>
              </w:rPr>
            </w:pPr>
          </w:p>
        </w:tc>
        <w:tc>
          <w:tcPr>
            <w:tcW w:w="180" w:type="dxa"/>
            <w:vAlign w:val="bottom"/>
            <w:tcBorders>
              <w:top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22</w:t>
            </w:r>
          </w:p>
        </w:tc>
      </w:tr>
      <w:tr>
        <w:trPr>
          <w:trHeight w:val="277"/>
        </w:trPr>
        <w:tc>
          <w:tcPr>
            <w:tcW w:w="214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w w:val="99"/>
              </w:rPr>
              <w:t>DESCRIPTION OF UNITS</w:t>
            </w:r>
          </w:p>
        </w:tc>
        <w:tc>
          <w:tcPr>
            <w:tcW w:w="7840" w:type="dxa"/>
            <w:vAlign w:val="bottom"/>
            <w:gridSpan w:val="9"/>
          </w:tcPr>
          <w:p>
            <w:pPr>
              <w:spacing w:after="0"/>
              <w:rPr>
                <w:sz w:val="24"/>
                <w:szCs w:val="24"/>
                <w:color w:val="auto"/>
              </w:rPr>
            </w:pPr>
          </w:p>
        </w:tc>
        <w:tc>
          <w:tcPr>
            <w:tcW w:w="1080" w:type="dxa"/>
            <w:vAlign w:val="bottom"/>
            <w:gridSpan w:val="2"/>
          </w:tcPr>
          <w:p>
            <w:pPr>
              <w:spacing w:after="0"/>
              <w:rPr>
                <w:sz w:val="24"/>
                <w:szCs w:val="24"/>
                <w:color w:val="auto"/>
              </w:rPr>
            </w:pPr>
          </w:p>
        </w:tc>
        <w:tc>
          <w:tcPr>
            <w:tcW w:w="180" w:type="dxa"/>
            <w:vAlign w:val="bottom"/>
            <w:tcBorders>
              <w:top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24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90"/>
        </w:trPr>
        <w:tc>
          <w:tcPr>
            <w:tcW w:w="99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6"/>
              </w:rPr>
              <w:t>CERTAIN PROVISIONS OF DELAWARE LAW AND OF THE COMPANY’S CERTIFICATE OF INCORPORATION AND BYLAWS</w:t>
            </w:r>
          </w:p>
        </w:tc>
        <w:tc>
          <w:tcPr>
            <w:tcW w:w="108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26</w:t>
            </w:r>
          </w:p>
        </w:tc>
      </w:tr>
      <w:tr>
        <w:trPr>
          <w:trHeight w:val="291"/>
        </w:trPr>
        <w:tc>
          <w:tcPr>
            <w:tcW w:w="14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6"/>
              </w:rPr>
              <w:t>LEGAL MATTERS</w:t>
            </w:r>
          </w:p>
        </w:tc>
        <w:tc>
          <w:tcPr>
            <w:tcW w:w="8520" w:type="dxa"/>
            <w:vAlign w:val="bottom"/>
            <w:gridSpan w:val="13"/>
          </w:tcPr>
          <w:p>
            <w:pPr>
              <w:spacing w:after="0"/>
              <w:rPr>
                <w:sz w:val="24"/>
                <w:szCs w:val="24"/>
                <w:color w:val="auto"/>
              </w:rPr>
            </w:pPr>
          </w:p>
        </w:tc>
        <w:tc>
          <w:tcPr>
            <w:tcW w:w="108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27</w:t>
            </w:r>
          </w:p>
        </w:tc>
      </w:tr>
      <w:tr>
        <w:trPr>
          <w:trHeight w:val="277"/>
        </w:trPr>
        <w:tc>
          <w:tcPr>
            <w:tcW w:w="7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EXPERTS</w:t>
            </w:r>
          </w:p>
        </w:tc>
        <w:tc>
          <w:tcPr>
            <w:tcW w:w="9200" w:type="dxa"/>
            <w:vAlign w:val="bottom"/>
            <w:gridSpan w:val="15"/>
          </w:tcPr>
          <w:p>
            <w:pPr>
              <w:spacing w:after="0"/>
              <w:rPr>
                <w:sz w:val="24"/>
                <w:szCs w:val="24"/>
                <w:color w:val="auto"/>
              </w:rPr>
            </w:pPr>
          </w:p>
        </w:tc>
        <w:tc>
          <w:tcPr>
            <w:tcW w:w="108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27</w:t>
            </w:r>
          </w:p>
        </w:tc>
      </w:tr>
      <w:tr>
        <w:trPr>
          <w:trHeight w:val="291"/>
        </w:trPr>
        <w:tc>
          <w:tcPr>
            <w:tcW w:w="38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7"/>
              </w:rPr>
              <w:t>WHERE YOU CAN FIND MORE INFORMATION</w:t>
            </w:r>
          </w:p>
        </w:tc>
        <w:tc>
          <w:tcPr>
            <w:tcW w:w="6160" w:type="dxa"/>
            <w:vAlign w:val="bottom"/>
            <w:gridSpan w:val="3"/>
          </w:tcPr>
          <w:p>
            <w:pPr>
              <w:spacing w:after="0"/>
              <w:rPr>
                <w:sz w:val="24"/>
                <w:szCs w:val="24"/>
                <w:color w:val="auto"/>
              </w:rPr>
            </w:pPr>
          </w:p>
        </w:tc>
        <w:tc>
          <w:tcPr>
            <w:tcW w:w="108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27</w:t>
            </w:r>
          </w:p>
        </w:tc>
      </w:tr>
      <w:tr>
        <w:trPr>
          <w:trHeight w:val="290"/>
        </w:trPr>
        <w:tc>
          <w:tcPr>
            <w:tcW w:w="5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4"/>
              </w:rPr>
              <w:t>INCORPORATION OF CERTAIN DOCUMENTS BY REFERENCE</w:t>
            </w:r>
          </w:p>
        </w:tc>
        <w:tc>
          <w:tcPr>
            <w:tcW w:w="4920" w:type="dxa"/>
            <w:vAlign w:val="bottom"/>
            <w:gridSpan w:val="2"/>
          </w:tcPr>
          <w:p>
            <w:pPr>
              <w:spacing w:after="0"/>
              <w:rPr>
                <w:sz w:val="24"/>
                <w:szCs w:val="24"/>
                <w:color w:val="auto"/>
              </w:rPr>
            </w:pPr>
          </w:p>
        </w:tc>
        <w:tc>
          <w:tcPr>
            <w:tcW w:w="108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79"/>
              </w:rPr>
              <w:t>28</w:t>
            </w: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to purchase any of such securities, either individually or in units, in one or more offerings, with a total value of up to $200,000,000.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We take no responsibility for, and can provide no assurances as to the reliability of, any other information that others may give you.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Unless the context otherwise requires, references to “we,” “our,” “us,” or the “Company” in this prospectus mean XWELL, Inc., together with its subsidiaries.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781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781675"/>
                    </a:xfrm>
                    <a:prstGeom prst="rect">
                      <a:avLst/>
                    </a:prstGeom>
                    <a:noFill/>
                  </pic:spPr>
                </pic:pic>
              </a:graphicData>
            </a:graphic>
          </wp:anchor>
        </w:drawing>
        <w:t>PROSPECTUS SUMMARY</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XWELL, Inc. (formerly known as XpresSpa Group, Inc.) (“XWELL”) is a global travel health and wellness services holding company. XWELL currently has four reportable operating segments: XpresSpa®, XpresCheck®, Treat™ and HyperPointe™.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of June 30, 2023, there were 25 operating XpresSpa domestic locations. During 2022, the Company sold one location in Austin-Bergstrom International Airport to its franchisee which now operates both locations at this airport. As the Company continues to monitor fluctuating airport volumes, the Company will also continue to review operating hours to optimize revenue opportunity.</w:t>
      </w:r>
    </w:p>
    <w:p>
      <w:pPr>
        <w:spacing w:after="0" w:line="16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also had 10 international locations operating as of June 30, 2023, including two XpresSpa locations in Dubai International Airport in the United Arab Emirates, three XpresSpa locations in Schiphol Amsterdam Airport in the Netherlands and five XpresSpa locations in Istanbul Airport in Turkey.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XpresTest</w:t>
      </w:r>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in partnership with certain COVID-19 testing partners, successfully launched its XpresCheck Wellness Centers through its XpresTest, Inc. subsidiary (“XpresTest”), offering testing services, also in airports. During 2022, as countries continued to relax their testing requirements resulting in rapid decline of testing volumes at Company’s XpresCheck locations, the Company closed all of its XpresCheck Wellness Centers before the end of June 30, 2023.</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XpresTest began conducting biosurveillance monitoring with the Centers for Disease Control and Prevention (CDC) in collaboration with Concentric by Ginkgo in 2021 and on January 31, 2022, the Company announced the extension of the initial program, bringing the total contract to $5.5 million. As of August 2022, the program was renewed in partnership with Ginkgo BioWorks for a new two-year contract term which represents approximately $7.3 million in revenue (for the first fiscal year) for the XpresTest segment. Funding for the second year is anticipated but has not been confirmed at this time.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0"/>
          </w:cols>
          <w:pgMar w:left="660" w:top="1134" w:right="71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3038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3038475"/>
                    </a:xfrm>
                    <a:prstGeom prst="rect">
                      <a:avLst/>
                    </a:prstGeom>
                    <a:noFill/>
                  </pic:spPr>
                </pic:pic>
              </a:graphicData>
            </a:graphic>
          </wp:anchor>
        </w:drawing>
        <w:t>Treat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Treat segment, which is operating through XWELL’s subsidiary Treat, Inc. (“Treat”) is a travel health and wellness brand that provides access to health and wellness services for travelers at on-site centers, located in JFK International Airport and in Salt Lake City International Airport as of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Hyperpointe</w:t>
      </w:r>
    </w:p>
    <w:p>
      <w:pPr>
        <w:spacing w:after="0" w:line="22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XWELL’s subsidiary, gcg Connect, LLC, operating as HyperPointe, which was acquired in January 2022,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We were incorporated in Delaware as a corporation on January 9, 2006 and completed an initial public offering in June 2010. Our common stock, par value $0.01 per share, which was previously listed since January 8, 2018 under the trading symbol “XSPA” on The Nasdaq Capital Market, has been listed under the trading symbol “XWEL” since October 25, 2022. Our principal executive offices are located at 254 West 31st Street, 11th Floor, New York, New York 10001. Our telephone number is (212) 750-9595 and our website address is </w:t>
      </w:r>
      <w:r>
        <w:rPr>
          <w:rFonts w:ascii="Arial" w:cs="Arial" w:eastAsia="Arial" w:hAnsi="Arial"/>
          <w:sz w:val="17"/>
          <w:szCs w:val="17"/>
          <w:i w:val="1"/>
          <w:iCs w:val="1"/>
          <w:color w:val="auto"/>
        </w:rPr>
        <w:t>www.xwell.com</w:t>
      </w:r>
      <w:r>
        <w:rPr>
          <w:rFonts w:ascii="Arial" w:cs="Arial" w:eastAsia="Arial" w:hAnsi="Arial"/>
          <w:sz w:val="17"/>
          <w:szCs w:val="17"/>
          <w:color w:val="auto"/>
        </w:rPr>
        <w:t xml:space="preserve">. We also operate the websites </w:t>
      </w:r>
      <w:r>
        <w:rPr>
          <w:rFonts w:ascii="Arial" w:cs="Arial" w:eastAsia="Arial" w:hAnsi="Arial"/>
          <w:sz w:val="17"/>
          <w:szCs w:val="17"/>
          <w:i w:val="1"/>
          <w:iCs w:val="1"/>
          <w:color w:val="auto"/>
        </w:rPr>
        <w:t>www.xpresspa.com</w:t>
      </w:r>
      <w:r>
        <w:rPr>
          <w:rFonts w:ascii="Arial" w:cs="Arial" w:eastAsia="Arial" w:hAnsi="Arial"/>
          <w:sz w:val="17"/>
          <w:szCs w:val="17"/>
          <w:color w:val="auto"/>
        </w:rPr>
        <w:t xml:space="preserve">, </w:t>
      </w:r>
      <w:r>
        <w:rPr>
          <w:rFonts w:ascii="Arial" w:cs="Arial" w:eastAsia="Arial" w:hAnsi="Arial"/>
          <w:sz w:val="17"/>
          <w:szCs w:val="17"/>
          <w:i w:val="1"/>
          <w:iCs w:val="1"/>
          <w:color w:val="auto"/>
        </w:rPr>
        <w:t>www.treat.com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www.xprescheck.com</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660" w:top="1138" w:right="6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the risk factors set forth below as well as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annual report on Form 10-K for the year ended December 31, 2022, as amended, and our quarterly report on Form 10-Q for the quarter ended March 31, 2023,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the continued listing requirements of Nasdaq could result in a delisting of our common stock.</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under Nasdaq Listing Rule 5550(a)(2) (the “Bid Price Requirement”) or if stockholders’ equity is less than $2,500,000. As discussed further below under “</w:t>
      </w:r>
      <w:r>
        <w:rPr>
          <w:rFonts w:ascii="Arial" w:cs="Arial" w:eastAsia="Arial" w:hAnsi="Arial"/>
          <w:sz w:val="17"/>
          <w:szCs w:val="17"/>
          <w:i w:val="1"/>
          <w:iCs w:val="1"/>
          <w:color w:val="auto"/>
        </w:rPr>
        <w:t>Description of Common Stock—Shares Authorized, issued and Outstanding; Reverse Stock Split</w:t>
      </w:r>
      <w:r>
        <w:rPr>
          <w:rFonts w:ascii="Arial" w:cs="Arial" w:eastAsia="Arial" w:hAnsi="Arial"/>
          <w:sz w:val="17"/>
          <w:szCs w:val="17"/>
          <w:color w:val="auto"/>
        </w:rPr>
        <w:t>,” on October 28, 2022, we received a deficiency letter from Nasdaq which indicated that we were not in compliance with the Bid Price Requirement and providing us 180 calendar days, or until April 26, 2023, to regain compliance with the requirement. On April 27, 2023, we received an extension of 180 calendar days from Nasdaq to regain compliance with the Bid Price Requirement, or until October 23, 2023.</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address our non-compliance with the Bid Price Requirement, we have included a proposal to implement a reverse stock split, with a ratio of between one-for-eight and one-for-twenty, in our proxy statement for the 2023 annual meeting of our stockholders. If the reverse stock split proposal is not approved by our stockholders at our 2023 annual meeting, we may be unable to regain compliance prior to the October 23, 2023 deadline, or in the future if our stock price again falls below the Bid Price Requirement. Additionally, if we fail to comply with any other continued listing standards of Nasdaq, our common stock would also be subject to delisting. If that were to occur:</w:t>
      </w:r>
    </w:p>
    <w:p>
      <w:pPr>
        <w:spacing w:after="0" w:line="18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have to pursue trading on a less recognized or accepted market, such as the OTC Bulletin Board or the “pink sheets”;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Shares of our common stock could be less liquid and marketable, thereby reducing the ability of stockholders to purchase or sell our shares as quickly and as inexpensively as they have done historically;</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common stock may be deemed a “penny stock,” and transactions in our common stock would be more difficult and cumbersome. For example,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w:t>
      </w:r>
    </w:p>
    <w:p>
      <w:pPr>
        <w:spacing w:after="0" w:line="186" w:lineRule="exact"/>
        <w:rPr>
          <w:rFonts w:ascii="Arial" w:cs="Arial" w:eastAsia="Arial" w:hAnsi="Arial"/>
          <w:sz w:val="18"/>
          <w:szCs w:val="18"/>
          <w:color w:val="auto"/>
        </w:rPr>
      </w:pPr>
    </w:p>
    <w:p>
      <w:pPr>
        <w:jc w:val="both"/>
        <w:ind w:left="660" w:right="38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market price of the common stock may further decline.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if we were to be delisted from Nasdaq, our common stock would cease to be recognized as covered securities and we would be subject to regulation in each state in which we offer our securities. Delisting could also have other negative results, including the potential loss of confidence by employees, the loss of institutional investor interest and fewer business development opportunities.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A reverse stock split may negatively impact the market for our common stock.</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Factors such as our financial results, market conditions and the market perception of our business may adversely affect the market price of our common stock. As a result, there can be no assurance that the total market capitalization of our common stock after the proposed reverse stock split will be equal to or greater than the total market capitalization before the proposed reverse stock split or that the per share market price of our common stock outstanding before the reverse stock split. A decline in the market price of our common stock after the reverse stock split may result in a greater percentage decline than would occur in the absence of a reverse stock split, and the liquidity of our common stock could be adversely affected following such a reverse stock split.</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the reverse stock split may increase the number of stockholders who own odd lots (less than 100 shares). Any stockholder who owns fewer than 800 to 2,000 shares of common stock, depending on the final ratio, prior to the reverse stock split will own fewer than 100 shares of common stock following the reverse stock split. Stockholders who hold odd lots typically experience an increase in the cost of selling their shares and may have greater difficulty in effecting sales. Furthermore, some of our stockholders may cease being stockholders following the reverse stock split. Any stockholder who owns fewer than 8 to 20 shares of common stock, depending on the final ratio, prior to the reverse stock split will own less than one share of common stock following the reverse stock split and therefore such stockholder will receive cash equal to the market value of such fractional share and cease being a stockholder of the Company, as further described below under “— Procedure for Effecting Reverse Split and Exchange of Stock Certificates — Fractional Shares”.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market price of our common stock will also be based on our performance and other factors, including those factors listed under the heading “Risk Factors” and elsewhere in our Annual Report on Form 10-K, as amended, for the year ended December 31, 2022, and other reports that we file with the SEC. There can also be no assurance that the minimum bid price per share of our common stock will remain in excess of $1.00 following the reverse stock split for a sustained period of time, if at all.</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 reverse stock split would increase our authorized but unissued shares of common stock, which could negatively impact a potential investor if they purchased shares of common stock.</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Because the number of authorized shares of our common stock will not be reduced proportionately, the reverse stock split will increase our board of directors’ ability to issue authorized and unissued shares without further stockholder action. The issuance of additional shares of common stock or securities convertible into common stock may have a dilutive effect on earnings per share and relative voting power and may cause a decline in the trading price of the common stock. We could use the shares that are available for future issuance in dilutive equity financing transactions, or to oppose a hostile takeover attempt or delay or prevent changes in control or changes in or removal of management, including transactions that are favored by a majority of the stockholders or in which the stockholders might otherwise receive a premium for their shares over then-current market prices or benefit in some other manner.</w:t>
      </w:r>
    </w:p>
    <w:p>
      <w:pPr>
        <w:spacing w:after="0" w:line="195"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We expect to require additional financing to fund our ongoing activities. Other than the foregoing, and except for our obligation to issue common stock upon the exercise of outstanding options and warrants, we have no specific plan, commitment, arrangement, understanding or agreement, either oral or written, regarding the issuance of common stock subsequent to the reverse stock split at this time.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2022, as amended, and our quarterly report on Form 10-Q for the quarter ended March 31, 2023,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adverse effects of public health epidemics, similar to the coronavirus outbreak, on our business, results of operations and financial condition;</w:t>
      </w:r>
    </w:p>
    <w:p>
      <w:pPr>
        <w:spacing w:after="0" w:line="86"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previously identified material weakness related to our internal control over financial reporting, which remains unremediated as of the date of this prospectus;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63"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deploy our available cash resources, as well as our ability raise additional capital to fund our operations and business plan, to the extent necessary;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wellness and travel;</w:t>
      </w:r>
    </w:p>
    <w:p>
      <w:pPr>
        <w:spacing w:after="0" w:line="63"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new locations, maintain XpresSpa and CDC Biosurveillance testing locations, and ensure continued customer traffic at those locations;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63"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or converting existing ones, and the revenue derived from our retail locations;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performance by our Airport Concession Disadvantaged Business Enterprise partners on obligations set forth in our joint venture agreements;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events and trends in the health, wellness and travel industries;</w:t>
      </w:r>
    </w:p>
    <w:p>
      <w:pPr>
        <w:spacing w:after="0" w:line="63"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63"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new laws and regulations or changes in existing laws and regulations;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further regulatory actions in the healthcare sector that could impact our ability to continue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discontinuance of emergency use authorization (“EUA”) policies that could impact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spacing w:after="0" w:line="288"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amended,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any net proceeds from the sale of securities under this prospectus for our operations and for other general corporate purposes, including, but not limited to, general working capital.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right="4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Shares of our common stock sold pursuant to the registration statement of which this prospectus is a part will be authorized for listing and trading on Nasdaq. The applicable prospectus supplement will contain information, where applicable, as to any other listing, if any, on Nasdaq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Authorized, Issued and Outstanding; Reverse Stock Split</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authorized to issue 150,000,000 shares of common stock, par value $0.01 per share. As of July 31, 2023, we had 83,487,663 shares of common stock outstanding and approximately 98 stockholders of record. The number of shares of common stock outstanding excludes, in each case as of July 31, 2023:</w:t>
      </w:r>
    </w:p>
    <w:p>
      <w:pPr>
        <w:spacing w:after="0" w:line="184" w:lineRule="exact"/>
        <w:rPr>
          <w:sz w:val="20"/>
          <w:szCs w:val="20"/>
          <w:color w:val="auto"/>
        </w:rPr>
      </w:pPr>
    </w:p>
    <w:p>
      <w:pPr>
        <w:ind w:left="540" w:right="160" w:hanging="262"/>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4,000 shares of common stock issuable upon the exercise of common stock warrants outstanding as of such date at an exercise price of $2.125 per share;</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7,709,552 shares of common stock issuable upon the exercise of stock options at a weighted average exercise price of $1.356 per share;</w:t>
      </w:r>
    </w:p>
    <w:p>
      <w:pPr>
        <w:spacing w:after="0" w:line="236" w:lineRule="exact"/>
        <w:rPr>
          <w:rFonts w:ascii="Arial" w:cs="Arial" w:eastAsia="Arial" w:hAnsi="Arial"/>
          <w:sz w:val="17"/>
          <w:szCs w:val="17"/>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432,638 shares of common stock issuable upon the vesting of restricted stock units; and</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4,153,479 shares of common stock available for future issuance under the 2020 Equity Incentive Plan, as amended.</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October 28, 2022, we received a written notification from the Listing Qualifications Department of Nasdaq notifying us that the closing bid price for our common stock had been below $1.00 for 30 consecutive business days and that we therefore were not in compliance with the Bid Price Requirement for continued inclusion on Nasdaq under Nasdaq Listing Rule 5550(a)(2). We were provided 180 calendar days, or until April 26, 2023, to regain compliance with the Bid Price Requirement. On April 27, 2023, we received an extension of 180 calendar days from Nasdaq to regain compliance with the Bid Price Requirement, or until October 23, 2023.</w:t>
      </w:r>
    </w:p>
    <w:p>
      <w:pPr>
        <w:spacing w:after="0" w:line="18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To address our non-compliance with the Bid Price Requirement, we have included a proposal to implement a reverse stock split in our proxy statement for the 2023 annual meeting of our stockholders. If we choose to implement a reverse stock split to regain compliance, it must be completed no later than ten business days prior to the expiration of the additional 180 calendar day period in order to timely regain compliance.</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approved by our stockholders, our board of directors will likely use its discretion to implement a reverse stock prior to October 6, 2023 (the “Reverse Stock Split”). In such event, all of the outstanding and authorized shares of the Company’s common stock immediately prior to the effective date of the Reverse Stock Split, or the Effective Date, will be reduced in proportion to the ratio of the Reverse Stock Split. In such event, proportionate adjustments would also be made to our outstanding equity awards under our 2012 Employee, Director and Consultant Equity Incentive Plan and our 2020 Equity Incentive Plan (the “2020 Plan”), each as amended, as well as the number of shares of our common stock available for award grants under the 2020. There can be no assurance that the Reverse Stock Split will have the intended effect or that any increase in the trading price of our common stock will be proportional to the decrease in the number of outstanding shares.</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Reverse Stock Split is implemented, it will have a ratio of between one-for-eight and one-for-twenty. If we implement a one-for-eight Reverse Stock Split, then on the Effective Date, each stockholder will receive one new share of our common stock in exchange for every eight shares of our common stock such stockholder holds. If we implement a one-for-twenty Reverse Stock Split, then on the Effective Date, each stockholder will receive one new share of our common stock in exchange for every twenty shares of our common stock such stockholder holds. The Reverse Stock Split would affect all outstanding and authorized shares of our common stock as well as the number of shares of common stock underlying stock options and other exercisable or convertible instruments outstanding on the Effective Date.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 All shares of common stock outstanding as of the date of this prospectus and, upon issuance and sale, all shares of common stock that we may offer pursuant to this prospectus, will be fully paid and nonassessable.</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of our liquidation or dissolution, the holders of our common stock are entitled to receive proportionately our net assets available for distribution to stockholders after the payment of all debts and other liabilities and subject to any preferential rights of any then outstanding series of preferred stock. Holders of our common stock have no preemptive, subscription, redemption or conversion rights. There are no redemption or sinking fund provisions applicable to our common stock. The voting, dividend and liquidation rights of holders of our common stock are subject to, and may be adversely affected by, the rights of the holders of shares of our existing series of preferred stock or any series of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Equiniti Trust Company, LLC, with offices at 6201 15th Avenue, Brooklyn, New York 11219.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“XWEL.”</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powers, preferences, rights and restrictions of the preferred stock of each series will be fixed by the certificate of designation relating to that series.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amended and restated certificate of incorporation, as amended, authorizes us to issue 10,000,000 shares of preferred stock. As of July 31, 2023, we had designated 300,000 shares of our preferred stock as “Series C Junior Preferred Stock” with no shares outstanding.</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an additional 9,700,000 shares of preferred stock in one or more series and to fix the rights, preferences, privileges and restrictions granted to or imposed upon the preferred stock. Any or all of these rights may be greater than the rights of our common stock.</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may specify the following characteristics of any preferred stock:</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225"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or all other preferences and relative, participating, optional or other special rights, privileges or qualifications, limitations or restrictions;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preferred stock issued will be fully paid and nonassessable upon issuance.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preferred stock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9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9" w:name="page20"/>
    <w:bookmarkEnd w:id="19"/>
    <w:p>
      <w:pPr>
        <w:ind w:right="2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ind w:left="660" w:right="28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will periodically file statements with the applicable debenture trustee regarding our compliance with specified covenants in the applicable indenture.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right="20"/>
        <w:spacing w:after="0" w:line="301" w:lineRule="auto"/>
        <w:rPr>
          <w:sz w:val="20"/>
          <w:szCs w:val="20"/>
          <w:color w:val="auto"/>
        </w:rPr>
      </w:pPr>
      <w:r>
        <w:rPr>
          <w:rFonts w:ascii="Arial" w:cs="Arial" w:eastAsia="Arial" w:hAnsi="Arial"/>
          <w:sz w:val="16"/>
          <w:szCs w:val="16"/>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5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right="20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jc w:val="both"/>
        <w:ind w:left="660" w:right="34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if any,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right="5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CERTAIN PROVISIONS OF DELAWARE LAW AND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COMPANY’S CERTIFICATE OF 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amended and restated certificate of incorporation provides that amendments by our stockholders of our amended and restated bylaws require the approval of at least 66⅔% of the voting power of all outstanding stock. These provisions could discourage a potential acquirer from making a tender offer or otherwise attempting to obtain control of the Company and could delay changes in management.</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amended and restated certificate of incorporation provides that directors may be removed by our stockholders with or without cause upon the affirmative vote of at least a majority of the voting power of all outstanding securities then entitled to vote generally in the election of directors, voting together as a single class. These provisions mean that a proposal to replace one or more directors on our board of directors could be delayed until the next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validity of the securities offered hereby will be passed upon for us by Bryan Cave Leighton Paisner LLP, St. Louis, Missouri. Additional legal matters may be passed upon for us or any underwriters, dealers or agents, by counsel that we will name in the applicable prospectus supplement.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consolidated financial statements as of and for the year ended December 31, 2022, included in our Annual Report on Form 10-K for the year ended December 31, 2022, as amended, have been audited by Marcum LLP, an independent registered public accounting firm, as stated in their report. Such consolidated financial statements are incorporated by reference in reliance upon the report of such firm given upon their authority as experts in accounting and auditing.</w:t>
      </w:r>
    </w:p>
    <w:p>
      <w:pPr>
        <w:spacing w:after="0" w:line="18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consolidated financial statements as of and for the year ended December 31, 2021, included in our Annual Report on Form 10-K for the year ended December 31, 2022, have been audited by Friedman LLP, an independent registered public accounting firm, as stated in their report. Such consolidated financial statements are incorporated by reference in reliance upon the report of such firm given upon their authority as experts in accounting and auditing.</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are a public company and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and on our website at </w:t>
      </w:r>
      <w:r>
        <w:rPr>
          <w:rFonts w:ascii="Arial" w:cs="Arial" w:eastAsia="Arial" w:hAnsi="Arial"/>
          <w:sz w:val="18"/>
          <w:szCs w:val="18"/>
          <w:i w:val="1"/>
          <w:iCs w:val="1"/>
          <w:color w:val="auto"/>
        </w:rPr>
        <w:t>http://www.XWELL.com</w:t>
      </w:r>
      <w:r>
        <w:rPr>
          <w:rFonts w:ascii="Arial" w:cs="Arial" w:eastAsia="Arial" w:hAnsi="Arial"/>
          <w:sz w:val="18"/>
          <w:szCs w:val="18"/>
          <w:color w:val="auto"/>
        </w:rPr>
        <w:t>. The information contained on our website is not included or incorporated by reference into this prospectus. In addition, our common stock is listed for trading on The Nasdaq Capital Market under the symbol “XWEL.”</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from the SEC’s website or our website.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6" w:lineRule="exact"/>
        <w:rPr>
          <w:sz w:val="20"/>
          <w:szCs w:val="20"/>
          <w:color w:val="auto"/>
        </w:rPr>
      </w:pPr>
    </w:p>
    <w:p>
      <w:pPr>
        <w:ind w:left="660" w:right="4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2022, filed on </w:t>
      </w:r>
      <w:hyperlink r:id="rId40">
        <w:r>
          <w:rPr>
            <w:rFonts w:ascii="Arial" w:cs="Arial" w:eastAsia="Arial" w:hAnsi="Arial"/>
            <w:sz w:val="18"/>
            <w:szCs w:val="18"/>
            <w:u w:val="single" w:color="auto"/>
            <w:color w:val="0000EE"/>
          </w:rPr>
          <w:t>April 17, 2023</w:t>
        </w:r>
      </w:hyperlink>
      <w:r>
        <w:rPr>
          <w:rFonts w:ascii="Arial" w:cs="Arial" w:eastAsia="Arial" w:hAnsi="Arial"/>
          <w:sz w:val="18"/>
          <w:szCs w:val="18"/>
          <w:color w:val="auto"/>
        </w:rPr>
        <w:t xml:space="preserve">, as amended on </w:t>
      </w:r>
      <w:hyperlink r:id="rId41">
        <w:r>
          <w:rPr>
            <w:rFonts w:ascii="Arial" w:cs="Arial" w:eastAsia="Arial" w:hAnsi="Arial"/>
            <w:sz w:val="18"/>
            <w:szCs w:val="18"/>
            <w:u w:val="single" w:color="auto"/>
            <w:color w:val="0000EE"/>
          </w:rPr>
          <w:t>May 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001-34785);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2023, filed on </w:t>
      </w:r>
      <w:hyperlink r:id="rId42">
        <w:r>
          <w:rPr>
            <w:rFonts w:ascii="Arial" w:cs="Arial" w:eastAsia="Arial" w:hAnsi="Arial"/>
            <w:sz w:val="18"/>
            <w:szCs w:val="18"/>
            <w:u w:val="single" w:color="auto"/>
            <w:color w:val="0000EE"/>
          </w:rPr>
          <w:t>May 15,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001-34785);</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43">
        <w:r>
          <w:rPr>
            <w:rFonts w:ascii="Arial" w:cs="Arial" w:eastAsia="Arial" w:hAnsi="Arial"/>
            <w:sz w:val="18"/>
            <w:szCs w:val="18"/>
            <w:u w:val="single" w:color="auto"/>
            <w:color w:val="0000EE"/>
          </w:rPr>
          <w:t>April 27, 2023</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May 4, 2023</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June 16,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6">
        <w:r>
          <w:rPr>
            <w:rFonts w:ascii="Arial" w:cs="Arial" w:eastAsia="Arial" w:hAnsi="Arial"/>
            <w:sz w:val="18"/>
            <w:szCs w:val="18"/>
            <w:u w:val="single" w:color="auto"/>
            <w:color w:val="0000EE"/>
          </w:rPr>
          <w:t>June 28,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(except for the information furnished under Items 2.02 or 7.01 and the exhibits furnished thereto);</w:t>
      </w:r>
    </w:p>
    <w:p>
      <w:pPr>
        <w:spacing w:after="0" w:line="170" w:lineRule="exact"/>
        <w:rPr>
          <w:rFonts w:ascii="Arial" w:cs="Arial" w:eastAsia="Arial" w:hAnsi="Arial"/>
          <w:sz w:val="18"/>
          <w:szCs w:val="18"/>
          <w:color w:val="auto"/>
        </w:rPr>
      </w:pPr>
    </w:p>
    <w:p>
      <w:pPr>
        <w:ind w:left="660" w:right="220" w:hanging="328"/>
        <w:spacing w:after="0" w:line="259" w:lineRule="auto"/>
        <w:tabs>
          <w:tab w:leader="none" w:pos="660" w:val="left"/>
        </w:tabs>
        <w:numPr>
          <w:ilvl w:val="0"/>
          <w:numId w:val="20"/>
        </w:numPr>
        <w:rPr>
          <w:rFonts w:ascii="Arial" w:cs="Arial" w:eastAsia="Arial" w:hAnsi="Arial"/>
          <w:sz w:val="18"/>
          <w:szCs w:val="18"/>
          <w:color w:val="0000EE"/>
        </w:rPr>
      </w:pPr>
      <w:hyperlink r:id="rId47">
        <w:r>
          <w:rPr>
            <w:rFonts w:ascii="Arial" w:cs="Arial" w:eastAsia="Arial" w:hAnsi="Arial"/>
            <w:sz w:val="18"/>
            <w:szCs w:val="18"/>
            <w:color w:val="auto"/>
          </w:rPr>
          <w:t xml:space="preserve">the description of our common stock contained in our Registration Statement on Form 8-A filed on </w:t>
        </w:r>
        <w:r>
          <w:rPr>
            <w:rFonts w:ascii="Arial" w:cs="Arial" w:eastAsia="Arial" w:hAnsi="Arial"/>
            <w:sz w:val="18"/>
            <w:szCs w:val="18"/>
            <w:u w:val="single" w:color="auto"/>
            <w:color w:val="0000EE"/>
          </w:rPr>
          <w:t>March 21, 2016</w:t>
        </w:r>
        <w:r>
          <w:rPr>
            <w:rFonts w:ascii="Arial" w:cs="Arial" w:eastAsia="Arial" w:hAnsi="Arial"/>
            <w:sz w:val="18"/>
            <w:szCs w:val="18"/>
            <w:color w:val="auto"/>
          </w:rPr>
          <w:t xml:space="preserve"> (File No. 001-34785), </w:t>
        </w:r>
        <w:r>
          <w:rPr>
            <w:rFonts w:ascii="Arial" w:cs="Arial" w:eastAsia="Arial" w:hAnsi="Arial"/>
            <w:sz w:val="18"/>
            <w:szCs w:val="18"/>
            <w:u w:val="single" w:color="auto"/>
            <w:color w:val="0000EE"/>
          </w:rPr>
          <w:t>April</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29, 2013</w:t>
        </w:r>
        <w:r>
          <w:rPr>
            <w:rFonts w:ascii="Arial" w:cs="Arial" w:eastAsia="Arial" w:hAnsi="Arial"/>
            <w:sz w:val="18"/>
            <w:szCs w:val="18"/>
            <w:color w:val="0000EE"/>
          </w:rPr>
          <w:t xml:space="preserve"> </w:t>
        </w:r>
        <w:r>
          <w:rPr>
            <w:rFonts w:ascii="Arial" w:cs="Arial" w:eastAsia="Arial" w:hAnsi="Arial"/>
            <w:sz w:val="18"/>
            <w:szCs w:val="18"/>
            <w:color w:val="000000"/>
          </w:rPr>
          <w:t>(File No. 001-34785) and</w:t>
        </w:r>
        <w:r>
          <w:rPr>
            <w:rFonts w:ascii="Arial" w:cs="Arial" w:eastAsia="Arial" w:hAnsi="Arial"/>
            <w:sz w:val="18"/>
            <w:szCs w:val="18"/>
            <w:color w:val="0000EE"/>
          </w:rPr>
          <w:t xml:space="preserve"> </w:t>
        </w:r>
      </w:hyperlink>
      <w:hyperlink r:id="rId48">
        <w:r>
          <w:rPr>
            <w:rFonts w:ascii="Arial" w:cs="Arial" w:eastAsia="Arial" w:hAnsi="Arial"/>
            <w:sz w:val="18"/>
            <w:szCs w:val="18"/>
            <w:u w:val="single" w:color="auto"/>
            <w:color w:val="0000EE"/>
          </w:rPr>
          <w:t xml:space="preserve">June 16, 2010 </w:t>
        </w:r>
      </w:hyperlink>
      <w:hyperlink r:id="rId47">
        <w:r>
          <w:rPr>
            <w:rFonts w:ascii="Arial" w:cs="Arial" w:eastAsia="Arial" w:hAnsi="Arial"/>
            <w:sz w:val="18"/>
            <w:szCs w:val="18"/>
            <w:color w:val="000000"/>
          </w:rPr>
          <w:t>(File No. 001-34785), pursuant to Section 12(b) of the Exchange Act of 1934, as amended by</w:t>
        </w:r>
      </w:hyperlink>
      <w:r>
        <w:rPr>
          <w:rFonts w:ascii="Arial" w:cs="Arial" w:eastAsia="Arial" w:hAnsi="Arial"/>
          <w:sz w:val="18"/>
          <w:szCs w:val="18"/>
          <w:color w:val="0000EE"/>
        </w:rPr>
        <w:t xml:space="preserve"> </w:t>
      </w:r>
      <w:hyperlink r:id="rId49">
        <w:r>
          <w:rPr>
            <w:rFonts w:ascii="Arial" w:cs="Arial" w:eastAsia="Arial" w:hAnsi="Arial"/>
            <w:sz w:val="18"/>
            <w:szCs w:val="18"/>
            <w:u w:val="single" w:color="auto"/>
            <w:color w:val="0000EE"/>
          </w:rPr>
          <w:t>Exhibit 4.22</w:t>
        </w:r>
        <w:r>
          <w:rPr>
            <w:rFonts w:ascii="Arial" w:cs="Arial" w:eastAsia="Arial" w:hAnsi="Arial"/>
            <w:sz w:val="18"/>
            <w:szCs w:val="18"/>
            <w:color w:val="0000EE"/>
          </w:rPr>
          <w:t xml:space="preserve">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our Annual Report on Form 10-K for the year ended December 31, 2022 filed with the SEC on</w:t>
      </w:r>
      <w:r>
        <w:rPr>
          <w:rFonts w:ascii="Arial" w:cs="Arial" w:eastAsia="Arial" w:hAnsi="Arial"/>
          <w:sz w:val="18"/>
          <w:szCs w:val="18"/>
          <w:color w:val="0000EE"/>
        </w:rPr>
        <w:t xml:space="preserve"> </w:t>
      </w:r>
      <w:hyperlink r:id="rId40">
        <w:r>
          <w:rPr>
            <w:rFonts w:ascii="Arial" w:cs="Arial" w:eastAsia="Arial" w:hAnsi="Arial"/>
            <w:sz w:val="18"/>
            <w:szCs w:val="18"/>
            <w:u w:val="single" w:color="auto"/>
            <w:color w:val="0000EE"/>
          </w:rPr>
          <w:t>April 17,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any</w:t>
      </w:r>
      <w:r>
        <w:rPr>
          <w:rFonts w:ascii="Arial" w:cs="Arial" w:eastAsia="Arial" w:hAnsi="Arial"/>
          <w:sz w:val="18"/>
          <w:szCs w:val="18"/>
          <w:color w:val="0000EE"/>
        </w:rPr>
        <w:t xml:space="preserve"> </w:t>
      </w:r>
      <w:r>
        <w:rPr>
          <w:rFonts w:ascii="Arial" w:cs="Arial" w:eastAsia="Arial" w:hAnsi="Arial"/>
          <w:sz w:val="18"/>
          <w:szCs w:val="18"/>
          <w:color w:val="000000"/>
        </w:rPr>
        <w:t>amendment or report filed for the purpose of updating such description;</w:t>
      </w:r>
    </w:p>
    <w:p>
      <w:pPr>
        <w:spacing w:after="0" w:line="186" w:lineRule="exact"/>
        <w:rPr>
          <w:rFonts w:ascii="Arial" w:cs="Arial" w:eastAsia="Arial" w:hAnsi="Arial"/>
          <w:sz w:val="18"/>
          <w:szCs w:val="18"/>
          <w:color w:val="0000EE"/>
        </w:rPr>
      </w:pPr>
    </w:p>
    <w:p>
      <w:pPr>
        <w:ind w:left="660" w:right="320" w:hanging="328"/>
        <w:spacing w:after="0" w:line="27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prior to the termination or completion of the offering of securities under this prospectus (including documents filed after the initial date of the registration statement of which this prospectus is a part and prior to the effectiveness of such registration statement) shall be deemed to be incorporated by reference in this prospectus and to be a part hereof from the date of filing such reports and other documents.</w:t>
      </w:r>
    </w:p>
    <w:p>
      <w:pPr>
        <w:spacing w:after="0" w:line="171" w:lineRule="exact"/>
        <w:rPr>
          <w:rFonts w:ascii="Arial" w:cs="Arial" w:eastAsia="Arial" w:hAnsi="Arial"/>
          <w:sz w:val="18"/>
          <w:szCs w:val="18"/>
          <w:color w:val="0000EE"/>
        </w:rPr>
      </w:pPr>
    </w:p>
    <w:p>
      <w:pPr>
        <w:ind w:right="40"/>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5" w:lineRule="exact"/>
        <w:rPr>
          <w:rFonts w:ascii="Arial" w:cs="Arial" w:eastAsia="Arial" w:hAnsi="Arial"/>
          <w:sz w:val="18"/>
          <w:szCs w:val="18"/>
          <w:color w:val="0000EE"/>
        </w:rPr>
      </w:pPr>
    </w:p>
    <w:p>
      <w:pPr>
        <w:ind w:right="180"/>
        <w:spacing w:after="0" w:line="224" w:lineRule="auto"/>
        <w:rPr>
          <w:sz w:val="20"/>
          <w:szCs w:val="20"/>
          <w:color w:val="auto"/>
        </w:rPr>
      </w:pPr>
      <w:r>
        <w:rPr>
          <w:rFonts w:ascii="Arial" w:cs="Arial" w:eastAsia="Arial" w:hAnsi="Arial"/>
          <w:sz w:val="17"/>
          <w:szCs w:val="17"/>
          <w:color w:val="auto"/>
        </w:rPr>
        <w:t>You may request a copy of these documents, which will be provided to you at no cost, by contacting XWELL, Inc., 254 West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Street, 11</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10001, Attention: Investor Relations. The Investor Relations Department can be reached via email at </w:t>
      </w:r>
      <w:r>
        <w:rPr>
          <w:rFonts w:ascii="Arial" w:cs="Arial" w:eastAsia="Arial" w:hAnsi="Arial"/>
          <w:sz w:val="17"/>
          <w:szCs w:val="17"/>
          <w:u w:val="single" w:color="auto"/>
          <w:color w:val="auto"/>
        </w:rPr>
        <w:t>ir@xwell.com</w:t>
      </w:r>
      <w:r>
        <w:rPr>
          <w:rFonts w:ascii="Arial" w:cs="Arial" w:eastAsia="Arial" w:hAnsi="Arial"/>
          <w:sz w:val="17"/>
          <w:szCs w:val="17"/>
          <w:color w:val="auto"/>
        </w:rPr>
        <w:t>.</w:t>
      </w:r>
    </w:p>
    <w:p>
      <w:pPr>
        <w:spacing w:after="0" w:line="200" w:lineRule="exact"/>
        <w:rPr>
          <w:rFonts w:ascii="Arial" w:cs="Arial" w:eastAsia="Arial" w:hAnsi="Arial"/>
          <w:sz w:val="18"/>
          <w:szCs w:val="18"/>
          <w:color w:val="0000EE"/>
        </w:rPr>
      </w:pPr>
    </w:p>
    <w:p>
      <w:pPr>
        <w:spacing w:after="0" w:line="218"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jc w:val="center"/>
        <w:spacing w:after="0"/>
        <w:rPr>
          <w:sz w:val="20"/>
          <w:szCs w:val="20"/>
          <w:color w:val="auto"/>
        </w:rPr>
      </w:pPr>
      <w:r>
        <w:rPr>
          <w:rFonts w:ascii="Arial" w:cs="Arial" w:eastAsia="Arial" w:hAnsi="Arial"/>
          <w:sz w:val="43"/>
          <w:szCs w:val="43"/>
          <w:b w:val="1"/>
          <w:bCs w:val="1"/>
          <w:color w:val="auto"/>
        </w:rPr>
        <w:t>XWELL, Inc.</w:t>
      </w:r>
    </w:p>
    <w:p>
      <w:pPr>
        <w:sectPr>
          <w:pgSz w:w="11900" w:h="16838" w:orient="portrait"/>
          <w:cols w:equalWidth="0" w:num="1">
            <w:col w:w="9019"/>
          </w:cols>
          <w:pgMar w:left="1440" w:top="879" w:right="1440"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$200,000,000</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table sets forth the Company’s estimates (other than the SEC registration fee) of the expenses in connection with the issuance and distribution of the securities being registered.</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8,578.06(1)</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FINRA fee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Printing fees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8"/>
        <w:spacing w:after="0" w:line="258" w:lineRule="auto"/>
        <w:tabs>
          <w:tab w:leader="none" w:pos="2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offset of registration fees previously paid with respect to a prior registration statement pursuant to Rule 457(p) under the Securities Act of 1933, as amended (see Exhibit 107 to this registration statement).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*Fees depend on number of issuances and amount of securities sold and accordingly cannot be estimated at this time.</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right="160"/>
        <w:spacing w:after="0" w:line="275" w:lineRule="auto"/>
        <w:rPr>
          <w:sz w:val="20"/>
          <w:szCs w:val="20"/>
          <w:color w:val="auto"/>
        </w:rPr>
      </w:pPr>
      <w:r>
        <w:rPr>
          <w:rFonts w:ascii="Arial" w:cs="Arial" w:eastAsia="Arial" w:hAnsi="Arial"/>
          <w:sz w:val="17"/>
          <w:szCs w:val="17"/>
          <w:color w:val="auto"/>
        </w:rPr>
        <w:t>Reference is also made to Section 102(b)(7) of the DGCL, which enables a corporation in its certificate of incorporation to eliminate or limit the personal liability of a director or officer for monetary damages for violations of a director’s fiduciary duty, except for liability (i) for any breach of the director’s or officer’s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or officer derived an improper personal benefit.</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9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40" w:type="dxa"/>
            <w:vAlign w:val="bottom"/>
          </w:tcPr>
          <w:p>
            <w:pPr>
              <w:spacing w:after="0"/>
              <w:rPr>
                <w:sz w:val="20"/>
                <w:szCs w:val="20"/>
                <w:color w:val="auto"/>
              </w:rPr>
            </w:pPr>
          </w:p>
        </w:tc>
        <w:tc>
          <w:tcPr>
            <w:tcW w:w="9980" w:type="dxa"/>
            <w:vAlign w:val="bottom"/>
            <w:gridSpan w:val="14"/>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 Exhibits.</w:t>
            </w:r>
          </w:p>
        </w:tc>
        <w:tc>
          <w:tcPr>
            <w:tcW w:w="1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1"/>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40" w:type="dxa"/>
            <w:vAlign w:val="bottom"/>
          </w:tcPr>
          <w:p>
            <w:pPr>
              <w:spacing w:after="0"/>
              <w:rPr>
                <w:sz w:val="20"/>
                <w:szCs w:val="20"/>
                <w:color w:val="auto"/>
              </w:rPr>
            </w:pPr>
          </w:p>
        </w:tc>
        <w:tc>
          <w:tcPr>
            <w:tcW w:w="9980" w:type="dxa"/>
            <w:vAlign w:val="bottom"/>
            <w:tcBorders>
              <w:bottom w:val="single" w:sz="8" w:color="auto"/>
            </w:tcBorders>
            <w:gridSpan w:val="14"/>
          </w:tcPr>
          <w:p>
            <w:pPr>
              <w:ind w:left="4540"/>
              <w:spacing w:after="0"/>
              <w:rPr>
                <w:sz w:val="20"/>
                <w:szCs w:val="20"/>
                <w:color w:val="auto"/>
              </w:rPr>
            </w:pPr>
            <w:r>
              <w:rPr>
                <w:rFonts w:ascii="Arial" w:cs="Arial" w:eastAsia="Arial" w:hAnsi="Arial"/>
                <w:sz w:val="18"/>
                <w:szCs w:val="18"/>
                <w:b w:val="1"/>
                <w:bCs w:val="1"/>
                <w:color w:val="auto"/>
              </w:rPr>
              <w:t>Description</w:t>
            </w:r>
          </w:p>
        </w:tc>
      </w:tr>
      <w:tr>
        <w:trPr>
          <w:trHeight w:val="446"/>
        </w:trPr>
        <w:tc>
          <w:tcPr>
            <w:tcW w:w="1120" w:type="dxa"/>
            <w:vAlign w:val="bottom"/>
          </w:tcPr>
          <w:p>
            <w:pPr>
              <w:ind w:left="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Arial" w:cs="Arial" w:eastAsia="Arial" w:hAnsi="Arial"/>
                <w:sz w:val="18"/>
                <w:szCs w:val="18"/>
                <w:color w:val="auto"/>
              </w:rPr>
              <w:t>Form of Underwriting Agreement</w:t>
            </w:r>
          </w:p>
        </w:tc>
      </w:tr>
      <w:tr>
        <w:trPr>
          <w:trHeight w:val="405"/>
        </w:trPr>
        <w:tc>
          <w:tcPr>
            <w:tcW w:w="1120" w:type="dxa"/>
            <w:vAlign w:val="bottom"/>
          </w:tcPr>
          <w:p>
            <w:pPr>
              <w:ind w:lef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9420" w:type="dxa"/>
            <w:vAlign w:val="bottom"/>
            <w:tcBorders>
              <w:bottom w:val="single" w:sz="8" w:color="0000EE"/>
            </w:tcBorders>
            <w:gridSpan w:val="6"/>
          </w:tcPr>
          <w:p>
            <w:pPr>
              <w:spacing w:after="0"/>
              <w:rPr>
                <w:rFonts w:ascii="Arial" w:cs="Arial" w:eastAsia="Arial" w:hAnsi="Arial"/>
                <w:sz w:val="18"/>
                <w:szCs w:val="18"/>
                <w:color w:val="0000EE"/>
                <w:w w:val="92"/>
              </w:rPr>
            </w:pPr>
            <w:hyperlink r:id="rId53">
              <w:r>
                <w:rPr>
                  <w:rFonts w:ascii="Arial" w:cs="Arial" w:eastAsia="Arial" w:hAnsi="Arial"/>
                  <w:sz w:val="18"/>
                  <w:szCs w:val="18"/>
                  <w:color w:val="0000EE"/>
                  <w:w w:val="92"/>
                </w:rPr>
                <w:t>Agreement and Plan of Merger by and among FORM Holdings Corp., FHXMS, LLC, XpresSpa Holdings, LLC, the unitholders of</w:t>
              </w:r>
            </w:hyperlink>
          </w:p>
        </w:tc>
        <w:tc>
          <w:tcPr>
            <w:tcW w:w="560" w:type="dxa"/>
            <w:vAlign w:val="bottom"/>
            <w:gridSpan w:val="8"/>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XpresSpa who are parties thereto and Mistral XH Representative, LLC, as representative of the unitholders, dated as of August 8, 2016</w:t>
              </w:r>
            </w:hyperlink>
          </w:p>
        </w:tc>
        <w:tc>
          <w:tcPr>
            <w:tcW w:w="26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(incorporated by reference from Exhibit 2.1 to our Current Report on Form 8-K filed with the SEC on August 8, 2016)</w:t>
              </w:r>
            </w:hyperlink>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120" w:type="dxa"/>
            <w:vAlign w:val="bottom"/>
          </w:tcPr>
          <w:p>
            <w:pPr>
              <w:ind w:left="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9920" w:type="dxa"/>
            <w:vAlign w:val="bottom"/>
            <w:tcBorders>
              <w:bottom w:val="single" w:sz="8" w:color="0000EE"/>
            </w:tcBorders>
            <w:gridSpan w:val="12"/>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Amendment No. 1 to Agreement and Plan of Merger by and among FORM Holdings Corp., FHXMS, LLC, XpresSpa Holdings, LLC and</w:t>
              </w:r>
            </w:hyperlink>
          </w:p>
        </w:tc>
        <w:tc>
          <w:tcPr>
            <w:tcW w:w="6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Mistral XH Representative, LLC, as representative of the unitholders, dated September 8, 2016 (incorporated by reference from Exhibit</w:t>
              </w:r>
            </w:hyperlink>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2.</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our Current Report on Form 8-K filed with the SEC on September 9, 2016)</w:t>
              </w:r>
            </w:hyperlink>
          </w:p>
        </w:tc>
        <w:tc>
          <w:tcPr>
            <w:tcW w:w="3900" w:type="dxa"/>
            <w:vAlign w:val="bottom"/>
            <w:tcBorders>
              <w:top w:val="single" w:sz="8" w:color="0000EE"/>
            </w:tcBorders>
            <w:gridSpan w:val="5"/>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425"/>
        </w:trPr>
        <w:tc>
          <w:tcPr>
            <w:tcW w:w="1120" w:type="dxa"/>
            <w:vAlign w:val="bottom"/>
          </w:tcPr>
          <w:p>
            <w:pPr>
              <w:ind w:left="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9920" w:type="dxa"/>
            <w:vAlign w:val="bottom"/>
            <w:tcBorders>
              <w:bottom w:val="single" w:sz="8" w:color="0000EE"/>
            </w:tcBorders>
            <w:gridSpan w:val="12"/>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Amendment No. 2 to Agreement and Plan of Merger by and among FORM Holdings Corp., FHXMS, LLC, XpresSpa Holdings, LLC and</w:t>
              </w:r>
            </w:hyperlink>
          </w:p>
        </w:tc>
        <w:tc>
          <w:tcPr>
            <w:tcW w:w="6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Mistral XH Representative, LLC, as representative of the unitholders, dated October 25, 2016 (incorporated by reference from Exhibit 2.1</w:t>
              </w:r>
            </w:hyperlink>
          </w:p>
        </w:tc>
        <w:tc>
          <w:tcPr>
            <w:tcW w:w="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to our Current Report on Form 8-K filed with the SEC on October 25, 2016)</w:t>
              </w:r>
            </w:hyperlink>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26"/>
        </w:trPr>
        <w:tc>
          <w:tcPr>
            <w:tcW w:w="112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800" w:type="dxa"/>
            <w:vAlign w:val="bottom"/>
            <w:tcBorders>
              <w:bottom w:val="single" w:sz="8" w:color="0000EE"/>
            </w:tcBorders>
            <w:gridSpan w:val="9"/>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Certificate of Elimination of Series A Convertible Preferred Stock, Series D Convertible Preferred Stock, Series E Convertible Preferred</w:t>
              </w:r>
            </w:hyperlink>
          </w:p>
        </w:tc>
        <w:tc>
          <w:tcPr>
            <w:tcW w:w="18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Stock and Series F Convertible Preferred Stock, as filed with Secretary of State of Delaware, effective on October 24, 2022 (incorporated</w:t>
              </w:r>
            </w:hyperlink>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by reference to Exhibit 3.1 to our Current Report on Form 8-K filed with the SEC on October 24, 2022).</w:t>
              </w:r>
            </w:hyperlink>
          </w:p>
        </w:tc>
        <w:tc>
          <w:tcPr>
            <w:tcW w:w="10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740" w:type="dxa"/>
            <w:vAlign w:val="bottom"/>
            <w:gridSpan w:val="2"/>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39"/>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Amended and Restated Certificate of Incorporation of XWELL, Inc., effective on October 25, 2022 (incorporated by reference to Exhibit</w:t>
              </w:r>
            </w:hyperlink>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3.</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our Current Report on Form 8-K filed with the SEC on October 24, 2022.</w:t>
              </w:r>
            </w:hyperlink>
          </w:p>
        </w:tc>
        <w:tc>
          <w:tcPr>
            <w:tcW w:w="12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ind w:left="20"/>
              <w:spacing w:after="0"/>
              <w:rPr>
                <w:sz w:val="20"/>
                <w:szCs w:val="20"/>
                <w:color w:val="auto"/>
              </w:rPr>
            </w:pPr>
            <w:r>
              <w:rPr>
                <w:rFonts w:ascii="Arial" w:cs="Arial" w:eastAsia="Arial" w:hAnsi="Arial"/>
                <w:sz w:val="18"/>
                <w:szCs w:val="18"/>
                <w:color w:val="auto"/>
              </w:rPr>
              <w:t>3.3</w:t>
            </w:r>
          </w:p>
        </w:tc>
        <w:tc>
          <w:tcPr>
            <w:tcW w:w="9840" w:type="dxa"/>
            <w:vAlign w:val="bottom"/>
            <w:tcBorders>
              <w:bottom w:val="single" w:sz="8" w:color="0000EE"/>
            </w:tcBorders>
            <w:gridSpan w:val="27"/>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Fourth Amended and Restated Bylaws of the Company, effective as of October 25, 2022 (incorporated by reference to Exhibit 3.3 to our</w:t>
              </w:r>
            </w:hyperlink>
          </w:p>
        </w:tc>
        <w:tc>
          <w:tcPr>
            <w:tcW w:w="14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Current Report on Form 8-K filed with the SEC on October 24, 2022).</w:t>
              </w:r>
            </w:hyperlink>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240" w:type="dxa"/>
            <w:vAlign w:val="bottom"/>
          </w:tcPr>
          <w:p>
            <w:pPr>
              <w:spacing w:after="0"/>
              <w:rPr>
                <w:sz w:val="20"/>
                <w:szCs w:val="20"/>
                <w:color w:val="auto"/>
              </w:rPr>
            </w:pPr>
            <w:r>
              <w:rPr>
                <w:rFonts w:ascii="Arial" w:cs="Arial" w:eastAsia="Arial" w:hAnsi="Arial"/>
                <w:sz w:val="18"/>
                <w:szCs w:val="18"/>
                <w:color w:val="auto"/>
              </w:rPr>
              <w:t>4.1</w:t>
            </w:r>
          </w:p>
        </w:tc>
        <w:tc>
          <w:tcPr>
            <w:tcW w:w="9820" w:type="dxa"/>
            <w:vAlign w:val="bottom"/>
            <w:tcBorders>
              <w:bottom w:val="single" w:sz="8" w:color="0000EE"/>
            </w:tcBorders>
            <w:gridSpan w:val="26"/>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Section 382 Rights Agreement, dated as of March 18, 2016, between Vringo, Inc. and American Stock Transfer &amp; Trust Company, LLC,</w:t>
              </w:r>
            </w:hyperlink>
          </w:p>
        </w:tc>
        <w:tc>
          <w:tcPr>
            <w:tcW w:w="16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w w:val="94"/>
              </w:rPr>
            </w:pPr>
            <w:hyperlink r:id="rId60">
              <w:r>
                <w:rPr>
                  <w:rFonts w:ascii="Arial" w:cs="Arial" w:eastAsia="Arial" w:hAnsi="Arial"/>
                  <w:sz w:val="18"/>
                  <w:szCs w:val="18"/>
                  <w:color w:val="0000EE"/>
                  <w:w w:val="94"/>
                </w:rPr>
                <w:t>which includes the Form of Certificate of Designation of Series C Junior Participating Preferred Stock as Exhibit A, the Form of Right</w:t>
              </w:r>
            </w:hyperlink>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92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Certificate as Exhibit B and the Summary of Rights to Purchase Preferred Stock as Exhibit C (incorporated by reference from Exhibit 4.1</w:t>
              </w:r>
            </w:hyperlink>
          </w:p>
        </w:tc>
        <w:tc>
          <w:tcPr>
            <w:tcW w:w="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54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to our Current Report on Form 8-K filed with the SEC on March 21, 2016)</w:t>
              </w:r>
            </w:hyperlink>
          </w:p>
        </w:tc>
        <w:tc>
          <w:tcPr>
            <w:tcW w:w="4580" w:type="dxa"/>
            <w:vAlign w:val="bottom"/>
            <w:gridSpan w:val="16"/>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4.2</w:t>
            </w:r>
          </w:p>
        </w:tc>
        <w:tc>
          <w:tcPr>
            <w:tcW w:w="9980" w:type="dxa"/>
            <w:vAlign w:val="bottom"/>
            <w:gridSpan w:val="32"/>
          </w:tcPr>
          <w:p>
            <w:pPr>
              <w:spacing w:after="0"/>
              <w:rPr>
                <w:rFonts w:ascii="Arial" w:cs="Arial" w:eastAsia="Arial" w:hAnsi="Arial"/>
                <w:sz w:val="18"/>
                <w:szCs w:val="18"/>
                <w:color w:val="0000EE"/>
                <w:w w:val="95"/>
              </w:rPr>
            </w:pPr>
            <w:hyperlink r:id="rId61">
              <w:r>
                <w:rPr>
                  <w:rFonts w:ascii="Arial" w:cs="Arial" w:eastAsia="Arial" w:hAnsi="Arial"/>
                  <w:sz w:val="18"/>
                  <w:szCs w:val="18"/>
                  <w:color w:val="0000EE"/>
                  <w:w w:val="95"/>
                </w:rPr>
                <w:t>Amendment to Section 382 Rights Agreement, dated March 18, 2019, between the Company and American Stock Transfer &amp; Trust</w:t>
              </w:r>
            </w:hyperlink>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86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Company, LLC (incorporated by reference from Exhibit 10.1 to our Current Report on Form 8-K filed with the SEC on March 22, 2019)</w:t>
              </w:r>
            </w:hyperlink>
          </w:p>
        </w:tc>
        <w:tc>
          <w:tcPr>
            <w:tcW w:w="120" w:type="dxa"/>
            <w:vAlign w:val="bottom"/>
            <w:gridSpan w:val="4"/>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4.3</w:t>
            </w:r>
          </w:p>
        </w:tc>
        <w:tc>
          <w:tcPr>
            <w:tcW w:w="9360" w:type="dxa"/>
            <w:vAlign w:val="bottom"/>
            <w:tcBorders>
              <w:bottom w:val="single" w:sz="8" w:color="0000EE"/>
            </w:tcBorders>
            <w:gridSpan w:val="18"/>
          </w:tcPr>
          <w:p>
            <w:pPr>
              <w:spacing w:after="0"/>
              <w:rPr>
                <w:rFonts w:ascii="Arial" w:cs="Arial" w:eastAsia="Arial" w:hAnsi="Arial"/>
                <w:sz w:val="18"/>
                <w:szCs w:val="18"/>
                <w:color w:val="0000EE"/>
                <w:w w:val="91"/>
              </w:rPr>
            </w:pPr>
            <w:hyperlink r:id="rId62">
              <w:r>
                <w:rPr>
                  <w:rFonts w:ascii="Arial" w:cs="Arial" w:eastAsia="Arial" w:hAnsi="Arial"/>
                  <w:sz w:val="18"/>
                  <w:szCs w:val="18"/>
                  <w:color w:val="0000EE"/>
                  <w:w w:val="91"/>
                </w:rPr>
                <w:t>Form of Warrant to Purchase Shares of Common Stock of FORM Holdings Corp. (incorporated by reference from Annex F to our</w:t>
              </w:r>
            </w:hyperlink>
          </w:p>
        </w:tc>
        <w:tc>
          <w:tcPr>
            <w:tcW w:w="620" w:type="dxa"/>
            <w:vAlign w:val="bottom"/>
            <w:gridSpan w:val="1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Registration Statement on Form S-4 filed with the SEC on October 26, 2016)</w:t>
              </w:r>
            </w:hyperlink>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4.4</w:t>
            </w:r>
          </w:p>
        </w:tc>
        <w:tc>
          <w:tcPr>
            <w:tcW w:w="9900" w:type="dxa"/>
            <w:vAlign w:val="bottom"/>
            <w:tcBorders>
              <w:bottom w:val="single" w:sz="8" w:color="0000EE"/>
            </w:tcBorders>
            <w:gridSpan w:val="30"/>
          </w:tcPr>
          <w:p>
            <w:pPr>
              <w:spacing w:after="0"/>
              <w:rPr>
                <w:rFonts w:ascii="Arial" w:cs="Arial" w:eastAsia="Arial" w:hAnsi="Arial"/>
                <w:sz w:val="18"/>
                <w:szCs w:val="18"/>
                <w:color w:val="0000EE"/>
                <w:w w:val="92"/>
              </w:rPr>
            </w:pPr>
            <w:hyperlink r:id="rId63">
              <w:r>
                <w:rPr>
                  <w:rFonts w:ascii="Arial" w:cs="Arial" w:eastAsia="Arial" w:hAnsi="Arial"/>
                  <w:sz w:val="18"/>
                  <w:szCs w:val="18"/>
                  <w:color w:val="0000EE"/>
                  <w:w w:val="92"/>
                </w:rPr>
                <w:t>Form of Secured Convertible Note (incorporated by reference from Exhibit 4.1 to our Quarterly Report on Form 10-Q filed with the SEC</w:t>
              </w:r>
            </w:hyperlink>
          </w:p>
        </w:tc>
        <w:tc>
          <w:tcPr>
            <w:tcW w:w="8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3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on May 15, 2018)</w:t>
              </w:r>
            </w:hyperlink>
          </w:p>
        </w:tc>
        <w:tc>
          <w:tcPr>
            <w:tcW w:w="8680" w:type="dxa"/>
            <w:vAlign w:val="bottom"/>
            <w:gridSpan w:val="31"/>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4.5</w:t>
            </w:r>
          </w:p>
        </w:tc>
        <w:tc>
          <w:tcPr>
            <w:tcW w:w="9780" w:type="dxa"/>
            <w:vAlign w:val="bottom"/>
            <w:tcBorders>
              <w:bottom w:val="single" w:sz="8" w:color="0000EE"/>
            </w:tcBorders>
            <w:gridSpan w:val="24"/>
          </w:tcPr>
          <w:p>
            <w:pPr>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Amendment to Secured Convertible Note (incorporated by reference from Exhibit 4.1 to our Current Report on Form 8-K filed with the</w:t>
              </w:r>
            </w:hyperlink>
          </w:p>
        </w:tc>
        <w:tc>
          <w:tcPr>
            <w:tcW w:w="200" w:type="dxa"/>
            <w:vAlign w:val="bottom"/>
            <w:gridSpan w:val="8"/>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SEC on June 27, 2019)</w:t>
              </w:r>
            </w:hyperlink>
          </w:p>
        </w:tc>
      </w:tr>
      <w:tr>
        <w:trPr>
          <w:trHeight w:val="20"/>
        </w:trPr>
        <w:tc>
          <w:tcPr>
            <w:tcW w:w="12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4.6</w:t>
            </w:r>
          </w:p>
        </w:tc>
        <w:tc>
          <w:tcPr>
            <w:tcW w:w="9860" w:type="dxa"/>
            <w:vAlign w:val="bottom"/>
            <w:tcBorders>
              <w:bottom w:val="single" w:sz="8" w:color="0000EE"/>
            </w:tcBorders>
            <w:gridSpan w:val="28"/>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Second Amended and Restated Convertible Promissory Note, dated as of July 8, 2019 (incorporated by reference from Exhibit 4.3 to our</w:t>
              </w:r>
            </w:hyperlink>
          </w:p>
        </w:tc>
        <w:tc>
          <w:tcPr>
            <w:tcW w:w="12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Current Report on Form 8-K filed with the SEC on July 8, 2019)</w:t>
              </w:r>
            </w:hyperlink>
          </w:p>
        </w:tc>
      </w:tr>
      <w:tr>
        <w:trPr>
          <w:trHeight w:val="20"/>
        </w:trPr>
        <w:tc>
          <w:tcPr>
            <w:tcW w:w="12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4.7</w:t>
            </w:r>
          </w:p>
        </w:tc>
        <w:tc>
          <w:tcPr>
            <w:tcW w:w="9980" w:type="dxa"/>
            <w:vAlign w:val="bottom"/>
            <w:tcBorders>
              <w:bottom w:val="single" w:sz="8" w:color="0000EE"/>
            </w:tcBorders>
            <w:gridSpan w:val="32"/>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Third Amended and Restated Convertible Promissory Note, dated as of January 9, 2020 (incorporated by reference from Exhibit 4.1 to our</w:t>
              </w:r>
            </w:hyperlink>
          </w:p>
        </w:tc>
      </w:tr>
      <w:tr>
        <w:trPr>
          <w:trHeight w:val="196"/>
        </w:trPr>
        <w:tc>
          <w:tcPr>
            <w:tcW w:w="1240" w:type="dxa"/>
            <w:vAlign w:val="bottom"/>
          </w:tcPr>
          <w:p>
            <w:pPr>
              <w:spacing w:after="0"/>
              <w:rPr>
                <w:sz w:val="17"/>
                <w:szCs w:val="17"/>
                <w:color w:val="auto"/>
              </w:rPr>
            </w:pPr>
          </w:p>
        </w:tc>
        <w:tc>
          <w:tcPr>
            <w:tcW w:w="50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Current Report on Form 8-K filed with the SEC on January 14, 2020)</w:t>
              </w:r>
            </w:hyperlink>
          </w:p>
        </w:tc>
        <w:tc>
          <w:tcPr>
            <w:tcW w:w="4900" w:type="dxa"/>
            <w:vAlign w:val="bottom"/>
            <w:gridSpan w:val="17"/>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4.8</w:t>
            </w:r>
          </w:p>
        </w:tc>
        <w:tc>
          <w:tcPr>
            <w:tcW w:w="9980" w:type="dxa"/>
            <w:vAlign w:val="bottom"/>
            <w:tcBorders>
              <w:bottom w:val="single" w:sz="8" w:color="0000EE"/>
            </w:tcBorders>
            <w:gridSpan w:val="32"/>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Fourth Amended and Restated Convertible Promissory Note, dated as of March 6, 2020 (incorporated by reference from Exhibit 4.1 to our</w:t>
              </w:r>
            </w:hyperlink>
          </w:p>
        </w:tc>
      </w:tr>
      <w:tr>
        <w:trPr>
          <w:trHeight w:val="196"/>
        </w:trPr>
        <w:tc>
          <w:tcPr>
            <w:tcW w:w="1240" w:type="dxa"/>
            <w:vAlign w:val="bottom"/>
          </w:tcPr>
          <w:p>
            <w:pPr>
              <w:spacing w:after="0"/>
              <w:rPr>
                <w:sz w:val="17"/>
                <w:szCs w:val="17"/>
                <w:color w:val="auto"/>
              </w:rPr>
            </w:pPr>
          </w:p>
        </w:tc>
        <w:tc>
          <w:tcPr>
            <w:tcW w:w="48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Current Report on Form 8-K filed with the SEC on March 6, 2020)</w:t>
              </w:r>
            </w:hyperlink>
          </w:p>
        </w:tc>
        <w:tc>
          <w:tcPr>
            <w:tcW w:w="5140" w:type="dxa"/>
            <w:vAlign w:val="bottom"/>
            <w:gridSpan w:val="20"/>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4.9</w:t>
            </w:r>
          </w:p>
        </w:tc>
        <w:tc>
          <w:tcPr>
            <w:tcW w:w="9980" w:type="dxa"/>
            <w:vAlign w:val="bottom"/>
            <w:tcBorders>
              <w:bottom w:val="single" w:sz="8" w:color="0000EE"/>
            </w:tcBorders>
            <w:gridSpan w:val="32"/>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Unsecured Convertible Note due May 31, 2022 (incorporated by reference to Exhibit 4.1 to our Current Report on Form 8-K filed with the</w:t>
              </w:r>
            </w:hyperlink>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SEC on July 8, 2019)</w:t>
              </w:r>
            </w:hyperlink>
          </w:p>
        </w:tc>
      </w:tr>
      <w:tr>
        <w:trPr>
          <w:trHeight w:val="20"/>
        </w:trPr>
        <w:tc>
          <w:tcPr>
            <w:tcW w:w="12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4.10</w:t>
            </w:r>
          </w:p>
        </w:tc>
        <w:tc>
          <w:tcPr>
            <w:tcW w:w="9840" w:type="dxa"/>
            <w:vAlign w:val="bottom"/>
            <w:tcBorders>
              <w:bottom w:val="single" w:sz="8" w:color="0000EE"/>
            </w:tcBorders>
            <w:gridSpan w:val="27"/>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Warrant to Purchase Common Stock in favor of Calm.com, Inc., dated as of July 8, 2019 (incorporated by reference to Exhibit 4.2 to our</w:t>
              </w:r>
            </w:hyperlink>
          </w:p>
        </w:tc>
        <w:tc>
          <w:tcPr>
            <w:tcW w:w="14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Current Report on Form 8-K filed with the SEC on July 8, 2019)</w:t>
              </w:r>
            </w:hyperlink>
          </w:p>
        </w:tc>
      </w:tr>
      <w:tr>
        <w:trPr>
          <w:trHeight w:val="20"/>
        </w:trPr>
        <w:tc>
          <w:tcPr>
            <w:tcW w:w="124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4.11</w:t>
            </w:r>
          </w:p>
        </w:tc>
        <w:tc>
          <w:tcPr>
            <w:tcW w:w="9980" w:type="dxa"/>
            <w:vAlign w:val="bottom"/>
            <w:gridSpan w:val="32"/>
          </w:tcPr>
          <w:p>
            <w:pPr>
              <w:spacing w:after="0"/>
              <w:rPr>
                <w:rFonts w:ascii="Arial" w:cs="Arial" w:eastAsia="Arial" w:hAnsi="Arial"/>
                <w:sz w:val="18"/>
                <w:szCs w:val="18"/>
                <w:color w:val="0000EE"/>
                <w:w w:val="95"/>
              </w:rPr>
            </w:pPr>
            <w:hyperlink r:id="rId70">
              <w:r>
                <w:rPr>
                  <w:rFonts w:ascii="Arial" w:cs="Arial" w:eastAsia="Arial" w:hAnsi="Arial"/>
                  <w:sz w:val="18"/>
                  <w:szCs w:val="18"/>
                  <w:color w:val="0000EE"/>
                  <w:w w:val="95"/>
                </w:rPr>
                <w:t>Form of Pre-Funded Warrant to Purchase Common Stock, dated March 19, 2020 (incorporated by reference from Exhibit 4.1 to our</w:t>
              </w:r>
            </w:hyperlink>
          </w:p>
        </w:tc>
      </w:tr>
      <w:tr>
        <w:trPr>
          <w:trHeight w:val="196"/>
        </w:trPr>
        <w:tc>
          <w:tcPr>
            <w:tcW w:w="1240" w:type="dxa"/>
            <w:vAlign w:val="bottom"/>
          </w:tcPr>
          <w:p>
            <w:pPr>
              <w:spacing w:after="0"/>
              <w:rPr>
                <w:sz w:val="17"/>
                <w:szCs w:val="17"/>
                <w:color w:val="auto"/>
              </w:rPr>
            </w:pPr>
          </w:p>
        </w:tc>
        <w:tc>
          <w:tcPr>
            <w:tcW w:w="9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Current Report on Form 8-K filed with the SEC on March 19, 2020)</w:t>
              </w:r>
            </w:hyperlink>
          </w:p>
        </w:tc>
        <w:tc>
          <w:tcPr>
            <w:tcW w:w="520" w:type="dxa"/>
            <w:vAlign w:val="bottom"/>
            <w:gridSpan w:val="1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4.12</w:t>
            </w:r>
          </w:p>
        </w:tc>
        <w:tc>
          <w:tcPr>
            <w:tcW w:w="9980" w:type="dxa"/>
            <w:vAlign w:val="bottom"/>
            <w:gridSpan w:val="32"/>
          </w:tcPr>
          <w:p>
            <w:pPr>
              <w:spacing w:after="0"/>
              <w:rPr>
                <w:rFonts w:ascii="Arial" w:cs="Arial" w:eastAsia="Arial" w:hAnsi="Arial"/>
                <w:sz w:val="18"/>
                <w:szCs w:val="18"/>
                <w:color w:val="0000EE"/>
                <w:w w:val="95"/>
              </w:rPr>
            </w:pPr>
            <w:hyperlink r:id="rId71">
              <w:r>
                <w:rPr>
                  <w:rFonts w:ascii="Arial" w:cs="Arial" w:eastAsia="Arial" w:hAnsi="Arial"/>
                  <w:sz w:val="18"/>
                  <w:szCs w:val="18"/>
                  <w:color w:val="0000EE"/>
                  <w:w w:val="95"/>
                </w:rPr>
                <w:t>Form of Pre-Funded Warrant to Purchase Common Stock, dated March 25, 2020 (incorporated by reference from Exhibit 4.1 to our</w:t>
              </w:r>
            </w:hyperlink>
          </w:p>
        </w:tc>
      </w:tr>
      <w:tr>
        <w:trPr>
          <w:trHeight w:val="196"/>
        </w:trPr>
        <w:tc>
          <w:tcPr>
            <w:tcW w:w="1240" w:type="dxa"/>
            <w:vAlign w:val="bottom"/>
          </w:tcPr>
          <w:p>
            <w:pPr>
              <w:spacing w:after="0"/>
              <w:rPr>
                <w:sz w:val="17"/>
                <w:szCs w:val="17"/>
                <w:color w:val="auto"/>
              </w:rPr>
            </w:pPr>
          </w:p>
        </w:tc>
        <w:tc>
          <w:tcPr>
            <w:tcW w:w="9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Current Report on Form 8-K filed with the SEC on March 25, 2020)</w:t>
              </w:r>
            </w:hyperlink>
          </w:p>
        </w:tc>
        <w:tc>
          <w:tcPr>
            <w:tcW w:w="520" w:type="dxa"/>
            <w:vAlign w:val="bottom"/>
            <w:gridSpan w:val="1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4.13</w:t>
            </w:r>
          </w:p>
        </w:tc>
        <w:tc>
          <w:tcPr>
            <w:tcW w:w="9980" w:type="dxa"/>
            <w:vAlign w:val="bottom"/>
            <w:gridSpan w:val="32"/>
          </w:tcPr>
          <w:p>
            <w:pPr>
              <w:spacing w:after="0"/>
              <w:rPr>
                <w:rFonts w:ascii="Arial" w:cs="Arial" w:eastAsia="Arial" w:hAnsi="Arial"/>
                <w:sz w:val="18"/>
                <w:szCs w:val="18"/>
                <w:color w:val="0000EE"/>
                <w:w w:val="95"/>
              </w:rPr>
            </w:pPr>
            <w:hyperlink r:id="rId72">
              <w:r>
                <w:rPr>
                  <w:rFonts w:ascii="Arial" w:cs="Arial" w:eastAsia="Arial" w:hAnsi="Arial"/>
                  <w:sz w:val="18"/>
                  <w:szCs w:val="18"/>
                  <w:color w:val="0000EE"/>
                  <w:w w:val="95"/>
                </w:rPr>
                <w:t>Form of Pre-Funded Warrant to Purchase Common Stock, dated March 27, 2020 (incorporated by reference from Exhibit 4.1 to our</w:t>
              </w:r>
            </w:hyperlink>
          </w:p>
        </w:tc>
      </w:tr>
      <w:tr>
        <w:trPr>
          <w:trHeight w:val="196"/>
        </w:trPr>
        <w:tc>
          <w:tcPr>
            <w:tcW w:w="1240" w:type="dxa"/>
            <w:vAlign w:val="bottom"/>
          </w:tcPr>
          <w:p>
            <w:pPr>
              <w:spacing w:after="0"/>
              <w:rPr>
                <w:sz w:val="17"/>
                <w:szCs w:val="17"/>
                <w:color w:val="auto"/>
              </w:rPr>
            </w:pPr>
          </w:p>
        </w:tc>
        <w:tc>
          <w:tcPr>
            <w:tcW w:w="9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Current Report on Form 8-K filed with the SEC on March 27, 2020)</w:t>
              </w:r>
            </w:hyperlink>
          </w:p>
        </w:tc>
        <w:tc>
          <w:tcPr>
            <w:tcW w:w="520" w:type="dxa"/>
            <w:vAlign w:val="bottom"/>
            <w:gridSpan w:val="1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4.14</w:t>
            </w:r>
          </w:p>
        </w:tc>
        <w:tc>
          <w:tcPr>
            <w:tcW w:w="9880" w:type="dxa"/>
            <w:vAlign w:val="bottom"/>
            <w:tcBorders>
              <w:bottom w:val="single" w:sz="8" w:color="0000EE"/>
            </w:tcBorders>
            <w:gridSpan w:val="29"/>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Form of Pre-Funded Warrant to Purchase Common Stock, dated April 6, 2020 (incorporated by reference from Exhibit 4.1 to our Current</w:t>
              </w:r>
            </w:hyperlink>
          </w:p>
        </w:tc>
        <w:tc>
          <w:tcPr>
            <w:tcW w:w="10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Report on Form 8-K filed with the SEC on April 7, 2020)</w:t>
              </w:r>
            </w:hyperlink>
          </w:p>
        </w:tc>
      </w:tr>
      <w:tr>
        <w:trPr>
          <w:trHeight w:val="20"/>
        </w:trPr>
        <w:tc>
          <w:tcPr>
            <w:tcW w:w="124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4.15</w:t>
            </w:r>
          </w:p>
        </w:tc>
        <w:tc>
          <w:tcPr>
            <w:tcW w:w="9900" w:type="dxa"/>
            <w:vAlign w:val="bottom"/>
            <w:tcBorders>
              <w:bottom w:val="single" w:sz="8" w:color="0000EE"/>
            </w:tcBorders>
            <w:gridSpan w:val="30"/>
          </w:tcPr>
          <w:p>
            <w:pPr>
              <w:spacing w:after="0"/>
              <w:rPr>
                <w:rFonts w:ascii="Arial" w:cs="Arial" w:eastAsia="Arial" w:hAnsi="Arial"/>
                <w:sz w:val="18"/>
                <w:szCs w:val="18"/>
                <w:color w:val="0000EE"/>
                <w:w w:val="92"/>
              </w:rPr>
            </w:pPr>
            <w:hyperlink r:id="rId74">
              <w:r>
                <w:rPr>
                  <w:rFonts w:ascii="Arial" w:cs="Arial" w:eastAsia="Arial" w:hAnsi="Arial"/>
                  <w:sz w:val="18"/>
                  <w:szCs w:val="18"/>
                  <w:color w:val="0000EE"/>
                  <w:w w:val="92"/>
                </w:rPr>
                <w:t>Description of the Registrant’s Securities (incorporated by reference from Exhibit 4.22 to our Annual Report on Form 10-K filed with the</w:t>
              </w:r>
            </w:hyperlink>
          </w:p>
        </w:tc>
        <w:tc>
          <w:tcPr>
            <w:tcW w:w="8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SEC on April 20, 2020)</w:t>
              </w:r>
            </w:hyperlink>
          </w:p>
        </w:tc>
      </w:tr>
      <w:tr>
        <w:trPr>
          <w:trHeight w:val="20"/>
        </w:trPr>
        <w:tc>
          <w:tcPr>
            <w:tcW w:w="124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4.16</w:t>
            </w:r>
          </w:p>
        </w:tc>
        <w:tc>
          <w:tcPr>
            <w:tcW w:w="9920" w:type="dxa"/>
            <w:vAlign w:val="bottom"/>
            <w:tcBorders>
              <w:bottom w:val="single" w:sz="8" w:color="0000EE"/>
            </w:tcBorders>
            <w:gridSpan w:val="31"/>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Amended and Restated Calm Note, dated as of April 17, 2020 (incorporated by reference from Exhibit 4.1 to our Current Report on Form</w:t>
              </w:r>
            </w:hyperlink>
          </w:p>
        </w:tc>
        <w:tc>
          <w:tcPr>
            <w:tcW w:w="6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8-K filed with the SEC on April 17, 2020).</w:t>
              </w:r>
            </w:hyperlink>
          </w:p>
        </w:tc>
      </w:tr>
      <w:tr>
        <w:trPr>
          <w:trHeight w:val="20"/>
        </w:trPr>
        <w:tc>
          <w:tcPr>
            <w:tcW w:w="1240" w:type="dxa"/>
            <w:vAlign w:val="bottom"/>
          </w:tcPr>
          <w:p>
            <w:pPr>
              <w:spacing w:after="0" w:line="20" w:lineRule="exact"/>
              <w:rPr>
                <w:sz w:val="1"/>
                <w:szCs w:val="1"/>
                <w:color w:val="auto"/>
              </w:rPr>
            </w:pPr>
          </w:p>
        </w:tc>
        <w:tc>
          <w:tcPr>
            <w:tcW w:w="3080" w:type="dxa"/>
            <w:vAlign w:val="bottom"/>
            <w:tcBorders>
              <w:right w:val="single" w:sz="8" w:color="0000EE"/>
            </w:tcBorders>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4.17</w:t>
            </w:r>
          </w:p>
        </w:tc>
        <w:tc>
          <w:tcPr>
            <w:tcW w:w="9920" w:type="dxa"/>
            <w:vAlign w:val="bottom"/>
            <w:tcBorders>
              <w:bottom w:val="single" w:sz="8" w:color="0000EE"/>
            </w:tcBorders>
            <w:gridSpan w:val="31"/>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Amended and Restated Calm Note, dated as of April 22, 2020 (incorporated by reference from Exhibit 4.1 to our Current Report on Form</w:t>
              </w:r>
            </w:hyperlink>
          </w:p>
        </w:tc>
        <w:tc>
          <w:tcPr>
            <w:tcW w:w="6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0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76">
              <w:r>
                <w:rPr>
                  <w:rFonts w:ascii="Arial" w:cs="Arial" w:eastAsia="Arial" w:hAnsi="Arial"/>
                  <w:sz w:val="18"/>
                  <w:szCs w:val="18"/>
                  <w:color w:val="0000EE"/>
                  <w:w w:val="94"/>
                </w:rPr>
                <w:t>8-K filed with the SEC on April 24, 2020)</w:t>
              </w:r>
            </w:hyperlink>
          </w:p>
        </w:tc>
        <w:tc>
          <w:tcPr>
            <w:tcW w:w="6900" w:type="dxa"/>
            <w:vAlign w:val="bottom"/>
            <w:gridSpan w:val="27"/>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4.18</w:t>
            </w:r>
          </w:p>
        </w:tc>
        <w:tc>
          <w:tcPr>
            <w:tcW w:w="9800" w:type="dxa"/>
            <w:vAlign w:val="bottom"/>
            <w:tcBorders>
              <w:bottom w:val="single" w:sz="8" w:color="0000EE"/>
            </w:tcBorders>
            <w:gridSpan w:val="25"/>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Form of Warrant to Purchase Common Stock, dated June 17, 2020 (incorporated by reference from Exhibit 4.1 to our Current Report on</w:t>
              </w:r>
            </w:hyperlink>
          </w:p>
        </w:tc>
        <w:tc>
          <w:tcPr>
            <w:tcW w:w="180" w:type="dxa"/>
            <w:vAlign w:val="bottom"/>
            <w:gridSpan w:val="7"/>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4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Form 8-K filed with the SEC on June 17, 2020)</w:t>
              </w:r>
            </w:hyperlink>
          </w:p>
        </w:tc>
        <w:tc>
          <w:tcPr>
            <w:tcW w:w="6540" w:type="dxa"/>
            <w:vAlign w:val="bottom"/>
            <w:gridSpan w:val="26"/>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4.19</w:t>
            </w:r>
          </w:p>
        </w:tc>
        <w:tc>
          <w:tcPr>
            <w:tcW w:w="9720" w:type="dxa"/>
            <w:vAlign w:val="bottom"/>
            <w:tcBorders>
              <w:bottom w:val="single" w:sz="8" w:color="0000EE"/>
            </w:tcBorders>
            <w:gridSpan w:val="23"/>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Form of Placement Agent Warrant to Purchase Common Stock, dated June 17, 2020 (incorporated by reference from Exhibit 4.2 to our</w:t>
              </w:r>
            </w:hyperlink>
          </w:p>
        </w:tc>
        <w:tc>
          <w:tcPr>
            <w:tcW w:w="260" w:type="dxa"/>
            <w:vAlign w:val="bottom"/>
            <w:gridSpan w:val="9"/>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Current Report on Form 8-K filed with the SEC on June 17, 2020)</w:t>
              </w:r>
            </w:hyperlink>
          </w:p>
        </w:tc>
      </w:tr>
      <w:tr>
        <w:trPr>
          <w:trHeight w:val="20"/>
        </w:trPr>
        <w:tc>
          <w:tcPr>
            <w:tcW w:w="1240" w:type="dxa"/>
            <w:vAlign w:val="bottom"/>
          </w:tcPr>
          <w:p>
            <w:pPr>
              <w:spacing w:after="0" w:line="20" w:lineRule="exact"/>
              <w:rPr>
                <w:sz w:val="1"/>
                <w:szCs w:val="1"/>
                <w:color w:val="auto"/>
              </w:rPr>
            </w:pPr>
          </w:p>
        </w:tc>
        <w:tc>
          <w:tcPr>
            <w:tcW w:w="3620" w:type="dxa"/>
            <w:vAlign w:val="bottom"/>
            <w:gridSpan w:val="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4.20</w:t>
            </w:r>
          </w:p>
        </w:tc>
        <w:tc>
          <w:tcPr>
            <w:tcW w:w="9980" w:type="dxa"/>
            <w:vAlign w:val="bottom"/>
            <w:tcBorders>
              <w:bottom w:val="single" w:sz="8" w:color="0000EE"/>
            </w:tcBorders>
            <w:gridSpan w:val="32"/>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Form of Warrant to Purchase Common Stock, dated August 25, 2020 (incorporated by reference from Exhibit 4.1 to our Current Report on</w:t>
              </w:r>
            </w:hyperlink>
          </w:p>
        </w:tc>
      </w:tr>
      <w:tr>
        <w:trPr>
          <w:trHeight w:val="196"/>
        </w:trPr>
        <w:tc>
          <w:tcPr>
            <w:tcW w:w="1240" w:type="dxa"/>
            <w:vAlign w:val="bottom"/>
          </w:tcPr>
          <w:p>
            <w:pPr>
              <w:spacing w:after="0"/>
              <w:rPr>
                <w:sz w:val="17"/>
                <w:szCs w:val="17"/>
                <w:color w:val="auto"/>
              </w:rPr>
            </w:pPr>
          </w:p>
        </w:tc>
        <w:tc>
          <w:tcPr>
            <w:tcW w:w="36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Form 8-K filed with the SEC on August 28, 2020)</w:t>
              </w:r>
            </w:hyperlink>
          </w:p>
        </w:tc>
        <w:tc>
          <w:tcPr>
            <w:tcW w:w="6360" w:type="dxa"/>
            <w:vAlign w:val="bottom"/>
            <w:gridSpan w:val="25"/>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4.21</w:t>
            </w:r>
          </w:p>
        </w:tc>
        <w:tc>
          <w:tcPr>
            <w:tcW w:w="9980" w:type="dxa"/>
            <w:vAlign w:val="bottom"/>
            <w:gridSpan w:val="32"/>
          </w:tcPr>
          <w:p>
            <w:pPr>
              <w:spacing w:after="0"/>
              <w:rPr>
                <w:rFonts w:ascii="Arial" w:cs="Arial" w:eastAsia="Arial" w:hAnsi="Arial"/>
                <w:sz w:val="18"/>
                <w:szCs w:val="18"/>
                <w:color w:val="0000EE"/>
                <w:w w:val="94"/>
              </w:rPr>
            </w:pPr>
            <w:hyperlink r:id="rId80">
              <w:r>
                <w:rPr>
                  <w:rFonts w:ascii="Arial" w:cs="Arial" w:eastAsia="Arial" w:hAnsi="Arial"/>
                  <w:sz w:val="18"/>
                  <w:szCs w:val="18"/>
                  <w:color w:val="0000EE"/>
                  <w:w w:val="94"/>
                </w:rPr>
                <w:t>Form of Pre-Funded Warrant to Purchase Common Stock, dated August 25, 2020 (incorporated by reference from Exhibit 4.2 to our</w:t>
              </w:r>
            </w:hyperlink>
          </w:p>
        </w:tc>
      </w:tr>
      <w:tr>
        <w:trPr>
          <w:trHeight w:val="196"/>
        </w:trPr>
        <w:tc>
          <w:tcPr>
            <w:tcW w:w="1240" w:type="dxa"/>
            <w:vAlign w:val="bottom"/>
          </w:tcPr>
          <w:p>
            <w:pPr>
              <w:spacing w:after="0"/>
              <w:rPr>
                <w:sz w:val="17"/>
                <w:szCs w:val="17"/>
                <w:color w:val="auto"/>
              </w:rPr>
            </w:pPr>
          </w:p>
        </w:tc>
        <w:tc>
          <w:tcPr>
            <w:tcW w:w="9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Current Report on Form 8-K filed with the SEC on August 28, 2020)</w:t>
              </w:r>
            </w:hyperlink>
          </w:p>
        </w:tc>
        <w:tc>
          <w:tcPr>
            <w:tcW w:w="480" w:type="dxa"/>
            <w:vAlign w:val="bottom"/>
            <w:gridSpan w:val="11"/>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4060" w:type="dxa"/>
            <w:vAlign w:val="bottom"/>
            <w:gridSpan w:val="8"/>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4940" w:type="dxa"/>
            <w:vAlign w:val="bottom"/>
            <w:gridSpan w:val="1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4.22</w:t>
            </w:r>
          </w:p>
        </w:tc>
        <w:tc>
          <w:tcPr>
            <w:tcW w:w="9900" w:type="dxa"/>
            <w:vAlign w:val="bottom"/>
            <w:tcBorders>
              <w:bottom w:val="single" w:sz="8" w:color="0000EE"/>
            </w:tcBorders>
            <w:gridSpan w:val="30"/>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Form of Placement Agent Warrant to Purchase Common Stock, dated August 25, 2020 (incorporated by reference from Exhibit 4.3 to our</w:t>
              </w:r>
            </w:hyperlink>
          </w:p>
        </w:tc>
        <w:tc>
          <w:tcPr>
            <w:tcW w:w="8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Current Report on Form 8-K filed with the SEC on August 28, 2020)</w:t>
              </w:r>
            </w:hyperlink>
          </w:p>
        </w:tc>
      </w:tr>
      <w:tr>
        <w:trPr>
          <w:trHeight w:val="20"/>
        </w:trPr>
        <w:tc>
          <w:tcPr>
            <w:tcW w:w="1240" w:type="dxa"/>
            <w:vAlign w:val="bottom"/>
          </w:tcPr>
          <w:p>
            <w:pPr>
              <w:spacing w:after="0" w:line="20" w:lineRule="exact"/>
              <w:rPr>
                <w:sz w:val="1"/>
                <w:szCs w:val="1"/>
                <w:color w:val="auto"/>
              </w:rPr>
            </w:pPr>
          </w:p>
        </w:tc>
        <w:tc>
          <w:tcPr>
            <w:tcW w:w="4060" w:type="dxa"/>
            <w:vAlign w:val="bottom"/>
            <w:gridSpan w:val="8"/>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5020" w:type="dxa"/>
            <w:vAlign w:val="bottom"/>
            <w:gridSpan w:val="18"/>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4.23</w:t>
            </w:r>
          </w:p>
        </w:tc>
        <w:tc>
          <w:tcPr>
            <w:tcW w:w="9980" w:type="dxa"/>
            <w:vAlign w:val="bottom"/>
            <w:tcBorders>
              <w:bottom w:val="single" w:sz="8" w:color="0000EE"/>
            </w:tcBorders>
            <w:gridSpan w:val="32"/>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Form of Warrant to Purchase Common Stock, dated December 17, 2020 (incorporated by reference from Exhibit 4.1 to our Current Report</w:t>
              </w:r>
            </w:hyperlink>
          </w:p>
        </w:tc>
      </w:tr>
      <w:tr>
        <w:trPr>
          <w:trHeight w:val="196"/>
        </w:trPr>
        <w:tc>
          <w:tcPr>
            <w:tcW w:w="12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on Form 8-K filed with the SEC on December 21, 2020)</w:t>
              </w:r>
            </w:hyperlink>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77" w:orient="portrait"/>
          <w:cols w:equalWidth="0" w:num="1">
            <w:col w:w="11220"/>
          </w:cols>
          <w:pgMar w:left="320" w:top="891" w:right="35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4.24</w:t>
            </w:r>
          </w:p>
        </w:tc>
        <w:tc>
          <w:tcPr>
            <w:tcW w:w="9840" w:type="dxa"/>
            <w:vAlign w:val="bottom"/>
            <w:tcBorders>
              <w:bottom w:val="single" w:sz="8" w:color="0000EE"/>
            </w:tcBorders>
            <w:gridSpan w:val="10"/>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Form of Placement Agent Warrant to Purchase Common Stock, dated December 17, 2020 (incorporated by reference from Exhibit 4.2 to</w:t>
              </w:r>
            </w:hyperlink>
          </w:p>
        </w:tc>
      </w:tr>
      <w:tr>
        <w:trPr>
          <w:trHeight w:val="196"/>
        </w:trPr>
        <w:tc>
          <w:tcPr>
            <w:tcW w:w="1240" w:type="dxa"/>
            <w:vAlign w:val="bottom"/>
          </w:tcPr>
          <w:p>
            <w:pPr>
              <w:spacing w:after="0"/>
              <w:rPr>
                <w:sz w:val="17"/>
                <w:szCs w:val="17"/>
                <w:color w:val="auto"/>
              </w:rPr>
            </w:pPr>
          </w:p>
        </w:tc>
        <w:tc>
          <w:tcPr>
            <w:tcW w:w="9840" w:type="dxa"/>
            <w:vAlign w:val="bottom"/>
            <w:gridSpan w:val="10"/>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our Current Report on Form 8-K filed with the SEC on December 21, 2020)</w:t>
              </w:r>
            </w:hyperlink>
          </w:p>
        </w:tc>
      </w:tr>
      <w:tr>
        <w:trPr>
          <w:trHeight w:val="466"/>
        </w:trPr>
        <w:tc>
          <w:tcPr>
            <w:tcW w:w="1240" w:type="dxa"/>
            <w:vAlign w:val="bottom"/>
          </w:tcPr>
          <w:p>
            <w:pPr>
              <w:ind w:left="20"/>
              <w:spacing w:after="0"/>
              <w:rPr>
                <w:sz w:val="20"/>
                <w:szCs w:val="20"/>
                <w:color w:val="auto"/>
              </w:rPr>
            </w:pPr>
            <w:r>
              <w:rPr>
                <w:rFonts w:ascii="Arial" w:cs="Arial" w:eastAsia="Arial" w:hAnsi="Arial"/>
                <w:sz w:val="18"/>
                <w:szCs w:val="18"/>
                <w:color w:val="auto"/>
              </w:rPr>
              <w:t>4.25*</w:t>
            </w:r>
          </w:p>
        </w:tc>
        <w:tc>
          <w:tcPr>
            <w:tcW w:w="54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Form of Certificate of Designation with respect to Preferred Stock</w:t>
            </w:r>
          </w:p>
        </w:tc>
        <w:tc>
          <w:tcPr>
            <w:tcW w:w="4360" w:type="dxa"/>
            <w:vAlign w:val="bottom"/>
            <w:gridSpan w:val="2"/>
          </w:tcPr>
          <w:p>
            <w:pPr>
              <w:spacing w:after="0"/>
              <w:rPr>
                <w:sz w:val="24"/>
                <w:szCs w:val="24"/>
                <w:color w:val="auto"/>
              </w:rPr>
            </w:pPr>
          </w:p>
        </w:tc>
      </w:tr>
      <w:tr>
        <w:trPr>
          <w:trHeight w:val="405"/>
        </w:trPr>
        <w:tc>
          <w:tcPr>
            <w:tcW w:w="1240" w:type="dxa"/>
            <w:vAlign w:val="bottom"/>
          </w:tcPr>
          <w:p>
            <w:pPr>
              <w:ind w:left="20"/>
              <w:spacing w:after="0"/>
              <w:rPr>
                <w:sz w:val="20"/>
                <w:szCs w:val="20"/>
                <w:color w:val="auto"/>
              </w:rPr>
            </w:pPr>
            <w:r>
              <w:rPr>
                <w:rFonts w:ascii="Arial" w:cs="Arial" w:eastAsia="Arial" w:hAnsi="Arial"/>
                <w:sz w:val="18"/>
                <w:szCs w:val="18"/>
                <w:color w:val="auto"/>
              </w:rPr>
              <w:t>4.26</w:t>
            </w:r>
          </w:p>
        </w:tc>
        <w:tc>
          <w:tcPr>
            <w:tcW w:w="9840" w:type="dxa"/>
            <w:vAlign w:val="bottom"/>
            <w:tcBorders>
              <w:bottom w:val="single" w:sz="8" w:color="0000EE"/>
            </w:tcBorders>
            <w:gridSpan w:val="10"/>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Form of Senior Indenture (incorporated by reference from Exhibit 4.14 to our Registration Statement on Form S-3 filed with the SEC on</w:t>
              </w:r>
            </w:hyperlink>
          </w:p>
        </w:tc>
      </w:tr>
      <w:tr>
        <w:trPr>
          <w:trHeight w:val="196"/>
        </w:trPr>
        <w:tc>
          <w:tcPr>
            <w:tcW w:w="1240" w:type="dxa"/>
            <w:vAlign w:val="bottom"/>
          </w:tcPr>
          <w:p>
            <w:pPr>
              <w:spacing w:after="0"/>
              <w:rPr>
                <w:sz w:val="17"/>
                <w:szCs w:val="17"/>
                <w:color w:val="auto"/>
              </w:rPr>
            </w:pPr>
          </w:p>
        </w:tc>
        <w:tc>
          <w:tcPr>
            <w:tcW w:w="9840" w:type="dxa"/>
            <w:vAlign w:val="bottom"/>
            <w:gridSpan w:val="10"/>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July 22, 2019)</w:t>
              </w:r>
            </w:hyperlink>
          </w:p>
        </w:tc>
      </w:tr>
      <w:tr>
        <w:trPr>
          <w:trHeight w:val="20"/>
        </w:trPr>
        <w:tc>
          <w:tcPr>
            <w:tcW w:w="12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Arial" w:cs="Arial" w:eastAsia="Arial" w:hAnsi="Arial"/>
                <w:sz w:val="18"/>
                <w:szCs w:val="18"/>
                <w:color w:val="auto"/>
              </w:rPr>
              <w:t>4.27</w:t>
            </w:r>
          </w:p>
        </w:tc>
        <w:tc>
          <w:tcPr>
            <w:tcW w:w="9740" w:type="dxa"/>
            <w:vAlign w:val="bottom"/>
            <w:tcBorders>
              <w:bottom w:val="single" w:sz="8" w:color="0000EE"/>
            </w:tcBorders>
            <w:gridSpan w:val="9"/>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Form of Subordinated Indenture (incorporated by reference from Exhibit 4.14 to our Registration Statement on Form S-3 filed with the</w:t>
              </w:r>
            </w:hyperlink>
          </w:p>
        </w:tc>
        <w:tc>
          <w:tcPr>
            <w:tcW w:w="10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40" w:type="dxa"/>
            <w:vAlign w:val="bottom"/>
            <w:gridSpan w:val="10"/>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SEC on July 22, 2019)</w:t>
              </w:r>
            </w:hyperlink>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r>
      <w:tr>
        <w:trPr>
          <w:trHeight w:val="466"/>
        </w:trPr>
        <w:tc>
          <w:tcPr>
            <w:tcW w:w="1240" w:type="dxa"/>
            <w:vAlign w:val="bottom"/>
          </w:tcPr>
          <w:p>
            <w:pPr>
              <w:ind w:left="20"/>
              <w:spacing w:after="0"/>
              <w:rPr>
                <w:sz w:val="20"/>
                <w:szCs w:val="20"/>
                <w:color w:val="auto"/>
              </w:rPr>
            </w:pPr>
            <w:r>
              <w:rPr>
                <w:rFonts w:ascii="Arial" w:cs="Arial" w:eastAsia="Arial" w:hAnsi="Arial"/>
                <w:sz w:val="18"/>
                <w:szCs w:val="18"/>
                <w:color w:val="auto"/>
              </w:rPr>
              <w:t>4.28*</w:t>
            </w:r>
          </w:p>
        </w:tc>
        <w:tc>
          <w:tcPr>
            <w:tcW w:w="9840" w:type="dxa"/>
            <w:vAlign w:val="bottom"/>
            <w:gridSpan w:val="10"/>
          </w:tcPr>
          <w:p>
            <w:pPr>
              <w:spacing w:after="0"/>
              <w:rPr>
                <w:sz w:val="20"/>
                <w:szCs w:val="20"/>
                <w:color w:val="auto"/>
              </w:rPr>
            </w:pPr>
            <w:r>
              <w:rPr>
                <w:rFonts w:ascii="Arial" w:cs="Arial" w:eastAsia="Arial" w:hAnsi="Arial"/>
                <w:sz w:val="18"/>
                <w:szCs w:val="18"/>
                <w:color w:val="auto"/>
              </w:rPr>
              <w:t>Form of Senior Debt Security</w:t>
            </w:r>
          </w:p>
        </w:tc>
      </w:tr>
      <w:tr>
        <w:trPr>
          <w:trHeight w:val="446"/>
        </w:trPr>
        <w:tc>
          <w:tcPr>
            <w:tcW w:w="1240" w:type="dxa"/>
            <w:vAlign w:val="bottom"/>
          </w:tcPr>
          <w:p>
            <w:pPr>
              <w:ind w:left="20"/>
              <w:spacing w:after="0"/>
              <w:rPr>
                <w:sz w:val="20"/>
                <w:szCs w:val="20"/>
                <w:color w:val="auto"/>
              </w:rPr>
            </w:pPr>
            <w:r>
              <w:rPr>
                <w:rFonts w:ascii="Arial" w:cs="Arial" w:eastAsia="Arial" w:hAnsi="Arial"/>
                <w:sz w:val="18"/>
                <w:szCs w:val="18"/>
                <w:color w:val="auto"/>
              </w:rPr>
              <w:t>4.29*</w:t>
            </w:r>
          </w:p>
        </w:tc>
        <w:tc>
          <w:tcPr>
            <w:tcW w:w="9840" w:type="dxa"/>
            <w:vAlign w:val="bottom"/>
            <w:gridSpan w:val="10"/>
          </w:tcPr>
          <w:p>
            <w:pPr>
              <w:spacing w:after="0"/>
              <w:rPr>
                <w:sz w:val="20"/>
                <w:szCs w:val="20"/>
                <w:color w:val="auto"/>
              </w:rPr>
            </w:pPr>
            <w:r>
              <w:rPr>
                <w:rFonts w:ascii="Arial" w:cs="Arial" w:eastAsia="Arial" w:hAnsi="Arial"/>
                <w:sz w:val="18"/>
                <w:szCs w:val="18"/>
                <w:color w:val="auto"/>
              </w:rPr>
              <w:t>Form of Subordinated Debt Security</w:t>
            </w:r>
          </w:p>
        </w:tc>
      </w:tr>
      <w:tr>
        <w:trPr>
          <w:trHeight w:val="459"/>
        </w:trPr>
        <w:tc>
          <w:tcPr>
            <w:tcW w:w="1240" w:type="dxa"/>
            <w:vAlign w:val="bottom"/>
          </w:tcPr>
          <w:p>
            <w:pPr>
              <w:ind w:left="20"/>
              <w:spacing w:after="0"/>
              <w:rPr>
                <w:sz w:val="20"/>
                <w:szCs w:val="20"/>
                <w:color w:val="auto"/>
              </w:rPr>
            </w:pPr>
            <w:r>
              <w:rPr>
                <w:rFonts w:ascii="Arial" w:cs="Arial" w:eastAsia="Arial" w:hAnsi="Arial"/>
                <w:sz w:val="18"/>
                <w:szCs w:val="18"/>
                <w:color w:val="auto"/>
              </w:rPr>
              <w:t>4.30*</w:t>
            </w:r>
          </w:p>
        </w:tc>
        <w:tc>
          <w:tcPr>
            <w:tcW w:w="9840" w:type="dxa"/>
            <w:vAlign w:val="bottom"/>
            <w:gridSpan w:val="10"/>
          </w:tcPr>
          <w:p>
            <w:pPr>
              <w:spacing w:after="0"/>
              <w:rPr>
                <w:sz w:val="20"/>
                <w:szCs w:val="20"/>
                <w:color w:val="auto"/>
              </w:rPr>
            </w:pPr>
            <w:r>
              <w:rPr>
                <w:rFonts w:ascii="Arial" w:cs="Arial" w:eastAsia="Arial" w:hAnsi="Arial"/>
                <w:sz w:val="18"/>
                <w:szCs w:val="18"/>
                <w:color w:val="auto"/>
              </w:rPr>
              <w:t>Form of Warrant Agreement and Warrant</w:t>
            </w:r>
          </w:p>
        </w:tc>
      </w:tr>
      <w:tr>
        <w:trPr>
          <w:trHeight w:val="445"/>
        </w:trPr>
        <w:tc>
          <w:tcPr>
            <w:tcW w:w="1240" w:type="dxa"/>
            <w:vAlign w:val="bottom"/>
          </w:tcPr>
          <w:p>
            <w:pPr>
              <w:ind w:left="20"/>
              <w:spacing w:after="0"/>
              <w:rPr>
                <w:sz w:val="20"/>
                <w:szCs w:val="20"/>
                <w:color w:val="auto"/>
              </w:rPr>
            </w:pPr>
            <w:r>
              <w:rPr>
                <w:rFonts w:ascii="Arial" w:cs="Arial" w:eastAsia="Arial" w:hAnsi="Arial"/>
                <w:sz w:val="18"/>
                <w:szCs w:val="18"/>
                <w:color w:val="auto"/>
              </w:rPr>
              <w:t>4.31*</w:t>
            </w:r>
          </w:p>
        </w:tc>
        <w:tc>
          <w:tcPr>
            <w:tcW w:w="9840" w:type="dxa"/>
            <w:vAlign w:val="bottom"/>
            <w:gridSpan w:val="10"/>
          </w:tcPr>
          <w:p>
            <w:pPr>
              <w:spacing w:after="0"/>
              <w:rPr>
                <w:sz w:val="20"/>
                <w:szCs w:val="20"/>
                <w:color w:val="auto"/>
              </w:rPr>
            </w:pPr>
            <w:r>
              <w:rPr>
                <w:rFonts w:ascii="Arial" w:cs="Arial" w:eastAsia="Arial" w:hAnsi="Arial"/>
                <w:sz w:val="18"/>
                <w:szCs w:val="18"/>
                <w:color w:val="auto"/>
              </w:rPr>
              <w:t>Form of Rights Agreement and Right Certificate</w:t>
            </w:r>
          </w:p>
        </w:tc>
      </w:tr>
      <w:tr>
        <w:trPr>
          <w:trHeight w:val="446"/>
        </w:trPr>
        <w:tc>
          <w:tcPr>
            <w:tcW w:w="1240" w:type="dxa"/>
            <w:vAlign w:val="bottom"/>
          </w:tcPr>
          <w:p>
            <w:pPr>
              <w:ind w:left="20"/>
              <w:spacing w:after="0"/>
              <w:rPr>
                <w:sz w:val="20"/>
                <w:szCs w:val="20"/>
                <w:color w:val="auto"/>
              </w:rPr>
            </w:pPr>
            <w:r>
              <w:rPr>
                <w:rFonts w:ascii="Arial" w:cs="Arial" w:eastAsia="Arial" w:hAnsi="Arial"/>
                <w:sz w:val="18"/>
                <w:szCs w:val="18"/>
                <w:color w:val="auto"/>
              </w:rPr>
              <w:t>4.32*</w:t>
            </w:r>
          </w:p>
        </w:tc>
        <w:tc>
          <w:tcPr>
            <w:tcW w:w="9840" w:type="dxa"/>
            <w:vAlign w:val="bottom"/>
            <w:gridSpan w:val="10"/>
          </w:tcPr>
          <w:p>
            <w:pPr>
              <w:spacing w:after="0"/>
              <w:rPr>
                <w:sz w:val="20"/>
                <w:szCs w:val="20"/>
                <w:color w:val="auto"/>
              </w:rPr>
            </w:pPr>
            <w:r>
              <w:rPr>
                <w:rFonts w:ascii="Arial" w:cs="Arial" w:eastAsia="Arial" w:hAnsi="Arial"/>
                <w:sz w:val="18"/>
                <w:szCs w:val="18"/>
                <w:color w:val="auto"/>
              </w:rPr>
              <w:t>Form of Unit Agreement and Unit</w:t>
            </w:r>
          </w:p>
        </w:tc>
      </w:tr>
      <w:tr>
        <w:trPr>
          <w:trHeight w:val="405"/>
        </w:trPr>
        <w:tc>
          <w:tcPr>
            <w:tcW w:w="1240" w:type="dxa"/>
            <w:vAlign w:val="bottom"/>
          </w:tcPr>
          <w:p>
            <w:pPr>
              <w:ind w:left="20"/>
              <w:spacing w:after="0"/>
              <w:rPr>
                <w:sz w:val="20"/>
                <w:szCs w:val="20"/>
                <w:color w:val="auto"/>
              </w:rPr>
            </w:pPr>
            <w:r>
              <w:rPr>
                <w:rFonts w:ascii="Arial" w:cs="Arial" w:eastAsia="Arial" w:hAnsi="Arial"/>
                <w:sz w:val="18"/>
                <w:szCs w:val="18"/>
                <w:color w:val="auto"/>
              </w:rPr>
              <w:t>5.1</w:t>
            </w:r>
          </w:p>
        </w:tc>
        <w:tc>
          <w:tcPr>
            <w:tcW w:w="9840" w:type="dxa"/>
            <w:vAlign w:val="bottom"/>
            <w:gridSpan w:val="10"/>
          </w:tcPr>
          <w:p>
            <w:pPr>
              <w:spacing w:after="0"/>
              <w:rPr>
                <w:sz w:val="20"/>
                <w:szCs w:val="20"/>
                <w:color w:val="auto"/>
              </w:rPr>
            </w:pPr>
            <w:r>
              <w:rPr>
                <w:rFonts w:ascii="Arial" w:cs="Arial" w:eastAsia="Arial" w:hAnsi="Arial"/>
                <w:sz w:val="18"/>
                <w:szCs w:val="18"/>
                <w:color w:val="0000EE"/>
              </w:rPr>
              <w:t>Opinion of Bryan Cave Leighton Paisner LLP</w:t>
            </w:r>
          </w:p>
        </w:tc>
      </w:tr>
      <w:tr>
        <w:trPr>
          <w:trHeight w:val="20"/>
        </w:trPr>
        <w:tc>
          <w:tcPr>
            <w:tcW w:w="1240" w:type="dxa"/>
            <w:vAlign w:val="bottom"/>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Arial" w:cs="Arial" w:eastAsia="Arial" w:hAnsi="Arial"/>
                <w:sz w:val="18"/>
                <w:szCs w:val="18"/>
                <w:color w:val="auto"/>
              </w:rPr>
              <w:t>23.1</w:t>
            </w:r>
          </w:p>
        </w:tc>
        <w:tc>
          <w:tcPr>
            <w:tcW w:w="52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Consent of Marcum LLP, independent registered public accounting firm</w:t>
            </w:r>
          </w:p>
        </w:tc>
        <w:tc>
          <w:tcPr>
            <w:tcW w:w="4640" w:type="dxa"/>
            <w:vAlign w:val="bottom"/>
            <w:gridSpan w:val="4"/>
          </w:tcPr>
          <w:p>
            <w:pPr>
              <w:spacing w:after="0"/>
              <w:rPr>
                <w:sz w:val="24"/>
                <w:szCs w:val="24"/>
                <w:color w:val="auto"/>
              </w:rPr>
            </w:pPr>
          </w:p>
        </w:tc>
      </w:tr>
      <w:tr>
        <w:trPr>
          <w:trHeight w:val="426"/>
        </w:trPr>
        <w:tc>
          <w:tcPr>
            <w:tcW w:w="1240" w:type="dxa"/>
            <w:vAlign w:val="bottom"/>
          </w:tcPr>
          <w:p>
            <w:pPr>
              <w:ind w:left="20"/>
              <w:spacing w:after="0"/>
              <w:rPr>
                <w:sz w:val="20"/>
                <w:szCs w:val="20"/>
                <w:color w:val="auto"/>
              </w:rPr>
            </w:pPr>
            <w:r>
              <w:rPr>
                <w:rFonts w:ascii="Arial" w:cs="Arial" w:eastAsia="Arial" w:hAnsi="Arial"/>
                <w:sz w:val="18"/>
                <w:szCs w:val="18"/>
                <w:color w:val="auto"/>
              </w:rPr>
              <w:t>23.2</w:t>
            </w:r>
          </w:p>
        </w:tc>
        <w:tc>
          <w:tcPr>
            <w:tcW w:w="52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Consent of Friedman LLP, independent registered public accounting firm</w:t>
            </w:r>
          </w:p>
        </w:tc>
        <w:tc>
          <w:tcPr>
            <w:tcW w:w="4560" w:type="dxa"/>
            <w:vAlign w:val="bottom"/>
            <w:gridSpan w:val="3"/>
          </w:tcPr>
          <w:p>
            <w:pPr>
              <w:spacing w:after="0"/>
              <w:rPr>
                <w:sz w:val="24"/>
                <w:szCs w:val="24"/>
                <w:color w:val="auto"/>
              </w:rPr>
            </w:pPr>
          </w:p>
        </w:tc>
      </w:tr>
      <w:tr>
        <w:trPr>
          <w:trHeight w:val="426"/>
        </w:trPr>
        <w:tc>
          <w:tcPr>
            <w:tcW w:w="1240" w:type="dxa"/>
            <w:vAlign w:val="bottom"/>
          </w:tcPr>
          <w:p>
            <w:pPr>
              <w:ind w:left="20"/>
              <w:spacing w:after="0"/>
              <w:rPr>
                <w:sz w:val="20"/>
                <w:szCs w:val="20"/>
                <w:color w:val="auto"/>
              </w:rPr>
            </w:pPr>
            <w:r>
              <w:rPr>
                <w:rFonts w:ascii="Arial" w:cs="Arial" w:eastAsia="Arial" w:hAnsi="Arial"/>
                <w:sz w:val="18"/>
                <w:szCs w:val="18"/>
                <w:color w:val="auto"/>
              </w:rPr>
              <w:t>23.3</w:t>
            </w:r>
          </w:p>
        </w:tc>
        <w:tc>
          <w:tcPr>
            <w:tcW w:w="5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Consent of Bryan Cave Leighton Paisner LLP (included in Exhibit 5.1)</w:t>
            </w:r>
          </w:p>
        </w:tc>
        <w:tc>
          <w:tcPr>
            <w:tcW w:w="4700" w:type="dxa"/>
            <w:vAlign w:val="bottom"/>
            <w:gridSpan w:val="5"/>
          </w:tcPr>
          <w:p>
            <w:pPr>
              <w:spacing w:after="0"/>
              <w:rPr>
                <w:sz w:val="24"/>
                <w:szCs w:val="24"/>
                <w:color w:val="auto"/>
              </w:rPr>
            </w:pPr>
          </w:p>
        </w:tc>
      </w:tr>
      <w:tr>
        <w:trPr>
          <w:trHeight w:val="439"/>
        </w:trPr>
        <w:tc>
          <w:tcPr>
            <w:tcW w:w="1240" w:type="dxa"/>
            <w:vAlign w:val="bottom"/>
          </w:tcPr>
          <w:p>
            <w:pPr>
              <w:ind w:left="20"/>
              <w:spacing w:after="0"/>
              <w:rPr>
                <w:sz w:val="20"/>
                <w:szCs w:val="20"/>
                <w:color w:val="auto"/>
              </w:rPr>
            </w:pPr>
            <w:r>
              <w:rPr>
                <w:rFonts w:ascii="Arial" w:cs="Arial" w:eastAsia="Arial" w:hAnsi="Arial"/>
                <w:sz w:val="18"/>
                <w:szCs w:val="18"/>
                <w:color w:val="auto"/>
              </w:rPr>
              <w:t>24.1</w:t>
            </w:r>
          </w:p>
        </w:tc>
        <w:tc>
          <w:tcPr>
            <w:tcW w:w="41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Power of Attorney (included in the signature page hereto)</w:t>
            </w:r>
          </w:p>
        </w:tc>
        <w:tc>
          <w:tcPr>
            <w:tcW w:w="5680" w:type="dxa"/>
            <w:vAlign w:val="bottom"/>
            <w:gridSpan w:val="6"/>
          </w:tcPr>
          <w:p>
            <w:pPr>
              <w:spacing w:after="0"/>
              <w:rPr>
                <w:sz w:val="24"/>
                <w:szCs w:val="24"/>
                <w:color w:val="auto"/>
              </w:rPr>
            </w:pPr>
          </w:p>
        </w:tc>
      </w:tr>
      <w:tr>
        <w:trPr>
          <w:trHeight w:val="466"/>
        </w:trPr>
        <w:tc>
          <w:tcPr>
            <w:tcW w:w="1240" w:type="dxa"/>
            <w:vAlign w:val="bottom"/>
          </w:tcPr>
          <w:p>
            <w:pPr>
              <w:ind w:left="20"/>
              <w:spacing w:after="0"/>
              <w:rPr>
                <w:sz w:val="20"/>
                <w:szCs w:val="20"/>
                <w:color w:val="auto"/>
              </w:rPr>
            </w:pPr>
            <w:r>
              <w:rPr>
                <w:rFonts w:ascii="Arial" w:cs="Arial" w:eastAsia="Arial" w:hAnsi="Arial"/>
                <w:sz w:val="18"/>
                <w:szCs w:val="18"/>
                <w:color w:val="auto"/>
              </w:rPr>
              <w:t>25.1*</w:t>
            </w:r>
          </w:p>
        </w:tc>
        <w:tc>
          <w:tcPr>
            <w:tcW w:w="9840" w:type="dxa"/>
            <w:vAlign w:val="bottom"/>
            <w:gridSpan w:val="10"/>
          </w:tcPr>
          <w:p>
            <w:pPr>
              <w:spacing w:after="0"/>
              <w:rPr>
                <w:sz w:val="20"/>
                <w:szCs w:val="20"/>
                <w:color w:val="auto"/>
              </w:rPr>
            </w:pPr>
            <w:r>
              <w:rPr>
                <w:rFonts w:ascii="Arial" w:cs="Arial" w:eastAsia="Arial" w:hAnsi="Arial"/>
                <w:sz w:val="18"/>
                <w:szCs w:val="18"/>
                <w:color w:val="auto"/>
              </w:rPr>
              <w:t>Statement of Eligibility under the Trust Indenture Act of 1939, as amended, of the Trustee</w:t>
            </w:r>
          </w:p>
        </w:tc>
      </w:tr>
    </w:tbl>
    <w:p>
      <w:pPr>
        <w:spacing w:after="0" w:line="215" w:lineRule="exact"/>
        <w:rPr>
          <w:sz w:val="20"/>
          <w:szCs w:val="20"/>
          <w:color w:val="auto"/>
        </w:rPr>
      </w:pPr>
    </w:p>
    <w:p>
      <w:pPr>
        <w:ind w:left="1240" w:hanging="1228"/>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239" w:lineRule="exact"/>
        <w:rPr>
          <w:sz w:val="20"/>
          <w:szCs w:val="20"/>
          <w:color w:val="auto"/>
        </w:rPr>
      </w:pPr>
    </w:p>
    <w:p>
      <w:pPr>
        <w:ind w:left="5480" w:right="1540" w:hanging="5468"/>
        <w:spacing w:after="0" w:line="778" w:lineRule="auto"/>
        <w:tabs>
          <w:tab w:leader="none" w:pos="6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be subsequently filed, if applicable, by an amendment to this registration statement or by a Current Report on Form 8-K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24" w:right="499" w:bottom="1440" w:gutter="0" w:footer="0" w:header="0"/>
        </w:sectPr>
      </w:pPr>
    </w:p>
    <w:bookmarkStart w:id="34" w:name="page35"/>
    <w:bookmarkEnd w:id="34"/>
    <w:p>
      <w:pPr>
        <w:spacing w:after="0"/>
        <w:tabs>
          <w:tab w:leader="none" w:pos="8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980" w:hanging="324"/>
        <w:spacing w:after="0" w:line="254" w:lineRule="auto"/>
        <w:tabs>
          <w:tab w:leader="none" w:pos="9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4" w:lineRule="exact"/>
        <w:rPr>
          <w:rFonts w:ascii="Arial" w:cs="Arial" w:eastAsia="Arial" w:hAnsi="Arial"/>
          <w:sz w:val="18"/>
          <w:szCs w:val="18"/>
          <w:color w:val="auto"/>
        </w:rPr>
      </w:pPr>
    </w:p>
    <w:p>
      <w:pPr>
        <w:ind w:left="980" w:right="500" w:hanging="324"/>
        <w:spacing w:after="0" w:line="277" w:lineRule="auto"/>
        <w:tabs>
          <w:tab w:leader="none" w:pos="9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340" w:right="2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jc w:val="both"/>
        <w:ind w:left="328" w:hanging="328"/>
        <w:spacing w:after="0" w:line="263"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648" w:right="280" w:hanging="324"/>
        <w:spacing w:after="0" w:line="277"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648" w:right="20" w:hanging="324"/>
        <w:spacing w:after="0" w:line="287" w:lineRule="auto"/>
        <w:tabs>
          <w:tab w:leader="none" w:pos="648"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1" w:lineRule="exact"/>
        <w:rPr>
          <w:rFonts w:ascii="Arial" w:cs="Arial" w:eastAsia="Arial" w:hAnsi="Arial"/>
          <w:sz w:val="16"/>
          <w:szCs w:val="16"/>
          <w:color w:val="auto"/>
        </w:rPr>
      </w:pPr>
    </w:p>
    <w:p>
      <w:pPr>
        <w:ind w:left="328" w:right="280" w:hanging="328"/>
        <w:spacing w:after="0" w:line="25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648" w:hanging="324"/>
        <w:spacing w:after="0"/>
        <w:tabs>
          <w:tab w:leader="none" w:pos="6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648" w:hanging="324"/>
        <w:spacing w:after="0" w:line="277"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648" w:hanging="324"/>
        <w:spacing w:after="0"/>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36" w:name="page37"/>
    <w:bookmarkEnd w:id="36"/>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225" w:lineRule="exact"/>
        <w:rPr>
          <w:rFonts w:ascii="Arial" w:cs="Arial" w:eastAsia="Arial" w:hAnsi="Arial"/>
          <w:sz w:val="18"/>
          <w:szCs w:val="18"/>
          <w:color w:val="auto"/>
        </w:rPr>
      </w:pPr>
    </w:p>
    <w:p>
      <w:pPr>
        <w:jc w:val="both"/>
        <w:ind w:left="660" w:right="340" w:hanging="328"/>
        <w:spacing w:after="0" w:line="263"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70" w:lineRule="exact"/>
        <w:rPr>
          <w:rFonts w:ascii="Arial" w:cs="Arial" w:eastAsia="Arial" w:hAnsi="Arial"/>
          <w:sz w:val="18"/>
          <w:szCs w:val="18"/>
          <w:color w:val="auto"/>
        </w:rPr>
      </w:pPr>
    </w:p>
    <w:p>
      <w:pPr>
        <w:ind w:left="340" w:right="100" w:hanging="332"/>
        <w:spacing w:after="0" w:line="25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ind w:left="340" w:right="20" w:hanging="332"/>
        <w:spacing w:after="0" w:line="291"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6"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(a) of Section 310 of the Trust Indenture Act (“Act”) in accordance with the rules and regulations prescribed by the Commission under section 305(b)</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(2) of the Act.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City of New York, New York on the 4th day of August, 2023.</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XWELL, Inc.</w:t>
      </w:r>
    </w:p>
    <w:p>
      <w:pPr>
        <w:spacing w:after="0" w:line="256"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R. Milford</w:t>
            </w:r>
          </w:p>
        </w:tc>
      </w:tr>
      <w:tr>
        <w:trPr>
          <w:trHeight w:val="209"/>
        </w:trPr>
        <w:tc>
          <w:tcPr>
            <w:tcW w:w="5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Scott R. Milford</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MEN BY THESE PRESENTS, that each of the undersigned directors and officers of XWELL, Inc. constitutes and appoints Scott R. Milford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with full power to act alone, full power and authority to do and perform each and every act and thing requisite and necessary to be done in and about the premises, as fully to all intents and purposes as he or she might or could do in person, and hereby ratifying and confirming all that the said attorney-in-fact and agent, or his substitute or substitute, may lawfully do or cause to be done by virtue hereof.</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4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R. Milford</w:t>
            </w: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w:t>
            </w:r>
          </w:p>
        </w:tc>
        <w:tc>
          <w:tcPr>
            <w:tcW w:w="24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August 4,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Scott R. Milford</w:t>
            </w: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(Principal Executive Officer)</w:t>
            </w:r>
          </w:p>
        </w:tc>
        <w:tc>
          <w:tcPr>
            <w:tcW w:w="2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Suzanne A. Scrabis</w:t>
            </w: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August 4,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00" w:type="dxa"/>
            <w:vAlign w:val="bottom"/>
          </w:tcPr>
          <w:p>
            <w:pPr>
              <w:ind w:left="20"/>
              <w:spacing w:after="0" w:line="195" w:lineRule="exact"/>
              <w:rPr>
                <w:sz w:val="20"/>
                <w:szCs w:val="20"/>
                <w:color w:val="auto"/>
              </w:rPr>
            </w:pPr>
            <w:r>
              <w:rPr>
                <w:rFonts w:ascii="Arial" w:cs="Arial" w:eastAsia="Arial" w:hAnsi="Arial"/>
                <w:sz w:val="18"/>
                <w:szCs w:val="18"/>
                <w:color w:val="auto"/>
              </w:rPr>
              <w:t>Suzanne A. Scrabis</w:t>
            </w:r>
          </w:p>
        </w:tc>
        <w:tc>
          <w:tcPr>
            <w:tcW w:w="39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(Principal Financial Officer and Principal</w:t>
            </w:r>
          </w:p>
        </w:tc>
        <w:tc>
          <w:tcPr>
            <w:tcW w:w="2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Accounting Officer)</w:t>
            </w:r>
          </w:p>
        </w:tc>
        <w:tc>
          <w:tcPr>
            <w:tcW w:w="2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Bruce T. Bernstein</w:t>
            </w:r>
          </w:p>
        </w:tc>
        <w:tc>
          <w:tcPr>
            <w:tcW w:w="3920" w:type="dxa"/>
            <w:vAlign w:val="bottom"/>
            <w:gridSpan w:val="2"/>
            <w:vMerge w:val="restart"/>
          </w:tcPr>
          <w:p>
            <w:pPr>
              <w:ind w:left="120"/>
              <w:spacing w:after="0"/>
              <w:rPr>
                <w:sz w:val="20"/>
                <w:szCs w:val="20"/>
                <w:color w:val="auto"/>
              </w:rPr>
            </w:pPr>
            <w:r>
              <w:rPr>
                <w:rFonts w:ascii="Arial" w:cs="Arial" w:eastAsia="Arial" w:hAnsi="Arial"/>
                <w:sz w:val="18"/>
                <w:szCs w:val="18"/>
                <w:color w:val="auto"/>
              </w:rPr>
              <w:t>Director, Chairman of the Board of Directors</w:t>
            </w:r>
          </w:p>
        </w:tc>
        <w:tc>
          <w:tcPr>
            <w:tcW w:w="24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August 4,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Bruce T. Bernstein</w:t>
            </w:r>
          </w:p>
        </w:tc>
        <w:tc>
          <w:tcPr>
            <w:tcW w:w="39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Weinstein</w:t>
            </w: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August 4,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Robert Weinstein</w:t>
            </w: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Donald E. Stout</w:t>
            </w: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August 4,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Lebowitz</w:t>
            </w: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August 4,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Michael Lebowitz</w:t>
            </w: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3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II-7</w:t>
            </w: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154305</wp:posOffset>
            </wp:positionV>
            <wp:extent cx="2486025" cy="1671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a:extLst>
                        <a:ext uri="{28A0092B-C50C-407E-A947-70E740481C1C}"/>
                      </a:extLst>
                    </a:blip>
                    <a:srcRect/>
                    <a:stretch>
                      <a:fillRect/>
                    </a:stretch>
                  </pic:blipFill>
                  <pic:spPr bwMode="auto">
                    <a:xfrm>
                      <a:off x="0" y="0"/>
                      <a:ext cx="2486025"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XWELL,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ectPr>
          <w:pgSz w:w="11900" w:h="16838" w:orient="portrait"/>
          <w:cols w:equalWidth="0" w:num="1">
            <w:col w:w="11240"/>
          </w:cols>
          <w:pgMar w:left="320" w:top="337"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XWELL,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S-3</w:t>
      </w:r>
    </w:p>
    <w:p>
      <w:pPr>
        <w:spacing w:after="0" w:line="200" w:lineRule="exact"/>
        <w:rPr>
          <w:sz w:val="20"/>
          <w:szCs w:val="20"/>
          <w:color w:val="auto"/>
        </w:rPr>
      </w:pPr>
    </w:p>
    <w:p>
      <w:pPr>
        <w:sectPr>
          <w:pgSz w:w="11900" w:h="16838" w:orient="portrait"/>
          <w:cols w:equalWidth="0" w:num="2">
            <w:col w:w="260" w:space="400"/>
            <w:col w:w="10580"/>
          </w:cols>
          <w:pgMar w:left="320" w:top="337"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acted as special counsel to XWELL, Inc., a Delaware corporation (the “Company”), in connection with a Registration Statement on Form S-3 (the “Registration Statement”), being filed this date by the Company with the Securities and Exchange Commission (the “Commission”) under the Securities Act of 1933, as amended (the “Securities Act”), relating to the issuance by the Company of up to an aggregate of $200,000,000 of (i) shares of common stock of the Company, par value $0.01 per share (the “Common Stock”); (ii) shares of preferred stock of the Company, par value $0.01 per share (the “Preferred Stock”); (iii) senior debt securities of the Company (the “Senior Debt Securities”); (iv) subordinated debt securities of the Company (the “Subordinated Debt Securities” and, together with the Senior Debt Securities, the “Debt Securities”); (v) warrants to purchase Common Stock, Preferred Stock and/or Debt Securities (the “Warrants”); (vi) rights to purchase Common Stock, Preferred Stock or any other securities of the Company covered by the Registration Statement (the “Rights”); and (vii) units of the Company (the “Units”), consisting of one or more of Common Stock, Preferred Stock, Debt Securities, Warrants or Rights. The Common Stock, the Preferred Stock, the Debt Securities, the Warrants, the Rights and the Units are hereinafter referred to collectively as the “Shelf Securities.” The Shelf Securities may be issued and sold from time to time as set forth in the Registration Statement, any amendment thereto, and the base prospectus contained therein (the “Base Prospectus”) and any supplements thereto or term sheets to be filed pursuant to the rules and regulations promulgated under the Securities Act.</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Senior Debt Securities will be issued under a senior indenture (the “Senior Indenture”), to be entered into by the Company and a trustee qualified to act as such under the Trust Indenture Act of 1939 (the “Indenture Trustee”). The Subordinated Debt Securities will be issued under a subordinated indenture (the “Subordinated Indenture”), to be entered into by the Company and the Indenture Trustee. The Warrants will be issued pursuant to one or more warrant agreements (each, a “Warrant Agreement”) to be entered into between the Company and a warrant agent to be specified therein. The Rights will be issued pursuant to a rights agreement (the “Rights Agreement”) to be entered into between the Company and a rights agent to be specified therein (the “Rights Agent”). The Units will be issued pursuant to a unit agreement (the “Unit Agreement”) to be entered into between the Company and a unit agent to be specified therein (the “Unit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t>XWELL,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-121920</wp:posOffset>
            </wp:positionV>
            <wp:extent cx="1440180" cy="668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extLst>
                    </a:blip>
                    <a:srcRect/>
                    <a:stretch>
                      <a:fillRect/>
                    </a:stretch>
                  </pic:blipFill>
                  <pic:spPr bwMode="auto">
                    <a:xfrm>
                      <a:off x="0" y="0"/>
                      <a:ext cx="1440180" cy="6686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herewith, we have examined the Registration Statement, including the form of Senior Indenture filed as Exhibit 4.26 thereto and the form of Subordinated Indenture filed as Exhibit 4.27 thereto. We have also examined originals or copies, certified or otherwise identified to our satisfaction, of the Amended and Restated Certificate of Incorporation, as amended, and the Amended and Restated Bylaws of the Company and such other corporate records, agreements and instruments of the Company, certificates of public officials and officers of the Company, and such other documents, records and instruments,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Commission’s Electronic Data Gathering, Analysis and Retrieval system (“Edgar”) or other sites maintained by a court or governmental authority or regulatory body and the authenticity of the originals of such latter documents. If any documents we examined in printed, word processed or similar form have been filed with the Commission on Edgar or such court or governmental authority or regulatory body, we have assumed that the document so filed is identical to the document we examined except for formatting changes. When relevant facts were not independently established, we have relied without independent investigation as to matters of fact upon statements of governmental officials and upon representations made in or pursuant to the Registration Statement and certificates and statements of appropriate representatives of the Company.</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also have assumed that: (1) at the time of execution, authentication, issuance and delivery of the Debt Securities, the Senior Indenture or Subordinated Indenture, as applicable, will have been duly authorized, executed and delivered by the Company and the Indenture Trustee and will be the valid and legally binding obligation of the Indenture Trustee, enforceable against such party in accordance with its terms; (2) at the time of the execution, countersignature, issuance and delivery of any Warrants, the related Warrant Agreement will be the valid and legally binding obligation of each party thereto (other than the Company), enforceable against such party in accordance with its terms; (3) at the time of the execution, countersignature, issuance and delivery of the Rights, the related Rights Agreement will be the valid and legally binding obligation of the Rights Agent, enforceable against such party in accordance with its terms; and (4) at the time of the execution, countersignature, issuance and delivery of the Units, the related Unit Agreement will be the valid and legally binding obligation of the Unit Agent, enforceable against such party in accordance with its terms.</w:t>
      </w:r>
    </w:p>
    <w:p>
      <w:pPr>
        <w:spacing w:after="0" w:line="165"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We have assumed further that: (1) at the time of execution, authentication, issuance and delivery of the Debt Securities, the Senior Indenture or Subordinated Indenture, as applicable, will be in full force and effect and will not have been terminated or rescinded by the Company or the Indenture Trustee; (2) at the time of execution, countersignature, issuance and delivery of any Warrants, the related Warrant Agreement will have been duly authorized, executed and delivered by the Company and each of the other parties thereto and will be in full force and effect and will not have been terminated or rescinded by the Company or any such other party; (3) at the time of execution, issuance and delivery of the Rights, the Rights Agreement will have been duly authorized, executed and delivered by the Company and the Unit Agent and will be in full force and effect and will not have been terminated or rescinded by the Company or the Unit Agent; (4) at the time of execution, issuance and delivery of the Units, the Unit Agreement will have been duly authorized, executed and delivered by the Company and the Unit Agent and will be in full force and effect and will not have been terminated or rescinded by the Company or the Unit Agent; and (5) at the time of issuance and sale of any of the Shelf Securities, the terms of the Shelf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XWELL,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-121920</wp:posOffset>
            </wp:positionV>
            <wp:extent cx="1440180" cy="668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4">
                      <a:extLst>
                        <a:ext uri="{28A0092B-C50C-407E-A947-70E740481C1C}"/>
                      </a:extLst>
                    </a:blip>
                    <a:srcRect/>
                    <a:stretch>
                      <a:fillRect/>
                    </a:stretch>
                  </pic:blipFill>
                  <pic:spPr bwMode="auto">
                    <a:xfrm>
                      <a:off x="0" y="0"/>
                      <a:ext cx="1440180" cy="6686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Based upon the foregoing and in reliance thereon, and subject to the assumptions, comments, qualifications, limitations and exceptions stated herein and the effectiveness of the Registration Statement under the Securities Act, we are of the opinion that:</w:t>
      </w:r>
    </w:p>
    <w:p>
      <w:pPr>
        <w:spacing w:after="0" w:line="170" w:lineRule="exact"/>
        <w:rPr>
          <w:sz w:val="20"/>
          <w:szCs w:val="20"/>
          <w:color w:val="auto"/>
        </w:rPr>
      </w:pPr>
    </w:p>
    <w:p>
      <w:pPr>
        <w:ind w:firstLine="8"/>
        <w:spacing w:after="0" w:line="257" w:lineRule="auto"/>
        <w:tabs>
          <w:tab w:leader="none" w:pos="4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the Common Stock, assuming the (a) taking by the Board of Directors of the Company or a duly constituted and acting committee of such board (such Board of Directors or committee being referred to herein as the “Board”) of all necessary corporate action to authorize and approve the issuance of the Common Stock and (b) due issuance and delivery of the Common Stock upon payment therefor in accordance with the applicable definitive purchase, underwriting or similar agreement approved by the Board, or upon the exercise, conversion or exchange of any Shelf Securities, the Common Stock will be validly issued, fully paid and nonassessable.</w:t>
      </w:r>
    </w:p>
    <w:p>
      <w:pPr>
        <w:spacing w:after="0" w:line="187" w:lineRule="exact"/>
        <w:rPr>
          <w:rFonts w:ascii="Arial" w:cs="Arial" w:eastAsia="Arial" w:hAnsi="Arial"/>
          <w:sz w:val="18"/>
          <w:szCs w:val="18"/>
          <w:color w:val="auto"/>
        </w:rPr>
      </w:pPr>
    </w:p>
    <w:p>
      <w:pPr>
        <w:jc w:val="both"/>
        <w:ind w:firstLine="8"/>
        <w:spacing w:after="0" w:line="259" w:lineRule="auto"/>
        <w:tabs>
          <w:tab w:leader="none" w:pos="4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the Preferred Stock, assuming the (a) taking by the Board of all necessary corporate action to authorize and approve the issuance of the Preferred Stock and (b) due issuance and delivery of the Preferred Stock upon payment therefor in accordance with the applicable definitive purchase, underwriting or similar agreement approved by the Board, or upon the exercise, conversion or exchange of any Shelf Securities, the Preferred Stock will be validly issued, fully paid and nonassessable.</w:t>
      </w:r>
    </w:p>
    <w:p>
      <w:pPr>
        <w:spacing w:after="0" w:line="186" w:lineRule="exact"/>
        <w:rPr>
          <w:rFonts w:ascii="Arial" w:cs="Arial" w:eastAsia="Arial" w:hAnsi="Arial"/>
          <w:sz w:val="18"/>
          <w:szCs w:val="18"/>
          <w:color w:val="auto"/>
        </w:rPr>
      </w:pPr>
    </w:p>
    <w:p>
      <w:pPr>
        <w:ind w:right="80" w:firstLine="8"/>
        <w:spacing w:after="0" w:line="273" w:lineRule="auto"/>
        <w:tabs>
          <w:tab w:leader="none" w:pos="45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and otherwise in accordance with the provisions of (i) the Senior Indenture, in the case of the Senior Debt Securities, or (ii) the Subordinated Indenture, in the case of the Subordinated Debt Securities, in each case as applicable, such Debt Securities will constitute valid and binding obligations of the Company enforceable against the Company in accordance with their terms.</w:t>
      </w:r>
    </w:p>
    <w:p>
      <w:pPr>
        <w:spacing w:after="0" w:line="177" w:lineRule="exact"/>
        <w:rPr>
          <w:rFonts w:ascii="Arial" w:cs="Arial" w:eastAsia="Arial" w:hAnsi="Arial"/>
          <w:sz w:val="17"/>
          <w:szCs w:val="17"/>
          <w:color w:val="auto"/>
        </w:rPr>
      </w:pPr>
    </w:p>
    <w:p>
      <w:pPr>
        <w:ind w:right="20" w:firstLine="8"/>
        <w:spacing w:after="0" w:line="257" w:lineRule="auto"/>
        <w:tabs>
          <w:tab w:leader="none" w:pos="4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the Warrants, assuming the (a) taking of all necessary corporate action to authorize and approve the issuance and terms of the Warrants, the terms of the offering thereof and related matters and (b) due execution, countersignature, issuance and delivery of such Warrants upon payment of the consideration for such Warrants provided for in the applicable definitive purchase, underwriting or similar agreement approved by the Board and otherwise in accordance with the provisions of the applicable Warrant Agreement, such Warrants will constitute valid and binding obligations of the Company, enforceable against the Company in accordance with their terms.</w:t>
      </w:r>
    </w:p>
    <w:p>
      <w:pPr>
        <w:spacing w:after="0" w:line="187" w:lineRule="exact"/>
        <w:rPr>
          <w:rFonts w:ascii="Arial" w:cs="Arial" w:eastAsia="Arial" w:hAnsi="Arial"/>
          <w:sz w:val="18"/>
          <w:szCs w:val="18"/>
          <w:color w:val="auto"/>
        </w:rPr>
      </w:pPr>
    </w:p>
    <w:p>
      <w:pPr>
        <w:ind w:firstLine="8"/>
        <w:spacing w:after="0" w:line="272" w:lineRule="auto"/>
        <w:tabs>
          <w:tab w:leader="none" w:pos="45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 respect to the Rights, assuming the (a) taking of all necessary corporate action to authorize and approve the issuance and terms of any Rights, the related Rights Agreements and any Shelf Securities which are components of the Rights, (b) due execution, countersignature (where applicable), authentication, issuance and delivery of the Rights, the Rights Agreements, and the Shelf Securities that are components of such Rights, in each case upon the payment of the consideration therefor provided for in the applicable definitive purchase, underwriting or similar agreement approved by the Board, and otherwise in accordance with the provisions of the applicable (i) Warrant Agreement, in the case of Warrants, (ii) Senior Indenture, in the case of Senior Debt Securities, and (iii) Subordinated Indenture, in the case of Subordinated Debt Securities, such Rights will be validly issued and will entitle the holders thereof to the rights specified in the Rights Agreements.</w:t>
      </w:r>
    </w:p>
    <w:p>
      <w:pPr>
        <w:spacing w:after="0" w:line="177" w:lineRule="exact"/>
        <w:rPr>
          <w:rFonts w:ascii="Arial" w:cs="Arial" w:eastAsia="Arial" w:hAnsi="Arial"/>
          <w:sz w:val="17"/>
          <w:szCs w:val="17"/>
          <w:color w:val="auto"/>
        </w:rPr>
      </w:pPr>
    </w:p>
    <w:p>
      <w:pPr>
        <w:ind w:right="20" w:firstLine="8"/>
        <w:spacing w:after="0" w:line="291" w:lineRule="auto"/>
        <w:tabs>
          <w:tab w:leader="none" w:pos="45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execution and terms of any Units, the related Unit Agreements and any Shelf Securities which are components of the Units, the terms of the offering thereof and related matters,</w:t>
      </w: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(b) due execution, countersignature (where applicable), authentication, issuance and delivery of the Units, the Unit Agreements, and the Shelf Securities that are components of such Units, in each case upon the payment of the consideration therefor provided for in the applicable definitive purchase, underwriting or similar agreement approved by the Board, and otherwise in accordance with the provisions of the applicable (i) Warrant Agreement, in the case of Warrants, (ii) Rights Agreement, in the case of Rights, (iii) Senior Indenture, in the case of Senior Debt Securities, and (iv) Subordinated Indenture, in the case of Subordinated Debt Securities, such Units will be validly issued and will entitle the holders thereof to the rights specified in the Unit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XWELL,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-121920</wp:posOffset>
            </wp:positionV>
            <wp:extent cx="1440180" cy="668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a:extLst>
                        <a:ext uri="{28A0092B-C50C-407E-A947-70E740481C1C}"/>
                      </a:extLst>
                    </a:blip>
                    <a:srcRect/>
                    <a:stretch>
                      <a:fillRect/>
                    </a:stretch>
                  </pic:blipFill>
                  <pic:spPr bwMode="auto">
                    <a:xfrm>
                      <a:off x="0" y="0"/>
                      <a:ext cx="1440180" cy="6686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to the assumptions, comments, qualifications, limitations and exceptions set forth above, the opinions set forth herein are further limited by, subject to and based upon the following assumptions, comments, qualifications, limitations and exceptions:</w:t>
      </w:r>
    </w:p>
    <w:p>
      <w:pPr>
        <w:spacing w:after="0" w:line="170" w:lineRule="exact"/>
        <w:rPr>
          <w:sz w:val="20"/>
          <w:szCs w:val="20"/>
          <w:color w:val="auto"/>
        </w:rPr>
      </w:pPr>
    </w:p>
    <w:p>
      <w:pPr>
        <w:ind w:right="140" w:firstLine="8"/>
        <w:spacing w:after="0" w:line="254" w:lineRule="auto"/>
        <w:tabs>
          <w:tab w:leader="none" w:pos="5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opinions herein reflect only the application of (i) the General Corporation Law of the State of Delaware (including the statutory provisions, all applicable provisions of the Delaware constitution and reported judicial decisions interpreting the foregoing) and (ii) the federal laws of the United States (excluding the federal securities laws, as to which we express no opinion).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91" w:lineRule="exact"/>
        <w:rPr>
          <w:rFonts w:ascii="Arial" w:cs="Arial" w:eastAsia="Arial" w:hAnsi="Arial"/>
          <w:sz w:val="18"/>
          <w:szCs w:val="18"/>
          <w:color w:val="auto"/>
        </w:rPr>
      </w:pPr>
    </w:p>
    <w:p>
      <w:pPr>
        <w:ind w:right="40" w:firstLine="8"/>
        <w:spacing w:after="0" w:line="272" w:lineRule="auto"/>
        <w:tabs>
          <w:tab w:leader="none" w:pos="52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opinions herein are subject to and may be limited by (i) applicable bankruptcy, insolvency, reorganization, receivership, moratorium and other similar laws affecting or relating to the rights and remedies of creditors generally including, without limitation, laws relating to fraudulent transfers or conveyances, preferences and equitable subordination; (ii) general principles of equity (regardless of whether considered in a proceeding in equity or at law); (iii) an implied covenant of good faith and fair dealing; (iv) requirements that a claim with respect to the Shelf Securities denominated other than in United States dollars (or a judgment denominated other than in United States dollars with respect to such a claim) be converted into United States dollars at a rate of exchange prevailing on a date determined pursuant to applicable law; and (v) governmental authority to limit, delay or prohibit the making of payments outside the United States or in foreign or composite currency.</w:t>
      </w:r>
    </w:p>
    <w:p>
      <w:pPr>
        <w:spacing w:after="0" w:line="177" w:lineRule="exact"/>
        <w:rPr>
          <w:rFonts w:ascii="Arial" w:cs="Arial" w:eastAsia="Arial" w:hAnsi="Arial"/>
          <w:sz w:val="17"/>
          <w:szCs w:val="17"/>
          <w:color w:val="auto"/>
        </w:rPr>
      </w:pPr>
    </w:p>
    <w:p>
      <w:pPr>
        <w:ind w:firstLine="8"/>
        <w:spacing w:after="0" w:line="254" w:lineRule="auto"/>
        <w:tabs>
          <w:tab w:leader="none" w:pos="5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opinions are further subject to the effect of generally applicable rules of law arising from statutes, judicial and administrative decisions, and the rules and regulations of governmental authorities that: (i) limit or affect the enforcement of provisions of a contract that purport to require waiver of the obligations of good faith, fair dealing, diligence and reasonableness;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recklessness, willful misconduct or unlawful conduct; (iv) may, where less than all of the contract may be unenforceable, limit the enforceability of the balance of the contract to circumstances in which the unenforceable portion is not an essential part of the agreed exchange; and (v) govern and afford judicial discretion regarding the determination of damages and entitlement to attorneys’ fees.</w:t>
      </w:r>
    </w:p>
    <w:p>
      <w:pPr>
        <w:spacing w:after="0" w:line="191" w:lineRule="exact"/>
        <w:rPr>
          <w:rFonts w:ascii="Arial" w:cs="Arial" w:eastAsia="Arial" w:hAnsi="Arial"/>
          <w:sz w:val="18"/>
          <w:szCs w:val="18"/>
          <w:color w:val="auto"/>
        </w:rPr>
      </w:pPr>
    </w:p>
    <w:p>
      <w:pPr>
        <w:ind w:right="200" w:firstLine="8"/>
        <w:spacing w:after="0" w:line="263" w:lineRule="auto"/>
        <w:tabs>
          <w:tab w:leader="none" w:pos="5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express no opinion as to the enforceability of any rights to indemnification or contribution provided for in any Senior Indenture, Subordinated Indenture, Warrant Agreement, Rights Agreement, Unit Agreement or other agreement which are violative of public policy underlying any law, rule or regulation (including any federal or State securities law, rule or regulation) or the legality of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XWELL,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-121920</wp:posOffset>
            </wp:positionV>
            <wp:extent cx="1440180" cy="668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extLst>
                        <a:ext uri="{28A0092B-C50C-407E-A947-70E740481C1C}"/>
                      </a:extLst>
                    </a:blip>
                    <a:srcRect/>
                    <a:stretch>
                      <a:fillRect/>
                    </a:stretch>
                  </pic:blipFill>
                  <pic:spPr bwMode="auto">
                    <a:xfrm>
                      <a:off x="0" y="0"/>
                      <a:ext cx="1440180" cy="6686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8"/>
        <w:spacing w:after="0" w:line="287" w:lineRule="auto"/>
        <w:tabs>
          <w:tab w:leader="none" w:pos="5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We express no opinion as to the enforceability of (1) any provision in any Senior Indenture, Subordinated Indenture, Warrant Agreement, Rights Agreement, Unit Agreement or other agreement purporting or attempting to (A) confer exclusive jurisdiction and/or venue upon certain courts or otherwise waive the defenses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or improper venue, (B) confer subject matter jurisdiction on a court not having independent grounds therefor,</w:t>
      </w:r>
    </w:p>
    <w:p>
      <w:pPr>
        <w:spacing w:after="0" w:line="2" w:lineRule="exact"/>
        <w:rPr>
          <w:rFonts w:ascii="Arial" w:cs="Arial" w:eastAsia="Arial" w:hAnsi="Arial"/>
          <w:sz w:val="16"/>
          <w:szCs w:val="16"/>
          <w:color w:val="auto"/>
        </w:rPr>
      </w:pPr>
    </w:p>
    <w:p>
      <w:pPr>
        <w:ind w:right="80"/>
        <w:spacing w:after="0" w:line="273" w:lineRule="auto"/>
        <w:rPr>
          <w:rFonts w:ascii="Arial" w:cs="Arial" w:eastAsia="Arial" w:hAnsi="Arial"/>
          <w:sz w:val="16"/>
          <w:szCs w:val="16"/>
          <w:color w:val="auto"/>
        </w:rPr>
      </w:pPr>
      <w:r>
        <w:rPr>
          <w:rFonts w:ascii="Arial" w:cs="Arial" w:eastAsia="Arial" w:hAnsi="Arial"/>
          <w:sz w:val="17"/>
          <w:szCs w:val="17"/>
          <w:color w:val="auto"/>
        </w:rPr>
        <w:t>(C) modify or waive the requirements for effective service of process for any action that may be brought, (D) waive the right of the Company or any other person to a trial by jury, (E) provide that remedies are cumulative or that decisions by a party are conclusive, or (F) modify or waive the rights to notice, legal defenses, statutes of limitations or other benefits that cannot be waived under applicable law or (2) any choice of law provision of any Senior Indenture, Subordinated Indenture, Warrant Agreement, Rights Agreement, Unit Agreement or other agreement relating thereto.</w:t>
      </w:r>
    </w:p>
    <w:p>
      <w:pPr>
        <w:spacing w:after="0" w:line="176" w:lineRule="exact"/>
        <w:rPr>
          <w:rFonts w:ascii="Arial" w:cs="Arial" w:eastAsia="Arial" w:hAnsi="Arial"/>
          <w:sz w:val="16"/>
          <w:szCs w:val="16"/>
          <w:color w:val="auto"/>
        </w:rPr>
      </w:pPr>
    </w:p>
    <w:p>
      <w:pPr>
        <w:ind w:firstLine="8"/>
        <w:spacing w:after="0" w:line="25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have informed us that you intend to issue the Shelf Securities from time to time on a delayed or continuous basis, and this opinion is limited to the laws, including the rules and regulations, as in effect on the date hereof. We understand that prior to issuing any Shelf Securities you will afford us an opportunity to review the operative documents pursuant to which such Shelf Securities are to be issued (including the applicable prospectus supplement) and will file such supplement or amendment to this opinion (if any) as we may reasonably consider necessary or appropriate by reason of the terms of such Shelf Securities.</w:t>
      </w:r>
    </w:p>
    <w:p>
      <w:pPr>
        <w:spacing w:after="0" w:line="18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do not render any opinions except as set forth above. We hereby consent to the filing of this opinion as an exhibit to the Registration Statement and to the use of our name under the caption “Legal Matters” in the Prospectus. We also consent to your filing copies of this opinion as an exhibit to the Registration Statement with agencies of such States as you deem necessary in the course of complying with the laws of such States regarding the offering and sale of the Shelf Securities. In giving such consent, we do not thereby concede that we are within the category of persons whose consent is required under Section 7 of the Act or the Rules and Regulations of the Commission thereunder.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Bryan Cave Leighton Paisner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3" w:name="page44"/>
    <w:bookmarkEnd w:id="43"/>
    <w:p>
      <w:pPr>
        <w:ind w:left="1032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of XWELL, Inc. on Form S-3 of our report dated April 17, 2023, with respect to our audit of the consolidated financial statements of XWELL, Inc. as of December 31, 2022 and for the year ended December 31, 2022 appearing in the Annual Report on Form 10-K of XWELL, Inc. for the year ended December 31, 2022. We also consent to the reference to our firm under the heading “Experts” in the Prospectus, which is part of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East Hanover, 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left="10320"/>
        <w:spacing w:after="0"/>
        <w:rPr>
          <w:sz w:val="20"/>
          <w:szCs w:val="20"/>
          <w:color w:val="auto"/>
        </w:rPr>
      </w:pPr>
      <w:r>
        <w:rPr>
          <w:rFonts w:ascii="Arial" w:cs="Arial" w:eastAsia="Arial" w:hAnsi="Arial"/>
          <w:sz w:val="16"/>
          <w:szCs w:val="16"/>
          <w:b w:val="1"/>
          <w:bCs w:val="1"/>
          <w:color w:val="auto"/>
        </w:rPr>
        <w:t>Exhibit 23.2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of XWELL, Inc. on Form S-3 of our report dated March 30, 2022, with respect to our audit of the consolidated financial statements of XWELL, Inc. as of December 31, 2021 and for the year ended December 31, 2021 appearing in the Annual Report on Form 10-K of XWELL, Inc. for the year ended December 31, 2022. We also consent to the reference to our firm under the heading “Experts” in this Registration Statement.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dismissed as auditors on October 4, 2022, and, accordingly, we have not performed any audit or review procedures with respect to any financial statements for the periods after the date of our dismissal.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East Hanover, NJ</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XWELL,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040" w:type="dxa"/>
            <w:vAlign w:val="bottom"/>
            <w:tcBorders>
              <w:top w:val="single" w:sz="8" w:color="auto"/>
              <w:left w:val="single" w:sz="8" w:color="auto"/>
              <w:right w:val="single" w:sz="8" w:color="auto"/>
            </w:tcBorders>
          </w:tcPr>
          <w:p>
            <w:pPr>
              <w:spacing w:after="0"/>
              <w:rPr>
                <w:sz w:val="18"/>
                <w:szCs w:val="18"/>
                <w:color w:val="auto"/>
              </w:rPr>
            </w:pPr>
          </w:p>
        </w:tc>
        <w:tc>
          <w:tcPr>
            <w:tcW w:w="334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14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14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7"/>
              </w:rPr>
              <w:t>Security</w:t>
            </w:r>
          </w:p>
        </w:tc>
        <w:tc>
          <w:tcPr>
            <w:tcW w:w="3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Calculation</w:t>
            </w:r>
          </w:p>
        </w:tc>
        <w:tc>
          <w:tcPr>
            <w:tcW w:w="140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Amount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Price Per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41"/>
        </w:trPr>
        <w:tc>
          <w:tcPr>
            <w:tcW w:w="10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Type</w:t>
            </w:r>
          </w:p>
        </w:tc>
        <w:tc>
          <w:tcPr>
            <w:tcW w:w="334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Security Class Title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Rule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Registered(1)(2)</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Security(3)(4)</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Price(4)</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vMerge w:val="restart"/>
          </w:tcPr>
          <w:p>
            <w:pPr>
              <w:jc w:val="center"/>
              <w:ind w:left="70"/>
              <w:spacing w:after="0"/>
              <w:rPr>
                <w:sz w:val="20"/>
                <w:szCs w:val="20"/>
                <w:color w:val="auto"/>
              </w:rPr>
            </w:pPr>
            <w:r>
              <w:rPr>
                <w:rFonts w:ascii="Arial" w:cs="Arial" w:eastAsia="Arial" w:hAnsi="Arial"/>
                <w:sz w:val="18"/>
                <w:szCs w:val="18"/>
                <w:color w:val="auto"/>
                <w:w w:val="95"/>
              </w:rPr>
              <w:t>Equity</w:t>
            </w:r>
          </w:p>
        </w:tc>
        <w:tc>
          <w:tcPr>
            <w:tcW w:w="3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Common Stock, $0.01 par value per share</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457(o)</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$110.20 per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vMerge w:val="continue"/>
          </w:tcPr>
          <w:p>
            <w:pPr>
              <w:spacing w:after="0"/>
              <w:rPr>
                <w:sz w:val="10"/>
                <w:szCs w:val="10"/>
                <w:color w:val="auto"/>
              </w:rPr>
            </w:pPr>
          </w:p>
        </w:tc>
        <w:tc>
          <w:tcPr>
            <w:tcW w:w="33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$1,000,000</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bottom w:val="single" w:sz="8" w:color="auto"/>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vMerge w:val="restart"/>
          </w:tcPr>
          <w:p>
            <w:pPr>
              <w:jc w:val="center"/>
              <w:ind w:left="70"/>
              <w:spacing w:after="0"/>
              <w:rPr>
                <w:sz w:val="20"/>
                <w:szCs w:val="20"/>
                <w:color w:val="auto"/>
              </w:rPr>
            </w:pPr>
            <w:r>
              <w:rPr>
                <w:rFonts w:ascii="Arial" w:cs="Arial" w:eastAsia="Arial" w:hAnsi="Arial"/>
                <w:sz w:val="18"/>
                <w:szCs w:val="18"/>
                <w:color w:val="auto"/>
                <w:w w:val="95"/>
              </w:rPr>
              <w:t>Equity</w:t>
            </w:r>
          </w:p>
        </w:tc>
        <w:tc>
          <w:tcPr>
            <w:tcW w:w="3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5"/>
              </w:rPr>
              <w:t>Preferred Stock, $0.01 par value per share</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457(o)</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$110.20 per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vMerge w:val="continue"/>
          </w:tcPr>
          <w:p>
            <w:pPr>
              <w:spacing w:after="0"/>
              <w:rPr>
                <w:sz w:val="10"/>
                <w:szCs w:val="10"/>
                <w:color w:val="auto"/>
              </w:rPr>
            </w:pPr>
          </w:p>
        </w:tc>
        <w:tc>
          <w:tcPr>
            <w:tcW w:w="33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$1,000,000</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bottom w:val="single" w:sz="8" w:color="auto"/>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vMerge w:val="restart"/>
          </w:tcPr>
          <w:p>
            <w:pPr>
              <w:jc w:val="center"/>
              <w:ind w:left="50"/>
              <w:spacing w:after="0"/>
              <w:rPr>
                <w:sz w:val="20"/>
                <w:szCs w:val="20"/>
                <w:color w:val="auto"/>
              </w:rPr>
            </w:pPr>
            <w:r>
              <w:rPr>
                <w:rFonts w:ascii="Arial" w:cs="Arial" w:eastAsia="Arial" w:hAnsi="Arial"/>
                <w:sz w:val="18"/>
                <w:szCs w:val="18"/>
                <w:color w:val="auto"/>
                <w:w w:val="89"/>
              </w:rPr>
              <w:t>Debt</w:t>
            </w:r>
          </w:p>
        </w:tc>
        <w:tc>
          <w:tcPr>
            <w:tcW w:w="3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Debt Securities</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457(o)</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$110.20 per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vMerge w:val="continue"/>
          </w:tcPr>
          <w:p>
            <w:pPr>
              <w:spacing w:after="0"/>
              <w:rPr>
                <w:sz w:val="10"/>
                <w:szCs w:val="10"/>
                <w:color w:val="auto"/>
              </w:rPr>
            </w:pPr>
          </w:p>
        </w:tc>
        <w:tc>
          <w:tcPr>
            <w:tcW w:w="33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$1,000,000</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bottom w:val="single" w:sz="8" w:color="auto"/>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jc w:val="center"/>
              <w:ind w:left="50"/>
              <w:spacing w:after="0" w:line="195" w:lineRule="exact"/>
              <w:rPr>
                <w:sz w:val="20"/>
                <w:szCs w:val="20"/>
                <w:color w:val="auto"/>
              </w:rPr>
            </w:pPr>
            <w:r>
              <w:rPr>
                <w:rFonts w:ascii="Arial" w:cs="Arial" w:eastAsia="Arial" w:hAnsi="Arial"/>
                <w:sz w:val="18"/>
                <w:szCs w:val="18"/>
                <w:color w:val="auto"/>
                <w:w w:val="89"/>
              </w:rPr>
              <w:t>Debt</w:t>
            </w:r>
          </w:p>
        </w:tc>
        <w:tc>
          <w:tcPr>
            <w:tcW w:w="33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$110.20 per</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right w:val="single" w:sz="8" w:color="auto"/>
            </w:tcBorders>
            <w:vMerge w:val="restart"/>
          </w:tcPr>
          <w:p>
            <w:pPr>
              <w:jc w:val="center"/>
              <w:ind w:left="50"/>
              <w:spacing w:after="0"/>
              <w:rPr>
                <w:sz w:val="20"/>
                <w:szCs w:val="20"/>
                <w:color w:val="auto"/>
              </w:rPr>
            </w:pPr>
            <w:r>
              <w:rPr>
                <w:rFonts w:ascii="Arial" w:cs="Arial" w:eastAsia="Arial" w:hAnsi="Arial"/>
                <w:sz w:val="18"/>
                <w:szCs w:val="18"/>
                <w:color w:val="auto"/>
                <w:w w:val="94"/>
              </w:rPr>
              <w:t>Convertible</w:t>
            </w:r>
          </w:p>
        </w:tc>
        <w:tc>
          <w:tcPr>
            <w:tcW w:w="3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Warrants</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457(o)</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right w:val="single" w:sz="8" w:color="auto"/>
            </w:tcBorders>
            <w:vMerge w:val="continue"/>
          </w:tcPr>
          <w:p>
            <w:pPr>
              <w:spacing w:after="0"/>
              <w:rPr>
                <w:sz w:val="9"/>
                <w:szCs w:val="9"/>
                <w:color w:val="auto"/>
              </w:rPr>
            </w:pPr>
          </w:p>
        </w:tc>
        <w:tc>
          <w:tcPr>
            <w:tcW w:w="334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$1,000,000</w:t>
            </w: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vMerge w:val="restart"/>
          </w:tcPr>
          <w:p>
            <w:pPr>
              <w:jc w:val="center"/>
              <w:ind w:left="50"/>
              <w:spacing w:after="0"/>
              <w:rPr>
                <w:sz w:val="20"/>
                <w:szCs w:val="20"/>
                <w:color w:val="auto"/>
              </w:rPr>
            </w:pPr>
            <w:r>
              <w:rPr>
                <w:rFonts w:ascii="Arial" w:cs="Arial" w:eastAsia="Arial" w:hAnsi="Arial"/>
                <w:sz w:val="18"/>
                <w:szCs w:val="18"/>
                <w:color w:val="auto"/>
                <w:w w:val="97"/>
              </w:rPr>
              <w:t>into Equity</w:t>
            </w:r>
          </w:p>
        </w:tc>
        <w:tc>
          <w:tcPr>
            <w:tcW w:w="33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vMerge w:val="restart"/>
          </w:tcPr>
          <w:p>
            <w:pPr>
              <w:jc w:val="center"/>
              <w:ind w:left="50"/>
              <w:spacing w:after="0"/>
              <w:rPr>
                <w:sz w:val="20"/>
                <w:szCs w:val="20"/>
                <w:color w:val="auto"/>
              </w:rPr>
            </w:pPr>
            <w:r>
              <w:rPr>
                <w:rFonts w:ascii="Arial" w:cs="Arial" w:eastAsia="Arial" w:hAnsi="Arial"/>
                <w:sz w:val="18"/>
                <w:szCs w:val="18"/>
                <w:color w:val="auto"/>
                <w:w w:val="93"/>
              </w:rPr>
              <w:t>Other</w:t>
            </w:r>
          </w:p>
        </w:tc>
        <w:tc>
          <w:tcPr>
            <w:tcW w:w="3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Rights</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457(o)</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$110.20 per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vMerge w:val="continue"/>
          </w:tcPr>
          <w:p>
            <w:pPr>
              <w:spacing w:after="0"/>
              <w:rPr>
                <w:sz w:val="10"/>
                <w:szCs w:val="10"/>
                <w:color w:val="auto"/>
              </w:rPr>
            </w:pPr>
          </w:p>
        </w:tc>
        <w:tc>
          <w:tcPr>
            <w:tcW w:w="33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$1,000,000</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bottom w:val="single" w:sz="8" w:color="auto"/>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vMerge w:val="restart"/>
          </w:tcPr>
          <w:p>
            <w:pPr>
              <w:jc w:val="center"/>
              <w:ind w:left="70"/>
              <w:spacing w:after="0"/>
              <w:rPr>
                <w:sz w:val="20"/>
                <w:szCs w:val="20"/>
                <w:color w:val="auto"/>
              </w:rPr>
            </w:pPr>
            <w:r>
              <w:rPr>
                <w:rFonts w:ascii="Arial" w:cs="Arial" w:eastAsia="Arial" w:hAnsi="Arial"/>
                <w:sz w:val="18"/>
                <w:szCs w:val="18"/>
                <w:color w:val="auto"/>
                <w:w w:val="95"/>
              </w:rPr>
              <w:t>Equity</w:t>
            </w:r>
          </w:p>
        </w:tc>
        <w:tc>
          <w:tcPr>
            <w:tcW w:w="3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Units</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457(o)</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$110.20 per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vMerge w:val="continue"/>
          </w:tcPr>
          <w:p>
            <w:pPr>
              <w:spacing w:after="0"/>
              <w:rPr>
                <w:sz w:val="10"/>
                <w:szCs w:val="10"/>
                <w:color w:val="auto"/>
              </w:rPr>
            </w:pPr>
          </w:p>
        </w:tc>
        <w:tc>
          <w:tcPr>
            <w:tcW w:w="33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$1,000,000</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bottom w:val="single" w:sz="8" w:color="auto"/>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tcBorders>
          </w:tcPr>
          <w:p>
            <w:pPr>
              <w:ind w:left="2120"/>
              <w:spacing w:after="0"/>
              <w:rPr>
                <w:sz w:val="20"/>
                <w:szCs w:val="20"/>
                <w:color w:val="auto"/>
              </w:rPr>
            </w:pPr>
            <w:r>
              <w:rPr>
                <w:rFonts w:ascii="Arial" w:cs="Arial" w:eastAsia="Arial" w:hAnsi="Arial"/>
                <w:sz w:val="18"/>
                <w:szCs w:val="18"/>
                <w:b w:val="1"/>
                <w:bCs w:val="1"/>
                <w:color w:val="auto"/>
                <w:w w:val="99"/>
              </w:rPr>
              <w:t>Total Offering</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Amounts</w:t>
            </w:r>
          </w:p>
        </w:tc>
        <w:tc>
          <w:tcPr>
            <w:tcW w:w="14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$200,000,000</w:t>
            </w:r>
          </w:p>
        </w:tc>
        <w:tc>
          <w:tcPr>
            <w:tcW w:w="9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$22,040.00</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4360" w:type="dxa"/>
            <w:vAlign w:val="bottom"/>
            <w:tcBorders>
              <w:bottom w:val="single" w:sz="8" w:color="auto"/>
            </w:tcBorders>
            <w:gridSpan w:val="2"/>
          </w:tcPr>
          <w:p>
            <w:pPr>
              <w:jc w:val="center"/>
              <w:ind w:left="1610"/>
              <w:spacing w:after="0"/>
              <w:rPr>
                <w:sz w:val="20"/>
                <w:szCs w:val="20"/>
                <w:color w:val="auto"/>
              </w:rPr>
            </w:pPr>
            <w:r>
              <w:rPr>
                <w:rFonts w:ascii="Arial" w:cs="Arial" w:eastAsia="Arial" w:hAnsi="Arial"/>
                <w:sz w:val="18"/>
                <w:szCs w:val="18"/>
                <w:b w:val="1"/>
                <w:bCs w:val="1"/>
                <w:color w:val="auto"/>
                <w:w w:val="88"/>
              </w:rPr>
              <w:t>Total Fees Previously Paid</w:t>
            </w:r>
          </w:p>
        </w:tc>
        <w:tc>
          <w:tcPr>
            <w:tcW w:w="14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tcBorders>
          </w:tcPr>
          <w:p>
            <w:pPr>
              <w:spacing w:after="0"/>
              <w:rPr>
                <w:sz w:val="18"/>
                <w:szCs w:val="18"/>
                <w:color w:val="auto"/>
              </w:rPr>
            </w:pPr>
          </w:p>
        </w:tc>
        <w:tc>
          <w:tcPr>
            <w:tcW w:w="4360" w:type="dxa"/>
            <w:vAlign w:val="bottom"/>
            <w:tcBorders>
              <w:bottom w:val="single" w:sz="8" w:color="auto"/>
            </w:tcBorders>
            <w:gridSpan w:val="2"/>
          </w:tcPr>
          <w:p>
            <w:pPr>
              <w:jc w:val="center"/>
              <w:ind w:left="1610"/>
              <w:spacing w:after="0"/>
              <w:rPr>
                <w:sz w:val="20"/>
                <w:szCs w:val="20"/>
                <w:color w:val="auto"/>
              </w:rPr>
            </w:pPr>
            <w:r>
              <w:rPr>
                <w:rFonts w:ascii="Arial" w:cs="Arial" w:eastAsia="Arial" w:hAnsi="Arial"/>
                <w:sz w:val="18"/>
                <w:szCs w:val="18"/>
                <w:b w:val="1"/>
                <w:bCs w:val="1"/>
                <w:color w:val="auto"/>
                <w:w w:val="88"/>
              </w:rPr>
              <w:t>Total Fee Offsets</w:t>
            </w:r>
          </w:p>
        </w:tc>
        <w:tc>
          <w:tcPr>
            <w:tcW w:w="14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$13,461.94</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4360" w:type="dxa"/>
            <w:vAlign w:val="bottom"/>
            <w:tcBorders>
              <w:bottom w:val="single" w:sz="8" w:color="auto"/>
            </w:tcBorders>
            <w:gridSpan w:val="2"/>
          </w:tcPr>
          <w:p>
            <w:pPr>
              <w:jc w:val="center"/>
              <w:ind w:left="1610"/>
              <w:spacing w:after="0"/>
              <w:rPr>
                <w:sz w:val="20"/>
                <w:szCs w:val="20"/>
                <w:color w:val="auto"/>
              </w:rPr>
            </w:pPr>
            <w:r>
              <w:rPr>
                <w:rFonts w:ascii="Arial" w:cs="Arial" w:eastAsia="Arial" w:hAnsi="Arial"/>
                <w:sz w:val="18"/>
                <w:szCs w:val="18"/>
                <w:b w:val="1"/>
                <w:bCs w:val="1"/>
                <w:color w:val="auto"/>
                <w:w w:val="90"/>
              </w:rPr>
              <w:t>Net Fee Due</w:t>
            </w:r>
          </w:p>
        </w:tc>
        <w:tc>
          <w:tcPr>
            <w:tcW w:w="14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$8,578.06</w:t>
            </w:r>
          </w:p>
        </w:tc>
        <w:tc>
          <w:tcPr>
            <w:tcW w:w="0" w:type="dxa"/>
            <w:vAlign w:val="bottom"/>
          </w:tcPr>
          <w:p>
            <w:pPr>
              <w:spacing w:after="0"/>
              <w:rPr>
                <w:sz w:val="1"/>
                <w:szCs w:val="1"/>
                <w:color w:val="auto"/>
              </w:rPr>
            </w:pPr>
          </w:p>
        </w:tc>
      </w:tr>
    </w:tbl>
    <w:p>
      <w:pPr>
        <w:ind w:left="440" w:right="140" w:hanging="432"/>
        <w:spacing w:after="0" w:line="281"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securities registered hereunder include such indeterminate number of (a) shares of common stock, (b) shares of preferred stock, (c) debt securities, (d) warrants to purchase common stock, preferred stock or debt securities, (e) rights to purchase common stock, preferred stock, debt securities, warrants or units consisting of some or all of these securities of the registrant, and (f) units consisting of some or all of these securities, as may be sold from time to time by the registrant. There are also being registered hereunder an indeterminate number of shares of common stock and preferred stock as shall be issuable upon conversion, exchange or exercise of any securities that provide for such issuance.</w:t>
      </w:r>
    </w:p>
    <w:p>
      <w:pPr>
        <w:spacing w:after="0" w:line="2" w:lineRule="exact"/>
        <w:rPr>
          <w:rFonts w:ascii="Arial" w:cs="Arial" w:eastAsia="Arial" w:hAnsi="Arial"/>
          <w:sz w:val="16"/>
          <w:szCs w:val="16"/>
          <w:color w:val="auto"/>
        </w:rPr>
      </w:pPr>
    </w:p>
    <w:p>
      <w:pPr>
        <w:ind w:left="440" w:right="260" w:hanging="432"/>
        <w:spacing w:after="0" w:line="265" w:lineRule="auto"/>
        <w:tabs>
          <w:tab w:leader="none" w:pos="4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or the Securities Act, this registration statement shall also cover any additional shares of the registrant’s securities that become issuable by reason of any share splits, share dividends or similar transactions.</w:t>
      </w:r>
    </w:p>
    <w:p>
      <w:pPr>
        <w:jc w:val="both"/>
        <w:ind w:left="440" w:right="300" w:hanging="432"/>
        <w:spacing w:after="0" w:line="265" w:lineRule="auto"/>
        <w:tabs>
          <w:tab w:leader="none" w:pos="4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 3 under the Securities Act. Separate consideration may or may not be received for securities that are issuable on exercise, conversion or exchange of other securities, or that are issued in units.</w:t>
      </w:r>
    </w:p>
    <w:p>
      <w:pPr>
        <w:ind w:left="440" w:right="120" w:hanging="432"/>
        <w:spacing w:after="0" w:line="260"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Subject to Rule 462(b) under the Securities Act, the aggregate maximum offering price of all securities issued by the registrant pursuant to this registration statement will not exceed $200,000,000.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u w:val="single" w:color="auto"/>
          <w:color w:val="auto"/>
        </w:rPr>
        <w:t>Table 2: Fee Offset Claims and Sources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00" w:type="dxa"/>
            <w:vAlign w:val="bottom"/>
            <w:tcBorders>
              <w:top w:val="single" w:sz="8" w:color="auto"/>
              <w:left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Unsold</w:t>
            </w:r>
          </w:p>
        </w:tc>
        <w:tc>
          <w:tcPr>
            <w:tcW w:w="198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Security Type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Security Title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6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Associated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Associated</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Associated</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Unsold Aggregate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Fee Paid</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Registrant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w:t>
            </w:r>
          </w:p>
        </w:tc>
        <w:tc>
          <w:tcPr>
            <w:tcW w:w="6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Initial</w:t>
            </w:r>
          </w:p>
        </w:tc>
        <w:tc>
          <w:tcPr>
            <w:tcW w:w="7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with Fee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with Fee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with Fee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Amount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with Fee</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or Filer</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Filing</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File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Filing</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Filing</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Fee Offset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Offset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Offset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Offset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Associated with Fee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Offset</w:t>
            </w:r>
          </w:p>
        </w:tc>
      </w:tr>
      <w:tr>
        <w:trPr>
          <w:trHeight w:val="234"/>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Type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Claimed</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Claimed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Claimed</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Claimed</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Offset Claimed</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Source</w:t>
            </w:r>
          </w:p>
        </w:tc>
      </w:tr>
      <w:tr>
        <w:trPr>
          <w:trHeight w:val="195"/>
        </w:trPr>
        <w:tc>
          <w:tcPr>
            <w:tcW w:w="6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3"/>
              </w:rPr>
              <w:t>Fee</w:t>
            </w:r>
          </w:p>
        </w:tc>
        <w:tc>
          <w:tcPr>
            <w:tcW w:w="90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Unallocated</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Unallocated</w:t>
            </w:r>
          </w:p>
        </w:tc>
        <w:tc>
          <w:tcPr>
            <w:tcW w:w="10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Unallocated</w:t>
            </w:r>
          </w:p>
        </w:tc>
        <w:tc>
          <w:tcPr>
            <w:tcW w:w="19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16"/>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Offset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XWELL,</w:t>
            </w:r>
          </w:p>
        </w:tc>
        <w:tc>
          <w:tcPr>
            <w:tcW w:w="5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333-</w:t>
            </w: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6"/>
              </w:rPr>
              <w:t>$13,461.94</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1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Claims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Inc.</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S-3</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240084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7/24/2020</w:t>
            </w:r>
          </w:p>
        </w:tc>
        <w:tc>
          <w:tcPr>
            <w:tcW w:w="7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$103,712,949.89 (1)</w:t>
            </w:r>
          </w:p>
        </w:tc>
        <w:tc>
          <w:tcPr>
            <w:tcW w:w="880" w:type="dxa"/>
            <w:vAlign w:val="bottom"/>
            <w:tcBorders>
              <w:bottom w:val="single" w:sz="8" w:color="auto"/>
              <w:right w:val="single" w:sz="8" w:color="auto"/>
            </w:tcBorders>
          </w:tcPr>
          <w:p>
            <w:pPr>
              <w:spacing w:after="0"/>
              <w:rPr>
                <w:sz w:val="20"/>
                <w:szCs w:val="20"/>
                <w:color w:val="auto"/>
              </w:rPr>
            </w:pPr>
          </w:p>
        </w:tc>
      </w:tr>
      <w:tr>
        <w:trPr>
          <w:trHeight w:val="195"/>
        </w:trPr>
        <w:tc>
          <w:tcPr>
            <w:tcW w:w="6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3"/>
              </w:rPr>
              <w:t>Fee</w:t>
            </w:r>
          </w:p>
        </w:tc>
        <w:tc>
          <w:tcPr>
            <w:tcW w:w="90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16"/>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Offset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XWELL,</w:t>
            </w:r>
          </w:p>
        </w:tc>
        <w:tc>
          <w:tcPr>
            <w:tcW w:w="5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333-</w:t>
            </w:r>
          </w:p>
        </w:tc>
        <w:tc>
          <w:tcPr>
            <w:tcW w:w="8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$13,461.94</w:t>
            </w:r>
          </w:p>
        </w:tc>
      </w:tr>
      <w:tr>
        <w:trPr>
          <w:trHeight w:val="237"/>
        </w:trPr>
        <w:tc>
          <w:tcPr>
            <w:tcW w:w="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Sources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Inc.</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S-3</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240084</w:t>
            </w:r>
          </w:p>
        </w:tc>
        <w:tc>
          <w:tcPr>
            <w:tcW w:w="8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7/24/2020</w:t>
            </w:r>
          </w:p>
        </w:tc>
        <w:tc>
          <w:tcPr>
            <w:tcW w:w="8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left="460" w:hanging="452"/>
        <w:spacing w:after="0" w:line="29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 has previously registered the offer and sale of $200,000,000 of securities pursuant to a universal shelf Registration Statement on Form S-3 (File No. 333-240084), filed with the Securities and Exchange Commission on July 24, 2020, and was declared effective by the Securities and Exchange Commission on August 5, 2020 (the “Prior Registration Statement”). In connection with the filing of the Prior Registration Statement, the registrant made a contemporaneous fee payment in the amount of $25,960. Of the $200,000,000 of securities registered under the Prior Registration Statement, $103,712,949.89 of the securities remain unsold (the “Unsold Securities”). Pursuant to Rule 457(p) under the Securities Act, the registration fee of $13,461.94 that has already been paid and remains unused with respect to the Unsold Securities is offset against the registration fee of $22,040 due for this offering. The registrant is withdrawing the unsold securities from the Prior Registration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3: Combined Prospectuses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07"/>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4">
    <w:nsid w:val="2CA88611"/>
    <w:multiLevelType w:val="hybridMultilevel"/>
    <w:lvl w:ilvl="0">
      <w:lvlJc w:val="left"/>
      <w:lvlText w:val="(%1)"/>
      <w:numFmt w:val="decimal"/>
      <w:start w:val="2"/>
    </w:lvl>
    <w:lvl w:ilvl="1">
      <w:lvlJc w:val="left"/>
      <w:lvlText w:val="(%2)"/>
      <w:numFmt w:val="lowerRoman"/>
      <w:start w:val="1"/>
    </w:lvl>
  </w:abstractNum>
  <w:abstractNum w:abstractNumId="25">
    <w:nsid w:val="836C40E"/>
    <w:multiLevelType w:val="hybridMultilevel"/>
    <w:lvl w:ilvl="0">
      <w:lvlJc w:val="left"/>
      <w:lvlText w:val="(%1)"/>
      <w:numFmt w:val="lowerLetter"/>
      <w:start w:val="2"/>
    </w:lvl>
    <w:lvl w:ilvl="1">
      <w:lvlJc w:val="left"/>
      <w:lvlText w:val="(%2)"/>
      <w:numFmt w:val="lowerRoman"/>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5"/>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8" Type="http://schemas.openxmlformats.org/officeDocument/2006/relationships/image" Target="media/image36.png"/><Relationship Id="rId86" Type="http://schemas.openxmlformats.org/officeDocument/2006/relationships/image" Target="media/image37.png"/><Relationship Id="rId87" Type="http://schemas.openxmlformats.org/officeDocument/2006/relationships/image" Target="media/image38.png"/><Relationship Id="rId88" Type="http://schemas.openxmlformats.org/officeDocument/2006/relationships/image" Target="media/image39.png"/><Relationship Id="rId89" Type="http://schemas.openxmlformats.org/officeDocument/2006/relationships/image" Target="media/image40.png"/><Relationship Id="rId90" Type="http://schemas.openxmlformats.org/officeDocument/2006/relationships/image" Target="media/image41.jpeg"/><Relationship Id="rId91" Type="http://schemas.openxmlformats.org/officeDocument/2006/relationships/image" Target="media/image42.png"/><Relationship Id="rId92" Type="http://schemas.openxmlformats.org/officeDocument/2006/relationships/image" Target="media/image43.jpeg"/><Relationship Id="rId93" Type="http://schemas.openxmlformats.org/officeDocument/2006/relationships/image" Target="media/image44.png"/><Relationship Id="rId94" Type="http://schemas.openxmlformats.org/officeDocument/2006/relationships/image" Target="media/image45.jpeg"/><Relationship Id="rId95" Type="http://schemas.openxmlformats.org/officeDocument/2006/relationships/image" Target="media/image46.png"/><Relationship Id="rId96" Type="http://schemas.openxmlformats.org/officeDocument/2006/relationships/image" Target="media/image47.jpeg"/><Relationship Id="rId97" Type="http://schemas.openxmlformats.org/officeDocument/2006/relationships/image" Target="media/image48.png"/><Relationship Id="rId98" Type="http://schemas.openxmlformats.org/officeDocument/2006/relationships/image" Target="media/image49.jpeg"/><Relationship Id="rId99" Type="http://schemas.openxmlformats.org/officeDocument/2006/relationships/image" Target="media/image50.png"/><Relationship Id="rId100" Type="http://schemas.openxmlformats.org/officeDocument/2006/relationships/image" Target="media/image51.png"/><Relationship Id="rId101" Type="http://schemas.openxmlformats.org/officeDocument/2006/relationships/image" Target="media/image52.png"/><Relationship Id="rId102" Type="http://schemas.openxmlformats.org/officeDocument/2006/relationships/image" Target="media/image53.png"/><Relationship Id="rId103" Type="http://schemas.openxmlformats.org/officeDocument/2006/relationships/image" Target="media/image54.png"/><Relationship Id="rId40" Type="http://schemas.openxmlformats.org/officeDocument/2006/relationships/hyperlink" Target="http://www.sec.gov/Archives/edgar/data/1410428/000155837023006084/0001558370-23-006084-index.htm" TargetMode="External"/><Relationship Id="rId41" Type="http://schemas.openxmlformats.org/officeDocument/2006/relationships/hyperlink" Target="http://www.sec.gov/Archives/edgar/data/1410428/000155837023007509/0001558370-23-007509-index.htm" TargetMode="External"/><Relationship Id="rId42" Type="http://schemas.openxmlformats.org/officeDocument/2006/relationships/hyperlink" Target="http://www.sec.gov/Archives/edgar/data/1410428/000155837023009943/0001558370-23-009943-index.htm" TargetMode="External"/><Relationship Id="rId43" Type="http://schemas.openxmlformats.org/officeDocument/2006/relationships/hyperlink" Target="http://www.sec.gov/Archives/edgar/data/1410428/000110465923051380/0001104659-23-051380-index.htm" TargetMode="External"/><Relationship Id="rId44" Type="http://schemas.openxmlformats.org/officeDocument/2006/relationships/hyperlink" Target="http://www.sec.gov/Archives/edgar/data/1410428/000110465923055809/0001104659-23-055809-index.htm" TargetMode="External"/><Relationship Id="rId45" Type="http://schemas.openxmlformats.org/officeDocument/2006/relationships/hyperlink" Target="http://www.sec.gov/Archives/edgar/data/1410428/000110465923072254/0001104659-23-072254-index.htm" TargetMode="External"/><Relationship Id="rId46" Type="http://schemas.openxmlformats.org/officeDocument/2006/relationships/hyperlink" Target="http://www.sec.gov/Archives/edgar/data/1410428/000110465923075565/0001104659-23-075565-index.htm" TargetMode="External"/><Relationship Id="rId47" Type="http://schemas.openxmlformats.org/officeDocument/2006/relationships/hyperlink" Target="http://www.sec.gov/Archives/edgar/data/1410428/000114420413024675/0001144204-13-024675-index.htm" TargetMode="External"/><Relationship Id="rId48" Type="http://schemas.openxmlformats.org/officeDocument/2006/relationships/hyperlink" Target="http://www.sec.gov/Archives/edgar/data/1410428/000119312510140514/0001193125-10-140514-index.htm" TargetMode="External"/><Relationship Id="rId49" Type="http://schemas.openxmlformats.org/officeDocument/2006/relationships/hyperlink" Target="https://www.sec.gov/Archives/edgar/data/1410428/000110465920048780/tm205324d1_ex4-22.htm" TargetMode="External"/><Relationship Id="rId53" Type="http://schemas.openxmlformats.org/officeDocument/2006/relationships/hyperlink" Target="https://www.sec.gov/Archives/edgar/data/1410428/000114420416117230/v446257_ex2-1.htm" TargetMode="External"/><Relationship Id="rId54" Type="http://schemas.openxmlformats.org/officeDocument/2006/relationships/hyperlink" Target="https://www.sec.gov/Archives/edgar/data/1410428/000114420416123414/v448507_ex2-1.htm" TargetMode="External"/><Relationship Id="rId55" Type="http://schemas.openxmlformats.org/officeDocument/2006/relationships/hyperlink" Target="https://www.sec.gov/Archives/edgar/data/1410428/000114420416129472/v451220_ex2-1.htm" TargetMode="External"/><Relationship Id="rId56" Type="http://schemas.openxmlformats.org/officeDocument/2006/relationships/hyperlink" Target="https://www.sec.gov/Archives/edgar/data/1410428/000110465922110803/tm2228726d1_ex3-1.htm" TargetMode="External"/><Relationship Id="rId57" Type="http://schemas.openxmlformats.org/officeDocument/2006/relationships/hyperlink" Target="https://www.sec.gov/Archives/edgar/data/1410428/000110465922110803/tm2228726d1_ex3-2.htm" TargetMode="External"/><Relationship Id="rId59" Type="http://schemas.openxmlformats.org/officeDocument/2006/relationships/hyperlink" Target="https://www.sec.gov/Archives/edgar/data/1410428/000110465922110803/tm2228726d1_ex3-3.htm" TargetMode="External"/><Relationship Id="rId60" Type="http://schemas.openxmlformats.org/officeDocument/2006/relationships/hyperlink" Target="https://www.sec.gov/Archives/edgar/data/1410428/000114420416089189/v434655_ex4-1.htm" TargetMode="External"/><Relationship Id="rId61" Type="http://schemas.openxmlformats.org/officeDocument/2006/relationships/hyperlink" Target="https://www.sec.gov/Archives/edgar/data/1410428/000114420419015650/tv516755_ex10-1.htm" TargetMode="External"/><Relationship Id="rId62" Type="http://schemas.openxmlformats.org/officeDocument/2006/relationships/hyperlink" Target="https://www.sec.gov/Archives/edgar/data/1410428/000114420416129474/v449051_s4a.htm" TargetMode="External"/><Relationship Id="rId63" Type="http://schemas.openxmlformats.org/officeDocument/2006/relationships/hyperlink" Target="https://www.sec.gov/Archives/edgar/data/1410428/000114420418028911/tv492938_ex4-1.htm" TargetMode="External"/><Relationship Id="rId64" Type="http://schemas.openxmlformats.org/officeDocument/2006/relationships/hyperlink" Target="https://www.sec.gov/Archives/edgar/data/1410428/000114420419032532/tv524367_ex4-1.htm" TargetMode="External"/><Relationship Id="rId65" Type="http://schemas.openxmlformats.org/officeDocument/2006/relationships/hyperlink" Target="https://www.sec.gov/Archives/edgar/data/1410428/000114420419033939/tv524856_ex4-3.htm" TargetMode="External"/><Relationship Id="rId66" Type="http://schemas.openxmlformats.org/officeDocument/2006/relationships/hyperlink" Target="https://www.sec.gov/Archives/edgar/data/1410428/000110465920003636/tm203197d1_ex4-1.htm" TargetMode="External"/><Relationship Id="rId67" Type="http://schemas.openxmlformats.org/officeDocument/2006/relationships/hyperlink" Target="https://www.sec.gov/Archives/edgar/data/1410428/000110465920029962/tm2011914d1_ex4-1.htm" TargetMode="External"/><Relationship Id="rId68" Type="http://schemas.openxmlformats.org/officeDocument/2006/relationships/hyperlink" Target="https://www.sec.gov/Archives/edgar/data/1410428/000114420419033939/tv524856_ex4-1.htm" TargetMode="External"/><Relationship Id="rId69" Type="http://schemas.openxmlformats.org/officeDocument/2006/relationships/hyperlink" Target="https://www.sec.gov/Archives/edgar/data/1410428/000114420419033939/tv524856_ex4-2.htm" TargetMode="External"/><Relationship Id="rId70" Type="http://schemas.openxmlformats.org/officeDocument/2006/relationships/hyperlink" Target="https://www.sec.gov/Archives/edgar/data/1410428/000110465920035631/tm2013177d1_ex4-1.htm" TargetMode="External"/><Relationship Id="rId71" Type="http://schemas.openxmlformats.org/officeDocument/2006/relationships/hyperlink" Target="https://www.sec.gov/Archives/edgar/data/1410428/000110465920038562/tm2013765d1_ex4-1.htm" TargetMode="External"/><Relationship Id="rId72" Type="http://schemas.openxmlformats.org/officeDocument/2006/relationships/hyperlink" Target="https://www.sec.gov/Archives/edgar/data/1410428/000110465920039953/tm2014049d1_ex4-1.htm" TargetMode="External"/><Relationship Id="rId73" Type="http://schemas.openxmlformats.org/officeDocument/2006/relationships/hyperlink" Target="https://www.sec.gov/Archives/edgar/data/1410428/000110465920043879/tm2015133d1_ex4-1.htm" TargetMode="External"/><Relationship Id="rId74" Type="http://schemas.openxmlformats.org/officeDocument/2006/relationships/hyperlink" Target="https://www.sec.gov/Archives/edgar/data/0001410428/000110465920048780/tm205324d1_ex4-22.htm" TargetMode="External"/><Relationship Id="rId75" Type="http://schemas.openxmlformats.org/officeDocument/2006/relationships/hyperlink" Target="https://www.sec.gov/Archives/edgar/data/1410428/000110465920048297/tm2016230-1_ex41.htm" TargetMode="External"/><Relationship Id="rId76" Type="http://schemas.openxmlformats.org/officeDocument/2006/relationships/hyperlink" Target="https://www.sec.gov/Archives/edgar/data/1410428/000110465920051103/tm2016889d1_ex4-1.htm" TargetMode="External"/><Relationship Id="rId77" Type="http://schemas.openxmlformats.org/officeDocument/2006/relationships/hyperlink" Target="https://www.sec.gov/Archives/edgar/data/1410428/000110465920074007/tm2022774d1_ex4-1.htm" TargetMode="External"/><Relationship Id="rId78" Type="http://schemas.openxmlformats.org/officeDocument/2006/relationships/hyperlink" Target="https://www.sec.gov/Archives/edgar/data/1410428/000110465920074007/tm2022774d1_ex4-2.htm" TargetMode="External"/><Relationship Id="rId79" Type="http://schemas.openxmlformats.org/officeDocument/2006/relationships/hyperlink" Target="https://www.sec.gov/Archives/edgar/data/1410428/000110465920100178/tm2029683d2_ex4-1.htm" TargetMode="External"/><Relationship Id="rId80" Type="http://schemas.openxmlformats.org/officeDocument/2006/relationships/hyperlink" Target="https://www.sec.gov/Archives/edgar/data/1410428/000110465920100178/tm2029683d2_ex4-2.htm" TargetMode="External"/><Relationship Id="rId81" Type="http://schemas.openxmlformats.org/officeDocument/2006/relationships/hyperlink" Target="https://www.sec.gov/Archives/edgar/data/1410428/000110465920100178/tm2029683d2_ex4-3.htm" TargetMode="External"/><Relationship Id="rId82" Type="http://schemas.openxmlformats.org/officeDocument/2006/relationships/hyperlink" Target="https://www.sec.gov/Archives/edgar/data/1410428/000110465920138085/tm2039005d1_ex4-1.htm" TargetMode="External"/><Relationship Id="rId83" Type="http://schemas.openxmlformats.org/officeDocument/2006/relationships/hyperlink" Target="https://www.sec.gov/Archives/edgar/data/1410428/000110465920138085/tm2039005d1_ex4-2.htm" TargetMode="External"/><Relationship Id="rId84" Type="http://schemas.openxmlformats.org/officeDocument/2006/relationships/hyperlink" Target="https://www.sec.gov/Archives/edgar/data/1410428/000114420419035414/tv525226_ex4-14.htm" TargetMode="External"/><Relationship Id="rId85" Type="http://schemas.openxmlformats.org/officeDocument/2006/relationships/hyperlink" Target="https://www.sec.gov/Archives/edgar/data/1410428/000114420419035414/tv525226_ex4-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2023-08-04T15:40:22Z</dcterms:created>
  <dcterms:modified xsi:type="dcterms:W3CDTF">2023-08-04T15:40:22Z</dcterms:modified>
</cp:coreProperties>
</file>