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17,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appropriate box to designate the rule pursuant to which</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169" w:lineRule="exact"/>
        <w:rPr>
          <w:sz w:val="24"/>
          <w:szCs w:val="24"/>
          <w:color w:val="auto"/>
        </w:rPr>
      </w:pPr>
    </w:p>
    <w:p>
      <w:pPr>
        <w:jc w:val="both"/>
        <w:ind w:right="8239" w:firstLine="8"/>
        <w:spacing w:after="0" w:line="536"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1" w:lineRule="exact"/>
        <w:rPr>
          <w:sz w:val="24"/>
          <w:szCs w:val="24"/>
          <w:color w:val="auto"/>
        </w:rPr>
      </w:pPr>
    </w:p>
    <w:p>
      <w:pPr>
        <w:ind w:right="2559" w:firstLine="737"/>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be deemed to be filed for the purpose of Section 18 of the Securities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238"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line="238" w:lineRule="auto"/>
        <w:rPr>
          <w:sz w:val="20"/>
          <w:szCs w:val="20"/>
          <w:color w:val="auto"/>
        </w:rPr>
      </w:pPr>
      <w:r>
        <w:rPr>
          <w:rFonts w:ascii="Courier New" w:cs="Courier New" w:eastAsia="Courier New" w:hAnsi="Courier New"/>
          <w:sz w:val="18"/>
          <w:szCs w:val="18"/>
          <w:color w:val="auto"/>
        </w:rPr>
        <w:t>the Act (however, see the Notes).</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372"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bookmarkStart w:id="1" w:name="page2"/>
    <w:bookmarkEnd w:id="1"/>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ectPr>
          <w:pgSz w:w="11900" w:h="16838" w:orient="portrait"/>
          <w:cols w:equalWidth="0" w:num="1">
            <w:col w:w="10139"/>
          </w:cols>
          <w:pgMar w:left="32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369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39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139"/>
          </w:cols>
          <w:pgMar w:left="32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369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139"/>
          </w:cols>
          <w:pgMar w:left="320" w:top="920" w:right="1440" w:bottom="16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39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139"/>
          </w:cols>
          <w:pgMar w:left="320" w:top="920" w:right="1440" w:bottom="367"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5,882,353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369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6.26</w:t>
      </w:r>
    </w:p>
    <w:p>
      <w:pPr>
        <w:sectPr>
          <w:pgSz w:w="11900" w:h="16838" w:orient="portrait"/>
          <w:cols w:equalWidth="0" w:num="1">
            <w:col w:w="10139"/>
          </w:cols>
          <w:pgMar w:left="32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254 West 31st Street, 11th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 10001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Ogier Fiduciary Services (Cayman) Limited</w:t>
      </w:r>
    </w:p>
    <w:p>
      <w:pPr>
        <w:spacing w:after="0" w:line="238" w:lineRule="auto"/>
        <w:rPr>
          <w:sz w:val="20"/>
          <w:szCs w:val="20"/>
          <w:color w:val="auto"/>
        </w:rPr>
      </w:pPr>
      <w:r>
        <w:rPr>
          <w:rFonts w:ascii="Courier New" w:cs="Courier New" w:eastAsia="Courier New" w:hAnsi="Courier New"/>
          <w:sz w:val="18"/>
          <w:szCs w:val="18"/>
          <w:color w:val="auto"/>
        </w:rPr>
        <w:t>89 Nexus Way, Camana Bay</w:t>
      </w:r>
    </w:p>
    <w:p>
      <w:pPr>
        <w:spacing w:after="0" w:line="238" w:lineRule="auto"/>
        <w:rPr>
          <w:sz w:val="20"/>
          <w:szCs w:val="20"/>
          <w:color w:val="auto"/>
        </w:rPr>
      </w:pPr>
      <w:r>
        <w:rPr>
          <w:rFonts w:ascii="Courier New" w:cs="Courier New" w:eastAsia="Courier New" w:hAnsi="Courier New"/>
          <w:sz w:val="18"/>
          <w:szCs w:val="18"/>
          <w:color w:val="auto"/>
        </w:rPr>
        <w:t>Grand Cayman KY1-9007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139"/>
          </w:cols>
          <w:pgMar w:left="320" w:top="717" w:right="1440" w:bottom="0" w:gutter="0" w:footer="0" w:header="0"/>
        </w:sectPr>
      </w:pPr>
    </w:p>
    <w:bookmarkStart w:id="7" w:name="page8"/>
    <w:bookmarkEnd w:id="7"/>
    <w:p>
      <w:pPr>
        <w:ind w:right="3919"/>
        <w:spacing w:after="0" w:line="292"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31" w:lineRule="exact"/>
        <w:rPr>
          <w:sz w:val="20"/>
          <w:szCs w:val="20"/>
          <w:color w:val="auto"/>
        </w:rPr>
      </w:pPr>
    </w:p>
    <w:p>
      <w:pPr>
        <w:ind w:right="3599"/>
        <w:spacing w:after="0" w:line="377" w:lineRule="auto"/>
        <w:rPr>
          <w:sz w:val="20"/>
          <w:szCs w:val="20"/>
          <w:color w:val="auto"/>
        </w:rPr>
      </w:pPr>
      <w:r>
        <w:rPr>
          <w:rFonts w:ascii="Courier New" w:cs="Courier New" w:eastAsia="Courier New" w:hAnsi="Courier New"/>
          <w:sz w:val="16"/>
          <w:szCs w:val="16"/>
          <w:color w:val="auto"/>
        </w:rPr>
        <w:t>If This Statement is filed pursuant to Section 240.13d-1(b) or 240.13d-2(b), or (c), check whether the person filing is 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Broker or dealer registered under section 15 of the Act (15 U.S.C. 78o).</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 of the Act (15 U.S.C.</w:t>
      </w:r>
    </w:p>
    <w:p>
      <w:pPr>
        <w:spacing w:after="0"/>
        <w:rPr>
          <w:sz w:val="20"/>
          <w:szCs w:val="20"/>
          <w:color w:val="auto"/>
        </w:rPr>
      </w:pPr>
      <w:r>
        <w:rPr>
          <w:rFonts w:ascii="Courier New" w:cs="Courier New" w:eastAsia="Courier New" w:hAnsi="Courier New"/>
          <w:sz w:val="18"/>
          <w:szCs w:val="18"/>
          <w:color w:val="auto"/>
        </w:rPr>
        <w:t>78c).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2659"/>
        <w:spacing w:after="0" w:line="309"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An investment adviser in accordance with Section 240.13d-1(b)(1)(ii)(E);</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2859"/>
        <w:spacing w:after="0" w:line="309"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2859"/>
        <w:spacing w:after="0" w:line="309"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139"/>
          </w:cols>
          <w:pgMar w:left="320" w:top="717"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2659"/>
        <w:spacing w:after="0" w:line="309"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2979"/>
        <w:spacing w:after="0" w:line="273"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A non-U.S. institution in accordance with Section 240.13d-1(b)(1)(ii)(J);</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tabs>
          <w:tab w:leader="none" w:pos="6200" w:val="left"/>
        </w:tabs>
        <w:rPr>
          <w:sz w:val="20"/>
          <w:szCs w:val="20"/>
          <w:color w:val="auto"/>
        </w:rPr>
      </w:pPr>
      <w:r>
        <w:rPr>
          <w:rFonts w:ascii="Courier New" w:cs="Courier New" w:eastAsia="Courier New" w:hAnsi="Courier New"/>
          <w:sz w:val="18"/>
          <w:szCs w:val="18"/>
          <w:color w:val="auto"/>
        </w:rPr>
        <w:t>Group, in accordance with Section 240.13d-1(b)(1)(ii)(K).</w:t>
      </w:r>
      <w:r>
        <w:rPr>
          <w:sz w:val="20"/>
          <w:szCs w:val="20"/>
          <w:color w:val="auto"/>
        </w:rPr>
        <w:tab/>
      </w:r>
      <w:r>
        <w:rPr>
          <w:rFonts w:ascii="Courier New" w:cs="Courier New" w:eastAsia="Courier New" w:hAnsi="Courier New"/>
          <w:sz w:val="16"/>
          <w:szCs w:val="16"/>
          <w:color w:val="auto"/>
        </w:rPr>
        <w:t>If filing as</w:t>
      </w:r>
    </w:p>
    <w:p>
      <w:pPr>
        <w:ind w:right="2439"/>
        <w:spacing w:after="0" w:line="309"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372"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169"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5,882,353</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5,882,353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- 5,882,353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- 6.26%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- 6.26%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- 6.26%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515" w:right="1440" w:bottom="33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 (ii)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5,882,353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31" w:lineRule="exact"/>
        <w:rPr>
          <w:sz w:val="20"/>
          <w:szCs w:val="20"/>
          <w:color w:val="auto"/>
        </w:rPr>
      </w:pPr>
    </w:p>
    <w:p>
      <w:pPr>
        <w:ind w:left="120" w:right="4339" w:hanging="104"/>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 5,882,353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5,882,353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31" w:lineRule="exact"/>
        <w:rPr>
          <w:sz w:val="20"/>
          <w:szCs w:val="20"/>
          <w:color w:val="auto"/>
        </w:rPr>
      </w:pPr>
    </w:p>
    <w:p>
      <w:pPr>
        <w:ind w:left="120" w:right="4339" w:hanging="104"/>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 5,882,353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920" w:right="1440" w:bottom="133"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5,882,353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31" w:lineRule="exact"/>
        <w:rPr>
          <w:sz w:val="20"/>
          <w:szCs w:val="20"/>
          <w:color w:val="auto"/>
        </w:rPr>
      </w:pPr>
    </w:p>
    <w:p>
      <w:pPr>
        <w:ind w:left="120" w:right="4339" w:hanging="104"/>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 5,882,353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339"/>
        <w:spacing w:after="0" w:line="275" w:lineRule="auto"/>
        <w:rPr>
          <w:sz w:val="20"/>
          <w:szCs w:val="20"/>
          <w:color w:val="auto"/>
        </w:rPr>
      </w:pPr>
      <w:r>
        <w:rPr>
          <w:rFonts w:ascii="Courier New" w:cs="Courier New" w:eastAsia="Courier New" w:hAnsi="Courier New"/>
          <w:sz w:val="16"/>
          <w:szCs w:val="16"/>
          <w:color w:val="auto"/>
        </w:rPr>
        <w:t>As calculated in accordance with Rule 13d-3 of the Securities Exchange Act of 1934, as amended, (i) Sabby Volatility Warrant Master Fund, Ltd. beneficially owns 5,882,353 shares of the Issuer's common stock (Common Stock), representing approximately 6.26% of the Common Stock, and (ii) Sabby Management, LLC and Hal Mintz each beneficially own 5,882,353 shares of the Common Stock, representing approximately 6.26% of the Common Stock. Sabby Management, LLC and Hal Mintz do not directly own any shares of Common Stock, but each indirectly owns 5,882,353 shares of Common Stock. Sabby Management, LLC, a Delaware limited liability company, indirectly owns 5,882,353 shares of Common Stock because it serves as the investment manager of Sabby Volatility Warrant Master Fund, Ltd. Mr.</w:t>
      </w:r>
    </w:p>
    <w:p>
      <w:pPr>
        <w:spacing w:after="0" w:line="183" w:lineRule="exact"/>
        <w:rPr>
          <w:sz w:val="20"/>
          <w:szCs w:val="20"/>
          <w:color w:val="auto"/>
        </w:rPr>
      </w:pPr>
    </w:p>
    <w:p>
      <w:pPr>
        <w:ind w:right="2759"/>
        <w:spacing w:after="0" w:line="309" w:lineRule="auto"/>
        <w:rPr>
          <w:sz w:val="20"/>
          <w:szCs w:val="20"/>
          <w:color w:val="auto"/>
        </w:rPr>
      </w:pPr>
      <w:r>
        <w:rPr>
          <w:rFonts w:ascii="Courier New" w:cs="Courier New" w:eastAsia="Courier New" w:hAnsi="Courier New"/>
          <w:sz w:val="18"/>
          <w:szCs w:val="18"/>
          <w:color w:val="auto"/>
        </w:rPr>
        <w:t>Mintz indirectly owns 5,882,353 shares of Common Stock in his capacity as manager of Sabby Management, LLC.</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372"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39"/>
          </w:cols>
          <w:pgMar w:left="320" w:top="1325" w:right="1440" w:bottom="247"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31" w:lineRule="exact"/>
        <w:rPr>
          <w:sz w:val="20"/>
          <w:szCs w:val="20"/>
          <w:color w:val="auto"/>
        </w:rPr>
      </w:pPr>
    </w:p>
    <w:p>
      <w:pPr>
        <w:ind w:right="2759"/>
        <w:spacing w:after="0" w:line="273"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right="2859" w:firstLine="73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139"/>
          </w:cols>
          <w:pgMar w:left="320" w:top="717" w:right="1440" w:bottom="772"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spacing w:after="0" w:line="2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tab/>
        <w:t>Harry Thompson</w:t>
      </w:r>
    </w:p>
    <w:p>
      <w:pPr>
        <w:ind w:right="4759" w:firstLine="105"/>
        <w:spacing w:after="0" w:line="309"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spacing w:after="0" w:line="2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tab/>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p>
      <w:pPr>
        <w:spacing w:after="0" w:line="169" w:lineRule="exact"/>
        <w:rPr>
          <w:sz w:val="20"/>
          <w:szCs w:val="20"/>
          <w:color w:val="auto"/>
        </w:rPr>
      </w:pPr>
    </w:p>
    <w:p>
      <w:pPr>
        <w:ind w:right="2439"/>
        <w:spacing w:after="0" w:line="402"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ind w:right="2439"/>
        <w:spacing w:after="0" w:line="28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74" w:lineRule="exact"/>
        <w:rPr>
          <w:sz w:val="20"/>
          <w:szCs w:val="20"/>
          <w:color w:val="auto"/>
        </w:rPr>
      </w:pPr>
    </w:p>
    <w:p>
      <w:pPr>
        <w:ind w:right="255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66"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659" w:firstLine="737"/>
        <w:spacing w:after="0" w:line="274"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XpresSpa Group, Inc. is filed jointly, on behalf of each of them.</w:t>
      </w:r>
    </w:p>
    <w:p>
      <w:pPr>
        <w:spacing w:after="0" w:line="8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By: /s/ Harry</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Thompson</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46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Name:  Harry Thompson</w:t>
            </w:r>
          </w:p>
        </w:tc>
        <w:tc>
          <w:tcPr>
            <w:tcW w:w="0" w:type="dxa"/>
            <w:vAlign w:val="bottom"/>
          </w:tcPr>
          <w:p>
            <w:pPr>
              <w:spacing w:after="0"/>
              <w:rPr>
                <w:sz w:val="1"/>
                <w:szCs w:val="1"/>
                <w:color w:val="auto"/>
              </w:rPr>
            </w:pPr>
          </w:p>
        </w:tc>
      </w:tr>
      <w:tr>
        <w:trPr>
          <w:trHeight w:val="203"/>
        </w:trPr>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Ltd.,</w:t>
            </w: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Authorized Person of TDF Management</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17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 Director</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gridSpan w:val="3"/>
          </w:tcPr>
          <w:p>
            <w:pPr>
              <w:spacing w:after="0"/>
              <w:rPr>
                <w:sz w:val="20"/>
                <w:szCs w:val="20"/>
                <w:color w:val="auto"/>
              </w:rPr>
            </w:pPr>
            <w:r>
              <w:rPr>
                <w:rFonts w:ascii="Courier New" w:cs="Courier New" w:eastAsia="Courier New" w:hAnsi="Courier New"/>
                <w:sz w:val="18"/>
                <w:szCs w:val="18"/>
                <w:color w:val="auto"/>
              </w:rPr>
              <w:t>Sabby Management, LLC</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gridSpan w:val="4"/>
          </w:tcPr>
          <w:p>
            <w:pPr>
              <w:spacing w:after="0"/>
              <w:rPr>
                <w:sz w:val="20"/>
                <w:szCs w:val="20"/>
                <w:color w:val="auto"/>
              </w:rPr>
            </w:pPr>
            <w:r>
              <w:rPr>
                <w:rFonts w:ascii="Courier New" w:cs="Courier New" w:eastAsia="Courier New" w:hAnsi="Courier New"/>
                <w:sz w:val="18"/>
                <w:szCs w:val="18"/>
                <w:color w:val="auto"/>
              </w:rPr>
              <w:t>By: /s/ Robert Grundstein</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Robert</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Grundstein</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Title:</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Chief</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Operating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2020-12-21T14:30:25Z</dcterms:created>
  <dcterms:modified xsi:type="dcterms:W3CDTF">2020-12-21T14:30:25Z</dcterms:modified>
</cp:coreProperties>
</file>