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Filed Pursuant to Rule 424(b)(5)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333-205303</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5,375,000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29" w:lineRule="exact"/>
        <w:rPr>
          <w:sz w:val="24"/>
          <w:szCs w:val="24"/>
          <w:color w:val="auto"/>
        </w:rPr>
      </w:pPr>
    </w:p>
    <w:p>
      <w:pPr>
        <w:jc w:val="both"/>
        <w:ind w:firstLine="416"/>
        <w:spacing w:after="0" w:line="302" w:lineRule="auto"/>
        <w:rPr>
          <w:sz w:val="20"/>
          <w:szCs w:val="20"/>
          <w:color w:val="auto"/>
        </w:rPr>
      </w:pPr>
      <w:r>
        <w:rPr>
          <w:rFonts w:ascii="Arial" w:cs="Arial" w:eastAsia="Arial" w:hAnsi="Arial"/>
          <w:sz w:val="16"/>
          <w:szCs w:val="16"/>
          <w:color w:val="auto"/>
        </w:rPr>
        <w:t>This prospectus relates to the offer and sale by us of up to 5,375,000 shares of common stock, par value $0.01 per share, that are issuable from time to time upon the exercise of warrants at an exercise price of $1.00 per share. The warrants were originally issued by us on May 4, 2015, pursuant to a prospectus supplement dated May 4, 2015 and an accompanying prospectus dated August 2, 2012. We will receive the proceeds from any cash exercises of the warrants. Each warrant is exercisable at any time until its expiration date, which date is five years from the initial exercisability date of the warrant.</w:t>
      </w:r>
    </w:p>
    <w:p>
      <w:pPr>
        <w:spacing w:after="0" w:line="154" w:lineRule="exact"/>
        <w:rPr>
          <w:sz w:val="24"/>
          <w:szCs w:val="24"/>
          <w:color w:val="auto"/>
        </w:rPr>
      </w:pPr>
    </w:p>
    <w:p>
      <w:pPr>
        <w:jc w:val="both"/>
        <w:ind w:firstLine="416"/>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“VRNG.” On July 23, 2015, the last reported sale price of our common stock on the NASDAQ Capital Market was $0.46 per share.</w:t>
      </w:r>
    </w:p>
    <w:p>
      <w:pPr>
        <w:spacing w:after="0" w:line="166" w:lineRule="exact"/>
        <w:rPr>
          <w:sz w:val="24"/>
          <w:szCs w:val="24"/>
          <w:color w:val="auto"/>
        </w:rPr>
      </w:pPr>
    </w:p>
    <w:p>
      <w:pPr>
        <w:jc w:val="both"/>
        <w:ind w:firstLine="416"/>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Please read the information contained in and incorporated by reference under the heading “Risk Factors” on page S-10 of this prospectus, and under similar headings in the documents that are incorporated by reference into this prospectus.</w:t>
      </w:r>
    </w:p>
    <w:p>
      <w:pPr>
        <w:spacing w:after="0" w:line="176" w:lineRule="exact"/>
        <w:rPr>
          <w:sz w:val="24"/>
          <w:szCs w:val="24"/>
          <w:color w:val="auto"/>
        </w:rPr>
      </w:pPr>
    </w:p>
    <w:p>
      <w:pPr>
        <w:jc w:val="both"/>
        <w:ind w:firstLine="416"/>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4"/>
          <w:szCs w:val="24"/>
          <w:color w:val="auto"/>
        </w:rPr>
      </w:pPr>
    </w:p>
    <w:p>
      <w:pPr>
        <w:jc w:val="center"/>
        <w:ind w:left="420"/>
        <w:spacing w:after="0"/>
        <w:rPr>
          <w:sz w:val="20"/>
          <w:szCs w:val="20"/>
          <w:color w:val="auto"/>
        </w:rPr>
      </w:pPr>
      <w:r>
        <w:rPr>
          <w:rFonts w:ascii="Arial" w:cs="Arial" w:eastAsia="Arial" w:hAnsi="Arial"/>
          <w:sz w:val="18"/>
          <w:szCs w:val="18"/>
          <w:b w:val="1"/>
          <w:bCs w:val="1"/>
          <w:color w:val="auto"/>
        </w:rPr>
        <w:t>The date of this prospectus is July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20" w:type="dxa"/>
            <w:vAlign w:val="bottom"/>
            <w:gridSpan w:val="3"/>
          </w:tcPr>
          <w:p>
            <w:pPr>
              <w:jc w:val="right"/>
              <w:ind w:right="47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Special Note Regarding Forward-Looking Statements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Capital Stock</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Experts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Where You Can Find More Information</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Incorporation of Information by Reference</w:t>
              </w:r>
            </w:hyperlink>
          </w:p>
        </w:tc>
        <w:tc>
          <w:tcPr>
            <w:tcW w:w="65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This prospectus relates to the offering of our common stock. Before buying any of the common stock that we are offering, we urge you to carefully read this prospectus, together with the information incorporated by reference as described under the headings “Where You Can Find More Information” and “Incorporation of Information by Reference” in this prospectus. These documents contain important information that you should consider when making your investment decision.</w:t>
      </w:r>
    </w:p>
    <w:p>
      <w:pPr>
        <w:spacing w:after="0" w:line="187" w:lineRule="exact"/>
        <w:rPr>
          <w:sz w:val="20"/>
          <w:szCs w:val="20"/>
          <w:color w:val="auto"/>
        </w:rPr>
      </w:pPr>
    </w:p>
    <w:p>
      <w:pPr>
        <w:jc w:val="both"/>
        <w:ind w:firstLine="416"/>
        <w:spacing w:after="0" w:line="273" w:lineRule="auto"/>
        <w:rPr>
          <w:sz w:val="20"/>
          <w:szCs w:val="20"/>
          <w:color w:val="auto"/>
        </w:rPr>
      </w:pPr>
      <w:r>
        <w:rPr>
          <w:rFonts w:ascii="Arial" w:cs="Arial" w:eastAsia="Arial" w:hAnsi="Arial"/>
          <w:sz w:val="17"/>
          <w:szCs w:val="17"/>
          <w:color w:val="auto"/>
        </w:rPr>
        <w:t>This prospectus describes the specific terms of the common stock we are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Securities and Exchange Commission, or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spacing w:after="0" w:line="178" w:lineRule="exact"/>
        <w:rPr>
          <w:sz w:val="20"/>
          <w:szCs w:val="20"/>
          <w:color w:val="auto"/>
        </w:rPr>
      </w:pPr>
    </w:p>
    <w:p>
      <w:pPr>
        <w:jc w:val="both"/>
        <w:ind w:firstLine="416"/>
        <w:spacing w:after="0" w:line="288"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and in any free writing prospectus that we may authorize for use in connection with this offering. We have not authorized any other person to provide you with different information. If anyone provides you with different or inconsistent information, you should not rely on it. 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of Information by Reference.”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312025" cy="4944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2025" cy="494411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61"/>
        <w:spacing w:after="0" w:line="302"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or incorporated by reference herein and does not contain all the information that may be important to purchasers of our securities. Prospective purchasers of our securities should review this entire prospectus carefully, including the risks of investing discussed under “Risk Factors” on page S-10, the financial statements and related notes, and the information to which we refer you and the information incorporated into this prospectus by reference, for a complete understanding of our business and this offering.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960" w:hanging="316"/>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98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727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6727825"/>
                    </a:xfrm>
                    <a:prstGeom prst="rect">
                      <a:avLst/>
                    </a:prstGeom>
                    <a:noFill/>
                  </pic:spPr>
                </pic:pic>
              </a:graphicData>
            </a:graphic>
          </wp:anchor>
        </w:drawing>
        <w:t>May 2015 Financing Transaction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May 4, 2015, we entered into a securities purchase agreement with certain institutional investors in a registered direct offering of $12,500,000 of senior secured convertible notes, or the notes, and certain warrants to purchase shares of our common stock. Pursuant to the securities purchase agreement, on May 5, 2015, we issued the notes, which are convertible into shares of our common stock at $1.00 per share, bear 8% interest and mature in 21 months from the date of issuance, unless earlier converted. In addition, we issued 5,375,000 warrants to purchase shares of our common stock, which are exercisable at $1.00 per share and are exercisable for a period of five years.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 This transaction will be accounted for in the second quarter of fiscal 2015. As a result of this transaction, our cash balance as of May 5, 2015 is approximately $23,000,000.</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principal amount of the outstanding notes will be repaid monthly, and we may make such payments and related interest payments in cash or, subject to certain conditions, in registered shares of our common stock, at our election. If we choose to repay the notes in shares of our common stock, the shares will be issued at a 15% discount, based on the then-current market price data of our common stock. We may also repay the notes in advance of the maturity schedule subject to early repayment penalties. We are registering the shares of common stock underlying the warrants under this prospectus. For additional information of our May 2015 Financing Transaction, please refer to the section entitled “Description of Capital Stock — May 2015 Financing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three European patents. Subsequently, ZTE responded to the complaint with a counterclaim for invalidity of the patents-in-suit. Vringo Infrastructure filed a second UK suit on December 3, 2012, alleging infringement of three additional European patents.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Trial on the remedies phase is currently scheduled to occur in the first half of 2016 and will focus on the appropriate royalty rate to be awarded.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5" w:right="339" w:bottom="1440" w:gutter="0" w:footer="0" w:header="0"/>
        </w:sectPr>
      </w:pPr>
    </w:p>
    <w:bookmarkStart w:id="5" w:name="page6"/>
    <w:bookmarkEnd w:id="5"/>
    <w:p>
      <w:pPr>
        <w:ind w:right="520" w:firstLine="648"/>
        <w:spacing w:after="0" w:line="277" w:lineRule="auto"/>
        <w:rPr>
          <w:sz w:val="20"/>
          <w:szCs w:val="20"/>
          <w:color w:val="auto"/>
        </w:rPr>
      </w:pPr>
      <w:r>
        <w:rPr>
          <w:rFonts w:ascii="Arial" w:cs="Arial" w:eastAsia="Arial" w:hAnsi="Arial"/>
          <w:sz w:val="18"/>
          <w:szCs w:val="18"/>
          <w:color w:val="181818"/>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On April 10, 2015, Vringo and ZTE reached an agreement in relation to the remaining European Patent in issue (EP (UK) 1 330 933) in the second patent case in the UK as a result of which the parties withdrew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7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$1,085,000 as of March 31, 2015)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 Trial in the nullity suit with respect to the second European patent has been scheduled for the fourth quarter of 2015.</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ZTE filed nullity suits against three Vringo patents not currently being asserted against ZTE. Vringo believes these claims are meritless and will vigorously defend the validity of its patents. No schedule has currently been set in these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17 of Vringo’s patents, partially upheld the validity of two of Vringo’s patents, and has held that 12 of Vringo’s patents are invalid. Vringo has filed appeals on the PRB’s decision on the nine patents that are held invalid. The appeal process is expected to take at least one year. The remaining reexamination requests remain pending, with decisions expected to be rendered on a rolling basis.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6" w:name="page7"/>
    <w:bookmarkEnd w:id="6"/>
    <w:p>
      <w:pPr>
        <w:jc w:val="both"/>
        <w:ind w:firstLine="648"/>
        <w:spacing w:after="0" w:line="254" w:lineRule="auto"/>
        <w:rPr>
          <w:sz w:val="20"/>
          <w:szCs w:val="20"/>
          <w:color w:val="auto"/>
        </w:rPr>
      </w:pPr>
      <w:r>
        <w:rPr>
          <w:rFonts w:ascii="Arial" w:cs="Arial" w:eastAsia="Arial" w:hAnsi="Arial"/>
          <w:sz w:val="18"/>
          <w:szCs w:val="18"/>
          <w:color w:val="181818"/>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47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conducted hearing on May 29, 2015 for the parties to submit any evidence on which they intend to rely and during which ZTE amended its complaint to increase its damages demand. As a result Vringo filed a motion contesting the jurisdiction of the court which was denied. Vringo’s appeal of the jurisdictional question is pending. The trial court scheduled hearings starting on June 9, 2015 for the parties to argue their positions. The trial has been stayed pending the appeal. The appellate process is expected to take at least two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w:t>
      </w:r>
    </w:p>
    <w:p>
      <w:pPr>
        <w:jc w:val="both"/>
        <w:ind w:right="20"/>
        <w:spacing w:after="0" w:line="205" w:lineRule="auto"/>
        <w:rPr>
          <w:sz w:val="20"/>
          <w:szCs w:val="20"/>
          <w:color w:val="auto"/>
        </w:rPr>
      </w:pPr>
      <w:r>
        <w:rPr>
          <w:rFonts w:ascii="Arial" w:cs="Arial" w:eastAsia="Arial" w:hAnsi="Arial"/>
          <w:sz w:val="18"/>
          <w:szCs w:val="18"/>
          <w:color w:val="auto"/>
        </w:rPr>
        <w:t>liability and injunctive 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178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178550"/>
                    </a:xfrm>
                    <a:prstGeom prst="rect">
                      <a:avLst/>
                    </a:prstGeom>
                    <a:noFill/>
                  </pic:spPr>
                </pic:pic>
              </a:graphicData>
            </a:graphic>
          </wp:anchor>
        </w:drawing>
        <w:t>Brazil</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R$ 2,020,000 (approximately $621,000 as of March 31,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$264,000 as of March 31, 2015). ZTE has filed numerous appeals against the injunction since, all of which have been rejected.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8" w:name="page9"/>
    <w:bookmarkEnd w:id="8"/>
    <w:p>
      <w:pPr>
        <w:jc w:val="both"/>
        <w:ind w:firstLine="64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276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276465"/>
                    </a:xfrm>
                    <a:prstGeom prst="rect">
                      <a:avLst/>
                    </a:prstGeom>
                    <a:noFill/>
                  </pic:spPr>
                </pic:pic>
              </a:graphicData>
            </a:graphic>
          </wp:anchor>
        </w:drawing>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retains the right to appeal this decision.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a non-disclosure agreement (“NDA”) between the parties,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 On June 3, 2015, the Court granted, in part, Vringo’s request for a preliminary injunction, effectively converting the previously-granted temporary restraining order into a preliminary injunction.</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6"/>
          <w:szCs w:val="16"/>
          <w:color w:val="181818"/>
        </w:rPr>
        <w:t>On February 10, 2015, the Court dissolved the temporary restraining order and</w:t>
      </w:r>
      <w:r>
        <w:rPr>
          <w:rFonts w:ascii="Arial" w:cs="Arial" w:eastAsia="Arial" w:hAnsi="Arial"/>
          <w:sz w:val="16"/>
          <w:szCs w:val="16"/>
          <w:color w:val="auto"/>
        </w:rPr>
        <w:t xml:space="preserve"> </w:t>
      </w:r>
      <w:r>
        <w:rPr>
          <w:rFonts w:ascii="Arial" w:cs="Arial" w:eastAsia="Arial" w:hAnsi="Arial"/>
          <w:sz w:val="16"/>
          <w:szCs w:val="16"/>
          <w:color w:val="181818"/>
        </w:rPr>
        <w:t>preliminary injunction and granted Vringo’s request to transfer the case to the United States District Court for the Southern District of New York.</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181818"/>
        </w:rPr>
        <w:t xml:space="preserve">On February 5, 2015, ZTE filed </w:t>
      </w:r>
      <w:r>
        <w:rPr>
          <w:rFonts w:ascii="Arial" w:cs="Arial" w:eastAsia="Arial" w:hAnsi="Arial"/>
          <w:sz w:val="18"/>
          <w:szCs w:val="18"/>
          <w:i w:val="1"/>
          <w:iCs w:val="1"/>
          <w:color w:val="181818"/>
        </w:rPr>
        <w:t>inter partes</w:t>
      </w:r>
      <w:r>
        <w:rPr>
          <w:rFonts w:ascii="Arial" w:cs="Arial" w:eastAsia="Arial" w:hAnsi="Arial"/>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 On June 5, 2015, ZTE withdrew their requests for IPR for procedural reasons. Vringo anticipates that ZTE will re-file them in the near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Patent Office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May 14, 2015, ZTE filed an opposition to one of Vringo’s newly issued patents at the European Patent Office. Vringo believes that ZTE’s request has no merit and plans to vigorously defend the validity of its patent. A schedule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Development and Reform Commission (China)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13, 2015, Vringo Infrastructure received a Request for Assistance in Investigation from the National Development and Reform Commission of the People’s Republic of China (NDRC). This request was based on a complaint filed by ZTE against Vringo. The NDRC has demanded that Vringo consent to mediation with ZTE overseen by the NDRC or face severe criminal and civil penalties. Vringo is actively responding to the NDRC’s concerns and working to convince them that ZTE’s claims have no merit. Vringo is additionally working to ensure that the NDRC respects the various relevant treaties to which the United States and China are signatories.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5906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5" w:right="339" w:bottom="1440" w:gutter="0" w:footer="0" w:header="0"/>
        </w:sectPr>
      </w:pPr>
    </w:p>
    <w:bookmarkStart w:id="10" w:name="page11"/>
    <w:bookmarkEnd w:id="10"/>
    <w:p>
      <w:pPr>
        <w:jc w:val="both"/>
        <w:ind w:right="20" w:firstLine="64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2748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748280"/>
                    </a:xfrm>
                    <a:prstGeom prst="rect">
                      <a:avLst/>
                    </a:prstGeom>
                    <a:noFill/>
                  </pic:spPr>
                </pic:pic>
              </a:graphicData>
            </a:graphic>
          </wp:anchor>
        </w:drawing>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argued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On May 14, 2015, I/P </w:t>
      </w:r>
      <w:r>
        <w:rPr>
          <w:rFonts w:ascii="Arial" w:cs="Arial" w:eastAsia="Arial" w:hAnsi="Arial"/>
          <w:sz w:val="17"/>
          <w:szCs w:val="17"/>
          <w:color w:val="000000"/>
        </w:rPr>
        <w:t>Engine filed</w:t>
      </w:r>
      <w:r>
        <w:rPr>
          <w:rFonts w:ascii="Arial" w:cs="Arial" w:eastAsia="Arial" w:hAnsi="Arial"/>
          <w:sz w:val="17"/>
          <w:szCs w:val="17"/>
          <w:color w:val="181818"/>
        </w:rPr>
        <w:t xml:space="preserve"> </w:t>
      </w:r>
      <w:r>
        <w:rPr>
          <w:rFonts w:ascii="Arial" w:cs="Arial" w:eastAsia="Arial" w:hAnsi="Arial"/>
          <w:sz w:val="17"/>
          <w:szCs w:val="17"/>
          <w:color w:val="000000"/>
        </w:rPr>
        <w:t>a petition for writ of certiorari with the Supreme Court of the United States. The petition asks the Court to review and overturn a divided opinion of the U.S. Court of Appeals for the Federal Circuit, issued on August 15, 2014, which reversed a jury verdict entered in favor of I/P Engine against Google and certain of Google's customers in the United States District Court for the Eastern District of Virginia.</w:t>
      </w:r>
    </w:p>
    <w:p>
      <w:pPr>
        <w:spacing w:after="0" w:line="17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4420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420870"/>
                    </a:xfrm>
                    <a:prstGeom prst="rect">
                      <a:avLst/>
                    </a:prstGeom>
                    <a:noFill/>
                  </pic:spPr>
                </pic:pic>
              </a:graphicData>
            </a:graphic>
          </wp:anchor>
        </w:drawing>
        <w:t>Corporate Information</w:t>
      </w:r>
    </w:p>
    <w:p>
      <w:pPr>
        <w:spacing w:after="0" w:line="233" w:lineRule="exact"/>
        <w:rPr>
          <w:sz w:val="20"/>
          <w:szCs w:val="20"/>
          <w:color w:val="auto"/>
        </w:rPr>
      </w:pPr>
    </w:p>
    <w:p>
      <w:pPr>
        <w:jc w:val="both"/>
        <w:ind w:right="20" w:firstLine="648"/>
        <w:spacing w:after="0" w:line="231" w:lineRule="auto"/>
        <w:rPr>
          <w:sz w:val="20"/>
          <w:szCs w:val="20"/>
          <w:color w:val="auto"/>
        </w:rPr>
      </w:pPr>
      <w:r>
        <w:rPr>
          <w:rFonts w:ascii="Arial" w:cs="Arial" w:eastAsia="Arial" w:hAnsi="Arial"/>
          <w:sz w:val="18"/>
          <w:szCs w:val="18"/>
          <w:color w:val="auto"/>
        </w:rPr>
        <w:t>We were incorporated in Delaware in 2006.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and our telephone number is (212) 309-7549. Our principal website is </w:t>
      </w:r>
      <w:r>
        <w:rPr>
          <w:rFonts w:ascii="Arial" w:cs="Arial" w:eastAsia="Arial" w:hAnsi="Arial"/>
          <w:sz w:val="18"/>
          <w:szCs w:val="18"/>
          <w:i w:val="1"/>
          <w:iCs w:val="1"/>
          <w:color w:val="auto"/>
        </w:rPr>
        <w:t>www.vringoip.com</w:t>
      </w:r>
      <w:r>
        <w:rPr>
          <w:rFonts w:ascii="Arial" w:cs="Arial" w:eastAsia="Arial" w:hAnsi="Arial"/>
          <w:sz w:val="18"/>
          <w:szCs w:val="18"/>
          <w:color w:val="auto"/>
        </w:rPr>
        <w:t>. Information found on, or accessible through, our website is not a part of, and is not incorporated into, this prospectus, and you should not consider it part of this prospectus or part of any prospectus supplement. Our website address is included in this document as an inactive textual reference only. Our common stock is listed on the NASDAQ Capital Market and trades under the symbol “VRNG.”</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 w:firstLine="396"/>
        <w:spacing w:after="0" w:line="276" w:lineRule="auto"/>
        <w:rPr>
          <w:sz w:val="20"/>
          <w:szCs w:val="20"/>
          <w:color w:val="auto"/>
        </w:rPr>
      </w:pPr>
      <w:r>
        <w:rPr>
          <w:rFonts w:ascii="Arial" w:cs="Arial" w:eastAsia="Arial" w:hAnsi="Arial"/>
          <w:sz w:val="17"/>
          <w:szCs w:val="17"/>
          <w:color w:val="auto"/>
        </w:rPr>
        <w:t>This offering involves the offer and sale by us of 5,375,000 shares of our common stock issuable upon the exercise of warrants that are exercisable at an exercise price of $1.00 per share and that were originally issued by us on May 4, 2015. Each warrant will be exercisable upon the six month and one day anniversary of the date of their issuance, or November 5, 2015, and will expire five years from their initial exercisability date. Upon the cash exercise of the warrants, the holders of the warrants would pay us the exercise price per share of common stock of $1.00, subject to certain adjustments, or an aggregate of approximately $5,375,000, subject to certain adjustments, if the warrants are exercised in full.</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intend to use the net proceeds from this offering, if any, for working capital purposes. See “Use of Proceeds” on page S-12 of this prospectus.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 w:right="20" w:firstLine="396"/>
        <w:spacing w:after="0" w:line="264" w:lineRule="auto"/>
        <w:rPr>
          <w:sz w:val="20"/>
          <w:szCs w:val="20"/>
          <w:color w:val="auto"/>
        </w:rPr>
      </w:pPr>
      <w:r>
        <w:rPr>
          <w:rFonts w:ascii="Arial" w:cs="Arial" w:eastAsia="Arial" w:hAnsi="Arial"/>
          <w:sz w:val="18"/>
          <w:szCs w:val="18"/>
          <w:color w:val="auto"/>
        </w:rPr>
        <w:t>Investing in our common stock involves a high degree of risk. Please read the information contained in and incorporated by reference under the heading “Risk Factors” on page S-10 of this prospectus, and under similar headings in the other documents that are incorporated by reference into this prospectus.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NASDAQ Capital Market Listing</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Capital Market under the symbol “VRNG.”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Investing in our securities involves significant risk. Prior to making a decision about investing in our securities, you should carefully consider the specific factors set forth below, together with all of the other information contained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this Offering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Management will have broad discretion as to the use of the proceeds from this offering, and may not use the proceeds effectively.</w:t>
      </w:r>
    </w:p>
    <w:p>
      <w:pPr>
        <w:spacing w:after="0" w:line="23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improve our financial condition or market value.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may experience immediate and substantial dilution.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offering price per share in this offering exceeds the net tangible book value per share of our common stock outstanding prior to this offering, and therefore, you will experience immediate dilution upon the exercise of the warrants sold in this offering for cash. The exercise of outstanding stock options and warrants may result in further dilution of your investment.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never paid cash dividends on our common stock and currently do not plan to pay any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related to the anticipated size of clinical trials, the anticipated timing of initiation of clinical trials, the expected availability of clinical trial results, the sufficiency of our cash resources, the estimated costs of clinical trials and the amounts of certain revenues and certain costs in comparison to prior years, or that otherwise relate to future periods, are forward-looking statements within the meaning of Section 27A of the Securities Act and Section 21E of the Securities Exchange Act of 1934, as amended (the “Exchange Act”). The words “believe,” “may,” “estimate,” “continue,” “anticipate,” “intend,” “expect,” “predict,” “potential” and similar expressions are intended to identify forward-looking statements. These statements are based on assumptions that may not prove accurate. Actual results could differ materially from those anticipated due to certain risks inherent in the biotechnology industry and for companies engaged in the development of new products in a regulated market. Among other things: our business, operations, financial performance and condition, earnings, our prospects, our ability to raise capital to fund our operations and business plan, the continued listing of our securities on the NASDAQ Capital Market, our ability to protect intellectual property rights as well as regarding our industry generally. These and other risks, including those related to current economic and financial market conditions, are described in more detail in “Risk Factors” above and the additional risk factors contained in our most recent Annual Report on Form 10-K and Quarterly Reports on Form 10-Q. We undertake no obligation to publicly update any forward-looking statements, regardless of any new information, future events or other occurrences. We advise you, however, to consult any additional disclosures we make in our reports to the SEC on Forms 10-K, 10-Q and 8-K.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intend to use the net proceeds from this offering, if any, for working capital purposes.</w:t>
      </w:r>
    </w:p>
    <w:p>
      <w:pPr>
        <w:spacing w:after="0" w:line="225"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The amounts and timing of our use of the net proceeds from this offering will depend on a number of factors. As of the date of this prospectus, we cannot specify with certainty all of the particular uses for the net proceeds to us from the sale of the securities offered by us hereunder.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are authorized to issue 150,000,000 shares of common stock, par value $0.01 per share, and 5,000,000 shares of preferred stock, par value $0.01 per share. As of July 23, 2015, we had 97,553,886 shares of common stock outstanding held of record by 11 stockholders, which does not include stockholders who hold their shares in “street name.” There are no outstanding shares of preferred stock.</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description of our common stock does not purport to be complete and should be reviewed in conjunction with our certificate of incorporation and our bylaws.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247"/>
        <w:spacing w:after="0" w:line="293" w:lineRule="auto"/>
        <w:rPr>
          <w:sz w:val="20"/>
          <w:szCs w:val="20"/>
          <w:color w:val="auto"/>
        </w:rPr>
      </w:pPr>
      <w:r>
        <w:rPr>
          <w:rFonts w:ascii="Arial" w:cs="Arial" w:eastAsia="Arial" w:hAnsi="Arial"/>
          <w:sz w:val="16"/>
          <w:szCs w:val="16"/>
          <w:color w:val="auto"/>
        </w:rPr>
        <w:t>As of July 23, 2015, there were warrants to purchase 9,566,796 shares of Vringo common stock outstanding at a weighted-average exercise price of $1.33 per share. This amount is comprised of warrants to purchase 758,023 shares of common stock exercisable until February 6, 2017 at an exercise price of $1.76, warrants to purchase 3,433,773 shares of common stock exercisable until July 19, 2017 at an exercise price of $1.76, and the warrants to purchase 5,375,000 shares of common stock issuable hereunder which are exercisable until May 4, 2020 at an exercise price of $1.00. Prior to June 21, 2015, we also had public warrants to purchase 4,784,000 shares of common stock at an exercise price of $5.06, which were listed on the NASDAQ Capital Market under the symbol “VRNGW,” and additional warrants which were privately held to purchase 8,426,858 shares of common stock, both of which expired on June 21, 2015.</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May 2015 Warrants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we issued in May 2015 will entitle their holders to purchase, in aggregate, up to 5,375,000 shares of our common stock. The warrants will not be exercisable until the six month and one day anniversary of the date of their issuance and will expire five years from the initial exercisability date. The warrants will initially be exercisable at an exercise price equal to $1.00, subject to certain adjustments.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may be exercised for cash, provided that, if there is no effective registration statement available registering the exercise of the warrants, the warrants may be exercised on a cashless basis. This prospectus covers the shares of common stock issuable from time to time upon exercise of the warrants.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exercise price of the warrants is subject to adjustment for stock splits, combinations or similar events. If we sell or issue any securities with “floating” conversion prices based on the market price of our common stock, a holder of a warrant will have the right thereafter to substitute the “floating” conversion price for the exercise price upon exercise of all or part the warrant.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warrants require “buy-in” payments to be made by us for failure to deliver the shares of common stock issuable upon exercise.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i w:val="1"/>
          <w:iCs w:val="1"/>
          <w:color w:val="auto"/>
        </w:rPr>
        <w:t>Limitations on Exercise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warrants may not be exercised if, after giving effect to the exercise, the holder of the warrant together with its affiliates would beneficially own in excess of 9.99% of our outstanding shares of common stock, or Warrant Blocker. The Warrant Blocker applicable to the exercise of the warrants may be raised or lowered to any other percentage not in excess of 9.99%, except that any increase will only be effective upon 61-days’ prior notice to us.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Participation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the warrants are entitled to receive any dividends paid or distributions made to the holders of our common stock on an “as if converted to common stock”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issue options, convertible securities, warrants, stock, or similar securities to holders of our common stock, each holder of a warrant has the right to acquire the same as if the holder had exercised its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warrants prohibit us from entering into specified transactions involving a change of control, unless the successor entity assumes all of our obligations under the warrants under a written agreement before the transaction is completed. When there is a transaction involving a permitted change of control, a holder of a warrant a will have the right to force us to repurchase the holder’s warrant for a purchase price in cash equal to the Black Scholes value (as calculated under the warrants) of the then unexercised portion of the warrant.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Charter Documents and Some Provisions of Delaware Law</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1620" w:right="40" w:hanging="315"/>
        <w:spacing w:after="0" w:line="258"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 w:lineRule="exact"/>
        <w:rPr>
          <w:rFonts w:ascii="Arial" w:cs="Arial" w:eastAsia="Arial" w:hAnsi="Arial"/>
          <w:sz w:val="18"/>
          <w:szCs w:val="18"/>
          <w:color w:val="auto"/>
        </w:rPr>
      </w:pPr>
    </w:p>
    <w:p>
      <w:pPr>
        <w:ind w:left="1620" w:right="120" w:hanging="315"/>
        <w:spacing w:after="0" w:line="281"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3" w:lineRule="exact"/>
        <w:rPr>
          <w:rFonts w:ascii="Arial" w:cs="Arial" w:eastAsia="Arial" w:hAnsi="Arial"/>
          <w:sz w:val="16"/>
          <w:szCs w:val="16"/>
          <w:color w:val="auto"/>
        </w:rPr>
      </w:pPr>
    </w:p>
    <w:p>
      <w:pPr>
        <w:ind w:left="1620" w:right="20" w:hanging="315"/>
        <w:spacing w:after="0" w:line="255"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Capital Market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Capital Market under the symbol “VRNG.”</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416"/>
        <w:spacing w:after="0" w:line="257" w:lineRule="auto"/>
        <w:rPr>
          <w:sz w:val="20"/>
          <w:szCs w:val="20"/>
          <w:color w:val="auto"/>
        </w:rPr>
      </w:pPr>
      <w:r>
        <w:rPr>
          <w:rFonts w:ascii="Arial" w:cs="Arial" w:eastAsia="Arial" w:hAnsi="Arial"/>
          <w:sz w:val="18"/>
          <w:szCs w:val="18"/>
          <w:color w:val="auto"/>
        </w:rPr>
        <w:t>The common stock referenced on the cover page of this prospectus will be offered solely by us and will be issued and sold upon the exercise of the warrants described herein. For the holders of warrants to exercise the warrants, the shares issuable upon exercise must either be registered under the Securities Act of 1933, as amended, or exempt from registration. No fractional shares of common stock will be issued in connection with the exercise of a warrant. In lieu of fractional shares, we will pay the holder an amount in cash equal to the fractional amount multiplied by the fair market value of a share of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has passed upon the validity of the issuance of the securities offered by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consolidated financial statements of Vringo, Inc. and subsidiaries as of December 31, 2014 and for the year then ended and management’s assessment of the effectiveness of internal control over financial reporting as of December 31, 2014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dated March 16, 2015 covering the consolidated financial statements as of December 31, 2014 and for the year then ended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consolidated financial statements of Vringo, Inc. and subsidiaries as of December 31, 2013 and for each of the years in the two-year period ended December 31, 2013 have been incorporated by reference herein and in the registration statement in reliance upon the report of Somekh Chaikin, a member firm of KPMG International, independent registered public accounting firm, incorporated by reference herein, and upon the authority of said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w:t>
      </w:r>
      <w:r>
        <w:rPr>
          <w:rFonts w:ascii="Arial" w:cs="Arial" w:eastAsia="Arial" w:hAnsi="Arial"/>
          <w:sz w:val="18"/>
          <w:szCs w:val="18"/>
          <w:u w:val="single" w:color="auto"/>
          <w:color w:val="auto"/>
        </w:rPr>
        <w:t>http://www.sec.gov</w:t>
      </w:r>
      <w:r>
        <w:rPr>
          <w:rFonts w:ascii="Arial" w:cs="Arial" w:eastAsia="Arial" w:hAnsi="Arial"/>
          <w:sz w:val="18"/>
          <w:szCs w:val="18"/>
          <w:i w:val="1"/>
          <w:iCs w:val="1"/>
          <w:color w:val="auto"/>
        </w:rPr>
        <w:t>.</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2014, filed on March 16, 2015, as amended on April 30, 2015;</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 on Form 10-Q, filed on May 5, 2015;</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on July 17, 2015, June 24, 2015, June 18, 2015, May 4, 2015 and January 23, 2015 (other than the portions of those reports not deemed to be filed);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and public warrants contained in our Registration Statement on Form 8-A, filed on April 29, 2013 (File No. 001-34785); and</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or call (212) 309-7549.</w:t>
      </w:r>
    </w:p>
    <w:p>
      <w:pPr>
        <w:spacing w:after="0" w:line="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2019-12-08T20:25:53Z</dcterms:created>
  <dcterms:modified xsi:type="dcterms:W3CDTF">2019-12-08T20:25:53Z</dcterms:modified>
</cp:coreProperties>
</file>