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Bernstein Bruce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XpresSpa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XSPA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C/O XPRESSPA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03/17/2022</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254 WEST 31ST STREET, 11TH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03/17/2022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729,198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purchase of XSPA common stock reported herein was matchable under Section 16(b) of the Securities Exchange Act of 1934, with the reporting person's purchase of shares of XSPA common stock on January 21, 2022. 3,000 shares were matched with sales of 3,000 shares at $1.52 per share and 2,000 shares were matched with sales of 2,000 shares at $1.47 per share on that date. The reporting person has agreed to pay to XSPA, upon settlement of the sale, $1,350, representing the full amount of the profit realized in connection with the short-swing transaction, less transaction costs.</w:t>
      </w:r>
    </w:p>
    <w:p>
      <w:pPr>
        <w:spacing w:after="0" w:line="29"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total also includes 500,000 restricted stock units, which were granted on July 29, 2021 and were previously reported and which vest in equal quarterly installments over a one-year period, with one-fourth vesting at the end of each fiscal quarter, such that the options will be fully vested as of June 30, 2022.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Cara Soffer,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03/21/2022</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2"/>
              </w:rPr>
              <w:t>Fact for Bruce Bernstein</w:t>
            </w:r>
          </w:p>
        </w:tc>
        <w:tc>
          <w:tcPr>
            <w:tcW w:w="2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top w:val="single" w:sz="8" w:color="auto"/>
              <w:bottom w:val="single" w:sz="8" w:color="auto"/>
            </w:tcBorders>
            <w:vMerge w:val="continue"/>
          </w:tcPr>
          <w:p>
            <w:pPr>
              <w:spacing w:after="0"/>
              <w:rPr>
                <w:sz w:val="7"/>
                <w:szCs w:val="7"/>
                <w:color w:val="auto"/>
              </w:rPr>
            </w:pPr>
          </w:p>
        </w:tc>
        <w:tc>
          <w:tcPr>
            <w:tcW w:w="2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547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2022-03-21T18:19:19Z</dcterms:created>
  <dcterms:modified xsi:type="dcterms:W3CDTF">2022-03-21T18:19:19Z</dcterms:modified>
</cp:coreProperties>
</file>