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942975</wp:posOffset>
            </wp:positionH>
            <wp:positionV relativeFrom="page">
              <wp:posOffset>426720</wp:posOffset>
            </wp:positionV>
            <wp:extent cx="566356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3565" cy="33655"/>
                    </a:xfrm>
                    <a:prstGeom prst="rect">
                      <a:avLst/>
                    </a:prstGeom>
                    <a:noFill/>
                  </pic:spPr>
                </pic:pic>
              </a:graphicData>
            </a:graphic>
          </wp:anchor>
        </w:drawing>
        <w:drawing>
          <wp:anchor simplePos="0" relativeHeight="251657728" behindDoc="1" locked="0" layoutInCell="0" allowOverlap="1">
            <wp:simplePos x="0" y="0"/>
            <wp:positionH relativeFrom="page">
              <wp:posOffset>942975</wp:posOffset>
            </wp:positionH>
            <wp:positionV relativeFrom="page">
              <wp:posOffset>494665</wp:posOffset>
            </wp:positionV>
            <wp:extent cx="5663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356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6" w:lineRule="exact"/>
        <w:rPr>
          <w:sz w:val="24"/>
          <w:szCs w:val="24"/>
          <w:color w:val="auto"/>
        </w:rPr>
      </w:pPr>
    </w:p>
    <w:p>
      <w:pPr>
        <w:ind w:left="40" w:right="419" w:firstLine="9"/>
        <w:spacing w:after="0" w:line="239" w:lineRule="auto"/>
        <w:tabs>
          <w:tab w:leader="none" w:pos="679"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26" w:lineRule="exact"/>
        <w:rPr>
          <w:sz w:val="24"/>
          <w:szCs w:val="24"/>
          <w:color w:val="auto"/>
        </w:rPr>
      </w:pPr>
    </w:p>
    <w:p>
      <w:pPr>
        <w:ind w:left="40" w:right="419" w:firstLine="9"/>
        <w:spacing w:after="0" w:line="239" w:lineRule="auto"/>
        <w:tabs>
          <w:tab w:leader="none" w:pos="679"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___ to ___</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001-34785</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4600" w:type="dxa"/>
            <w:vAlign w:val="bottom"/>
          </w:tcPr>
          <w:p>
            <w:pPr>
              <w:jc w:val="center"/>
              <w:ind w:right="9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3"/>
        </w:trPr>
        <w:tc>
          <w:tcPr>
            <w:tcW w:w="4600" w:type="dxa"/>
            <w:vAlign w:val="bottom"/>
          </w:tcPr>
          <w:p>
            <w:pPr>
              <w:jc w:val="center"/>
              <w:ind w:right="971"/>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238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4600" w:type="dxa"/>
            <w:vAlign w:val="bottom"/>
          </w:tcPr>
          <w:p>
            <w:pPr>
              <w:jc w:val="center"/>
              <w:ind w:right="97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238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314"/>
        </w:trPr>
        <w:tc>
          <w:tcPr>
            <w:tcW w:w="4600" w:type="dxa"/>
            <w:vAlign w:val="bottom"/>
          </w:tcPr>
          <w:p>
            <w:pPr>
              <w:jc w:val="center"/>
              <w:ind w:right="971"/>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6"/>
                <w:szCs w:val="26"/>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11th Floor, New York, NY</w:t>
            </w:r>
          </w:p>
        </w:tc>
        <w:tc>
          <w:tcPr>
            <w:tcW w:w="238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2"/>
        </w:trPr>
        <w:tc>
          <w:tcPr>
            <w:tcW w:w="4600" w:type="dxa"/>
            <w:vAlign w:val="bottom"/>
          </w:tcPr>
          <w:p>
            <w:pPr>
              <w:jc w:val="center"/>
              <w:ind w:right="97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238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309-7549</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240"/>
        </w:trPr>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32"/>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$0.01 per share</w:t>
            </w:r>
          </w:p>
        </w:tc>
        <w:tc>
          <w:tcPr>
            <w:tcW w:w="18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180" w:type="dxa"/>
            <w:vAlign w:val="bottom"/>
          </w:tcPr>
          <w:p>
            <w:pPr>
              <w:spacing w:after="0"/>
              <w:rPr>
                <w:sz w:val="20"/>
                <w:szCs w:val="20"/>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176" w:lineRule="exact"/>
        <w:rPr>
          <w:sz w:val="24"/>
          <w:szCs w:val="24"/>
          <w:color w:val="auto"/>
        </w:rPr>
      </w:pPr>
    </w:p>
    <w:p>
      <w:pPr>
        <w:jc w:val="both"/>
        <w:ind w:left="40" w:right="5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85" w:lineRule="exact"/>
        <w:rPr>
          <w:sz w:val="24"/>
          <w:szCs w:val="24"/>
          <w:color w:val="auto"/>
        </w:rPr>
      </w:pPr>
    </w:p>
    <w:p>
      <w:pPr>
        <w:jc w:val="both"/>
        <w:ind w:left="40" w:right="5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85" w:lineRule="exact"/>
        <w:rPr>
          <w:sz w:val="24"/>
          <w:szCs w:val="24"/>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3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400"/>
              <w:spacing w:after="0" w:line="213" w:lineRule="exact"/>
              <w:rPr>
                <w:sz w:val="20"/>
                <w:szCs w:val="20"/>
                <w:color w:val="auto"/>
              </w:rPr>
            </w:pPr>
            <w:r>
              <w:rPr>
                <w:rFonts w:ascii="Arial Unicode MS" w:cs="Arial Unicode MS" w:eastAsia="Arial Unicode MS" w:hAnsi="Arial Unicode MS"/>
                <w:sz w:val="18"/>
                <w:szCs w:val="18"/>
                <w:color w:val="auto"/>
              </w:rPr>
              <w:t>⌧</w:t>
            </w:r>
          </w:p>
        </w:tc>
        <w:tc>
          <w:tcPr>
            <w:tcW w:w="37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380"/>
              <w:spacing w:after="0" w:line="213" w:lineRule="exact"/>
              <w:rPr>
                <w:sz w:val="20"/>
                <w:szCs w:val="20"/>
                <w:color w:val="auto"/>
              </w:rPr>
            </w:pPr>
            <w:r>
              <w:rPr>
                <w:rFonts w:ascii="Arial Unicode MS" w:cs="Arial Unicode MS" w:eastAsia="Arial Unicode MS" w:hAnsi="Arial Unicode MS"/>
                <w:sz w:val="18"/>
                <w:szCs w:val="18"/>
                <w:color w:val="auto"/>
                <w:w w:val="99"/>
              </w:rPr>
              <w:t>⌧</w:t>
            </w:r>
          </w:p>
        </w:tc>
      </w:tr>
      <w:tr>
        <w:trPr>
          <w:trHeight w:val="279"/>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38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3" w:lineRule="exact"/>
        <w:rPr>
          <w:sz w:val="24"/>
          <w:szCs w:val="24"/>
          <w:color w:val="auto"/>
        </w:rPr>
      </w:pPr>
    </w:p>
    <w:p>
      <w:pPr>
        <w:jc w:val="both"/>
        <w:ind w:left="40" w:right="59"/>
        <w:spacing w:after="0" w:line="22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56" w:lineRule="exact"/>
        <w:rPr>
          <w:sz w:val="24"/>
          <w:szCs w:val="24"/>
          <w:color w:val="auto"/>
        </w:rPr>
      </w:pPr>
    </w:p>
    <w:p>
      <w:pPr>
        <w:ind w:left="40" w:right="159"/>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As of November 9, 2020, 69,514,905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530860</wp:posOffset>
            </wp:positionV>
            <wp:extent cx="56635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356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91440</wp:posOffset>
            </wp:positionV>
            <wp:extent cx="5663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3565" cy="825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133985</wp:posOffset>
            </wp:positionV>
            <wp:extent cx="56635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3565" cy="336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380" w:type="dxa"/>
            <w:vAlign w:val="bottom"/>
            <w:gridSpan w:val="2"/>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8380" w:type="dxa"/>
            <w:vAlign w:val="bottom"/>
            <w:gridSpan w:val="2"/>
            <w:vMerge w:val="continue"/>
          </w:tcPr>
          <w:p>
            <w:pPr>
              <w:spacing w:after="0"/>
              <w:rPr>
                <w:sz w:val="16"/>
                <w:szCs w:val="16"/>
                <w:color w:val="auto"/>
              </w:rPr>
            </w:pPr>
          </w:p>
        </w:tc>
        <w:tc>
          <w:tcPr>
            <w:tcW w:w="5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Financial Statements (Unaudited)</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2.</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Item 3.</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Quantitative and Qualitative Disclosures About Market Risk</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2"/>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Item 4.</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Controls and Procedures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26"/>
        </w:trPr>
        <w:tc>
          <w:tcPr>
            <w:tcW w:w="8380" w:type="dxa"/>
            <w:vAlign w:val="bottom"/>
            <w:gridSpan w:val="2"/>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PART II. OTHER INFORMATION</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07"/>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Legal Proceedings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1A.</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Risk Factors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Item 2.</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Unregistered Sales of Equity Securities and Use of Proceeds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Item 3.</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Defaults Upon Senior Securities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Item 4.</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Mine Safety Disclosures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3"/>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Item 5.</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Other Information</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2"/>
        </w:trPr>
        <w:tc>
          <w:tcPr>
            <w:tcW w:w="76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Item 6.</w:t>
              </w:r>
            </w:hyperlink>
          </w:p>
        </w:tc>
        <w:tc>
          <w:tcPr>
            <w:tcW w:w="7620" w:type="dxa"/>
            <w:vAlign w:val="bottom"/>
          </w:tcPr>
          <w:p>
            <w:pPr>
              <w:ind w:left="12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Exhibits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758"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9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61,894</w:t>
            </w:r>
          </w:p>
        </w:tc>
        <w:tc>
          <w:tcPr>
            <w:tcW w:w="400" w:type="dxa"/>
            <w:vAlign w:val="bottom"/>
            <w:gridSpan w:val="2"/>
          </w:tcPr>
          <w:p>
            <w:pPr>
              <w:jc w:val="right"/>
              <w:ind w:right="5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2,184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Inventory</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638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1,336</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63,868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3,933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701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6,095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8,064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5,421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6,783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Operating lease right of use assets,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4,143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8,254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1,301</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80"/>
        </w:trPr>
        <w:tc>
          <w:tcPr>
            <w:tcW w:w="672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81,529</w:t>
            </w:r>
          </w:p>
        </w:tc>
        <w:tc>
          <w:tcPr>
            <w:tcW w:w="220" w:type="dxa"/>
            <w:vAlign w:val="bottom"/>
          </w:tcPr>
          <w:p>
            <w:pPr>
              <w:spacing w:after="0"/>
              <w:rPr>
                <w:sz w:val="15"/>
                <w:szCs w:val="15"/>
                <w:color w:val="auto"/>
              </w:rPr>
            </w:pPr>
          </w:p>
        </w:tc>
        <w:tc>
          <w:tcPr>
            <w:tcW w:w="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28,724</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67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Accounts payable, accrued expenses and other</w:t>
            </w:r>
          </w:p>
        </w:tc>
        <w:tc>
          <w:tcPr>
            <w:tcW w:w="30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8,150</w:t>
            </w:r>
          </w:p>
        </w:tc>
        <w:tc>
          <w:tcPr>
            <w:tcW w:w="40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12,551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3,669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681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Current portion of promissory note, unsecured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Convertible senior secured note, net</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169</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0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14,289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16,220</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Promissory note, unsecured</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3,062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Convertible senior secured note,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4,580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Convertible notes, net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3,137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5,490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5,826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317</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23,158</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31,260</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11)</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Series A Convertible Preferred Stock, $0.01 par value per share; 6,968 shares authorized; 6,673 issued and none</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Series C Junior Preferred Stock, $0.01 par value per share; 300,000 shares authorized; none issued and 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Series D Convertible Preferred Stock, $0.01 par value per share; 500,000 shares authorized; none issued and</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Series E Convertible Preferred Stock, $0.01 par value per share, 2,397,060 shares authorized; 987,988 issued and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7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none outstanding as of September 30, 2020 and 977,865 issued and outstanding with a liquidation value of $3,031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December 31, 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Series F Convertible Preferred Stock, $0.01 par value per share, 9,000 shares authorized; 8,996 issued and none</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outstanding as of September 30, 2020 and 8,996 shares issued and outstanding with a liquidation value of $900 as of</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Common Stock, $0.01 par value per share 150,000,000 shares authorized; 69,076,888 and 5,157,390 shares issued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 outstanding as of September 30, 2020 and December 31, 2019, respectively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438,214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302,118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(382,941)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(308,136)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(250)</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0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stockholders' equity (deficit) attributable to XpresSpa Group, Inc.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55,714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(6,239)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2,657</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0"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58,371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(2,536)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81,529</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28,724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280" w:hanging="231"/>
        <w:spacing w:after="0"/>
        <w:tabs>
          <w:tab w:leader="none" w:pos="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where applicable, to reflect the impact of the 1:3 reverse stock split that became effective on June 11, 2020.</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4"/>
                <w:szCs w:val="14"/>
                <w:color w:val="auto"/>
              </w:rPr>
            </w:pPr>
          </w:p>
        </w:tc>
        <w:tc>
          <w:tcPr>
            <w:tcW w:w="23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9"/>
              <w:spacing w:after="0" w:line="140"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9"/>
              <w:spacing w:after="0" w:line="140"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9"/>
              <w:spacing w:after="0" w:line="140"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9"/>
              <w:spacing w:after="0" w:line="140"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Revenue,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rPr>
              <w:t>Services</w:t>
            </w:r>
          </w:p>
        </w:tc>
        <w:tc>
          <w:tcPr>
            <w:tcW w:w="400" w:type="dxa"/>
            <w:vAlign w:val="bottom"/>
            <w:gridSpan w:val="2"/>
          </w:tcPr>
          <w:p>
            <w:pPr>
              <w:jc w:val="right"/>
              <w:ind w:right="7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93</w:t>
            </w:r>
          </w:p>
        </w:tc>
        <w:tc>
          <w:tcPr>
            <w:tcW w:w="420" w:type="dxa"/>
            <w:vAlign w:val="bottom"/>
            <w:gridSpan w:val="2"/>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10,230</w:t>
            </w:r>
          </w:p>
        </w:tc>
        <w:tc>
          <w:tcPr>
            <w:tcW w:w="520" w:type="dxa"/>
            <w:vAlign w:val="bottom"/>
            <w:gridSpan w:val="2"/>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6,779</w:t>
            </w:r>
          </w:p>
        </w:tc>
        <w:tc>
          <w:tcPr>
            <w:tcW w:w="420" w:type="dxa"/>
            <w:vAlign w:val="bottom"/>
            <w:gridSpan w:val="2"/>
          </w:tcPr>
          <w:p>
            <w:pPr>
              <w:jc w:val="right"/>
              <w:ind w:right="84"/>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30,704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Products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2,301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936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5,781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Borders>
              <w:bottom w:val="single" w:sz="8" w:color="CCEEFF"/>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347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1,184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revenue, net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201</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12,531</w:t>
            </w:r>
          </w:p>
        </w:tc>
        <w:tc>
          <w:tcPr>
            <w:tcW w:w="3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8,062</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37,669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Cost of sales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rPr>
              <w:t>Labor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5,842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17,507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Occupancy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1,894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5,811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Borders>
              <w:bottom w:val="single" w:sz="8" w:color="CCEEFF"/>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Products and other operating costs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1,953</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1,737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5,322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cost of sales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1,405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9,689</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9,551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28,640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1,464</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3,875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4,692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Impairment/disposal of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2,227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106</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6,319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Borders>
              <w:bottom w:val="single" w:sz="8" w:color="CCEEFF"/>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4,368</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3,108</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10,972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9,204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9,424</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14,367</w:t>
            </w:r>
          </w:p>
        </w:tc>
        <w:tc>
          <w:tcPr>
            <w:tcW w:w="3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30,717</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43,472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(9,223)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(1,836)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(22,655)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(5,803)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Interest expense,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(780)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(1,856)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rPr>
              <w:t>Gain (loss) on revaluation of warrants and conversion options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2,750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(848)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(50,917)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Other non-operating expense, net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(1,313)</w:t>
            </w:r>
          </w:p>
        </w:tc>
        <w:tc>
          <w:tcPr>
            <w:tcW w:w="3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(389)</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(5,037)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Loss from operations before income taxes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(6,640)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(4,777)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(75,817)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(13,672)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143</w:t>
            </w:r>
          </w:p>
        </w:tc>
        <w:tc>
          <w:tcPr>
            <w:tcW w:w="3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(6,643)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(4,634)</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(75,839)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(13,571)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Net loss (income) attributable to noncontrolling interests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533</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(210)</w:t>
            </w:r>
          </w:p>
        </w:tc>
        <w:tc>
          <w:tcPr>
            <w:tcW w:w="3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1,034</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2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loss attributable to XpresSpa Group, Inc.</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(6,110)</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(4,844)</w:t>
            </w:r>
          </w:p>
        </w:tc>
        <w:tc>
          <w:tcPr>
            <w:tcW w:w="32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(74,805)</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(14,155)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38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8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400" w:type="dxa"/>
            <w:vAlign w:val="bottom"/>
            <w:gridSpan w:val="2"/>
          </w:tcPr>
          <w:p>
            <w:pPr>
              <w:jc w:val="right"/>
              <w:ind w:right="7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(6,643)</w:t>
            </w:r>
          </w:p>
        </w:tc>
        <w:tc>
          <w:tcPr>
            <w:tcW w:w="420" w:type="dxa"/>
            <w:vAlign w:val="bottom"/>
            <w:gridSpan w:val="2"/>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(4,634)</w:t>
            </w:r>
          </w:p>
        </w:tc>
        <w:tc>
          <w:tcPr>
            <w:tcW w:w="520" w:type="dxa"/>
            <w:vAlign w:val="bottom"/>
            <w:gridSpan w:val="2"/>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(75,839)</w:t>
            </w:r>
          </w:p>
        </w:tc>
        <w:tc>
          <w:tcPr>
            <w:tcW w:w="420" w:type="dxa"/>
            <w:vAlign w:val="bottom"/>
            <w:gridSpan w:val="2"/>
          </w:tcPr>
          <w:p>
            <w:pPr>
              <w:jc w:val="right"/>
              <w:ind w:right="84"/>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(13,571)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Other comprehensive gain / (loss) from operations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w:t>
            </w:r>
          </w:p>
        </w:tc>
        <w:tc>
          <w:tcPr>
            <w:tcW w:w="3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2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(6,625)</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(4,552)</w:t>
            </w:r>
          </w:p>
        </w:tc>
        <w:tc>
          <w:tcPr>
            <w:tcW w:w="32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(75,806)</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(13,680)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38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8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Basic and diluted net loss per share</w:t>
            </w:r>
          </w:p>
        </w:tc>
        <w:tc>
          <w:tcPr>
            <w:tcW w:w="400" w:type="dxa"/>
            <w:vAlign w:val="bottom"/>
            <w:gridSpan w:val="2"/>
            <w:shd w:val="clear" w:color="auto" w:fill="CCEEFF"/>
          </w:tcPr>
          <w:p>
            <w:pPr>
              <w:jc w:val="right"/>
              <w:ind w:right="7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(0.10)</w:t>
            </w:r>
          </w:p>
        </w:tc>
        <w:tc>
          <w:tcPr>
            <w:tcW w:w="420" w:type="dxa"/>
            <w:vAlign w:val="bottom"/>
            <w:gridSpan w:val="2"/>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(1.68)</w:t>
            </w:r>
          </w:p>
        </w:tc>
        <w:tc>
          <w:tcPr>
            <w:tcW w:w="520" w:type="dxa"/>
            <w:vAlign w:val="bottom"/>
            <w:gridSpan w:val="2"/>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(2.15)</w:t>
            </w:r>
          </w:p>
        </w:tc>
        <w:tc>
          <w:tcPr>
            <w:tcW w:w="420" w:type="dxa"/>
            <w:vAlign w:val="bottom"/>
            <w:gridSpan w:val="2"/>
            <w:shd w:val="clear" w:color="auto" w:fill="CCEEFF"/>
          </w:tcPr>
          <w:p>
            <w:pPr>
              <w:jc w:val="right"/>
              <w:ind w:right="84"/>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(6.33)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Weighted-average number of shares outstanding during the</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tcBorders>
              <w:bottom w:val="single" w:sz="8" w:color="CCEEFF"/>
            </w:tcBorders>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Basic</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61,106,894</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2,875,501</w:t>
            </w:r>
          </w:p>
        </w:tc>
        <w:tc>
          <w:tcPr>
            <w:tcW w:w="3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35,309,004</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2,236,323</w:t>
            </w: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61,106,894</w:t>
            </w:r>
          </w:p>
        </w:tc>
        <w:tc>
          <w:tcPr>
            <w:tcW w:w="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2,875,501</w:t>
            </w:r>
          </w:p>
        </w:tc>
        <w:tc>
          <w:tcPr>
            <w:tcW w:w="3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35,309,004</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2,236,323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Adjusted to reflect the impact of the 1:3 reverse stock split that became effective on June 11, 2020.</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35"/>
        </w:trPr>
        <w:tc>
          <w:tcPr>
            <w:tcW w:w="1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100"/>
              <w:spacing w:after="0" w:line="136" w:lineRule="exact"/>
              <w:rPr>
                <w:sz w:val="20"/>
                <w:szCs w:val="20"/>
                <w:color w:val="auto"/>
              </w:rPr>
            </w:pPr>
            <w:r>
              <w:rPr>
                <w:rFonts w:ascii="Times New Roman" w:cs="Times New Roman" w:eastAsia="Times New Roman" w:hAnsi="Times New Roman"/>
                <w:sz w:val="12"/>
                <w:szCs w:val="12"/>
                <w:b w:val="1"/>
                <w:bCs w:val="1"/>
                <w:color w:val="auto"/>
                <w:w w:val="94"/>
              </w:rPr>
              <w:t>Accumulated</w:t>
            </w:r>
          </w:p>
        </w:tc>
        <w:tc>
          <w:tcPr>
            <w:tcW w:w="80" w:type="dxa"/>
            <w:vAlign w:val="bottom"/>
          </w:tcPr>
          <w:p>
            <w:pPr>
              <w:spacing w:after="0"/>
              <w:rPr>
                <w:sz w:val="11"/>
                <w:szCs w:val="11"/>
                <w:color w:val="auto"/>
              </w:rPr>
            </w:pPr>
          </w:p>
        </w:tc>
        <w:tc>
          <w:tcPr>
            <w:tcW w:w="5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760" w:type="dxa"/>
            <w:vAlign w:val="bottom"/>
            <w:gridSpan w:val="3"/>
          </w:tcPr>
          <w:p>
            <w:pPr>
              <w:ind w:left="300"/>
              <w:spacing w:after="0" w:line="133" w:lineRule="exact"/>
              <w:rPr>
                <w:sz w:val="20"/>
                <w:szCs w:val="20"/>
                <w:color w:val="auto"/>
              </w:rPr>
            </w:pPr>
            <w:r>
              <w:rPr>
                <w:rFonts w:ascii="Times New Roman" w:cs="Times New Roman" w:eastAsia="Times New Roman" w:hAnsi="Times New Roman"/>
                <w:sz w:val="12"/>
                <w:szCs w:val="12"/>
                <w:b w:val="1"/>
                <w:bCs w:val="1"/>
                <w:color w:val="auto"/>
              </w:rPr>
              <w:t>Series 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center"/>
              <w:ind w:left="142"/>
              <w:spacing w:after="0" w:line="133" w:lineRule="exact"/>
              <w:rPr>
                <w:sz w:val="20"/>
                <w:szCs w:val="20"/>
                <w:color w:val="auto"/>
              </w:rPr>
            </w:pPr>
            <w:r>
              <w:rPr>
                <w:rFonts w:ascii="Times New Roman" w:cs="Times New Roman" w:eastAsia="Times New Roman" w:hAnsi="Times New Roman"/>
                <w:sz w:val="12"/>
                <w:szCs w:val="12"/>
                <w:b w:val="1"/>
                <w:bCs w:val="1"/>
                <w:color w:val="auto"/>
                <w:w w:val="97"/>
              </w:rPr>
              <w:t>Series 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other</w:t>
            </w:r>
          </w:p>
        </w:tc>
        <w:tc>
          <w:tcPr>
            <w:tcW w:w="62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Company</w:t>
            </w:r>
          </w:p>
        </w:tc>
        <w:tc>
          <w:tcPr>
            <w:tcW w:w="60" w:type="dxa"/>
            <w:vAlign w:val="bottom"/>
          </w:tcPr>
          <w:p>
            <w:pPr>
              <w:spacing w:after="0"/>
              <w:rPr>
                <w:sz w:val="11"/>
                <w:szCs w:val="11"/>
                <w:color w:val="auto"/>
              </w:rPr>
            </w:pPr>
          </w:p>
        </w:tc>
        <w:tc>
          <w:tcPr>
            <w:tcW w:w="60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Non-</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680" w:type="dxa"/>
            <w:vAlign w:val="bottom"/>
          </w:tcPr>
          <w:p>
            <w:pPr>
              <w:spacing w:after="0"/>
              <w:rPr>
                <w:sz w:val="12"/>
                <w:szCs w:val="12"/>
                <w:color w:val="auto"/>
              </w:rPr>
            </w:pPr>
          </w:p>
        </w:tc>
        <w:tc>
          <w:tcPr>
            <w:tcW w:w="100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12"/>
                <w:szCs w:val="12"/>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Preferred stock</w:t>
            </w:r>
          </w:p>
        </w:tc>
        <w:tc>
          <w:tcPr>
            <w:tcW w:w="120" w:type="dxa"/>
            <w:vAlign w:val="bottom"/>
          </w:tcPr>
          <w:p>
            <w:pPr>
              <w:spacing w:after="0"/>
              <w:rPr>
                <w:sz w:val="12"/>
                <w:szCs w:val="12"/>
                <w:color w:val="auto"/>
              </w:rPr>
            </w:pPr>
          </w:p>
        </w:tc>
        <w:tc>
          <w:tcPr>
            <w:tcW w:w="9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w w:val="93"/>
              </w:rPr>
              <w:t>Common stock</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paid-</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60" w:type="dxa"/>
            <w:vAlign w:val="bottom"/>
          </w:tcPr>
          <w:p>
            <w:pPr>
              <w:spacing w:after="0"/>
              <w:rPr>
                <w:sz w:val="12"/>
                <w:szCs w:val="12"/>
                <w:color w:val="auto"/>
              </w:rPr>
            </w:pPr>
          </w:p>
        </w:tc>
        <w:tc>
          <w:tcPr>
            <w:tcW w:w="58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460" w:type="dxa"/>
            <w:vAlign w:val="bottom"/>
          </w:tcPr>
          <w:p>
            <w:pPr>
              <w:jc w:val="right"/>
              <w:ind w:right="2"/>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0"/>
                <w:szCs w:val="10"/>
                <w:color w:val="auto"/>
              </w:rPr>
            </w:pPr>
          </w:p>
        </w:tc>
        <w:tc>
          <w:tcPr>
            <w:tcW w:w="4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b w:val="1"/>
                <w:bCs w:val="1"/>
                <w:color w:val="auto"/>
                <w:w w:val="90"/>
              </w:rPr>
              <w:t>Amount</w:t>
            </w:r>
          </w:p>
        </w:tc>
        <w:tc>
          <w:tcPr>
            <w:tcW w:w="120" w:type="dxa"/>
            <w:vAlign w:val="bottom"/>
          </w:tcPr>
          <w:p>
            <w:pPr>
              <w:spacing w:after="0"/>
              <w:rPr>
                <w:sz w:val="10"/>
                <w:szCs w:val="10"/>
                <w:color w:val="auto"/>
              </w:rPr>
            </w:pPr>
          </w:p>
        </w:tc>
        <w:tc>
          <w:tcPr>
            <w:tcW w:w="3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120" w:type="dxa"/>
            <w:vAlign w:val="bottom"/>
          </w:tcPr>
          <w:p>
            <w:pPr>
              <w:spacing w:after="0"/>
              <w:rPr>
                <w:sz w:val="10"/>
                <w:szCs w:val="10"/>
                <w:color w:val="auto"/>
              </w:rPr>
            </w:pPr>
          </w:p>
        </w:tc>
        <w:tc>
          <w:tcPr>
            <w:tcW w:w="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0"/>
                <w:szCs w:val="10"/>
                <w:color w:val="auto"/>
              </w:rPr>
            </w:pPr>
          </w:p>
        </w:tc>
        <w:tc>
          <w:tcPr>
            <w:tcW w:w="560" w:type="dxa"/>
            <w:vAlign w:val="bottom"/>
          </w:tcPr>
          <w:p>
            <w:pPr>
              <w:jc w:val="right"/>
              <w:ind w:right="22"/>
              <w:spacing w:after="0" w:line="126" w:lineRule="exact"/>
              <w:rPr>
                <w:sz w:val="20"/>
                <w:szCs w:val="20"/>
                <w:color w:val="auto"/>
              </w:rPr>
            </w:pPr>
            <w:r>
              <w:rPr>
                <w:rFonts w:ascii="Times New Roman" w:cs="Times New Roman" w:eastAsia="Times New Roman" w:hAnsi="Times New Roman"/>
                <w:sz w:val="12"/>
                <w:szCs w:val="12"/>
                <w:b w:val="1"/>
                <w:bCs w:val="1"/>
                <w:color w:val="auto"/>
              </w:rPr>
              <w:t>Shares *</w:t>
            </w:r>
          </w:p>
        </w:tc>
        <w:tc>
          <w:tcPr>
            <w:tcW w:w="120" w:type="dxa"/>
            <w:vAlign w:val="bottom"/>
          </w:tcPr>
          <w:p>
            <w:pPr>
              <w:spacing w:after="0"/>
              <w:rPr>
                <w:sz w:val="10"/>
                <w:szCs w:val="10"/>
                <w:color w:val="auto"/>
              </w:rPr>
            </w:pPr>
          </w:p>
        </w:tc>
        <w:tc>
          <w:tcPr>
            <w:tcW w:w="60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Amount *</w:t>
            </w:r>
          </w:p>
        </w:tc>
        <w:tc>
          <w:tcPr>
            <w:tcW w:w="72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in capital *</w:t>
            </w:r>
          </w:p>
        </w:tc>
        <w:tc>
          <w:tcPr>
            <w:tcW w:w="140" w:type="dxa"/>
            <w:vAlign w:val="bottom"/>
          </w:tcPr>
          <w:p>
            <w:pPr>
              <w:spacing w:after="0"/>
              <w:rPr>
                <w:sz w:val="10"/>
                <w:szCs w:val="10"/>
                <w:color w:val="auto"/>
              </w:rPr>
            </w:pPr>
          </w:p>
        </w:tc>
        <w:tc>
          <w:tcPr>
            <w:tcW w:w="700" w:type="dxa"/>
            <w:vAlign w:val="bottom"/>
            <w:gridSpan w:val="2"/>
          </w:tcPr>
          <w:p>
            <w:pPr>
              <w:jc w:val="right"/>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8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w w:val="96"/>
              </w:rPr>
              <w:t>income (loss)</w:t>
            </w:r>
          </w:p>
        </w:tc>
        <w:tc>
          <w:tcPr>
            <w:tcW w:w="62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4"/>
              </w:rPr>
              <w:t>(deficit)</w:t>
            </w:r>
          </w:p>
        </w:tc>
        <w:tc>
          <w:tcPr>
            <w:tcW w:w="60" w:type="dxa"/>
            <w:vAlign w:val="bottom"/>
          </w:tcPr>
          <w:p>
            <w:pPr>
              <w:spacing w:after="0"/>
              <w:rPr>
                <w:sz w:val="10"/>
                <w:szCs w:val="10"/>
                <w:color w:val="auto"/>
              </w:rPr>
            </w:pPr>
          </w:p>
        </w:tc>
        <w:tc>
          <w:tcPr>
            <w:tcW w:w="6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2"/>
              </w:rPr>
              <w:t>interests</w:t>
            </w:r>
          </w:p>
        </w:tc>
        <w:tc>
          <w:tcPr>
            <w:tcW w:w="7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b w:val="1"/>
                <w:bCs w:val="1"/>
                <w:color w:val="auto"/>
                <w:w w:val="93"/>
              </w:rPr>
              <w:t>equity (deficit)</w:t>
            </w:r>
          </w:p>
        </w:tc>
        <w:tc>
          <w:tcPr>
            <w:tcW w:w="0" w:type="dxa"/>
            <w:vAlign w:val="bottom"/>
          </w:tcPr>
          <w:p>
            <w:pPr>
              <w:spacing w:after="0"/>
              <w:rPr>
                <w:sz w:val="1"/>
                <w:szCs w:val="1"/>
                <w:color w:val="auto"/>
              </w:rPr>
            </w:pPr>
          </w:p>
        </w:tc>
      </w:tr>
      <w:tr>
        <w:trPr>
          <w:trHeight w:val="20"/>
        </w:trPr>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680" w:type="dxa"/>
            <w:vAlign w:val="bottom"/>
            <w:vMerge w:val="continue"/>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977,865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5,157,390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(308,136)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(283)</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(6,239)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(2,536)</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Issuances of Common Stock for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payment of interest on B3D Note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236,077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Issuance of Series E Preferred</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 for payment of interest 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Calm Note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Conversion of Series F Preferred</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Stock into Common Stock</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1"/>
              </w:rPr>
              <w:t>(7,465)</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930,326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Direct offerings of Common</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 and pre-funded warrants,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of costs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8,210,239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4,258</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Exercise of May 2018 Class A</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Warrants into Common Stock</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2,578,455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Conversion of B3D Note to</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1,430,647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Issuance of Common Stock for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services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58,333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Stock-based compensation</w:t>
            </w:r>
          </w:p>
        </w:tc>
        <w:tc>
          <w:tcPr>
            <w:tcW w:w="5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Net loss for the period</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3"/>
                <w:szCs w:val="23"/>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(10,617)</w:t>
            </w:r>
          </w:p>
        </w:tc>
        <w:tc>
          <w:tcPr>
            <w:tcW w:w="16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7"/>
              </w:rPr>
              <w:t>(10,617)</w:t>
            </w:r>
          </w:p>
        </w:tc>
        <w:tc>
          <w:tcPr>
            <w:tcW w:w="6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(108)</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(10,725)</w:t>
            </w: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5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Contributions from</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26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March 31, 2020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987,988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18,601,467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186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311,389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(318,753)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(283)</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(7,451)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(3,739)</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Issuance of Common Stock for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payment of interest on B3D Note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88,508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Conversion of Series E Preferred</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into Common Stock</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3"/>
              </w:rPr>
              <w:t>(987,988)</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510,460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Conversion of Series F Preferred</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Stock into Common Stock</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1"/>
              </w:rPr>
              <w:t>(1,531)</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291,619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Exercise of May 2018 Class A</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Warrants into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2,382,835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5,915</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Exercise of Calm Warrants into</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1,622,149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4,108</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Exercise of March 2020 pre-</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funded warrants into Common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201,667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March Warrant Exchange for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Common Stock - Class A</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Warrant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2,385,528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6,434</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March Warrant Exchange for</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Common Stock - Class 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527,669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June Warrant Exchange for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 Calm Warrant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2,062,126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11,755</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Conversion of B3D Note to</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10,789,591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108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14,305</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Conversion of Calm Note to</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4,761,906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10,599</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Direct offerings of Common</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 and pre-funded warrants,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of costs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12,235,911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122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38,397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38,397</w:t>
            </w:r>
          </w:p>
        </w:tc>
        <w:tc>
          <w:tcPr>
            <w:tcW w:w="0" w:type="dxa"/>
            <w:vAlign w:val="bottom"/>
          </w:tcPr>
          <w:p>
            <w:pPr>
              <w:spacing w:after="0"/>
              <w:rPr>
                <w:sz w:val="1"/>
                <w:szCs w:val="1"/>
                <w:color w:val="auto"/>
              </w:rPr>
            </w:pPr>
          </w:p>
        </w:tc>
      </w:tr>
      <w:tr>
        <w:trPr>
          <w:trHeight w:val="133"/>
        </w:trPr>
        <w:tc>
          <w:tcPr>
            <w:tcW w:w="1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Stock-based compensation</w:t>
            </w:r>
          </w:p>
        </w:tc>
        <w:tc>
          <w:tcPr>
            <w:tcW w:w="5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32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1"/>
                <w:szCs w:val="11"/>
                <w:color w:val="auto"/>
              </w:rPr>
            </w:pPr>
          </w:p>
        </w:tc>
        <w:tc>
          <w:tcPr>
            <w:tcW w:w="3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Issuance of restricted stock</w:t>
            </w:r>
          </w:p>
        </w:tc>
        <w:tc>
          <w:tcPr>
            <w:tcW w:w="5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12,500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Fractional shares retired in</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reverse stock split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w:t>
            </w:r>
          </w:p>
        </w:tc>
        <w:tc>
          <w:tcPr>
            <w:tcW w:w="2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5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Net loss for the period</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3"/>
                <w:szCs w:val="23"/>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(58,078)</w:t>
            </w:r>
          </w:p>
        </w:tc>
        <w:tc>
          <w:tcPr>
            <w:tcW w:w="16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7"/>
              </w:rPr>
              <w:t>(58,078)</w:t>
            </w:r>
          </w:p>
        </w:tc>
        <w:tc>
          <w:tcPr>
            <w:tcW w:w="6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(393)</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(58,471)</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June 30, 2020</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680" w:type="dxa"/>
            <w:vAlign w:val="bottom"/>
            <w:vMerge w:val="continue"/>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56,473,913</w:t>
            </w:r>
          </w:p>
        </w:tc>
        <w:tc>
          <w:tcPr>
            <w:tcW w:w="1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565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403,005</w:t>
            </w:r>
          </w:p>
        </w:tc>
        <w:tc>
          <w:tcPr>
            <w:tcW w:w="120" w:type="dxa"/>
            <w:vAlign w:val="bottom"/>
          </w:tcPr>
          <w:p>
            <w:pPr>
              <w:spacing w:after="0"/>
              <w:rPr>
                <w:sz w:val="22"/>
                <w:szCs w:val="22"/>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(376,831)</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(268)</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26,471</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3,190</w:t>
            </w:r>
          </w:p>
        </w:tc>
        <w:tc>
          <w:tcPr>
            <w:tcW w:w="1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29,661</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Conversion of B3D Note to</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1,276,270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3,363</w:t>
            </w:r>
          </w:p>
        </w:tc>
        <w:tc>
          <w:tcPr>
            <w:tcW w:w="0" w:type="dxa"/>
            <w:vAlign w:val="bottom"/>
          </w:tcPr>
          <w:p>
            <w:pPr>
              <w:spacing w:after="0"/>
              <w:rPr>
                <w:sz w:val="1"/>
                <w:szCs w:val="1"/>
                <w:color w:val="auto"/>
              </w:rPr>
            </w:pPr>
          </w:p>
        </w:tc>
      </w:tr>
      <w:tr>
        <w:trPr>
          <w:trHeight w:val="133"/>
        </w:trPr>
        <w:tc>
          <w:tcPr>
            <w:tcW w:w="1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Stock-based compensation</w:t>
            </w:r>
          </w:p>
        </w:tc>
        <w:tc>
          <w:tcPr>
            <w:tcW w:w="5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32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Pr>
          <w:p>
            <w:pPr>
              <w:spacing w:after="0"/>
              <w:rPr>
                <w:sz w:val="11"/>
                <w:szCs w:val="11"/>
                <w:color w:val="auto"/>
              </w:rPr>
            </w:pPr>
          </w:p>
        </w:tc>
        <w:tc>
          <w:tcPr>
            <w:tcW w:w="3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470</w:t>
            </w: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 option exercises</w:t>
            </w:r>
          </w:p>
        </w:tc>
        <w:tc>
          <w:tcPr>
            <w:tcW w:w="5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4,167</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25"/>
        </w:trPr>
        <w:tc>
          <w:tcPr>
            <w:tcW w:w="16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Issuance of Common Stock for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payment of interest on Calm Note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47,305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25"/>
        </w:trPr>
        <w:tc>
          <w:tcPr>
            <w:tcW w:w="16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Direct offerings of Common</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 and pre-funded warrants,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of costs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2"/>
              </w:rPr>
              <w:t>11,216,932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112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31,462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31,462</w:t>
            </w:r>
          </w:p>
        </w:tc>
        <w:tc>
          <w:tcPr>
            <w:tcW w:w="0" w:type="dxa"/>
            <w:vAlign w:val="bottom"/>
          </w:tcPr>
          <w:p>
            <w:pPr>
              <w:spacing w:after="0"/>
              <w:rPr>
                <w:sz w:val="1"/>
                <w:szCs w:val="1"/>
                <w:color w:val="auto"/>
              </w:rPr>
            </w:pPr>
          </w:p>
        </w:tc>
      </w:tr>
      <w:tr>
        <w:trPr>
          <w:trHeight w:val="133"/>
        </w:trPr>
        <w:tc>
          <w:tcPr>
            <w:tcW w:w="1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restricted stock</w:t>
            </w:r>
          </w:p>
        </w:tc>
        <w:tc>
          <w:tcPr>
            <w:tcW w:w="5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32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58,301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1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5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33"/>
        </w:trPr>
        <w:tc>
          <w:tcPr>
            <w:tcW w:w="1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 for the period</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(6,110)</w:t>
            </w:r>
          </w:p>
        </w:tc>
        <w:tc>
          <w:tcPr>
            <w:tcW w:w="160" w:type="dxa"/>
            <w:vAlign w:val="bottom"/>
          </w:tcPr>
          <w:p>
            <w:pPr>
              <w:spacing w:after="0"/>
              <w:rPr>
                <w:sz w:val="11"/>
                <w:szCs w:val="11"/>
                <w:color w:val="auto"/>
              </w:rPr>
            </w:pPr>
          </w:p>
        </w:tc>
        <w:tc>
          <w:tcPr>
            <w:tcW w:w="7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(6,110)</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(533)</w:t>
            </w:r>
          </w:p>
        </w:tc>
        <w:tc>
          <w:tcPr>
            <w:tcW w:w="1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(6,643)</w:t>
            </w: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September 30, 2020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69,076,888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691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438,214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(382,941)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55,714</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58,371</w:t>
            </w: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4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Adjusted to reflect the impact of the 1:3 reverse stock split that became effective on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-95885</wp:posOffset>
            </wp:positionV>
            <wp:extent cx="4970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014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353695</wp:posOffset>
            </wp:positionV>
            <wp:extent cx="598487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4875" cy="25400"/>
                    </a:xfrm>
                    <a:prstGeom prst="rect">
                      <a:avLst/>
                    </a:prstGeom>
                    <a:noFill/>
                  </pic:spPr>
                </pic:pic>
              </a:graphicData>
            </a:graphic>
          </wp:anchor>
        </w:drawing>
      </w:r>
    </w:p>
    <w:p>
      <w:pPr>
        <w:sectPr>
          <w:pgSz w:w="11900" w:h="16838" w:orient="portrait"/>
          <w:cols w:equalWidth="0" w:num="1">
            <w:col w:w="9520"/>
          </w:cols>
          <w:pgMar w:left="1180" w:top="119" w:right="1199" w:bottom="1440" w:gutter="0" w:footer="0" w:header="0"/>
        </w:sectPr>
      </w:pPr>
    </w:p>
    <w:bookmarkStart w:id="5" w:name="page6"/>
    <w:bookmarkEnd w:id="5"/>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2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9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restart"/>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6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13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paid-</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8"/>
              </w:rPr>
              <w:t>controlling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52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w w:val="98"/>
              </w:rPr>
              <w:t>Shares *</w:t>
            </w:r>
          </w:p>
        </w:tc>
        <w:tc>
          <w:tcPr>
            <w:tcW w:w="740" w:type="dxa"/>
            <w:vAlign w:val="bottom"/>
            <w:tcBorders>
              <w:top w:val="single" w:sz="8" w:color="auto"/>
            </w:tcBorders>
            <w:gridSpan w:val="3"/>
          </w:tcPr>
          <w:p>
            <w:pPr>
              <w:ind w:left="160"/>
              <w:spacing w:after="0" w:line="140" w:lineRule="exact"/>
              <w:rPr>
                <w:sz w:val="20"/>
                <w:szCs w:val="20"/>
                <w:color w:val="auto"/>
              </w:rPr>
            </w:pPr>
            <w:r>
              <w:rPr>
                <w:rFonts w:ascii="Times New Roman" w:cs="Times New Roman" w:eastAsia="Times New Roman" w:hAnsi="Times New Roman"/>
                <w:sz w:val="14"/>
                <w:szCs w:val="14"/>
                <w:b w:val="1"/>
                <w:bCs w:val="1"/>
                <w:color w:val="auto"/>
                <w:w w:val="94"/>
              </w:rPr>
              <w:t>Amount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in capital *</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89"/>
              <w:spacing w:after="0" w:line="140"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9"/>
              <w:spacing w:after="0" w:line="140"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49"/>
              <w:spacing w:after="0" w:line="140"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600" w:type="dxa"/>
            <w:vAlign w:val="bottom"/>
          </w:tcPr>
          <w:p>
            <w:pPr>
              <w:jc w:val="right"/>
              <w:ind w:right="9"/>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interests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20"/>
        </w:trPr>
        <w:tc>
          <w:tcPr>
            <w:tcW w:w="1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320" w:type="dxa"/>
            <w:vAlign w:val="bottom"/>
            <w:vMerge w:val="continue"/>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425,750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967,742</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587,267</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296,250</w:t>
            </w:r>
          </w:p>
        </w:tc>
        <w:tc>
          <w:tcPr>
            <w:tcW w:w="3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(286,913)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13,135</w:t>
            </w: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 for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repayment of debt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59,846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and interest</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Stock-based</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2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(2,844)</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for the period</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Foreign currency</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Distributions to</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69"/>
        </w:trPr>
        <w:tc>
          <w:tcPr>
            <w:tcW w:w="1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interests</w:t>
            </w: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425,750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967,742</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647,113</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297,170</w:t>
            </w:r>
          </w:p>
        </w:tc>
        <w:tc>
          <w:tcPr>
            <w:tcW w:w="3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(289,886)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7,033</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11,025</w:t>
            </w: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Conversion of</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senior notes and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warrants into</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126,235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Stock-based</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2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(6,093)</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for the period</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Foreign currency</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Contributions from</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Distributions to</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interests</w:t>
            </w: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425,750</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967,742</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773,348</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4"/>
                <w:szCs w:val="24"/>
                <w:color w:val="auto"/>
              </w:rPr>
            </w:pPr>
          </w:p>
        </w:tc>
        <w:tc>
          <w:tcPr>
            <w:tcW w:w="2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300,790</w:t>
            </w:r>
          </w:p>
        </w:tc>
        <w:tc>
          <w:tcPr>
            <w:tcW w:w="3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(296,224)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220" w:type="dxa"/>
            <w:vAlign w:val="bottom"/>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8,225</w:t>
            </w:r>
          </w:p>
        </w:tc>
        <w:tc>
          <w:tcPr>
            <w:tcW w:w="0" w:type="dxa"/>
            <w:vAlign w:val="bottom"/>
          </w:tcPr>
          <w:p>
            <w:pPr>
              <w:spacing w:after="0"/>
              <w:rPr>
                <w:sz w:val="1"/>
                <w:szCs w:val="1"/>
                <w:color w:val="auto"/>
              </w:rPr>
            </w:pPr>
          </w:p>
        </w:tc>
      </w:tr>
      <w:tr>
        <w:trPr>
          <w:trHeight w:val="77"/>
        </w:trPr>
        <w:tc>
          <w:tcPr>
            <w:tcW w:w="1320" w:type="dxa"/>
            <w:vAlign w:val="bottom"/>
            <w:tcBorders>
              <w:top w:val="single" w:sz="8" w:color="CCEEFF"/>
            </w:tcBorders>
            <w:shd w:val="clear" w:color="auto" w:fill="CCEEFF"/>
          </w:tcPr>
          <w:p>
            <w:pPr>
              <w:spacing w:after="0" w:line="78" w:lineRule="exact"/>
              <w:rPr>
                <w:sz w:val="20"/>
                <w:szCs w:val="20"/>
                <w:color w:val="auto"/>
              </w:rPr>
            </w:pPr>
            <w:r>
              <w:rPr>
                <w:rFonts w:ascii="Times New Roman" w:cs="Times New Roman" w:eastAsia="Times New Roman" w:hAnsi="Times New Roman"/>
                <w:sz w:val="8"/>
                <w:szCs w:val="8"/>
                <w:color w:val="auto"/>
              </w:rPr>
              <w:t>Issuance of Series F</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6"/>
                <w:szCs w:val="6"/>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6"/>
                <w:szCs w:val="6"/>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Stock-based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Exercise of June</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2019 Class a</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Warrants into</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Foreign currency</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translation</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w:t>
            </w: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(4,634)</w:t>
            </w: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the period</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Distributions to</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425,750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967,742</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773,348</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301,955</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(301,068)</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20" w:type="dxa"/>
            <w:vAlign w:val="bottom"/>
            <w:tcBorders>
              <w:top w:val="single" w:sz="8" w:color="CCEEFF"/>
              <w:bottom w:val="single" w:sz="8" w:color="CCEEFF"/>
              <w:right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Adjusted to reflect the impact of the 1:3 reverse stock split that became effective on June 11, 2020.</w:t>
      </w: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353695</wp:posOffset>
            </wp:positionV>
            <wp:extent cx="598487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4875" cy="25400"/>
                    </a:xfrm>
                    <a:prstGeom prst="rect">
                      <a:avLst/>
                    </a:prstGeom>
                    <a:noFill/>
                  </pic:spPr>
                </pic:pic>
              </a:graphicData>
            </a:graphic>
          </wp:anchor>
        </w:drawing>
      </w:r>
    </w:p>
    <w:p>
      <w:pPr>
        <w:sectPr>
          <w:pgSz w:w="11900" w:h="16838" w:orient="portrait"/>
          <w:cols w:equalWidth="0" w:num="1">
            <w:col w:w="10480"/>
          </w:cols>
          <w:pgMar w:left="1180" w:top="119"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200" w:type="dxa"/>
            <w:vAlign w:val="bottom"/>
            <w:tcBorders>
              <w:bottom w:val="single" w:sz="8" w:color="auto"/>
            </w:tcBorders>
            <w:gridSpan w:val="5"/>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0"/>
        </w:trPr>
        <w:tc>
          <w:tcPr>
            <w:tcW w:w="67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9"/>
              <w:spacing w:after="0" w:line="140"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9"/>
              <w:spacing w:after="0" w:line="140"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0"/>
        </w:trPr>
        <w:tc>
          <w:tcPr>
            <w:tcW w:w="67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(75,839)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(13,571)</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Revaluation of warrants and conversion options</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50,917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3,875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Impairment/disposal of assets</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Accretion of debt discount on notes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1,070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Amortization of operating lease right of use asset</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1,568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2,101</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shares of Common Stock for payment of interest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497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Series F Convertible Preferred Stock</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shares of Series E Preferred Stock for payment of interest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Loss on the extinguishment of debt</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Debt conversion expense</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shares of Common Stock for services</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Bad debt expense</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966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Impairment of cost method investment</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warrants</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46"/>
        </w:trPr>
        <w:tc>
          <w:tcPr>
            <w:tcW w:w="672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Decrease (increase) in inventory</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(Increase) decrease in other current assets and other assets</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(376)</w:t>
            </w: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Decrease in lease liabilities</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(2,118)</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(2,101)</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Increase in other liabilities</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Decrease in accounts payable, accrued expenses and other</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(4,401)</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40"/>
        </w:trPr>
        <w:tc>
          <w:tcPr>
            <w:tcW w:w="6720" w:type="dxa"/>
            <w:vAlign w:val="bottom"/>
            <w:tcBorders>
              <w:bottom w:val="single" w:sz="8" w:color="CCEEFF"/>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(16,926)</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40"/>
        </w:trPr>
        <w:tc>
          <w:tcPr>
            <w:tcW w:w="67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(3,099)</w:t>
            </w: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Acquisition of software</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6720" w:type="dxa"/>
            <w:vAlign w:val="bottom"/>
            <w:tcBorders>
              <w:bottom w:val="single" w:sz="8" w:color="CCEEFF"/>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(3,479)</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40"/>
        </w:trPr>
        <w:tc>
          <w:tcPr>
            <w:tcW w:w="67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Proceeds from direct offerings of Common Stock and warrants</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74,125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Proceeds from borrowings under Paycheck Protection Program</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5,653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Proceeds from additional borrowing from B3D</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Proceeds from funding advance</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Repayment of funding advance</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(819)</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Calm Note</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Payments on convertible notes</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40"/>
        </w:trPr>
        <w:tc>
          <w:tcPr>
            <w:tcW w:w="672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80,362</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140"/>
        </w:trPr>
        <w:tc>
          <w:tcPr>
            <w:tcW w:w="6720" w:type="dxa"/>
            <w:vAlign w:val="bottom"/>
            <w:tcBorders>
              <w:bottom w:val="single" w:sz="8" w:color="CCEEFF"/>
            </w:tcBorders>
          </w:tcPr>
          <w:p>
            <w:pPr>
              <w:spacing w:after="0" w:line="140"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0"/>
        </w:trPr>
        <w:tc>
          <w:tcPr>
            <w:tcW w:w="67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Increase (decrease) in cash, cash equivalents and restricted cash</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59,960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46"/>
        </w:trPr>
        <w:tc>
          <w:tcPr>
            <w:tcW w:w="672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2,635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140"/>
        </w:trPr>
        <w:tc>
          <w:tcPr>
            <w:tcW w:w="672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240" w:type="dxa"/>
            <w:vAlign w:val="bottom"/>
            <w:tcBorders>
              <w:bottom w:val="single" w:sz="8" w:color="auto"/>
            </w:tcBorders>
            <w:shd w:val="clear" w:color="auto" w:fill="CCEEFF"/>
          </w:tcPr>
          <w:p>
            <w:pPr>
              <w:jc w:val="right"/>
              <w:ind w:right="8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62,595</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2,883</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paid during the period for</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Interest</w:t>
            </w:r>
          </w:p>
        </w:tc>
        <w:tc>
          <w:tcPr>
            <w:tcW w:w="240" w:type="dxa"/>
            <w:vAlign w:val="bottom"/>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Non-cash investing and financing transactions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Conversions of B3D Note into Common Stock</w:t>
            </w:r>
          </w:p>
        </w:tc>
        <w:tc>
          <w:tcPr>
            <w:tcW w:w="24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19,003</w:t>
            </w:r>
          </w:p>
        </w:tc>
        <w:tc>
          <w:tcPr>
            <w:tcW w:w="20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Conversions of Calm Note into Common Stock</w:t>
            </w:r>
          </w:p>
        </w:tc>
        <w:tc>
          <w:tcPr>
            <w:tcW w:w="240" w:type="dxa"/>
            <w:vAlign w:val="bottom"/>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10,599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Exercise and exchange of Calm Warrant into Common Stock</w:t>
            </w:r>
          </w:p>
        </w:tc>
        <w:tc>
          <w:tcPr>
            <w:tcW w:w="24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15,863</w:t>
            </w:r>
          </w:p>
        </w:tc>
        <w:tc>
          <w:tcPr>
            <w:tcW w:w="20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Exercise and exchanges of May 2018 Class A Warrants</w:t>
            </w:r>
          </w:p>
        </w:tc>
        <w:tc>
          <w:tcPr>
            <w:tcW w:w="240" w:type="dxa"/>
            <w:vAlign w:val="bottom"/>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15,471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Conversion of Series E Preferred Stock into Common Stock</w:t>
            </w:r>
          </w:p>
        </w:tc>
        <w:tc>
          <w:tcPr>
            <w:tcW w:w="24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Conversion of Series F Preferred Stock into Common Stock</w:t>
            </w:r>
          </w:p>
        </w:tc>
        <w:tc>
          <w:tcPr>
            <w:tcW w:w="240" w:type="dxa"/>
            <w:vAlign w:val="bottom"/>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20" w:type="dxa"/>
            <w:vAlign w:val="bottom"/>
          </w:tcPr>
          <w:p>
            <w:pPr>
              <w:ind w:left="120"/>
              <w:spacing w:after="0" w:line="148" w:lineRule="exact"/>
              <w:rPr>
                <w:sz w:val="20"/>
                <w:szCs w:val="20"/>
                <w:color w:val="auto"/>
              </w:rPr>
            </w:pPr>
            <w:r>
              <w:rPr>
                <w:rFonts w:ascii="Times New Roman" w:cs="Times New Roman" w:eastAsia="Times New Roman" w:hAnsi="Times New Roman"/>
                <w:sz w:val="14"/>
                <w:szCs w:val="14"/>
                <w:color w:val="auto"/>
              </w:rPr>
              <w:t>Conversion of convertible notes and interest into Common Stock</w:t>
            </w:r>
          </w:p>
        </w:tc>
        <w:tc>
          <w:tcPr>
            <w:tcW w:w="240" w:type="dxa"/>
            <w:vAlign w:val="bottom"/>
          </w:tcPr>
          <w:p>
            <w:pPr>
              <w:jc w:val="right"/>
              <w:ind w:right="89"/>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2,728</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XpresSpa Group, Inc. (“XpresSpa Group” or the “Company”) is a health and wellness services company. The Company is a leading airport retailer of spa services through the Company’s XpresSpa™ locations, offering travelers premium spa services, including massage, nail and skin care, as well as spa and travel products (“XpresSpa”). In June 2020, the Company’s subsidiary, XpresTest, Inc. (“XpresTest”), launched XpresCheck™ Wellness Centers also in airports, offering its COVID-19 and other medical diagnostic testing services to airport employees and to the traveling public as well. The Company currently has two reportable operating segments: XpresSpa and XpresTest.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Principals of Consolidation</w:t>
      </w:r>
    </w:p>
    <w:p>
      <w:pPr>
        <w:spacing w:after="0" w:line="223"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The unaudited interim condensed consolidated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2019, as amended. The condensed consolidated balance sheet as of December 31, 2019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nine-month periods ended September 30, 2020 are not necessarily indicative of the results that may be expected for the entire fiscal year or for any other interim period. All significant intercompany balances and transactions have been eliminated in consolidation.</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w:t>
      </w:r>
    </w:p>
    <w:p>
      <w:pPr>
        <w:spacing w:after="0" w:line="221" w:lineRule="exact"/>
        <w:rPr>
          <w:sz w:val="20"/>
          <w:szCs w:val="20"/>
          <w:color w:val="auto"/>
        </w:rPr>
      </w:pPr>
    </w:p>
    <w:p>
      <w:pPr>
        <w:jc w:val="both"/>
        <w:ind w:left="40" w:right="79"/>
        <w:spacing w:after="0" w:line="261" w:lineRule="auto"/>
        <w:rPr>
          <w:sz w:val="20"/>
          <w:szCs w:val="20"/>
          <w:color w:val="auto"/>
        </w:rPr>
      </w:pPr>
      <w:r>
        <w:rPr>
          <w:rFonts w:ascii="Times New Roman" w:cs="Times New Roman" w:eastAsia="Times New Roman" w:hAnsi="Times New Roman"/>
          <w:sz w:val="18"/>
          <w:szCs w:val="18"/>
          <w:color w:val="auto"/>
        </w:rPr>
        <w:t>On June 11, 2020, the Company effected a 1-for-3 reverse stock split, whereby every three shares of its Common Stock was reduced to one share of its Common Stock and the price per share of its Common Stock was multiplied by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references to shares and per share amounts have been adjusted to reflect the reverse stock split.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Newly launched XpresCheck™ Wellness Centers</w:t>
      </w:r>
    </w:p>
    <w:p>
      <w:pPr>
        <w:spacing w:after="0" w:line="22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On May 22, 2020, the Company announced the signing of a contract with JFK International Air Terminal LLC (“JFKIAT”) to pilot test our concept of providing diagnostic COVID-19 tests. To facilitate the JFK pilot test, the Company signed an agreement with JFKIAT for a new modular constructed testing facility within the terminal that hosts nine separate testing rooms. The pilot test at JFK launched on June 22, 2020.</w:t>
      </w:r>
    </w:p>
    <w:p>
      <w:pPr>
        <w:spacing w:after="0" w:line="18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On August 13, 2020, the Company announced that it had signed a contract with the Port Authority of New York and New Jersey to provide diagnostic COVID-19 testing at Newark Liberty International Airport through its XpresCheck™ Wellness Centers. The Company built a modular constructed testing facility that will hosts six separate testing rooms. The facility opened on August 17, 2020.</w:t>
      </w:r>
    </w:p>
    <w:p>
      <w:pPr>
        <w:spacing w:after="0" w:line="182"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On October 26, 2020, the Company announced that it had expanded its testing services beyond COVID-19 to offer additional rapid testing services for other communicable diseases including influenza, mononucleosis and group 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8" w:name="page9"/>
    <w:bookmarkEnd w:id="8"/>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streptococcus, as well as this season’s 2020/21 flu vaccine and a quadrivalent high-dose flu vaccine recommended for seniors.</w:t>
      </w:r>
    </w:p>
    <w:p>
      <w:pPr>
        <w:spacing w:after="0" w:line="163"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On October 28, 2020, the Company announced the opening of an XpresCheck™ Wellness Center at Boston’s Logan International Airport. It contains seven separate testing rooms to provide diagnostic COVID-19 testing.</w:t>
      </w:r>
    </w:p>
    <w:p>
      <w:pPr>
        <w:spacing w:after="0" w:line="16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Through its XpresCheck™ Wellness Centers and under the terms of Managed Services Agreements (“MSAs”) with a physician’s practice, the Company offers testing services to airline employees, contractors, concessionaire employees, TSA officers and U.S. Customs and Border Protection agents, as well as the traveling public. The Company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As a result of uncertainties around the cash flows of the XpresCheck™ Wellness Centers, management concludes that the collectability criteria to qualify as a contract under ASC 606 is not met, and no revenue associated with the monthly management fee will be recognized at this point from the management services agreements. The Company will only recognize the management fee as revenue when a subsequent reassessment results in the management services agreements meeting the collectability criteria. As of September 30, 2020, management fees owed to the Company, but not recognized as revenue, is $1,197.</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Effect of Coronavirus on Business</w:t>
      </w:r>
    </w:p>
    <w:p>
      <w:pPr>
        <w:spacing w:after="0" w:line="221"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On March 11, 2020, the World Health Organization declared the outbreak of COVID-19 as a pandemic. The outbreak is having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and many jurisdictions are have begun to re-impose stricter measures in response to increasing infection rates. The outbreak and associated restrictions on travel that have been implemented have had a material adverse impact on the Company’s XpresSpa business and cash flow from operations, similar to many businesses in the travel sector. Effective March 24, 2020, the Company temporarily closed all global XpresSpa spa locations, largely due to the categorization of the spa locations by local jurisdictions as “non-essential services.” Substantially all of our spa locations remain closed. The Company intends to reopen its XpresSpa spa locations and resume normal operations once restrictions are lifted and airport traffic returns to sufficient levels to support operations. The impact of COVID-19 is unknown and may continue as the rates of infection have increased in many states in the U.S., thus additional restrictive measures may be necessary.</w:t>
      </w:r>
    </w:p>
    <w:p>
      <w:pPr>
        <w:spacing w:after="0" w:line="17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As a result, management has concluded that there was a long-lived asset and definite-lived intangible asset impairment triggering event on its XpresSpa segment during the six months ended June 30, 2020 which would require management to perform an impairment evaluation of XpresSpa’s property and equipment, intangible assets and operating lease right of use assets of $21,088 (before any impairment adjustments) as of June 30, 2020. Based upon the results of the impairment test, we recorded an impairment expense related to property and equipment and operating lease right of use assets of $1,821 and $2,238, respectively, during the three months ended June 30, 2020. We completed an assessment of XpresSpa’s intangible assets for impairment as of June 30, 2020 based on management’s expectation of resuming normal operations at its XpresSpa spa locations, and no impairment was indicated at the time.</w:t>
      </w:r>
    </w:p>
    <w:p>
      <w:pPr>
        <w:spacing w:after="0" w:line="185"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As of September 30, 2020, management has reassessed its projections in light of the continuing effect the pandemic is having on our market and economic conditions in the industry in which we operate.</w:t>
      </w:r>
    </w:p>
    <w:p>
      <w:pPr>
        <w:spacing w:after="0" w:line="163"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We completed an assessment of XpresSpa’s property and equipment and operating lease right of use assets for impairment as of September 30, 2020. Based upon the results of the impairment test, we recorded an impairment expense related to property and equipment and operating lease right of use assets of $1,111 and $1,116, respectively, during the three months ended September 30, 2020, which is included in </w:t>
      </w:r>
      <w:r>
        <w:rPr>
          <w:rFonts w:ascii="Times New Roman" w:cs="Times New Roman" w:eastAsia="Times New Roman" w:hAnsi="Times New Roman"/>
          <w:sz w:val="18"/>
          <w:szCs w:val="18"/>
          <w:i w:val="1"/>
          <w:iCs w:val="1"/>
          <w:color w:val="auto"/>
        </w:rPr>
        <w:t>Impairment/disposal of assets</w:t>
      </w:r>
      <w:r>
        <w:rPr>
          <w:rFonts w:ascii="Times New Roman" w:cs="Times New Roman" w:eastAsia="Times New Roman" w:hAnsi="Times New Roman"/>
          <w:sz w:val="18"/>
          <w:szCs w:val="18"/>
          <w:color w:val="auto"/>
        </w:rPr>
        <w:t xml:space="preserve"> in the Company’s condensed consolidated statements of operations and comprehensive loss. The expense was primarily related to the impairment of leasehold improvements made to certain XpresSpa spa locations and operating lease right of use assets where management determined that the locations’ discounted future cash flows were not sufficient to recover the carrying value of these assets over the remaining lease term. The property and equipment and right of use asset net balances decreased approximately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15% and 21%, respectively as a result of recording the impairment charges as of September 30, 2020. During the nine-month period ended September 30, 2020, property and equipment, net decreased $1,969 as a result of impairment of $2,932, loss on disposal of $33 and depreciation expense of $2,133, offset by purchases of $3,129. For the nine months ended September 30, 2020, the Company has recorded impairment of operating lease right of use assets of $3,354. The impairment expense represents the excess of the carrying value of these assets over the estimated future discounted cash flows. Management calculated the future cash flows of each location using a present value income approach. The sum of expected cash flows for the remainder of the lease term for each location was present valued at a discount rate of 9.0%, which represents the current borrowing rate of our B3D Note. We believe that this rate incorporates the time value of money and an appropriate risk premium.</w:t>
      </w:r>
    </w:p>
    <w:p>
      <w:pPr>
        <w:spacing w:after="0" w:line="189"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We completed an assessment of XpresSpa’s intangible assets for impairment as of September 30, 2020. The Company reassessed its projections and based on management’s expectation of resuming normal operations, and no impairment was indicated at this time.</w:t>
      </w:r>
    </w:p>
    <w:p>
      <w:pPr>
        <w:spacing w:after="0" w:line="17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full extent to which COVID-19 will impact the Company’s results will depend on future developments, which are highly uncertain and cannot be predicted, including new information which may emerge concerning the severity of the virus and the actions to contain or treat its impact. Management will continue to evaluate and assess its projections.</w:t>
      </w:r>
    </w:p>
    <w:p>
      <w:pPr>
        <w:spacing w:after="0" w:line="17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impact of the COVID-19 pandemic could continue to have a material adverse effect on our business, results of operations, financial condition, liquidity and prospects in the near-term and beyond 2020. While management has used all currently available information in its forecasts, the ultimate impact of the COVID-19 pandemic and the Company’s newly launched XpresCheck™ Wellness Centers on its results of operations, financial condition and cash flows is highly uncertain and cannot currently be accurately predicted. The Company’s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the Company’s newly launched XpresCheck™ Wellness Centers could also have a material effect on the Company’s business.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Airport Rent Concessions</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sixteen months and began in March 2020. The Company received minimum guaranteed payment concessions of $611 and $1,379 for the three and nine months ended September 30, 2020. We expect to realize additional rent concessions while our XpresSpa locations remain closed.</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w:t>
      </w:r>
    </w:p>
    <w:p>
      <w:pPr>
        <w:spacing w:after="0" w:line="22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As of September 30, 2020, the Company had cash and cash equivalents, excluding restricted cash, of $61,894, total current assets of $63,868, total current liabilities of $14,289 and positive working capital of $49,579, compared to a working capital deficiency of $12,287 as of December 31, 2019.</w:t>
      </w:r>
    </w:p>
    <w:p>
      <w:pPr>
        <w:spacing w:after="0" w:line="177"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2020, to address the Company’s historical working capital deficiencies, and its outstanding long-term debt, the Company raised $74,125 in a series of registered direct equity offerings, net of $9,150 in broker commissions, legal fees and other related offering expenses. The Company settled long-term debt by converting $7,670 of principal on the B3D Note and the entire $2,500 Calm Note to Common Stock. The Company also paid in full the short-term $910 advance funding owed to Credit Cash, recognizing a gain of $91. Finally, on May 1, 2020, the Company entered into a U.S. Small Business Administration (“SBA”) Paycheck Protection Program (“PPP”) promissory note in the principal amount of $5,653.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report of the Company’s independent registered public accounting firm on its financial statements for the year ended December 31, 2019 included an explanatory paragraph indicating that there was substantial doubt about the Company’s ability to continue as a going concern. The Company believes that as a result of the transactions that have occurred in 2020, it has successfully mitigated the substantial doubt raised by its historical operating results and will satisfy its liquidity needs for at least twelve months from the date of issuance of these financial statements. However, while the Company has addressed its working capital deficiency and long-term debt, while continuing to focus on its overall operating profitability, the Company expects to incur net losses in the foreseeable future. In addition, the ultimate duration and severity of the ongoing COVID-19 pandemic is uncertain at this time, and may result in additional material adverse impacts on our liquidity position and access to capital. Therefore, we cannot predict with certainty that the results of our actions will satisfy our liquidity needs in the longer term.</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Significant Accounting and Reporting Policies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 Revenue Recognition Policy</w:t>
      </w:r>
    </w:p>
    <w:p>
      <w:pPr>
        <w:spacing w:after="0" w:line="22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The Company recognizes revenue from the sale of XpresSpa products and services when the services are rendered at XpresSpa stores and from the sale of products at the time products are purchased at our stores or online usually by credit card, net of discounts and applicable sales taxes. Accordingly, the Company recognizes revenue for our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8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Through its XpresCheck™ Wellness Centers and under the terms of Managed Services Agreements (“MSAs”) with a physician’s practice, the Company offers testing services to airline employees, contractors, concessionaire employees, TSA officers and U.S. Customs and Border Protection agents, as well as the traveling public. The Company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As a result of uncertainties around the cash flows of the XpresCheck™ Wellness Centers, management concludes that the collectability criteria to qualify as a contract under ASC 606 is not met, and no revenue associated with the monthly management fee will be recognized at this point from the management services agreements. The Company will only recognize the management fee as revenue when a subsequent reassessment results in the management services agreements meeting the collectability criteria. As of September 30, 2020, management fees owed to the Company, but not recognized as revenue, is $1,197.</w:t>
      </w:r>
    </w:p>
    <w:p>
      <w:pPr>
        <w:spacing w:after="0" w:line="19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franchise agreement with an unaffiliated franchisee to operate an XpresSpa location. Under the Company’s franchising model, all initial franchising fees relate to the franchise right, which is a single performance obligation that transfers over time. Upon receipt of the non-recurring, non-refundable initial franchise fee, management records a deferred revenue liability in </w:t>
      </w:r>
      <w:r>
        <w:rPr>
          <w:rFonts w:ascii="Times New Roman" w:cs="Times New Roman" w:eastAsia="Times New Roman" w:hAnsi="Times New Roman"/>
          <w:sz w:val="18"/>
          <w:szCs w:val="18"/>
          <w:i w:val="1"/>
          <w:iCs w:val="1"/>
          <w:color w:val="auto"/>
        </w:rPr>
        <w:t>Accounts payable, accrued expenses and other</w:t>
      </w:r>
      <w:r>
        <w:rPr>
          <w:rFonts w:ascii="Times New Roman" w:cs="Times New Roman" w:eastAsia="Times New Roman" w:hAnsi="Times New Roman"/>
          <w:sz w:val="18"/>
          <w:szCs w:val="18"/>
          <w:color w:val="auto"/>
        </w:rPr>
        <w:t xml:space="preserve"> on the Company’s condensed consolidated balance sheets and recognizes revenue on a straight-line basis over the life of the franchise agreement.</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also entered into collaborative agreements with marketing partners whereby it sells certain of its partners’ products in the Company’s XpresSpa spas. The Company acts as an agent for revenue recognition purposes and therefore records revenue net of the revenue share payable to the partners. Upon receipt of the non-recurring, non-refundable initial collaboration fee, management records a deferred revenue liability in </w:t>
      </w:r>
      <w:r>
        <w:rPr>
          <w:rFonts w:ascii="Times New Roman" w:cs="Times New Roman" w:eastAsia="Times New Roman" w:hAnsi="Times New Roman"/>
          <w:sz w:val="18"/>
          <w:szCs w:val="18"/>
          <w:i w:val="1"/>
          <w:iCs w:val="1"/>
          <w:color w:val="auto"/>
        </w:rPr>
        <w:t>Accounts payable, accrued expenses and other</w:t>
      </w:r>
      <w:r>
        <w:rPr>
          <w:rFonts w:ascii="Times New Roman" w:cs="Times New Roman" w:eastAsia="Times New Roman" w:hAnsi="Times New Roman"/>
          <w:sz w:val="18"/>
          <w:szCs w:val="18"/>
          <w:color w:val="auto"/>
        </w:rPr>
        <w:t xml:space="preserve"> on the Company’s condensed consolidated balance sheets and recognizes revenue on a straight-line basis over the life of the collaboration agreement.</w:t>
      </w:r>
    </w:p>
    <w:p>
      <w:pPr>
        <w:spacing w:after="0" w:line="18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 xml:space="preserve">The Company excludes all sales taxes assessed to our customers from revenue. Sales taxes assessed on revenues are included in </w:t>
      </w:r>
      <w:r>
        <w:rPr>
          <w:rFonts w:ascii="Times New Roman" w:cs="Times New Roman" w:eastAsia="Times New Roman" w:hAnsi="Times New Roman"/>
          <w:sz w:val="18"/>
          <w:szCs w:val="18"/>
          <w:i w:val="1"/>
          <w:iCs w:val="1"/>
          <w:color w:val="auto"/>
        </w:rPr>
        <w:t>Accounts payable, accrued expenses and other</w:t>
      </w:r>
      <w:r>
        <w:rPr>
          <w:rFonts w:ascii="Times New Roman" w:cs="Times New Roman" w:eastAsia="Times New Roman" w:hAnsi="Times New Roman"/>
          <w:sz w:val="18"/>
          <w:szCs w:val="18"/>
          <w:color w:val="auto"/>
        </w:rPr>
        <w:t xml:space="preserve"> on the Company’s condensed consolidated balance sheets until remitted to state agencies.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pronouncements</w:t>
      </w:r>
    </w:p>
    <w:p>
      <w:pPr>
        <w:spacing w:after="0" w:line="221"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8"/>
          <w:szCs w:val="18"/>
          <w:i w:val="1"/>
          <w:iCs w:val="1"/>
          <w:color w:val="auto"/>
        </w:rPr>
        <w:t>Accounting Standards Update No. 2020-06—Debt--Debt with Conversion and Other Options (Subtopic 470-20) and Derivatives and Hedging—Contracts in Entity’s Own Equity (Subtopic 815-40)</w:t>
      </w:r>
    </w:p>
    <w:p>
      <w:pPr>
        <w:spacing w:after="0" w:line="16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Board also decided to add additional disclosure requirements in an attempt to improve the usefulness and relevance of the information being provided.</w:t>
      </w:r>
    </w:p>
    <w:p>
      <w:pPr>
        <w:spacing w:after="0" w:line="18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new standard is effective for fiscal years beginning after December 15, 2021, and interim periods within those fiscal years. The Company does not believe the adoption of this standard will have a material impact on its condensed consolidated financial statements.</w:t>
      </w:r>
    </w:p>
    <w:p>
      <w:pPr>
        <w:spacing w:after="0" w:line="175"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8"/>
          <w:szCs w:val="18"/>
          <w:i w:val="1"/>
          <w:iCs w:val="1"/>
          <w:color w:val="auto"/>
        </w:rPr>
        <w:t>Accounting Standards Update No. 2020-01, Investments—Equity Securities (Topic 321), Investments—Equity Method and Joint Ventures (Topic 323), and Derivatives and Hedging (Topic 815)—Clarifying the Interactions between Topic 321, Topic 323, and Topic 815</w:t>
      </w:r>
    </w:p>
    <w:p>
      <w:pPr>
        <w:spacing w:after="0" w:line="176"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7"/>
          <w:szCs w:val="17"/>
          <w:color w:val="auto"/>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The Company does not believe the adoption of this standard will have a material impact on its condensed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Accounting Standards Update No. 2019-12—</w:t>
      </w:r>
      <w:r>
        <w:rPr>
          <w:rFonts w:ascii="Times New Roman" w:cs="Times New Roman" w:eastAsia="Times New Roman" w:hAnsi="Times New Roman"/>
          <w:sz w:val="18"/>
          <w:szCs w:val="18"/>
          <w:i w:val="1"/>
          <w:iCs w:val="1"/>
          <w:color w:val="auto"/>
        </w:rPr>
        <w:t>Income Taxes (Topic 740): Simplifying the Accounting for Income Taxes</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Issued in December 2019, the amendments in this update are effective for fiscal years, and interim periods within those fiscal years, beginning after December 15, 2020. The amendments in this update simplify the accounting for income taxes by removing certain exceptions to guidance in Topic 740. The specific areas of potential simplification were submitted by stakeholders as part of the FASB’s simplification initiative. The Company does not believe the adoption of this standard will have a material impact on its condensed consolidated financial statements.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 Recently adopted accounting pronouncements</w:t>
      </w:r>
    </w:p>
    <w:p>
      <w:pPr>
        <w:spacing w:after="0" w:line="221"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8"/>
          <w:szCs w:val="18"/>
          <w:i w:val="1"/>
          <w:iCs w:val="1"/>
          <w:color w:val="auto"/>
        </w:rPr>
        <w:t>Accounting Standards Update No. 2016-13, 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 (“ASU No. 2016-13”)</w:t>
      </w:r>
    </w:p>
    <w:p>
      <w:pPr>
        <w:spacing w:after="0" w:line="16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On January 1, 2020 the Company adopted ASU No. 2016-13 using a modified-retrospective approach. This standard changes the impairment model for most financial assets that are measured at amortized cost and certain other instruments, including trade receivables, from an incurred loss model to an expected loss model and adds certain new required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 w:name="page13"/>
    <w:bookmarkEnd w:id="12"/>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disclosures. Under the expected loss model, entities will recognize estimated credit losses to be incurred over the entire contractual term of the instrument rather than delaying recognition of credit losses until it is probable the loss has been incurred. Adoption of this standard did not result in an adjustment to opening accumulated deficit and did not have a material impact on the Company’s condensed consolidated financial statements.</w:t>
      </w:r>
    </w:p>
    <w:p>
      <w:pPr>
        <w:spacing w:after="0" w:line="180"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8"/>
          <w:szCs w:val="18"/>
          <w:i w:val="1"/>
          <w:iCs w:val="1"/>
          <w:color w:val="auto"/>
        </w:rPr>
        <w:t>Accounting Standards Update No. 2018-13, Fair Value Measurement (Topic 820): Disclosure Framework—Changes to the Disclosure Requirements for Fair Value Measurement (“ASU No. 2018-13”)</w:t>
      </w:r>
    </w:p>
    <w:p>
      <w:pPr>
        <w:spacing w:after="0" w:line="16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January 1, 2020, the Company adopted ASU No. 2018-13. 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amendments on changes in unrealized gains and losses, the range and weighted average of significant unobservable inputs used to develop Level 3 fair value measurements, and the narrative description of measurement uncertainty have been applied prospectively beginning in the quarter ended March 31, 2020. All other amendments have been applied retrospectively to all periods presented. Adoption of this standard did not have a material impact on the Company’s condensed consolidated financial statements.</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 Presentation</w:t>
      </w:r>
    </w:p>
    <w:p>
      <w:pPr>
        <w:spacing w:after="0" w:line="223" w:lineRule="exact"/>
        <w:rPr>
          <w:sz w:val="20"/>
          <w:szCs w:val="20"/>
          <w:color w:val="auto"/>
        </w:rPr>
      </w:pPr>
    </w:p>
    <w:p>
      <w:pPr>
        <w:jc w:val="both"/>
        <w:ind w:left="40" w:right="119"/>
        <w:spacing w:after="0" w:line="276" w:lineRule="auto"/>
        <w:rPr>
          <w:sz w:val="20"/>
          <w:szCs w:val="20"/>
          <w:color w:val="auto"/>
        </w:rPr>
      </w:pPr>
      <w:r>
        <w:rPr>
          <w:rFonts w:ascii="Times New Roman" w:cs="Times New Roman" w:eastAsia="Times New Roman" w:hAnsi="Times New Roman"/>
          <w:sz w:val="17"/>
          <w:szCs w:val="17"/>
          <w:color w:val="auto"/>
        </w:rPr>
        <w:t>Certain balances in the 2019 financial statements have been reclassified to conform to the presentation in the 2020 financial statements, primarily the classification and presentation of certain items in the operating activities section of the statement of cash flows and the loss from operations before income taxes section of the statement of operations and comprehensive loss. Such reclassifications did not have a material impact on the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Note 3. Potentially Dilutive Securities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numerator: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XpresSpa Group, Inc.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deemed dividend on warrants and preferred stock</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Basic and diluted denominator:</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61,106,894</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2,875,501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35,309,004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Net loss per share data presented above excludes from</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calculation of diluted net loss the following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potentially dilutive securities, as they had an anti-</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dilutive impact: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Both vested and unvested options to purchase an equal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706,073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Unvested RSUs to issue an equal number of shares of</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Warrants to purchase an equal number of shares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20,818,889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20,818,889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on an as converted basis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notes on an as converted basis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w w:val="99"/>
              </w:rPr>
              <w:t>Total number of potentially dilutive securities excluded</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from the calculation of loss per share attributable to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21,962,979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21,962,979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A reconciliation of the Company’s cash and cash equivalents in the Condensed Consolidated Balance Sheets to cash, cash equivalents and restricted cash in the Condensed Consolidated Statements of Cash Flows as of September 30, 2020 is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572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0" w:type="dxa"/>
            <w:vAlign w:val="bottom"/>
          </w:tcPr>
          <w:p>
            <w:pPr>
              <w:spacing w:after="0"/>
              <w:rPr>
                <w:sz w:val="1"/>
                <w:szCs w:val="1"/>
                <w:color w:val="auto"/>
              </w:rPr>
            </w:pPr>
          </w:p>
        </w:tc>
      </w:tr>
      <w:tr>
        <w:trPr>
          <w:trHeight w:val="206"/>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denominated in United States dollars</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61,087</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denominated in currency other than United States dollars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Credit and debit card receivables</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62,595</w:t>
            </w: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57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5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9"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Note 5. Intangible Assets</w:t>
      </w:r>
    </w:p>
    <w:p>
      <w:pPr>
        <w:spacing w:after="0" w:line="22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subject to amortization, which consist of the following:</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2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8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580" w:type="dxa"/>
            <w:vAlign w:val="bottom"/>
            <w:tcBorders>
              <w:bottom w:val="single" w:sz="8" w:color="auto"/>
            </w:tcBorders>
          </w:tcPr>
          <w:p>
            <w:pPr>
              <w:spacing w:after="0"/>
              <w:rPr>
                <w:sz w:val="20"/>
                <w:szCs w:val="20"/>
                <w:color w:val="auto"/>
              </w:rPr>
            </w:pPr>
          </w:p>
        </w:tc>
      </w:tr>
      <w:tr>
        <w:trPr>
          <w:trHeight w:val="186"/>
        </w:trPr>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51"/>
              <w:spacing w:after="0" w:line="186"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1"/>
              <w:spacing w:after="0" w:line="18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1"/>
              <w:spacing w:after="0" w:line="186"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3"/>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3"/>
        </w:trPr>
        <w:tc>
          <w:tcPr>
            <w:tcW w:w="22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$ 13,309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1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6"/>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r>
      <w:tr>
        <w:trPr>
          <w:trHeight w:val="20"/>
        </w:trPr>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The Company’s trade name relates to the value of the XpresSpa trade name, and software relates to certain capitalized third-party costs related to a new point-of-sale system and website.</w:t>
      </w:r>
    </w:p>
    <w:p>
      <w:pPr>
        <w:spacing w:after="0" w:line="16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The Company recorded amortization expense of $603 and $583 during the three months ended September 30, 2020 and 2019, respectively, and $1,742 and $1,727 during the nine months ended September 30, 2020 and 2019, respectively.</w:t>
      </w:r>
    </w:p>
    <w:p>
      <w:pPr>
        <w:spacing w:after="0" w:line="177"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Based on the intangible assets balance as of September 30, 2020, the estimated amortization expense for the remainder of the calendar year and each of the succeeding calendar years is as follows: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3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6"/>
        </w:trPr>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1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0"/>
        </w:trPr>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leases its retail and diagnostic testing locations at various domestic and international airports. Additionally, the Company leases its corporate office in New York City. Certain leases entered into by the Company fall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83"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8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5" w:name="page16"/>
    <w:bookmarkEnd w:id="15"/>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five to ten months and began in March 2020. The Company received minimum guaranteed payment concession of approximately $611 for the three months ended September 30, 2020 and $1,379 for the nine months ended September 30, 2020.</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8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has recorded negative variable lease expense and adjusted lease liabilities at the point in which the rent concession has become accruable.</w:t>
      </w:r>
    </w:p>
    <w:p>
      <w:pPr>
        <w:spacing w:after="0" w:line="182"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2020, there were extensions of the terms of two of the Company’s leases for spa locations and one reduction in the lease term of another which were treated, for accounting purposes, as lease modifications. Accordingly, the Company recalculated the operating lease liability and operating lease right of use asset balance based upon the revised lease terms. The Company also adjusted the incremental borrowing rate on these leases from 11.24% to 9.0%, (the Company’s current incremental borrowing rate) as the change in terms were not contemplated when the original leases the were entered into. The lease modifications resulted in a net increase in operating lease liability and operating lease right of use asset balances of $641. The Company also entered into two new leases for its XpresCheck business which resulted in an increase in operating lease liability and operating lease right of use asset balances of approximately $170.</w:t>
      </w:r>
    </w:p>
    <w:p>
      <w:pPr>
        <w:spacing w:after="0" w:line="18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As part of the XpresCheck™ Wellness Center service offering, on August 20, 2020 XpresTest executed a Master Agreement (“Abbott Master Agreement” or “Agreement”) with Abbott Laboratories (“Abbott”) to purchase $3,690 of testing supplies. Additionally, per the Agreement, Abbott has provided the Company the right to use Abbott-owned equipment to process the tests for one year, at no additional cost. The Company assessed the arrangement and concluded that the arrangement contains an embedded lease since the Abbot-owned equipment meets the criteria to be an operating lease under ASC 842. Accordingly, the Company allocated the overall consideration of the contract to the lease and non-lease components using their estimated relative stand-alone selling prices and consequently allocated $92 to the equipment and $3,598 to the testing supplies. Since the contract term of the Agreement is twelve months, in accordance with the Company policy for short-term leases under ASC 842, the Company did not recognize an operating lease right of use asset or operating lease liability for the equipment lease. Instead, the Company recognized the short-term lease as an expense on a straight-line basis over the lease term.</w:t>
      </w:r>
    </w:p>
    <w:p>
      <w:pPr>
        <w:spacing w:after="0" w:line="19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 xml:space="preserve">As a result of the temporary closure of all of its spas in March 2020, management has concluded that there was an impairment triggering event which would require management to assess its operating lease right of use assets for impairment. The Company completed its assessment as of September 30, 2020. Based upon the results of the impairment test, the Company recorded an impairment expense related to operating lease right of use assets of $1,116 and $3,354 during the three and nine months ended September 30, 2020, respectively. See Note 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for further discussion.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September 30, 2020 and 2019 were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7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900" w:type="dxa"/>
            <w:vAlign w:val="bottom"/>
            <w:tcBorders>
              <w:bottom w:val="single" w:sz="8" w:color="CCEEFF"/>
            </w:tcBorders>
          </w:tcPr>
          <w:p>
            <w:pPr>
              <w:spacing w:after="0"/>
              <w:rPr>
                <w:sz w:val="17"/>
                <w:szCs w:val="17"/>
                <w:color w:val="auto"/>
              </w:rPr>
            </w:pPr>
          </w:p>
        </w:tc>
        <w:tc>
          <w:tcPr>
            <w:tcW w:w="53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6"/>
        </w:trPr>
        <w:tc>
          <w:tcPr>
            <w:tcW w:w="6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6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(1,074)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195"/>
        </w:trPr>
        <w:tc>
          <w:tcPr>
            <w:tcW w:w="620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Leased assets obtained in exchange for new and modified operating lease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1"/>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6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r>
      <w:tr>
        <w:trPr>
          <w:trHeight w:val="232"/>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 assets surrendered in exchange for termination of operating lease liabilities</w:t>
            </w:r>
          </w:p>
        </w:tc>
        <w:tc>
          <w:tcPr>
            <w:tcW w:w="76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621"/>
        </w:trPr>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September 30, 2020, operating leases contain the following future minimum commitments: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9"/>
        </w:trPr>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80" w:type="dxa"/>
            <w:vAlign w:val="bottom"/>
          </w:tcPr>
          <w:p>
            <w:pPr>
              <w:spacing w:after="0"/>
              <w:rPr>
                <w:sz w:val="17"/>
                <w:szCs w:val="17"/>
                <w:color w:val="auto"/>
              </w:rPr>
            </w:pPr>
          </w:p>
        </w:tc>
      </w:tr>
      <w:tr>
        <w:trPr>
          <w:trHeight w:val="213"/>
        </w:trPr>
        <w:tc>
          <w:tcPr>
            <w:tcW w:w="9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880" w:type="dxa"/>
            <w:vAlign w:val="bottom"/>
          </w:tcPr>
          <w:p>
            <w:pPr>
              <w:spacing w:after="0"/>
              <w:rPr>
                <w:sz w:val="18"/>
                <w:szCs w:val="18"/>
                <w:color w:val="auto"/>
              </w:rPr>
            </w:pPr>
          </w:p>
        </w:tc>
      </w:tr>
      <w:tr>
        <w:trPr>
          <w:trHeight w:val="213"/>
        </w:trPr>
        <w:tc>
          <w:tcPr>
            <w:tcW w:w="9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80" w:type="dxa"/>
            <w:vAlign w:val="bottom"/>
          </w:tcPr>
          <w:p>
            <w:pPr>
              <w:spacing w:after="0"/>
              <w:rPr>
                <w:sz w:val="18"/>
                <w:szCs w:val="18"/>
                <w:color w:val="auto"/>
              </w:rPr>
            </w:pPr>
          </w:p>
        </w:tc>
      </w:tr>
      <w:tr>
        <w:trPr>
          <w:trHeight w:val="213"/>
        </w:trPr>
        <w:tc>
          <w:tcPr>
            <w:tcW w:w="9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80" w:type="dxa"/>
            <w:vAlign w:val="bottom"/>
          </w:tcPr>
          <w:p>
            <w:pPr>
              <w:spacing w:after="0"/>
              <w:rPr>
                <w:sz w:val="18"/>
                <w:szCs w:val="18"/>
                <w:color w:val="auto"/>
              </w:rPr>
            </w:pPr>
          </w:p>
        </w:tc>
      </w:tr>
      <w:tr>
        <w:trPr>
          <w:trHeight w:val="213"/>
        </w:trPr>
        <w:tc>
          <w:tcPr>
            <w:tcW w:w="9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80" w:type="dxa"/>
            <w:vAlign w:val="bottom"/>
          </w:tcPr>
          <w:p>
            <w:pPr>
              <w:spacing w:after="0"/>
              <w:rPr>
                <w:sz w:val="18"/>
                <w:szCs w:val="18"/>
                <w:color w:val="auto"/>
              </w:rPr>
            </w:pPr>
          </w:p>
        </w:tc>
      </w:tr>
      <w:tr>
        <w:trPr>
          <w:trHeight w:val="213"/>
        </w:trPr>
        <w:tc>
          <w:tcPr>
            <w:tcW w:w="90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80" w:type="dxa"/>
            <w:vAlign w:val="bottom"/>
          </w:tcPr>
          <w:p>
            <w:pPr>
              <w:spacing w:after="0"/>
              <w:rPr>
                <w:sz w:val="18"/>
                <w:szCs w:val="18"/>
                <w:color w:val="auto"/>
              </w:rPr>
            </w:pPr>
          </w:p>
        </w:tc>
      </w:tr>
      <w:tr>
        <w:trPr>
          <w:trHeight w:val="206"/>
        </w:trPr>
        <w:tc>
          <w:tcPr>
            <w:tcW w:w="9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880" w:type="dxa"/>
            <w:vAlign w:val="bottom"/>
          </w:tcPr>
          <w:p>
            <w:pPr>
              <w:spacing w:after="0"/>
              <w:rPr>
                <w:sz w:val="17"/>
                <w:szCs w:val="17"/>
                <w:color w:val="auto"/>
              </w:rPr>
            </w:pPr>
          </w:p>
        </w:tc>
      </w:tr>
      <w:tr>
        <w:trPr>
          <w:trHeight w:val="213"/>
        </w:trPr>
        <w:tc>
          <w:tcPr>
            <w:tcW w:w="90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 expense at incremental borrowing rate</w:t>
            </w: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80" w:type="dxa"/>
            <w:vAlign w:val="bottom"/>
          </w:tcPr>
          <w:p>
            <w:pPr>
              <w:spacing w:after="0"/>
              <w:rPr>
                <w:sz w:val="18"/>
                <w:szCs w:val="18"/>
                <w:color w:val="auto"/>
              </w:rPr>
            </w:pPr>
          </w:p>
        </w:tc>
      </w:tr>
      <w:tr>
        <w:trPr>
          <w:trHeight w:val="206"/>
        </w:trPr>
        <w:tc>
          <w:tcPr>
            <w:tcW w:w="900" w:type="dxa"/>
            <w:vAlign w:val="bottom"/>
          </w:tcPr>
          <w:p>
            <w:pPr>
              <w:spacing w:after="0"/>
              <w:rPr>
                <w:sz w:val="17"/>
                <w:szCs w:val="17"/>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present value of lease liabilities</w:t>
            </w: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8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assumptions and pertinent information related to the Company’s accounting for operating leases are:</w:t>
      </w:r>
    </w:p>
    <w:p>
      <w:pPr>
        <w:spacing w:after="0" w:line="25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years</w:t>
            </w:r>
          </w:p>
        </w:tc>
      </w:tr>
      <w:tr>
        <w:trPr>
          <w:trHeight w:val="195"/>
        </w:trPr>
        <w:tc>
          <w:tcPr>
            <w:tcW w:w="6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Weighted average discount rate used to determine present value of operating lease</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Cash paid for minimum annual rental obligations was $282 and $967 for the three months ended September 30, 2020 and 2019, respectively, and $1,243 and $3,223 for the nine months ended September 30, 2020 and 2019, respectively.</w:t>
      </w:r>
    </w:p>
    <w:p>
      <w:pPr>
        <w:spacing w:after="0" w:line="16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Variable lease payments calculated monthly as a percentage of product and services revenue were $45 and $797 for the three months ended September 30, 2020 and 2019, respectively, and $530 and $2,293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Debt as of September 30, 2020 and December 31, 2019 is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572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0" w:type="dxa"/>
            <w:vAlign w:val="bottom"/>
          </w:tcPr>
          <w:p>
            <w:pPr>
              <w:spacing w:after="0"/>
              <w:rPr>
                <w:sz w:val="1"/>
                <w:szCs w:val="1"/>
                <w:color w:val="auto"/>
              </w:rPr>
            </w:pPr>
          </w:p>
        </w:tc>
      </w:tr>
      <w:tr>
        <w:trPr>
          <w:trHeight w:val="175"/>
        </w:trPr>
        <w:tc>
          <w:tcPr>
            <w:tcW w:w="572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Convertible B3D Note, net of $61 and $2,420 in unamortized debt discount</w:t>
            </w:r>
          </w:p>
        </w:tc>
        <w:tc>
          <w:tcPr>
            <w:tcW w:w="5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debt issuance costs as of September 30, 2020 and December 31, 2019,</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unsecured</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57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Convertible Calm Note, net of $1,318 in unamortized debt discount and debt</w:t>
            </w: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as of December 31, 2019</w:t>
            </w:r>
          </w:p>
        </w:tc>
        <w:tc>
          <w:tcPr>
            <w:tcW w:w="5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0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5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i w:val="1"/>
          <w:iCs w:val="1"/>
          <w:color w:val="auto"/>
        </w:rPr>
        <w:t>B3D 9% Senior Secured Note due May 31, 2021</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On July 8, 2019, the Company entered into the fourth amendment to its existing credit agreement (the “Fourth Credit Agreement Amendment”) with B3D. As consideration for modifications agreed upon in the Fourth Credit Agreement Amendment, the principal amount owed to B3D was increased to $7,000.</w:t>
      </w:r>
    </w:p>
    <w:p>
      <w:pPr>
        <w:spacing w:after="0" w:line="177"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7"/>
          <w:szCs w:val="17"/>
          <w:color w:val="auto"/>
        </w:rPr>
        <w:t>On January 9, 2020, as compensation for the consent of B3D to the CC Agreement, the Company entered into the Fifth Credit Agreement Amendment with B3D in order to (i) increase the principal amount owed to B3D from $7,000 to $7,150, which additional $150 in principal and any interest accrued thereon will become convertible, at B3D’s option, into shares of the Company’s Common Stock upon receipt of the approval of the Company’s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 The Company capitalized a $150 fee charged by the lender to consent to the CC Agreement.</w:t>
      </w:r>
    </w:p>
    <w:p>
      <w:pPr>
        <w:spacing w:after="0" w:line="1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 xml:space="preserve">The total of fees paid to the lender as consideration for entering into the Fourth and Fifth Credit Agreement Amendments of $650 was capitalized and was being amortized over the remaining term of the B3D Note. The Company recorded amortization expense of $62, which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in the Company’s condensed consolidated statements of operations and comprehensive loss, related to these capitalized costs in the first quarter of 2020.</w:t>
      </w:r>
    </w:p>
    <w:p>
      <w:pPr>
        <w:spacing w:after="0" w:line="182"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March 6, 2020, XpresSpa Holdings entered into the Sixth Credit Agreement Amendment with B3D in order to, among other provisions, (i) increase the principal amount owed to B3D from $7,150 to $7,900, which additional $750 in principal, comprised of $500 in new funding and $250 in debt issuance costs, and any interest accrued thereon will be convertible, at B3D’s option, into shares of the Company’s Common Stock subject to receipt of the approval of the Company’s stockholders which was obtained on May 28, 2020 and (ii) decrease the conversion rate under the B3D Note from $6.00 per share to $1.68 per share. On March 19, 2020, the conversion rate was further reduced to $0.525 per share after giving effect to certain anti-dilution adjustments.</w:t>
      </w:r>
    </w:p>
    <w:p>
      <w:pPr>
        <w:spacing w:after="0" w:line="18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 xml:space="preserve">The Sixth Credit Agreement Amendment was accounted for as an extinguishment of debt in the Company’s condensed consolidated financial statements. In March 2020, the Company extinguished debt with a carrying value of $4,829, net of unamortized debt discount of $1,845 and unamortized debt issuance costs of $476. In addition, the Company extinguished $2,048 of derivative liability, which represented the estimated fair value of the conversion option based upon provisions included in the Fifth Credit Agreement Amendment. The Company determined that the conversion option in the Sixth Credit Agreement Amendment should be bifurcated from the host instrument and engaged a third party to assess the fair value of the conversion option. As a result, the Company recorded debt with a carrying value of $3,994, net of a debt discount of $3,656 and debt issuance costs of $250, and a derivative liability of $3,656. The Company recognized a loss on the extinguishment of debt of $273 during the nine months ended September 30, 2020, which represents the difference between the carrying amount of the debt recorded under the Fourth and Fifth Credit Agreement Amendments and the debt recorded under the Sixth Credit Agreement Amendment and is included in </w:t>
      </w: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xml:space="preserve"> in the condensed consolidated statements of operations and comprehensive loss.</w:t>
      </w:r>
    </w:p>
    <w:p>
      <w:pPr>
        <w:spacing w:after="0" w:line="19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 xml:space="preserve">Subsequent to the Sixth Credit Agreement Amendment and during the nine months ended September 30, 2020, B3D elected to convert a total of $7,670 of principal into shares of Common Stock at conversion prices of $1.68 and $0.525. As a result, approximately $14,485 of derivative liability was settled and reclassified to equity, the Company wrote off $2,957 of unamortized debt discount and $195 of unamortized debt issuance costs, and 13,496,508 shares of Common Stock were issued. During the three months ended September 30, 2020, B3D elected to convert $670 of principal into shares of Common Stock at a conversion price of $0.525. As a result, approximately $2,929 of derivative liability was settled and reclassified to equity, the Company wrote off $184 of unamortized debt discount and $10 of unamortized debt issuance costs, and 1,276,270 shares of Common Stock were issued. The Company engaged an independent third party to assess the fair value of the conversion option in the B3D Note at each conversion date as well as at the end of each reporting period. At September 30, 2020, the fair value of the conversion option that was bifurcated from the B3D Note was estimated to be $681 and is included in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in the condensed consolidated balance sheet. The Company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8" w:name="page19"/>
    <w:bookmarkEnd w:id="18"/>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 xml:space="preserve">recognized a revaluation gain related to the derivative liability of $2,750 during the three months ended September 30, 2020 and an overall loss of $11,761 during the nine months ended September 30, 2020, which is included in </w:t>
      </w:r>
      <w:r>
        <w:rPr>
          <w:rFonts w:ascii="Times New Roman" w:cs="Times New Roman" w:eastAsia="Times New Roman" w:hAnsi="Times New Roman"/>
          <w:sz w:val="17"/>
          <w:szCs w:val="17"/>
          <w:i w:val="1"/>
          <w:iCs w:val="1"/>
          <w:color w:val="auto"/>
        </w:rPr>
        <w:t>Loss on revaluation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warrants and conversion options </w:t>
      </w:r>
      <w:r>
        <w:rPr>
          <w:rFonts w:ascii="Times New Roman" w:cs="Times New Roman" w:eastAsia="Times New Roman" w:hAnsi="Times New Roman"/>
          <w:sz w:val="17"/>
          <w:szCs w:val="17"/>
          <w:color w:val="auto"/>
        </w:rPr>
        <w:t>in the condensed consolidated statements of operations and comprehensive loss.</w:t>
      </w:r>
    </w:p>
    <w:p>
      <w:pPr>
        <w:spacing w:after="0" w:line="160"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A total of $62 and $883 of accretion expense on the debt discount was recorded in the three and nine months ended September 30, 2020, respectively, which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in the condensed consolidated statements of operations and comprehensive loss and increased the carrying value of the B3D Note. Total amortization expense related to the B3D Note debt issuance costs was $6 and $95 for the three and nine months ended September 30, 2020, respectively, which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in the condensed consolidated statements of operations and comprehensive loss. The balance of the debt issuance costs related to the B3D Note was $4 as of September 30, 2020 and is presented as a reduction of the B3D Note balance in the Company’s condensed consolidated balance sheet.</w:t>
      </w:r>
    </w:p>
    <w:p>
      <w:pPr>
        <w:spacing w:after="0" w:line="18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B3D Note is guaranteed on a full, unconditional, joint, and several basis, by XpresSpa Group and all wholly owned subsidiaries of XpresSpa Holdings (the “Guarantor Subsidiaries”). Under the terms of a security and guarantee agreement dated July 8, 2019, XpresSpa Group and the Guarantor Subsidiaries each fully and unconditionally, jointly and severally, guarantee the payment of interest and principal on the B3D Note. XpresSpa Holdings pledged and granted to B3D a first priority security interest in, among other things, all of its equity interests in XpresSpa Holdings and all of its rights to receive distributions, cash or other property in connection with Holdings. The Company does not present separate consolidating financial statements of XpresSpa Group, XpresSpa Holdings and the Guarantor Subsidiaries as each entity has guaranteed the B3D Note, so each entity is equally responsible for its payment.</w:t>
      </w:r>
    </w:p>
    <w:p>
      <w:pPr>
        <w:spacing w:after="0" w:line="185"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On October 6, 2020, B3D converted the remaining $230 of principal outstanding on the B3D Note into shares of Common Stock at a conversion price of $0.525 per share, effectively terminating the credit agreement and releasing all related liens.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Credit Cash Funding Advance</w:t>
      </w:r>
    </w:p>
    <w:p>
      <w:pPr>
        <w:spacing w:after="0" w:line="221"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color w:val="auto"/>
        </w:rPr>
        <w:t xml:space="preserve">On January 9, 2020, certain wholly-owned subsidiaries (the “CC Borrowers”) of the Company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On June 1, 2020, the CC Borrowers entered into a payoff letter (the “Payoff Letter”) with the CC Lender pursuant to which the CC Agreement was terminated. Under the terms of the Payoff Letter, the Company repaid $733 owed under the CC Agreement as of June 1, 2020 and recognized a gain for early payment of the debt of approximately $91, which is included in </w:t>
      </w:r>
      <w:r>
        <w:rPr>
          <w:rFonts w:ascii="Times New Roman" w:cs="Times New Roman" w:eastAsia="Times New Roman" w:hAnsi="Times New Roman"/>
          <w:sz w:val="17"/>
          <w:szCs w:val="17"/>
          <w:i w:val="1"/>
          <w:iCs w:val="1"/>
          <w:color w:val="auto"/>
        </w:rPr>
        <w:t>Other non-operating expense, net</w:t>
      </w:r>
      <w:r>
        <w:rPr>
          <w:rFonts w:ascii="Times New Roman" w:cs="Times New Roman" w:eastAsia="Times New Roman" w:hAnsi="Times New Roman"/>
          <w:sz w:val="17"/>
          <w:szCs w:val="17"/>
          <w:color w:val="auto"/>
        </w:rPr>
        <w:t xml:space="preserve"> in the Company’s condensed consolidated statement of operations and comprehensive loss for the three months ended September 30, 2020. The</w:t>
      </w:r>
    </w:p>
    <w:p>
      <w:pPr>
        <w:spacing w:after="0" w:line="3" w:lineRule="exact"/>
        <w:rPr>
          <w:sz w:val="20"/>
          <w:szCs w:val="20"/>
          <w:color w:val="auto"/>
        </w:rPr>
      </w:pPr>
    </w:p>
    <w:p>
      <w:pPr>
        <w:ind w:left="40" w:right="79" w:firstLine="9"/>
        <w:spacing w:after="0" w:line="253" w:lineRule="auto"/>
        <w:tabs>
          <w:tab w:leader="none" w:pos="3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released all security interests held on the assets of the CC Borrowers, including the CC Borrowers’ existing and future accounts receivables and other rights to payment on June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i w:val="1"/>
          <w:iCs w:val="1"/>
          <w:color w:val="auto"/>
        </w:rPr>
        <w:t>Paycheck Protection Program</w:t>
      </w:r>
    </w:p>
    <w:p>
      <w:pPr>
        <w:spacing w:after="0" w:line="22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 xml:space="preserve">On May 1, 2020, the Company entered into a U.S. Small Business Administration (“SBA”) Paycheck Protection Program (“PPP”) promissory note in the principal amount of $5,653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the Company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the Company’s request to the extent that PPP Loan proceeds are used to pay expenses permitted by the PPP. Bank of America may forgive interest accrued on any principal forgiven if the SBA pays the interest. At this time,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 As of September 30, 2020, $23 of interest has been accrued and is included in </w:t>
      </w:r>
      <w:r>
        <w:rPr>
          <w:rFonts w:ascii="Times New Roman" w:cs="Times New Roman" w:eastAsia="Times New Roman" w:hAnsi="Times New Roman"/>
          <w:sz w:val="18"/>
          <w:szCs w:val="18"/>
          <w:i w:val="1"/>
          <w:iCs w:val="1"/>
          <w:color w:val="auto"/>
        </w:rPr>
        <w:t>Accounts payable, accrued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w:t>
      </w:r>
      <w:r>
        <w:rPr>
          <w:rFonts w:ascii="Times New Roman" w:cs="Times New Roman" w:eastAsia="Times New Roman" w:hAnsi="Times New Roman"/>
          <w:sz w:val="18"/>
          <w:szCs w:val="18"/>
          <w:color w:val="auto"/>
        </w:rPr>
        <w:t>in the condensed consolidated balance sheet.</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Calm 5% Note due May 2022</w:t>
      </w:r>
    </w:p>
    <w:p>
      <w:pPr>
        <w:spacing w:after="0" w:line="22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 xml:space="preserve">On July 8, 2019, the Company entered into a securities purchase agreement with Calm.com, Inc. (“Calm”) pursuant to which the Company agreed to sell (i) an aggregate principal amount of $2,500 in an unsecured convertible note (the “Calm Note”), which is convertible into shares of Series E Convertible Preferred Stock at a conversion price of $6.00 per share of Common Stock equivalent (the “Series E Preferred Stock”) and (ii) warrants to purchase 312,500 shares of the Company’s Common Stock at an exercise price of $6.00 per share (the “Calm Warrants”). On March 6, 2020, the exercise price of the Calm Warrants was reduced to $1.68 per share and on March 19, 2020 further reduced to $.0525 per share, after giving effect to certain anti-dilution adjustments. The Calm Note is an unsecured subordinated obligation of the Company. The Calm Note matures on May 31, 2022, and bears interest at a rate of 5% per annum, subject to increase in the event of default. Interest on the Calm Note is payable in arrears and may be paid in cash, shares of Series E Preferred Stock or a combination thereof. The Company recorded derivative liabilities for the conversion feature and the Calm Warrants related to the issuance of the Calm Note on July 8, 2019, resulting in a debt discount of $1,369. During the nine months ended September 30, 2020, the Company recorded accretion expense on the debt discount of $187, which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in the Company’s condensed consolidated statements of operations and comprehensive loss. In addition, the Company capitalized $220 of debt issuance costs related to the issuance of the Calm Note in 2019. During the nine months ended September 30, 2020, the Company recorded amortization expense on the debt issuance costs of $30, which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in the Company’s condensed consolidated statements of operations and comprehensive loss.</w:t>
      </w:r>
    </w:p>
    <w:p>
      <w:pPr>
        <w:spacing w:after="0" w:line="19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April 17, 2020, the Company and Calm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 On April 22, 2020, the Company further amended and restated the Calm Note, which had been transferred from Calm to B3D in a private transaction, in order to (i) reflect the transfer of the Calm Note to B3D and (ii) provide for the conversion of the Calm Note directly into Common Stock instead of into shares of the Company’s Series E Convertible Preferred Stock. Aside from the changes outlined above, the original terms of the Calm Note, including the underlying conversion price and the number of shares of Common Stock that may ultimately be issued in connection with the Calm Note, remain in effect and have not been changed.</w:t>
      </w:r>
    </w:p>
    <w:p>
      <w:pPr>
        <w:spacing w:after="0" w:line="19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2020, the holder of the Calm Note elected to convert all $2,500 of principal into shares of Common Stock at a conversion price of $0.525. As a result, $9,200 of derivative liability was settled and reclassified to equity, the Company wrote off $947 of unamortized debt discount and $154 of unamortized debt issuance costs, and 4,761,906 shares of Common Stock were issued. The Company engaged an independent third party to assess the fair value of the conversion option in the Calm Note at each conversion date as well as at the end of each reporting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0" w:name="page21"/>
    <w:bookmarkEnd w:id="20"/>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 xml:space="preserve">period, resulting in a revaluation loss related to the derivative liability of $8,984 during the nine months ended September 30, 2020 which is included in </w:t>
      </w:r>
      <w:r>
        <w:rPr>
          <w:rFonts w:ascii="Times New Roman" w:cs="Times New Roman" w:eastAsia="Times New Roman" w:hAnsi="Times New Roman"/>
          <w:sz w:val="18"/>
          <w:szCs w:val="18"/>
          <w:i w:val="1"/>
          <w:iCs w:val="1"/>
          <w:color w:val="auto"/>
        </w:rPr>
        <w:t>Loss on revaluation of warrants and conversion options</w:t>
      </w:r>
      <w:r>
        <w:rPr>
          <w:rFonts w:ascii="Times New Roman" w:cs="Times New Roman" w:eastAsia="Times New Roman" w:hAnsi="Times New Roman"/>
          <w:sz w:val="18"/>
          <w:szCs w:val="18"/>
          <w:color w:val="auto"/>
        </w:rPr>
        <w:t xml:space="preserve"> in the condensed consolidated statement of operations and comprehensive loss.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Loss on revaluation of warrants and conversion options</w:t>
      </w:r>
    </w:p>
    <w:p>
      <w:pPr>
        <w:spacing w:after="0" w:line="22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The Company engaged third-party valuation experts to provide the fair value of certain components of the debt, equity and derivative securities transactions as of each of the conversion, exercise and exchange dates during the three and nine months ended September 30, 2020. </w:t>
      </w:r>
      <w:r>
        <w:rPr>
          <w:rFonts w:ascii="Times New Roman" w:cs="Times New Roman" w:eastAsia="Times New Roman" w:hAnsi="Times New Roman"/>
          <w:sz w:val="18"/>
          <w:szCs w:val="18"/>
          <w:i w:val="1"/>
          <w:iCs w:val="1"/>
          <w:color w:val="auto"/>
        </w:rPr>
        <w:t>Loss on revaluation of warrants and conversion options</w:t>
      </w:r>
      <w:r>
        <w:rPr>
          <w:rFonts w:ascii="Times New Roman" w:cs="Times New Roman" w:eastAsia="Times New Roman" w:hAnsi="Times New Roman"/>
          <w:sz w:val="18"/>
          <w:szCs w:val="18"/>
          <w:color w:val="auto"/>
        </w:rPr>
        <w:t xml:space="preserve"> is comprised of adjustments to the fair value of the derivative conversion option of the debt instruments and the fair value of the warrants, including a gain of $2,750 related to the B3D Note during the three months ended September 30, 2020 and losses of $11,761, $8,984, $15,480 and $14,692 related to the B3D Note, the Calm Note, the Calm Warrants and the Class A Warrants, respectively, during the nine months ended September 30, 2020.</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May 2018 Convertible Notes</w:t>
      </w:r>
    </w:p>
    <w:p>
      <w:pPr>
        <w:spacing w:after="0" w:line="22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Company recorded $817 and $54 in accretion of debt discount and amortization of debt issuance costs during the nine months ended September 30, 2019, respectively, related to its May 2018 convertible notes which were settled in June 2019.</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19"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Derivative Liabilities and Fair Value Measurements</w:t>
      </w:r>
      <w:r>
        <w:rPr>
          <w:rFonts w:ascii="Times New Roman" w:cs="Times New Roman" w:eastAsia="Times New Roman" w:hAnsi="Times New Roman"/>
          <w:sz w:val="18"/>
          <w:szCs w:val="18"/>
          <w:color w:val="auto"/>
        </w:rPr>
        <w:t xml:space="preserve"> for discussion of financing transactions that occurred during the nine months ended September 30, 2020.</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following table represents the activity related to the Company’s warrants during the nine months ended September 30, 2020.</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3"/>
        </w:trPr>
        <w:tc>
          <w:tcPr>
            <w:tcW w:w="61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No. of Warrants*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price range*</w:t>
            </w:r>
          </w:p>
        </w:tc>
      </w:tr>
      <w:tr>
        <w:trPr>
          <w:trHeight w:val="20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1,129,371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 – 300.00</w:t>
            </w: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35,618,502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0.001 - 6.5663</w:t>
            </w:r>
          </w:p>
        </w:tc>
      </w:tr>
      <w:tr>
        <w:trPr>
          <w:trHeight w:val="21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(12,602,972)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0.001 - 0.525</w:t>
            </w: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Exchanged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(3,317,054)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0.525</w:t>
            </w:r>
          </w:p>
        </w:tc>
      </w:tr>
      <w:tr>
        <w:trPr>
          <w:trHeight w:val="21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180.00</w:t>
            </w: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20,818,889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0.525 - 300.00</w:t>
            </w:r>
          </w:p>
        </w:tc>
      </w:tr>
      <w:tr>
        <w:trPr>
          <w:trHeight w:val="20"/>
        </w:trPr>
        <w:tc>
          <w:tcPr>
            <w:tcW w:w="6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*Adjusted to reflect the impact of the 1:3 reverse stock split that became effective on June 11, 2020.</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Warrant Exchanges</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March 19, 2020, the Company entered into separate Warrant Exchange Agreements (the “March Exchange Agreements”) with the holders of certain existing warrants (the “March Exchanged Warrants”) to exchange warrants for shares of the Company’s Common Stock, subject to receipt of the approval of the Company’s stockholders, which was obtained on May 28, 2020. The March Exchanged Warrants were originally issued (i) pursuant to a securities purchase agreement dated May 15, 2018, and (ii) in connection with the Agreement and Plan of Merger by and among the Company, FHXMS, LLC, XpresSpa Holdings, LLC and Mistral XH Representative, LLC dated October 25, 2016, as subsequently amended. The holders of March Exchanged Warrants exchanged each of the March Exchanged Warrants for 1.5 shares of the Company’s Common Stock. During the three months ended June 30, 2020, pursuant to the March Exchange Agreements, the holders exchanged 1,942,131 of the March Exchanged Warrants for an aggregate of 2,913,197 shares 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Company’s Common Stock, which had an aggregate fair value of $6,434. On June 4, 2020, the Company entered into a Warrant Exchange Agreement (the “June Exchange Agreement”) with the holder of certain existing warrants (the “June Exchanged Warrants”) to exchange the June Exchanged Warrants for shares of Common Stock. Pursuant to the June Exchange Agreement, on the closing date the holder exchanged 1,374,750 of the June Exchanged Warrants for an aggregate of 2,062,126 shares of Common Stock which had an aggregate fair value of $11,755.</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Registered Direct Common Stock Offerings</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Company sold a total of 6,511,280 shares of Common Stock and 1,900,625 of pre-funded warrants and received total proceeds of $4,207, net of financial advisory and consulting fees of $626, in connection with three registered direct offerings in March 2020. Subsequently, 1,900,625 pre-funded warrants were exercised for total proceeds of $57.</w:t>
      </w:r>
    </w:p>
    <w:p>
      <w:pPr>
        <w:spacing w:after="0" w:line="17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On April 6, 2020, the Company entered into a securities purchase agreement with certain purchasers, pursuant to which it issued and sold, in a registered direct offering (i) 4,139,393 shares of Common Stock at an offering price of $0.66 per share and (ii) an aggregate of 481,818 pre-funded warrants exercisable for shares of Common Stock at an offering price of $0.63 per pre-funded warrant. The Company received proceeds of $2,792, net of $244 in financial advisory consultant fees. Each pre-funded warrant represented the right to purchase one share of Common Stock at an exercise price of $0.03 per share and was exercised in April 2020 for total proceeds of $14.</w:t>
      </w:r>
    </w:p>
    <w:p>
      <w:pPr>
        <w:spacing w:after="0" w:line="18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June 17, 2020, the Company entered into a securities purchase agreement pursuant to which the Company agreed to issue and sell 7,614,700 shares of the Company’s Common Stock at an offering price of $5.253 per share (the “Registered Offering”). In a concurrent private placement (the “Private Placement” and together with the Registered Offering, the “Offerings”), the Company agreed to issue to the purchasers who participated in the Registered Offering warrants (the “Warrants”) exercisable for an aggregate of 7,614,700 shares of Common Stock at an exercise price of $5.25 per share. Each Warrant will be immediately exercisable and will expire 21 months from the issuance date. The Warrants and the shares of Common Stock issuable upon the exercise of the Warrants were not offered pursuant to a registration statement but were offered pursuant to the exemption provided in Section 4(a)(2) under the Securities Act of 1933, as amended (the “Securities Act”), and Rule 506(b) promulgated thereunder. The Offerings closed on June 19, 2020 with the Company receiving gross proceeds of $40,000 before deducting placement agent fees and related offering expenses of $4,409. The shares of Common Stock issuable upon the exercise of the Warrants have now been registered for resale.</w:t>
      </w:r>
    </w:p>
    <w:p>
      <w:pPr>
        <w:spacing w:after="0" w:line="19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Registered Offering, warrants to purchase 133,258 shares of our Common Stock were issued to Palladium Capital Advisors, LLC (“Palladium”) (the “Palladium Warrants”) at an exercise price equal to $5.25 per share and warrants to purchase 609,176 shares of our Common Stock were issued to H.C. Wainwright &amp; Co., LLC (the “H.C.W. Warrants”) at an exercise price equal to $6.5663 per share pursuant to the respective placement agent agreements.</w:t>
      </w:r>
    </w:p>
    <w:p>
      <w:pPr>
        <w:spacing w:after="0" w:line="182"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August 25, 2020, the Company entered into a securities purchase agreement pursuant to which the Company agreed to issue and sell in a registered direct offering 10,407,408 shares of the Company’s Common Stock and warrants exercisable for an aggregate of 11,216,932 shares of Common Stock at a combined offering price of $3.15 per share. The Warrants have an exercise price of $3.02 per share. The Company also offered and sold to certain purchasers pre-funded warrants to purchase an aggregate of 809,524 shares of Common Stock, in lieu of shares of Common Stock. Each pre-funded warrant represented the right to purchase one share of Common Stock at an exercise price of $0.001 per share and was exercised in August 2020. The offering closed on August 28, 2020 with the Company receiving gross proceeds of $35,333 before deducting placement agent fees and related offering expenses of $3,871.</w:t>
      </w:r>
    </w:p>
    <w:p>
      <w:pPr>
        <w:spacing w:after="0" w:line="18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August offering, warrants to purchase 222,222 shares of our Common Stock were issued to Palladium at an exercise price equal to $3.02 per share and warrants to purchase 897,355 shares of our Common Stock were issued to H.C. Wainwright &amp; Co., LLC at an exercise price equal to $3.9375 per share pursuant to the respective placement agent agreements.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Series E Convertible Preferred Stock</w:t>
      </w:r>
    </w:p>
    <w:p>
      <w:pPr>
        <w:spacing w:after="0" w:line="221"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On March 31, 2020, the Company had outstanding 987,988 shares of Series E Preferred Stock. All outstanding shares were converted into 510,460 shares of Common Stock during the second quarter of 2020.</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i w:val="1"/>
          <w:iCs w:val="1"/>
          <w:color w:val="auto"/>
        </w:rPr>
        <w:t>Series F Convertible Preferred Stock</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Series F Preferred Stock has a par value of $0.01 per share, a stated value of $100 per share, and was initially convertible into Common Stock at an exercise price of $6.00 per share. On March 6, 2020, the exercise price was reduced from $6.00 to $1.68 and on March 19, 2020 was reduced again to $0.525 after giving effect to certain anti-dilution adjustments. When a reporting entity changes the terms of its outstanding preferred stock, it must assess whether the changes should be accounted for as either a modification or an extinguishment. The Company engaged an independent third party to perform an appraisal to determine the fair value of the Series F Preferred Stock before and after the reduction of the exercise price. The results of the fair value assessment indicated that the fair values before and after the reduction of the exercise price was not substantially different (in practice, substantially different has been interpreted to be greater than 10%). Therefore, the Company did not record an adjustment to the Series F Preferred Stock in 2020.</w:t>
      </w:r>
    </w:p>
    <w:p>
      <w:pPr>
        <w:spacing w:after="0" w:line="189"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On March 31, 2020, the Company had outstanding 1,531 shares of Series F Convertible Preferred Stock. These shares were converted into 291,619 shares of Common Stock during the second quarter of 2020.</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1" w:lineRule="exact"/>
        <w:rPr>
          <w:sz w:val="20"/>
          <w:szCs w:val="20"/>
          <w:color w:val="auto"/>
        </w:rPr>
      </w:pPr>
    </w:p>
    <w:p>
      <w:pPr>
        <w:ind w:left="40" w:right="259"/>
        <w:spacing w:after="0" w:line="261"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 Under the 2012 Employee, Director and Consultant Equity Incentive Plan, as amended (the “2012 Plan”), a maximum of 840,000 shares of Common Stock may be awarded.</w:t>
      </w:r>
    </w:p>
    <w:p>
      <w:pPr>
        <w:spacing w:after="0" w:line="177" w:lineRule="exact"/>
        <w:rPr>
          <w:sz w:val="20"/>
          <w:szCs w:val="20"/>
          <w:color w:val="auto"/>
        </w:rPr>
      </w:pPr>
    </w:p>
    <w:p>
      <w:pPr>
        <w:jc w:val="both"/>
        <w:ind w:left="40" w:right="79"/>
        <w:spacing w:after="0" w:line="261" w:lineRule="auto"/>
        <w:rPr>
          <w:sz w:val="20"/>
          <w:szCs w:val="20"/>
          <w:color w:val="auto"/>
        </w:rPr>
      </w:pPr>
      <w:r>
        <w:rPr>
          <w:rFonts w:ascii="Times New Roman" w:cs="Times New Roman" w:eastAsia="Times New Roman" w:hAnsi="Times New Roman"/>
          <w:sz w:val="18"/>
          <w:szCs w:val="18"/>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7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In February 2019, the Company granted a total of 10,833 stock options to members of its Board of Directors and 25,000 stock options to the Company’s newly elected Chief Executive Officer at an exercise price of $12.60 per share. The Board of Directors options vest over a period of one year and the Chief Executive Officer’s options vest over a period of four years. The Company also granted 12,500 restricted shares of Common Stock to its newly elected Chief Executive Officer. The restricted shares vested in full on February 10, 2020.</w:t>
      </w:r>
    </w:p>
    <w:p>
      <w:pPr>
        <w:spacing w:after="0" w:line="183"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In January 2020, the Company issued 20,000 restricted stock units (the “RSU’s) to two consultants. The RSU’s vest upon satisfaction of certain performance targets. As of September 30, 2020, all of the RSU’s have vested.</w:t>
      </w:r>
    </w:p>
    <w:p>
      <w:pPr>
        <w:spacing w:after="0" w:line="16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In April 2020, the Company granted a total of 625,009 stock options to members of its Board of Directors and certain employees. The options were 25% immediately vested and 25% vest on last day of each of the subsequent calendar quarters. The exercise price is $1.53 per share.</w:t>
      </w:r>
    </w:p>
    <w:p>
      <w:pPr>
        <w:spacing w:after="0" w:line="17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In September 2020, the Board of Directors approved a new stock-based compensation plan available to grant stock options, restricted stock and RSU’s to the Company’s directors, employees and consultants. Under the 2020 Equity Incentive Plan (the “2020 Plan”), a maximum of 5,000,000 shares of Common Stock may be issued, subject to receiving shareholder approval which was subsequently obtained on October 28, 2020. The 2012 Plan was terminated upon receipt of shareholder approval of the 2020 Plan.</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In September 2020, the Company’s XpresTest subsidiary created a stock-based compensation plan available to grant stock options, restricted stock and RSU’s to the subsidiary’s directors, employees and consultants. Under the XpresTest 2020 Equity Incentive Plan (the “XpresTest Plan”), a maximum of 200 shares of XpresTest Common Stock may be awarded, which would represent 20% of the total number of shares of common stock of XpresTest as of September 30, 2020. Certain named executive officers and directors of the Company are eligible to participate in the XpresTest Plan. As of September 30, 2020, no awards under the XpresTest Plan have been granted to such named executive officers or directors.</w:t>
      </w:r>
    </w:p>
    <w:p>
      <w:pPr>
        <w:spacing w:after="0" w:line="18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In September 2020, XpresTest awarded 37.5 shares of restricted stock (the “XpresTest RSAs”) to certain non-employee consultants and advisors under the XpresTest Plan. On the date of the grants, the awarded shares had an aggregate fair market value of $455. The XpresTest RSAs vest upon satisfaction of certain service and performance-based conditions.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3" w:name="page24"/>
    <w:bookmarkEnd w:id="23"/>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As of September 30, 2020, none of the XpresTest RSAs have vested, and there is $313 of unrecognized stock-based compensation related to the awards.</w:t>
      </w:r>
    </w:p>
    <w:p>
      <w:pPr>
        <w:spacing w:after="0" w:line="16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variables were used as inputs in the model:</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6"/>
        </w:trPr>
        <w:tc>
          <w:tcPr>
            <w:tcW w:w="5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of the Company’s Common Stock on the grant date:</w:t>
            </w:r>
          </w:p>
        </w:tc>
        <w:tc>
          <w:tcPr>
            <w:tcW w:w="1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1.53 - 5.01</w:t>
            </w:r>
          </w:p>
        </w:tc>
        <w:tc>
          <w:tcPr>
            <w:tcW w:w="420" w:type="dxa"/>
            <w:vAlign w:val="bottom"/>
            <w:shd w:val="clear" w:color="auto" w:fill="CCEEFF"/>
          </w:tcPr>
          <w:p>
            <w:pPr>
              <w:spacing w:after="0"/>
              <w:rPr>
                <w:sz w:val="18"/>
                <w:szCs w:val="18"/>
                <w:color w:val="auto"/>
              </w:rPr>
            </w:pPr>
          </w:p>
        </w:tc>
      </w:tr>
      <w:tr>
        <w:trPr>
          <w:trHeight w:val="21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1.53 - 5.01</w:t>
            </w:r>
          </w:p>
        </w:tc>
        <w:tc>
          <w:tcPr>
            <w:tcW w:w="420" w:type="dxa"/>
            <w:vAlign w:val="bottom"/>
          </w:tcPr>
          <w:p>
            <w:pPr>
              <w:spacing w:after="0"/>
              <w:rPr>
                <w:sz w:val="18"/>
                <w:szCs w:val="18"/>
                <w:color w:val="auto"/>
              </w:rPr>
            </w:pPr>
          </w:p>
        </w:tc>
      </w:tr>
      <w:tr>
        <w:trPr>
          <w:trHeight w:val="21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average risk-free rate:</w:t>
            </w:r>
          </w:p>
        </w:tc>
        <w:tc>
          <w:tcPr>
            <w:tcW w:w="1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bl>
    <w:p>
      <w:pPr>
        <w:spacing w:after="0" w:line="388"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Total stock-based compensation for the three-month periods ended September 30, 2020 and 2019 is $470 and $35, respectively, and for the nine-month periods ended September 30, 2020 and 2019 is $966 and $266, respectively.</w:t>
      </w:r>
    </w:p>
    <w:p>
      <w:pPr>
        <w:spacing w:after="0" w:line="200" w:lineRule="exact"/>
        <w:rPr>
          <w:sz w:val="20"/>
          <w:szCs w:val="20"/>
          <w:color w:val="auto"/>
        </w:rPr>
      </w:pP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p>
        </w:tc>
        <w:tc>
          <w:tcPr>
            <w:tcW w:w="19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RSUs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80" w:type="dxa"/>
            <w:vAlign w:val="bottom"/>
          </w:tcPr>
          <w:p>
            <w:pPr>
              <w:spacing w:after="0"/>
              <w:rPr>
                <w:sz w:val="20"/>
                <w:szCs w:val="20"/>
                <w:color w:val="auto"/>
              </w:rPr>
            </w:pPr>
          </w:p>
        </w:tc>
      </w:tr>
      <w:tr>
        <w:trPr>
          <w:trHeight w:val="186"/>
        </w:trPr>
        <w:tc>
          <w:tcPr>
            <w:tcW w:w="33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160"/>
              <w:spacing w:after="0" w:line="18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3"/>
        </w:trPr>
        <w:tc>
          <w:tcPr>
            <w:tcW w:w="3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20" w:type="dxa"/>
            <w:vAlign w:val="bottom"/>
          </w:tcPr>
          <w:p>
            <w:pPr>
              <w:spacing w:after="0"/>
              <w:rPr>
                <w:sz w:val="18"/>
                <w:szCs w:val="18"/>
                <w:color w:val="auto"/>
              </w:rPr>
            </w:pPr>
          </w:p>
        </w:tc>
        <w:tc>
          <w:tcPr>
            <w:tcW w:w="128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3"/>
        </w:trPr>
        <w:tc>
          <w:tcPr>
            <w:tcW w:w="33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2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20" w:type="dxa"/>
            <w:vAlign w:val="bottom"/>
          </w:tcPr>
          <w:p>
            <w:pPr>
              <w:spacing w:after="0"/>
              <w:rPr>
                <w:sz w:val="18"/>
                <w:szCs w:val="18"/>
                <w:color w:val="auto"/>
              </w:rPr>
            </w:pPr>
          </w:p>
        </w:tc>
        <w:tc>
          <w:tcPr>
            <w:tcW w:w="128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33"/>
        </w:trPr>
        <w:tc>
          <w:tcPr>
            <w:tcW w:w="33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price*</w:t>
            </w:r>
          </w:p>
        </w:tc>
        <w:tc>
          <w:tcPr>
            <w:tcW w:w="320" w:type="dxa"/>
            <w:vAlign w:val="bottom"/>
          </w:tcPr>
          <w:p>
            <w:pPr>
              <w:spacing w:after="0"/>
              <w:rPr>
                <w:sz w:val="20"/>
                <w:szCs w:val="20"/>
                <w:color w:val="auto"/>
              </w:rPr>
            </w:pPr>
          </w:p>
        </w:tc>
        <w:tc>
          <w:tcPr>
            <w:tcW w:w="128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range*</w:t>
            </w:r>
          </w:p>
        </w:tc>
      </w:tr>
      <w:tr>
        <w:trPr>
          <w:trHeight w:val="206"/>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1.53 - 2,460.00</w:t>
            </w: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1.53 - 5.01</w:t>
            </w:r>
          </w:p>
        </w:tc>
      </w:tr>
      <w:tr>
        <w:trPr>
          <w:trHeight w:val="21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1.53</w:t>
            </w: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1.53</w:t>
            </w:r>
          </w:p>
        </w:tc>
      </w:tr>
      <w:tr>
        <w:trPr>
          <w:trHeight w:val="21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(4,862)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93.00</w:t>
            </w:r>
          </w:p>
        </w:tc>
      </w:tr>
      <w:tr>
        <w:trPr>
          <w:trHeight w:val="24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706,073</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8"/>
              </w:rPr>
              <w:t>1.53 - 2,460.00</w:t>
            </w:r>
          </w:p>
        </w:tc>
      </w:tr>
      <w:tr>
        <w:trPr>
          <w:trHeight w:val="193"/>
        </w:trPr>
        <w:tc>
          <w:tcPr>
            <w:tcW w:w="33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Exercisable as of September 30, 2020</w:t>
            </w:r>
          </w:p>
        </w:tc>
        <w:tc>
          <w:tcPr>
            <w:tcW w:w="7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521,897</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6.36</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right="111"/>
              <w:spacing w:after="0" w:line="193" w:lineRule="exact"/>
              <w:rPr>
                <w:sz w:val="20"/>
                <w:szCs w:val="20"/>
                <w:color w:val="auto"/>
              </w:rPr>
            </w:pPr>
            <w:r>
              <w:rPr>
                <w:rFonts w:ascii="Times New Roman" w:cs="Times New Roman" w:eastAsia="Times New Roman" w:hAnsi="Times New Roman"/>
                <w:sz w:val="18"/>
                <w:szCs w:val="18"/>
                <w:color w:val="auto"/>
                <w:w w:val="98"/>
              </w:rPr>
              <w:t>1.53 - 2,460.00</w:t>
            </w:r>
          </w:p>
        </w:tc>
      </w:tr>
      <w:tr>
        <w:trPr>
          <w:trHeight w:val="20"/>
        </w:trPr>
        <w:tc>
          <w:tcPr>
            <w:tcW w:w="3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ind w:left="340" w:hanging="29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where applicable, to reflect the impact of the 1:3 reverse stock split that became effective on June 11, 2020.</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1"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On June 10, 2020, the Company filed a certificate of amendment to its amended and restated certificate of incorporation with the Secretary of State of the State of Delaware to effect a 1-for-3 reverse stock split of the Company’s shares of Common Stock. Such amendment and ratio were previously approved by the Company’s stockholders and Board of Directors.</w:t>
      </w:r>
    </w:p>
    <w:p>
      <w:pPr>
        <w:spacing w:after="0" w:line="160"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As a result of the reverse stock split, every three (3) shares of the Company’s pre-reverse split Common Stock were combined and reclassified into one (1) share of Common Stock. A total of 146,577,707 pre-reverse split shares of Common Stock were combined and reclassified into 48,859,213 shares of Common Stock post-reverse stock split.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 The reverse stock split became effective at 5:00 p.m., Eastern Time, on June 10, 2020, and the Company’s Common Stock traded on the Nasdaq Capital Market on a post-reverse split basis at the open of business on June 11, 2020.</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b w:val="1"/>
          <w:bCs w:val="1"/>
          <w:color w:val="auto"/>
        </w:rPr>
        <w:t>Note 9. Derivative Liabilities and Fair Value Measurements</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as of September 30, 2020 and December 31, 2019 consisted of cash and cash equivalents, trade receivables, accounts payable, accrued expenses and other current liabilities. The carrying amounts of all the aforementioned financial instruments approximate fair value because of the short-term nature of these instruments.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3"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the Company’s derivative liabilities measured at fair value on a recurring basis as of September 30, 2020 and December 31, 2019:</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Quoted prices in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unobservable</w:t>
            </w:r>
          </w:p>
        </w:tc>
      </w:tr>
      <w:tr>
        <w:trPr>
          <w:trHeight w:val="23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assets (Level 1)</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0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B3D Conversion Option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4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193"/>
        </w:trPr>
        <w:tc>
          <w:tcPr>
            <w:tcW w:w="20" w:type="dxa"/>
            <w:vAlign w:val="bottom"/>
          </w:tcPr>
          <w:p>
            <w:pPr>
              <w:spacing w:after="0"/>
              <w:rPr>
                <w:sz w:val="16"/>
                <w:szCs w:val="16"/>
                <w:color w:val="auto"/>
              </w:rPr>
            </w:pPr>
          </w:p>
        </w:tc>
        <w:tc>
          <w:tcPr>
            <w:tcW w:w="29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 of December 31, 2019:</w:t>
            </w: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2018 Class A Warrants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3"/>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Calm Warrants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3"/>
        </w:trPr>
        <w:tc>
          <w:tcPr>
            <w:tcW w:w="20" w:type="dxa"/>
            <w:vAlign w:val="bottom"/>
          </w:tcPr>
          <w:p>
            <w:pPr>
              <w:spacing w:after="0"/>
              <w:rPr>
                <w:sz w:val="18"/>
                <w:szCs w:val="18"/>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Calm Conversion Option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3"/>
        </w:trPr>
        <w:tc>
          <w:tcPr>
            <w:tcW w:w="20" w:type="dxa"/>
            <w:vAlign w:val="bottom"/>
          </w:tcPr>
          <w:p>
            <w:pPr>
              <w:spacing w:after="0"/>
              <w:rPr>
                <w:sz w:val="18"/>
                <w:szCs w:val="18"/>
                <w:color w:val="auto"/>
              </w:rPr>
            </w:pPr>
          </w:p>
        </w:tc>
        <w:tc>
          <w:tcPr>
            <w:tcW w:w="2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B3D Conversion Option</w:t>
            </w: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06"/>
        </w:trPr>
        <w:tc>
          <w:tcPr>
            <w:tcW w:w="20" w:type="dxa"/>
            <w:vAlign w:val="bottom"/>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 measures its derivative liabilities at fair value. The derivative liabilities were classified within Level 3 because they were valued using the Monte-Carlo model, which utilizes significant inputs that are unobservable in the market. The Company assumed an investment round in years 2020 and 2021 to take into account the possible impact of the anti-dilution rights included in its derivative liabilities.</w:t>
      </w:r>
    </w:p>
    <w:p>
      <w:pPr>
        <w:spacing w:after="0" w:line="18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 xml:space="preserve">These derivative liabilities were initially measured at fair value and are marked to market at each balance sheet date. The revaluation adjustment of the derivative liabilities is included in </w:t>
      </w:r>
      <w:r>
        <w:rPr>
          <w:rFonts w:ascii="Times New Roman" w:cs="Times New Roman" w:eastAsia="Times New Roman" w:hAnsi="Times New Roman"/>
          <w:sz w:val="18"/>
          <w:szCs w:val="18"/>
          <w:i w:val="1"/>
          <w:iCs w:val="1"/>
          <w:color w:val="auto"/>
        </w:rPr>
        <w:t>Loss on revaluation of warrants and conversion options</w:t>
      </w:r>
      <w:r>
        <w:rPr>
          <w:rFonts w:ascii="Times New Roman" w:cs="Times New Roman" w:eastAsia="Times New Roman" w:hAnsi="Times New Roman"/>
          <w:sz w:val="18"/>
          <w:szCs w:val="18"/>
          <w:color w:val="auto"/>
        </w:rPr>
        <w:t xml:space="preserve"> in the condensed consolidated statements of operations and comprehensive loss.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25" w:name="page26"/>
    <w:bookmarkEnd w:id="25"/>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derivative liabilities measured at fair value using significant unobservable inputs (Level 3) during the nine months ended September 30, 2020:</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1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B3D Note Fifth Credit Agreement Amendment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due to the extinguishment of B3D Note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1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B3D Note Sixth Credit Agreement Amendment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1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derivative conversion options and warrants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50,917</w:t>
            </w:r>
          </w:p>
        </w:tc>
      </w:tr>
      <w:tr>
        <w:trPr>
          <w:trHeight w:val="21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Conversions of B3D Note to Common Stock</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1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of Calm Note to Common Stock</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r>
      <w:tr>
        <w:trPr>
          <w:trHeight w:val="21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Series A Warrants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r>
      <w:tr>
        <w:trPr>
          <w:trHeight w:val="21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Calm Warrants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21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Warrant Exchange - Series A</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1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Exchange - Calm Warrants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w:t>
            </w:r>
          </w:p>
        </w:tc>
      </w:tr>
      <w:tr>
        <w:trPr>
          <w:trHeight w:val="20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May 2018 Warrants</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2020, holders of the May 2018 Warrants exercised, on a cashless basis, 4,173,948 warrants for 2,578,455 shares of common stock. As a result, of the exercise, the Company reclassified the derivative liability of $3,122 to equity.</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During the three-month period ended June 30, 2020, the holders of the May 2018 Warrants exchanged 1,590,525 warrants for 2,385,528 shares of common stock. In addition, during the three months ended June 30, 2020, holders of the May 2018 Warrants exercised, on a cashless basis, 2,983,164 warrants for 2,382,835 shares of common stock. As a result of the exercises and exchange the Company reclassified the derivative liability of $12,348 to equity.</w:t>
      </w:r>
    </w:p>
    <w:p>
      <w:pPr>
        <w:spacing w:after="0" w:line="182"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During the nine-month period ended September 30, 2020, the Company recorded a revaluation expense of $14,692, related to the revaluation of the May 2018 Warrants at each exercise date and reporting date.</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Valuation Processes for Level 3 Fair Value Measurements</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340" w:type="dxa"/>
            <w:vAlign w:val="bottom"/>
            <w:gridSpan w:val="2"/>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06"/>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B3D Conversion option</w:t>
            </w:r>
          </w:p>
        </w:tc>
        <w:tc>
          <w:tcPr>
            <w:tcW w:w="1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7"/>
              </w:rPr>
              <w:t>Monte Carlo Method</w:t>
            </w:r>
          </w:p>
        </w:tc>
        <w:tc>
          <w:tcPr>
            <w:tcW w:w="1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24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79"/>
              </w:rPr>
              <w:t>%</w:t>
            </w:r>
          </w:p>
        </w:tc>
      </w:tr>
      <w:tr>
        <w:trPr>
          <w:trHeight w:val="213"/>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1.80 %</w:t>
            </w:r>
          </w:p>
        </w:tc>
      </w:tr>
      <w:tr>
        <w:trPr>
          <w:trHeight w:val="213"/>
        </w:trPr>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shd w:val="clear" w:color="auto" w:fill="CCEEFF"/>
          </w:tcPr>
          <w:p>
            <w:pPr>
              <w:spacing w:after="0"/>
              <w:rPr>
                <w:sz w:val="18"/>
                <w:szCs w:val="18"/>
                <w:color w:val="auto"/>
              </w:rPr>
            </w:pPr>
          </w:p>
        </w:tc>
      </w:tr>
      <w:tr>
        <w:trPr>
          <w:trHeight w:val="232"/>
        </w:trPr>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0.00 %</w:t>
            </w:r>
          </w:p>
        </w:tc>
      </w:tr>
      <w:tr>
        <w:trPr>
          <w:trHeight w:val="834"/>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52"/>
        </w:trPr>
        <w:tc>
          <w:tcPr>
            <w:tcW w:w="3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6" w:name="page27"/>
    <w:bookmarkEnd w:id="2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20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Range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2018 Class A Warrants</w:t>
            </w: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6"/>
              </w:rPr>
              <w:t>Monte Carlo Model</w:t>
            </w:r>
          </w:p>
        </w:tc>
        <w:tc>
          <w:tcPr>
            <w:tcW w:w="2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4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Calm Warrants</w:t>
            </w:r>
          </w:p>
        </w:tc>
        <w:tc>
          <w:tcPr>
            <w:tcW w:w="17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Monte Carlo Model</w:t>
            </w: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66.90 %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Calm Conversion option</w:t>
            </w:r>
          </w:p>
        </w:tc>
        <w:tc>
          <w:tcPr>
            <w:tcW w:w="17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Monte Carlo Model</w:t>
            </w:r>
          </w:p>
        </w:tc>
        <w:tc>
          <w:tcPr>
            <w:tcW w:w="2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1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66.90 %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B3D Conversion option</w:t>
            </w:r>
          </w:p>
        </w:tc>
        <w:tc>
          <w:tcPr>
            <w:tcW w:w="17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Monte Carlo Model</w:t>
            </w: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65.70 %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Sensitivity of Level 3 Measurements to Changes in Significant Unobservable Inputs</w:t>
      </w:r>
    </w:p>
    <w:p>
      <w:pPr>
        <w:spacing w:after="0" w:line="22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inputs to estimate the fair value of the Company’s derivative liabilities were the current market price of the Company’s Common Stock, the exercise price of the derivative of the conversion options and the warrants,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2" w:lineRule="exact"/>
        <w:rPr>
          <w:sz w:val="20"/>
          <w:szCs w:val="20"/>
          <w:color w:val="auto"/>
        </w:rPr>
      </w:pPr>
    </w:p>
    <w:p>
      <w:pPr>
        <w:ind w:left="40" w:right="159"/>
        <w:spacing w:after="0" w:line="251" w:lineRule="auto"/>
        <w:rPr>
          <w:sz w:val="20"/>
          <w:szCs w:val="20"/>
          <w:color w:val="auto"/>
        </w:rPr>
      </w:pPr>
      <w:r>
        <w:rPr>
          <w:rFonts w:ascii="Times New Roman" w:cs="Times New Roman" w:eastAsia="Times New Roman" w:hAnsi="Times New Roman"/>
          <w:sz w:val="18"/>
          <w:szCs w:val="18"/>
          <w:color w:val="auto"/>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their estimated fair values. Such changes would increase the associated liabilities while decreases in these assumptions would decrease the associated liabilities. An increase in the risk-free interest rate or a decrease in the differential between the derivative liabilities’ exercise price and the market price of the Company’s shares of Common Stock would result in a decrease in the estimated fair value measurement and thus a decrease in the associated liability. The Company has not declared, and does not plan to declare, dividends on its Common Stock, and as such, there is no change in the estimated fair value of the derivative liabilities due to the dividend assumption.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The income tax provision for the nine-month period ended September 30, 2020 reflects a de minimis estimated global annual effective tax rate.</w:t>
      </w:r>
    </w:p>
    <w:p>
      <w:pPr>
        <w:spacing w:after="0" w:line="18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As of September 30, 2020,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Net operating</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7" w:name="page28"/>
    <w:bookmarkEnd w:id="27"/>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losses generated for tax years beginning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 had de minimis income tax expense for the nine-month period ended September 30, 2020. This was attributable primarily to operating results in conjunction with a full valuation allowance. The final annual tax rate cannot be determined until the end of the fiscal year; therefore, the actual tax rate could differ from current estimates. The Company does not expect to record any additional material provisions for unrecognized tax benefits in the next year.</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82"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7"/>
          <w:szCs w:val="17"/>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$1,091 and $1,800 as of September 30, 2020 and December 31, 2019, respectively, which is included in </w:t>
      </w:r>
      <w:r>
        <w:rPr>
          <w:rFonts w:ascii="Times New Roman" w:cs="Times New Roman" w:eastAsia="Times New Roman" w:hAnsi="Times New Roman"/>
          <w:sz w:val="17"/>
          <w:szCs w:val="17"/>
          <w:i w:val="1"/>
          <w:iCs w:val="1"/>
          <w:color w:val="auto"/>
        </w:rPr>
        <w:t>Accounts payable, accrued expenses and other current liabilities</w:t>
      </w:r>
      <w:r>
        <w:rPr>
          <w:rFonts w:ascii="Times New Roman" w:cs="Times New Roman" w:eastAsia="Times New Roman" w:hAnsi="Times New Roman"/>
          <w:sz w:val="17"/>
          <w:szCs w:val="17"/>
          <w:color w:val="auto"/>
        </w:rPr>
        <w:t xml:space="preserve"> in the condensed consolidated balance sheets.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expenses legal fees in the period in which they are incurred.</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Cordial</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2"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After the termination of the relationship with Cordial, XpresSpa sought to substitute two new ACDBE partners in place of Cordial.</w:t>
      </w:r>
    </w:p>
    <w:p>
      <w:pPr>
        <w:spacing w:after="0" w:line="16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on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and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 on the appeal went forward on March 20, 2019. The appellate court entered an order on April 11, 2019 reinstating the Company’s complaint, with some exceptions. On June 13, 2019, Cordial filed a motion to reargue and alternatively to appeal to the New York Court of Appeals, and the appellate court denied that motion on October 22, 2019.</w:t>
      </w:r>
    </w:p>
    <w:p>
      <w:pPr>
        <w:spacing w:after="0" w:line="190"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color w:val="auto"/>
        </w:rPr>
        <w:t>On March 30, 2018, Cordial filed a lawsuit against XpresSpa Group, a subsidiary of XpresSpa Group,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4, 2018, the defendants moved the lawsuit to the United States District Court for the Northern District of Georgia.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spacing w:after="0" w:line="184"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the Company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8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8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On August 16, 2019, the Court entered an Order granting, in part, the Company’s Motion to Dismiss. The Court dismissed all federal claims alleged in the Complaint against all Defendants, declined to exercise supplemental jurisdiction pursuant to 28 U.S.C. § 1367(c) over the remaining state law claims alleged in the Complaint, and remanded the case to the Superior Court of Fulton County. Plaintiffs filed an appeal of the federal court’s decision to the Eleventh Circuit Court of Appeals, and the case was docketed on October 15, 2019 (“Eleventh Circuit Appeal”).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In response to the numerous complaints it received from Cordial, the City of Atlanta required the parties to engage in mediation. On November 22, 2019, a Mutual Release and Settlement Agreement (the “Settlement Agreement”) and a Confidential Payment Agreement (the “Payment Agreement”) were executed by the applicable parties, except the City of Atlanta, and are pending the requisite approval by the FAA of the terms of the Settlement Agreement. The requisite approval from the FAA has been obtained and the Leases have been executed by the Company. However, the condition precedent that an operating agreement between the Company and Cordial be finalized and executed has not yet been satisfied. The Company has been involved in negotiations seeking to resolve all pending matters, and those negotiations are continuing. Based on this, management has determined that the matter may not be completely resolved, at least to the extent of one or more of the settling parties seeking to enforce the terms of the Settlement Agreement, and thus resulting in a continuation of the litigation.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re Chen et al.</w:t>
      </w:r>
    </w:p>
    <w:p>
      <w:pPr>
        <w:spacing w:after="0" w:line="22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Times New Roman" w:cs="Times New Roman" w:eastAsia="Times New Roman" w:hAnsi="Times New Roman"/>
          <w:sz w:val="18"/>
          <w:szCs w:val="18"/>
          <w:i w:val="1"/>
          <w:iCs w:val="1"/>
          <w:color w:val="auto"/>
        </w:rPr>
        <w:t>In re Chen et al.</w:t>
      </w:r>
      <w:r>
        <w:rPr>
          <w:rFonts w:ascii="Times New Roman" w:cs="Times New Roman" w:eastAsia="Times New Roman" w:hAnsi="Times New Roman"/>
          <w:sz w:val="18"/>
          <w:szCs w:val="18"/>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92"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 xml:space="preserve">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Notice was sent out in early February 2020 and approximately 415 individuals have joined the case. On June 6, 2020 the Company participated in a status conference with the Court, and the parties discussed the possibility of entering into a new settlement agreement that addresses the Court’s concerns. On or about August 5, 2020, the parties entered into settlement agreements and are seeking a preliminary approval order from the Court. The Company has recorded an accrual that is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The Company intends to continue to vigorously defend this case until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and dismissal is obtained.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Binn et al. v. FORM Holdings Corp. et al.</w:t>
      </w:r>
    </w:p>
    <w:p>
      <w:pPr>
        <w:spacing w:after="0" w:line="22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On November 6, 2017, Moreton Binn and Marisol F, LLC, former stockholders of XpresSpa Holdings,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fiduciary duties, aiding and abetting, and unjust enrichment in the defendants’ conduct related to the Company’s acquisition of XpresSpa Holdings,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w:t>
      </w:r>
    </w:p>
    <w:p>
      <w:pPr>
        <w:spacing w:after="0" w:line="18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judgment motion and plaintiff’s cross-motion for partial summary judgment were fully briefed as of March 15, 2019. 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w:t>
      </w:r>
    </w:p>
    <w:p>
      <w:pPr>
        <w:spacing w:after="0" w:line="18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May 21, 2019, the Court granted the defendant’s motion for summary judgment in full, dismissing all claims in the action. On July 3, 2019, the plaintiffs filed a notice of appeal in the United States Court of Appeals for the second circuit.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 On September 13, 2019, plaintiffs filed their appellate brief in the Second Circuit. As of December 13, 2019, plaintiffs’ appeal was fully briefed. Oral argument occurred on May 4, 2020, at which time the Second Circuit affirmed the dismissal of all claims against all defendants.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Kainz v. FORM Holdings Corp. et al.</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8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has moved to request permission to file a late reply brief. The Company and its directors continue to believe that this action is without merit and intend to defend the appeal.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i w:val="1"/>
          <w:iCs w:val="1"/>
          <w:color w:val="auto"/>
        </w:rPr>
        <w:t>Binn, et al. v. Bernstein et al.</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 xml:space="preserve">On June 3, 2019, a third suit was commenced in the United States District Court for the Southern District of New York against FORM, five of its directors, as well as Rockmore, the Company’s previous senior secured lender and a senior executive of the lender. Although this action is brought by Morton Binn and Marisol F, LLC, it is asserted derivatively on behalf of the Company. Plaintiffs assert eight causes of action, including that certain individual defendants violated Sections 10(b) and 20(a) of the Securities Exchange Act of 1934, by making false statements concerning,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merger and the independence of FORM’s board of directors and the valuation of the Company’s lease portfolio. Plaintiffs also assert common law claims for breach of fiduciary duty, corporate waste, unjust enrichment, faithless servant doctrine, and aiding and abetting certain of the directors’ alleged breaches of fiduciary duty. The Company and its directors believe that this action is without merit and intend to file a motion to dismiss and defend the action vigorously.</w:t>
      </w:r>
    </w:p>
    <w:p>
      <w:pPr>
        <w:spacing w:after="0" w:line="189"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defendants filed a motion to dismiss on October 23, 2019. The court heard oral argument on the defendants’ motion to dismiss on January 22, 2020 and has not yet ruled on the motion. On August 6, 2020, the court dismissed the plaintiff’s complaint with prejudice and without leave to amend.</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Route1</w:t>
      </w:r>
    </w:p>
    <w:p>
      <w:pPr>
        <w:spacing w:after="0" w:line="22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On or about May 23, 2018, Route1 Inc., Route1 Security Corporation (together, “Route1”) and Group Mobile Int’l, LLC (“Group Mobile”) commenced a legal proceeding against the Company in the Ontario Superior Court of Justice.</w:t>
      </w:r>
    </w:p>
    <w:p>
      <w:pPr>
        <w:spacing w:after="0" w:line="16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Route1 and Group Mobile seek damages in relation to alleged breaches of a Membership Purchase Agreement entered into between Route1 and the Company on or about March 7, 2018, pursuant to which Route1 acquired the Company’s 100% membership interest in Group Mobile. The Plaintiffs allege that the Company: (i) failed to ensure all tax returns were true, correct and compliant in all respects and that all taxes had been paid in full; (ii) failed to ensure that all inventory of Group Mobile had been priced in accordance with GAAP and consisted of a quality and quantity that was materially usable and salable in the ordinary course of business; (iii) failed to ensure that Group Mobile’s most recent balance sheet was materially complete and correct and prepared in accordance with GAAP; (iv) failed to record all liabilities on Group Mobile’s most recent balance sheet; and (v) failed to deliver the agreed upon amount of net working capital, and/or pay the shortfall, to Route1.</w:t>
      </w:r>
    </w:p>
    <w:p>
      <w:pPr>
        <w:spacing w:after="0" w:line="189"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Company counterclaimed against the plaintiffs for amounts owed to the Company in relation to the sale of excluded inventory and seek damages thereon.</w:t>
      </w:r>
    </w:p>
    <w:p>
      <w:pPr>
        <w:spacing w:after="0" w:line="163"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On September 21, 2020, the Ontario Superior Court of Justice entered an Order dismissing, without costs, the action and counterclaim.</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Rodger Jenkins and Gregory Jones v. XpresSpa Group, Inc.</w:t>
      </w:r>
    </w:p>
    <w:p>
      <w:pPr>
        <w:spacing w:after="0" w:line="221"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spacing w:after="0" w:line="187"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Company has denied the material allegations of the complaint in its answer and is currently defending the action. Efforts to settle the parties’ dispute at a court-ordered mediation in March 2020 were not successful. The action was scheduled for a bench trial on May 18, 2020 but was adjourned due to the COVID-19 pandemic, and the judge ordered the parties to submit motions for summary judgment instead. Although we remain confident in the Company’s defenses, some of the rulings by the trial judge in this action have not been favorable to the Company. Accordingly, although we are unable to predict the outcome of this litigation, we cannot rule out the possibility of a judgment being entered against the Company in the absence of a settlement.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i w:val="1"/>
          <w:iCs w:val="1"/>
          <w:color w:val="auto"/>
        </w:rPr>
        <w:t>EFP Capital Solutions LLC Settlement</w:t>
      </w:r>
    </w:p>
    <w:p>
      <w:pPr>
        <w:spacing w:after="0" w:line="22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In March 2019, a complaint was filed against the Company by EFP Capital Solutions LLC (“EFP”), the receivables factor of the Company’s vendor MobiPT, Inc. (“MobiPT”), relating to payments made incorrectly by the Company to MobiPT for receivables MobiPT had sold to EFP. The ensuing mediation in January 2020 resulted in the Company agreeing to pay EFP $165 for such payments, for which the Company recorded an expense that is included in </w:t>
      </w:r>
      <w:r>
        <w:rPr>
          <w:rFonts w:ascii="Times New Roman" w:cs="Times New Roman" w:eastAsia="Times New Roman" w:hAnsi="Times New Roman"/>
          <w:sz w:val="18"/>
          <w:szCs w:val="18"/>
          <w:i w:val="1"/>
          <w:iCs w:val="1"/>
          <w:color w:val="auto"/>
        </w:rPr>
        <w:t>Accounts payable, accrued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current liabilities. </w:t>
      </w:r>
      <w:r>
        <w:rPr>
          <w:rFonts w:ascii="Times New Roman" w:cs="Times New Roman" w:eastAsia="Times New Roman" w:hAnsi="Times New Roman"/>
          <w:sz w:val="18"/>
          <w:szCs w:val="18"/>
          <w:color w:val="auto"/>
        </w:rPr>
        <w:t>The Company made the final settlement installment payment on or about July 15,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 against the Company is now fully resolved and the action has been dismissed as to the Company. The Company obtained a default judgment against MobiPT on October 27, 2020 and intends to seek reimbursement of $192 from MobiPT, but there is no assurance the Company will be successful.</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23"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continued listing standards of Nasdaq provide, among other things, that a company may be delisted if the bid price of its stock drops below $1.00 for a period of 30 consecutive business days or if stockholders’ equity is less than $2,500. On January 2, 2020, the Company received a deficiency letter from Nasdaq which provided a grace period of 180 calendar days, or until June 30, 2020, to regain compliance with the minimum bid price requirement. On June 19, 2020, the Company was advised by Nasdaq that it had determined that for 10 consecutive business days, from June 3, 2020 to June 16, 2020, the closing bid price of the Company’s common stock has been at $1.00 per share or greater. Accordingly, the Company has regained compliance with the continued listing standards and this matter is now closed.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Other Matters</w:t>
      </w:r>
    </w:p>
    <w:p>
      <w:pPr>
        <w:spacing w:after="0" w:line="223"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Company is engaged in litigation related to certain of the intellectual property that it owns, for which no liability is recorded, as the Company does not expect a material negative outcome.</w:t>
      </w:r>
    </w:p>
    <w:p>
      <w:pPr>
        <w:spacing w:after="0" w:line="16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1"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7"/>
          <w:szCs w:val="17"/>
          <w:color w:val="auto"/>
        </w:rPr>
        <w:t>We analyze the results of our business through our two reportable segments: XpresSpa and XpresTest.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chief operating decision maker evaluates the operating results and performance of our segments through operating income. Expenses that can be specifically identified with a segment have been included as deductions in determining operating income. Any remaining expenses and other charges are included in Corporate and Other.</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r>
      <w:tr>
        <w:trPr>
          <w:trHeight w:val="233"/>
        </w:trPr>
        <w:tc>
          <w:tcPr>
            <w:tcW w:w="6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6"/>
        </w:trPr>
        <w:tc>
          <w:tcPr>
            <w:tcW w:w="6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XpresSpa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w:t>
            </w:r>
          </w:p>
        </w:tc>
      </w:tr>
      <w:tr>
        <w:trPr>
          <w:trHeight w:val="21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XpresTest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3"/>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XpresSpa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(5,638)</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XpresTest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06"/>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3"/>
        </w:trPr>
        <w:tc>
          <w:tcPr>
            <w:tcW w:w="6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6"/>
        </w:trPr>
        <w:tc>
          <w:tcPr>
            <w:tcW w:w="6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XpresSpa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20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36,485</w:t>
            </w:r>
          </w:p>
        </w:tc>
      </w:tr>
      <w:tr>
        <w:trPr>
          <w:trHeight w:val="21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XpresTest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06"/>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3"/>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XpresSpa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(15,850)</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1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XpresTest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06"/>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3"/>
        </w:trPr>
        <w:tc>
          <w:tcPr>
            <w:tcW w:w="296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XpresSpa</w:t>
            </w:r>
          </w:p>
        </w:tc>
        <w:tc>
          <w:tcPr>
            <w:tcW w:w="382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XpresTest</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3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0" w:type="dxa"/>
            <w:vAlign w:val="bottom"/>
          </w:tcPr>
          <w:p>
            <w:pPr>
              <w:spacing w:after="0"/>
              <w:rPr>
                <w:sz w:val="1"/>
                <w:szCs w:val="1"/>
                <w:color w:val="auto"/>
              </w:rPr>
            </w:pPr>
          </w:p>
        </w:tc>
      </w:tr>
      <w:tr>
        <w:trPr>
          <w:trHeight w:val="206"/>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580" w:type="dxa"/>
            <w:vAlign w:val="bottom"/>
            <w:vMerge w:val="restart"/>
          </w:tcPr>
          <w:p>
            <w:pPr>
              <w:jc w:val="right"/>
              <w:ind w:right="189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29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29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9" w:right="1440" w:bottom="1440" w:gutter="0" w:footer="0" w:header="0"/>
        </w:sectPr>
      </w:pPr>
    </w:p>
    <w:bookmarkStart w:id="34" w:name="page35"/>
    <w:bookmarkEnd w:id="34"/>
    <w:p>
      <w:pPr>
        <w:ind w:left="4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9"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2019 filed on April 20, 2020, as subsequently amended on May 18, 2020 and June 12, 2020 (the “2019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8"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8"/>
          <w:szCs w:val="18"/>
          <w:i w:val="1"/>
          <w:iCs w:val="1"/>
          <w:color w:val="auto"/>
        </w:rPr>
        <w:t>All references in this Quarterly Report on Form 10-Q to “we,” “us” and “our” refer to XpresSpa Group, Inc., a Delaware corporation, and its consolidated subsidiaries.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1"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XpresSpa Group, Inc. (“XpresSpa Group”) is a health and wellness services company. XpresSpa Group is a leading airport retailer of spa services through its XpresSpa™ spa locations, offering travelers premium spa services, including massage, nail and skin care, as well as spa and travel products (“XpresSpa”). In June 2020, XpresSpa Group’s subsidiary, XpresTest, Inc. (“XpresTest”), launched XpresCheck™ Wellness Centers also in airports, offering its COVID-19 and other medical diagnostic testing services to airport employees and to the traveling public as well. XpresSpa Group currently has two reportable operating segments: XpresSpa and XpresTest.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Newly launched XpresCheck™ Wellness Centers</w:t>
      </w:r>
    </w:p>
    <w:p>
      <w:pPr>
        <w:spacing w:after="0" w:line="22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hosts nine separate testing rooms with a capacity to administer over 500 tests per day. All COVID-19 screening and testing is conducted by a newly launched brand, XpresCheck™, which will operate under our XpresTest subsidiary. The pilot test at JFK launched on June 22, 2020.</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On August 13, 2020, we announced that we signed a contract with the Port Authority of New York and New Jersey to provide diagnostic COVID-19 testing at Newark Liberty International Airport through our XpresCheck™ Wellness Centers. We built a modular constructed testing facility within Terminal B that hosts six separate testing rooms with a capacity to administer over 350 tests per day and opened for testing on August 17, 2020.</w:t>
      </w:r>
    </w:p>
    <w:p>
      <w:pPr>
        <w:spacing w:after="0" w:line="18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On October 26, 2020, we announced that we have expanded our testing services beyond COVID-19, to offer additional rapid testing services for other communicable diseases including influenza, mononucleosis and group A streptococcus, as well as this season’s 2020/21 flu vaccine and a quadrivalent high-dose flu vaccine recommended for seniors.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5" w:name="page36"/>
    <w:bookmarkEnd w:id="35"/>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On October 28, 2020, we announced the opening of our third XpresCheck™ Wellness Center at Boston’s Logan International Airport. It contains seven separate testing rooms and has an anticipated capacity to administer over 400 COVID-19 tests per day.</w:t>
      </w:r>
    </w:p>
    <w:p>
      <w:pPr>
        <w:spacing w:after="0" w:line="17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Through our XpresCheck™ Wellness Centers, we are offering testing services to airline employees, contractors and workers, concessionaires and their employees, TSA officers, and U.S. Customs and Border Protection agents, and over time, will expand to the traveling public as well.</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w:t>
      </w:r>
    </w:p>
    <w:p>
      <w:pPr>
        <w:spacing w:after="0" w:line="2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June 11, 2020, we effected a 1-for-3 reverse stock split, whereby every three shares of our Common Stock was reduced to one share of our Common Stock and the price per share of our Common Stock was multiplied by 3. All references to shares and per share amounts have been adjusted to reflect the reverse stock split.</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Effect of Coronavirus on Business</w:t>
      </w:r>
    </w:p>
    <w:p>
      <w:pPr>
        <w:spacing w:after="0" w:line="22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and many jurisdictions have begun to re-impose stricter measures in response to increasing infection rates. The outbreak and associated restrictions on travel that have been implemented have had a material adverse impact on our business and cash flow from operations, similar to many businesses in the travel sector. 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our operations. The impact of COVID-19 is unknown and may continue as the rates of infection have increased in many states in the U.S., thus additional restrictive measures may be necessary. As a result, management has concluded that there was a long-lived and definite-lived asset impairment triggering event during the nine months ended September 30, 2020 which would require management to perform an impairment evaluation of its property and equipment, intangible assets and operating lease right of use assets of $17,886 (before any impairment adjustments) as of September 30, 2020.</w:t>
      </w:r>
    </w:p>
    <w:p>
      <w:pPr>
        <w:spacing w:after="0" w:line="19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We completed an assessment of our property and equipment and operating lease right of use assets for impairment as of September 30, 2020. Based upon the results of the impairment test, we recorded an impairment expense related to property and equipment and operating lease right of use assets of $1,111 and $1,116, respectively. The expense was primarily related to the impairment of leasehold improvements made to certain spa locations and operating lease right of use assets where management determined that the locations discounted future cash flow was not sufficient to recover the carrying value of these assets over the remaining lease term. The impairment expense represents the excess of the carrying value of these assets over the estimated future discounted cash flows. Management calculated the future cash flow of each location using a present value income approach. The sum of expected cash flow for the remainder of the lease term for each location was present valued at a discount rate of 9.0%, which represents the current borrowing rate of our B3D Note. We believe that this rate incorporates the time value of money and an appropriate risk premium.</w:t>
      </w:r>
    </w:p>
    <w:p>
      <w:pPr>
        <w:spacing w:after="0" w:line="18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We completed an assessment of our intangible assets for impairment as of September 30, 2020. The Company reassessed its projections and based on management’s expectation of resuming normal operations, no impairment was indicated at this time.</w:t>
      </w:r>
    </w:p>
    <w:p>
      <w:pPr>
        <w:spacing w:after="0" w:line="17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XpresCheck™ Wellness Centers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XpresCheck™ Wellness Centers could also have a material effect on our business.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Airport Rent Concessions</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We have received rent concessions from landlords on a majority of our leases, allowing for the relief of minimum guaranteed payments in exchange for percentage-of-revenue rent or providing relief from rent through payment deferrals. Currently, the period of relief from these payments range from three to fifteen months and began in March 2020. We received minimum guaranteed payment concession of $611 and $1,379 in the three and nine months ended September 30, 2020. We expect to realize additional rent concessions while our spas remain closed.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Our Strategy and Outlook</w:t>
      </w:r>
    </w:p>
    <w:p>
      <w:pPr>
        <w:spacing w:after="0" w:line="22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Comparable (“Comp”) Store Sales and Adjusted EBITDA are supplemental measures of financial performance that are not required by or presented in accordance with GAAP but are measurements used by management to assess the trends in our business. In evaluating our performance as measured by Comp Store Sales and Adjusted EBITDA, we recognize and consider the limitations of these measurements.</w:t>
      </w:r>
    </w:p>
    <w:p>
      <w:pPr>
        <w:spacing w:after="0" w:line="18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We define Comp Store Sales as current period sales from stores opened more than 12 months compared to those same stores’ sales in the prior year period. The measurement of Comp Store Sales on a daily, weekly, monthly, quarterly and year-to-date basis provides an additional perspective on XpresSpa’s total sales growth when considering the influence of new unit contribution.</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 Store Sales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reconciliation between Comp Store Sales and total revenue as reported on the financial statements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1300" w:type="dxa"/>
            <w:vAlign w:val="bottom"/>
          </w:tcPr>
          <w:p>
            <w:pPr>
              <w:spacing w:after="0"/>
              <w:rPr>
                <w:sz w:val="20"/>
                <w:szCs w:val="20"/>
                <w:color w:val="auto"/>
              </w:rPr>
            </w:pPr>
          </w:p>
        </w:tc>
        <w:tc>
          <w:tcPr>
            <w:tcW w:w="328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 2020</w:t>
            </w:r>
          </w:p>
        </w:tc>
        <w:tc>
          <w:tcPr>
            <w:tcW w:w="330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 2019</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186"/>
        </w:trPr>
        <w:tc>
          <w:tcPr>
            <w:tcW w:w="1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160"/>
              <w:spacing w:after="0" w:line="186" w:lineRule="exact"/>
              <w:rPr>
                <w:sz w:val="20"/>
                <w:szCs w:val="20"/>
                <w:color w:val="auto"/>
              </w:rPr>
            </w:pPr>
            <w:r>
              <w:rPr>
                <w:rFonts w:ascii="Times New Roman" w:cs="Times New Roman" w:eastAsia="Times New Roman" w:hAnsi="Times New Roman"/>
                <w:sz w:val="18"/>
                <w:szCs w:val="18"/>
                <w:b w:val="1"/>
                <w:bCs w:val="1"/>
                <w:color w:val="auto"/>
                <w:w w:val="98"/>
              </w:rPr>
              <w:t>Non-Comp</w:t>
            </w: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Non-Comp</w:t>
            </w: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3"/>
        </w:trPr>
        <w:tc>
          <w:tcPr>
            <w:tcW w:w="130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180" w:type="dxa"/>
            <w:vAlign w:val="bottom"/>
          </w:tcPr>
          <w:p>
            <w:pPr>
              <w:spacing w:after="0"/>
              <w:rPr>
                <w:sz w:val="20"/>
                <w:szCs w:val="20"/>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160" w:type="dxa"/>
            <w:vAlign w:val="bottom"/>
          </w:tcPr>
          <w:p>
            <w:pPr>
              <w:spacing w:after="0"/>
              <w:rPr>
                <w:sz w:val="20"/>
                <w:szCs w:val="20"/>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 Store</w:t>
            </w:r>
          </w:p>
        </w:tc>
      </w:tr>
      <w:tr>
        <w:trPr>
          <w:trHeight w:val="175"/>
        </w:trPr>
        <w:tc>
          <w:tcPr>
            <w:tcW w:w="130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Products and</w:t>
            </w: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1"/>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$7,715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35,642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36,485</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r>
      <w:tr>
        <w:trPr>
          <w:trHeight w:val="20"/>
        </w:trPr>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Revenue from Comp Store Sales decreased significantly for the nine months ended September 30, 2020 from the prior year comparable period. This decrease is due to the negative impact COVID-19 has had on our revenue and results of operations. Our revenue began to decrease significantly in February 2020 as COVID-19 began to spread throughout the world and as rates of infection began to increase. Since our spa operations require customers to be in close contact with spa personnel and spa equipment, we believe customers began to forgo spa treatments for fear of being infected with COVID-19. The restrictions on travel that were implemented have had a material adverse impact on our revenue and operations. 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operations.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 (loss)</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Another non-GAAP measurement we use to assess the trends in our business is Adjusted EBITDA, which we define as earnings before interest, taxes, depreciation and amortization expense, excluding financing costs, acquisition integration costs, other one-time costs and stock-based compensation.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We consider Comp Store Sales and Adjusted EBITDA to be important indicators for the performance of our business, but not a measure of performance or liquidity calculated in accordance with GAAP. We have included these non-GAAP financial measures because management utilizes this information for assessing our performance and liquidity, and as an indicator of our ability to make capital expenditures and finance working capital requirements. We believe that Comp Store Sales and Adjusted EBITDA are measurements that are commonly used by analysts and some investors in evaluating the performance and liquidity of companies such as ours. In particular, we believe that it is useful for analysts and investors to understand that Comp Store Sales only include comparable sales for stores open at least 12 months. Adjusted EBITDA (loss)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ind w:left="40" w:right="79"/>
        <w:spacing w:after="0" w:line="276" w:lineRule="auto"/>
        <w:rPr>
          <w:sz w:val="20"/>
          <w:szCs w:val="20"/>
          <w:color w:val="auto"/>
        </w:rPr>
      </w:pPr>
      <w:r>
        <w:rPr>
          <w:rFonts w:ascii="Times New Roman" w:cs="Times New Roman" w:eastAsia="Times New Roman" w:hAnsi="Times New Roman"/>
          <w:sz w:val="18"/>
          <w:szCs w:val="18"/>
          <w:color w:val="auto"/>
        </w:rPr>
        <w:t>A reconciliation of operating loss presented in accordance with GAAP for the three- and nine-month periods ended September 30, 2020 and 2019 to Adjusted EBITDA (loss) is presented in the table below.</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Q3 2020 Results of Operations and Adjusted EBITDA (loss)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2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9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vMerge w:val="continue"/>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Labor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and other operating costs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Impairment/disposal of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30,717</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43,472</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(1,856)</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195"/>
        </w:trPr>
        <w:tc>
          <w:tcPr>
            <w:tcW w:w="292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Gain (loss) on revaluation of</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 and conversion options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(50,917)</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195"/>
        </w:trPr>
        <w:tc>
          <w:tcPr>
            <w:tcW w:w="29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Other non-operating income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net</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(1,313)</w:t>
            </w: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(5,037)</w:t>
            </w:r>
          </w:p>
        </w:tc>
        <w:tc>
          <w:tcPr>
            <w:tcW w:w="0" w:type="dxa"/>
            <w:vAlign w:val="bottom"/>
          </w:tcPr>
          <w:p>
            <w:pPr>
              <w:spacing w:after="0"/>
              <w:rPr>
                <w:sz w:val="1"/>
                <w:szCs w:val="1"/>
                <w:color w:val="auto"/>
              </w:rPr>
            </w:pPr>
          </w:p>
        </w:tc>
      </w:tr>
      <w:tr>
        <w:trPr>
          <w:trHeight w:val="173"/>
        </w:trPr>
        <w:tc>
          <w:tcPr>
            <w:tcW w:w="29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Loss from operations before income</w:t>
            </w: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(6,640)</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(4,777)</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(75,817)</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(13,672)</w:t>
            </w:r>
          </w:p>
        </w:tc>
        <w:tc>
          <w:tcPr>
            <w:tcW w:w="0" w:type="dxa"/>
            <w:vAlign w:val="bottom"/>
          </w:tcPr>
          <w:p>
            <w:pPr>
              <w:spacing w:after="0"/>
              <w:rPr>
                <w:sz w:val="1"/>
                <w:szCs w:val="1"/>
                <w:color w:val="auto"/>
              </w:rPr>
            </w:pPr>
          </w:p>
        </w:tc>
      </w:tr>
      <w:tr>
        <w:trPr>
          <w:trHeight w:val="21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Net loss attributable to common</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92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vMerge w:val="restart"/>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(4,844)</w:t>
            </w: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(74,805)</w:t>
            </w:r>
          </w:p>
        </w:tc>
        <w:tc>
          <w:tcPr>
            <w:tcW w:w="2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(14,155)</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(9,223)</w:t>
            </w:r>
          </w:p>
        </w:tc>
        <w:tc>
          <w:tcPr>
            <w:tcW w:w="4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(1,836)</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(22,655)</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(5,803)</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 back:</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Financing transactions, start-up</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and other one-time costs</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Impairment/disposal of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6"/>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2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1" w:lineRule="exact"/>
        <w:rPr>
          <w:sz w:val="20"/>
          <w:szCs w:val="20"/>
          <w:color w:val="auto"/>
        </w:rPr>
      </w:pPr>
    </w:p>
    <w:p>
      <w:pPr>
        <w:jc w:val="both"/>
        <w:ind w:left="40" w:right="79"/>
        <w:spacing w:after="0" w:line="306" w:lineRule="auto"/>
        <w:rPr>
          <w:sz w:val="20"/>
          <w:szCs w:val="20"/>
          <w:color w:val="auto"/>
        </w:rPr>
      </w:pPr>
      <w:r>
        <w:rPr>
          <w:rFonts w:ascii="Times New Roman" w:cs="Times New Roman" w:eastAsia="Times New Roman" w:hAnsi="Times New Roman"/>
          <w:sz w:val="17"/>
          <w:szCs w:val="17"/>
          <w:color w:val="auto"/>
        </w:rPr>
        <w:t>We recognize revenue from the sale of XpresSpa services when they are rendered at our stores and from the sale of products at the time goods are purchased at our stores or online (usually by credit card), net of discounts and applicable sales taxes.</w:t>
      </w:r>
    </w:p>
    <w:p>
      <w:pPr>
        <w:spacing w:after="0" w:line="140"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We entered into a management services agreement with a professional medical services company that provides healthcare services to patients in connection with the launch of our new XpresCheck™ Wellness Centers. The medical services company will pay XpresTest a monthly management fee to operate in the XpresCheck™ Wellness Center. As a result of uncertainties around the cash flows of the XpresCheck™ Wellness Centers, the Company concludes that the collectability criteria to qualify as a contract under ASC 606 is not met, and no revenue associated with the monthly management fee will be recognized at this point from the management services agreement. The Company will only recognize the management fee as revenue when a subsequent reassessment results in the management services agreement meeting the collectability criteria. As of September 30, 2020, management fees owed to the Company, but not recognized as revenue, is $1,197.</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segment include costs related to the XpresCheck™ business, and consists primarily of payroll and related benefit costs for personnel, occupancy costs and cost of supplies used to administer COVID-19 tests.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1" w:lineRule="exact"/>
        <w:rPr>
          <w:sz w:val="20"/>
          <w:szCs w:val="20"/>
          <w:color w:val="auto"/>
        </w:rPr>
      </w:pPr>
    </w:p>
    <w:p>
      <w:pPr>
        <w:jc w:val="both"/>
        <w:ind w:left="40" w:right="59"/>
        <w:spacing w:after="0" w:line="306" w:lineRule="auto"/>
        <w:rPr>
          <w:sz w:val="20"/>
          <w:szCs w:val="20"/>
          <w:color w:val="auto"/>
        </w:rPr>
      </w:pPr>
      <w:r>
        <w:rPr>
          <w:rFonts w:ascii="Times New Roman" w:cs="Times New Roman" w:eastAsia="Times New Roman" w:hAnsi="Times New Roman"/>
          <w:sz w:val="17"/>
          <w:szCs w:val="17"/>
          <w:color w:val="auto"/>
        </w:rPr>
        <w:t>General and administrative expenses include management and administrative personnel, overhead and occupancy costs, insurance and various professional fees, as well as stock-based compensation for management and administrative personnel.</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non-operating income (expense), net</w:t>
      </w:r>
    </w:p>
    <w:p>
      <w:pPr>
        <w:spacing w:after="0" w:line="221"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Other non-operating income (expense), net includes transaction gains (losses) from foreign exchange rate differences, and bank charges.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 ended September 30, 2020 compared to the three-month period ended September 30,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12,531</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(12,330)</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decrease in revenue was primarily due the negative adverse impact of COVID-19 on the XpresSpa segment, as discussed above. The decrease was offset by revenue generated through sales and marketing agreements with strategic spa partners of $61 and $138 of product and services revenue generated in our recently re-opened XpresSpa spas in Dubai.</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0" w:name="page41"/>
    <w:bookmarkEnd w:id="40"/>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(8,284)</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decrease in cost of sales was due to the decrease in variable costs associated with the decline in XpresSpa revenues and decreases in occupancy costs as a result of rent concessions received from airports. These were offset somewhat by cost of sales incurred in the XpresCheck™ Wellness Centers pursuant to the XpresTest management services agreement of $528.</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decrease in depreciation and amortization of approximately 2.7% was due primarily to six fewer locations in the current three-month period versus the prior year. In addition, impairments and disposals of assets recorded in 2020 and 2019 resulted in lower amortization of leasehold improvements in the current period. This decrease was partially offset by depreciation and amortization related to the recently opened XpresCheck™ Wellness Centers of $262.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27" w:lineRule="auto"/>
        <w:rPr>
          <w:sz w:val="20"/>
          <w:szCs w:val="20"/>
          <w:color w:val="auto"/>
        </w:rPr>
      </w:pPr>
      <w:r>
        <w:rPr>
          <w:rFonts w:ascii="Times New Roman" w:cs="Times New Roman" w:eastAsia="Times New Roman" w:hAnsi="Times New Roman"/>
          <w:sz w:val="18"/>
          <w:szCs w:val="18"/>
          <w:color w:val="auto"/>
        </w:rPr>
        <w:t>The increase of approximately 40.5% was primarily due to start-up costs associated with XpresTest and the XpresCheck</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Wellness Centers and additional legal fees related to the resolution of certain XpresSpa litigation matters, offset by reduced variable costs related to the closed XpresSpa locations and the realized benefits of cost cutting and control initiatives instituted throughout 2019, primarily in salaries, occupancy and professional fees.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(Gain) loss on revaluation of warrants and conversion options: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revaluation of warrants and conversion options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 xml:space="preserve">(Gain) loss on revaluation of warrants and conversion options represents the gain or loss resulting from the mark to market adjustments of our derivative liabilities. The gain or loss in the period is mainly to the decrease or increase, respectively, in our stock price at certain fair value measurement dates relative to the conversion price of warrants and convertible debt to Common Stock and the closing price stock price as of the end of the prior quarter.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to the condensed consolidated financial statements for additional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1" w:name="page42"/>
    <w:bookmarkEnd w:id="41"/>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non-operating expense, net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294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net</w:t>
            </w:r>
          </w:p>
        </w:tc>
        <w:tc>
          <w:tcPr>
            <w:tcW w:w="62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(1,266)</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(income) expense, net for the three months ended September 30, 2020 and 2019:</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100" w:type="dxa"/>
            <w:vAlign w:val="bottom"/>
          </w:tcPr>
          <w:p>
            <w:pPr>
              <w:spacing w:after="0"/>
              <w:rPr>
                <w:sz w:val="20"/>
                <w:szCs w:val="20"/>
                <w:color w:val="auto"/>
              </w:rPr>
            </w:pPr>
          </w:p>
        </w:tc>
        <w:tc>
          <w:tcPr>
            <w:tcW w:w="282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06"/>
        </w:trPr>
        <w:tc>
          <w:tcPr>
            <w:tcW w:w="6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F Preferred Stock</w:t>
            </w:r>
          </w:p>
        </w:tc>
        <w:tc>
          <w:tcPr>
            <w:tcW w:w="94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0" w:right="79"/>
        <w:spacing w:after="0" w:line="278" w:lineRule="auto"/>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to the condensed consolidated financial statements for additional information regarding the issuance of Series F Preferred Stock in the prior year period.</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06"/>
        </w:trPr>
        <w:tc>
          <w:tcPr>
            <w:tcW w:w="20" w:type="dxa"/>
            <w:vAlign w:val="bottom"/>
          </w:tcPr>
          <w:p>
            <w:pPr>
              <w:spacing w:after="0"/>
              <w:rPr>
                <w:sz w:val="17"/>
                <w:szCs w:val="17"/>
                <w:color w:val="auto"/>
              </w:rPr>
            </w:pPr>
          </w:p>
        </w:tc>
        <w:tc>
          <w:tcPr>
            <w:tcW w:w="60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r>
      <w:tr>
        <w:trPr>
          <w:trHeight w:val="206"/>
        </w:trPr>
        <w:tc>
          <w:tcPr>
            <w:tcW w:w="20" w:type="dxa"/>
            <w:vAlign w:val="bottom"/>
          </w:tcPr>
          <w:p>
            <w:pPr>
              <w:spacing w:after="0"/>
              <w:rPr>
                <w:sz w:val="17"/>
                <w:szCs w:val="17"/>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 xml:space="preserve">Interest expense decreased due to significantly lower outstanding debt as a result of conversions of the B3D Note to Common Stock.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Nine-month period ended September 30, 2020 compared to the nine-month period ended September 30,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37,669</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(29,607)</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decrease in revenue was primarily due the negative adverse impact of COVID-19 on XpresSpa, as discussed above. The decrease was offset by revenue generated through sales and marketing agreements with strategic XpresSpa spa partners of $253 and a pro-rated monthly fee associated with XpresTest’s management services agreement of $80 during the quarter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2" w:name="page43"/>
    <w:bookmarkEnd w:id="42"/>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28,640</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(19,089)</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decrease in cost of sales was primarily due to the decrease in spa-related revenues and minimum guaranteed rent payment concessions from landlords on the majority of our airport leases, offset by $598 in expenses related to the XpresTest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decrease in depreciation and amortization of approximately 17.4% was due primarily to six fewer locations in the current nine-month period versus the prior year. Impairments recorded in 2019 resulted in lower amortization of leasehold improvements in the current period.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10,972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27" w:lineRule="auto"/>
        <w:rPr>
          <w:sz w:val="20"/>
          <w:szCs w:val="20"/>
          <w:color w:val="auto"/>
        </w:rPr>
      </w:pPr>
      <w:r>
        <w:rPr>
          <w:rFonts w:ascii="Times New Roman" w:cs="Times New Roman" w:eastAsia="Times New Roman" w:hAnsi="Times New Roman"/>
          <w:sz w:val="18"/>
          <w:szCs w:val="18"/>
          <w:color w:val="auto"/>
        </w:rPr>
        <w:t>The increase of approximately 19.2% was primarily due to start-up costs associated with the XpresCheck</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brand and additional legal fees related to the resolution of certain legal matters, offset by the realized benefits of cost cutting and control initiatives instituted throughout 2019, primarily in salaries, occupancy and professional fees, and by reduced variable costs related to the closed XpresSpa locations.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on revaluation of warrants and conversion options: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revaluation of warrants and conversion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50,917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50,137</w:t>
            </w: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 xml:space="preserve">Loss on revaluation of warrants and conversion options represents the loss resulting from the mark to market adjustments of our derivative liabilities as of the end of the reporting period and upon conversion of warrants and convertible debt. The increase in the loss on revaluation of warrants and conversion options was due mainly to the impact the significant increase in the Company’s stock price during the current year period and the conversion to equity of the majority of the outstanding warrants and convertible debt during the conversion period.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3" w:name="page44"/>
    <w:bookmarkEnd w:id="43"/>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non-operating expense, net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(4,648)</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(income) expense, net for the nine months ended September 30, 2020 and 2019:</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220" w:type="dxa"/>
            <w:vAlign w:val="bottom"/>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conversion expense related to conversion of 5% Secured Convertible Notes</w:t>
            </w:r>
          </w:p>
        </w:tc>
        <w:tc>
          <w:tcPr>
            <w:tcW w:w="84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F Preferred Stock</w:t>
            </w:r>
          </w:p>
        </w:tc>
        <w:tc>
          <w:tcPr>
            <w:tcW w:w="8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cost method investments</w:t>
            </w:r>
          </w:p>
        </w:tc>
        <w:tc>
          <w:tcPr>
            <w:tcW w:w="8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1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06"/>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0"/>
        </w:trPr>
        <w:tc>
          <w:tcPr>
            <w:tcW w:w="6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condensed consolidated financial statements for additional information regarding the debt conversion expense.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6"/>
        </w:trPr>
        <w:tc>
          <w:tcPr>
            <w:tcW w:w="60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20" w:type="dxa"/>
            <w:vAlign w:val="bottom"/>
          </w:tcPr>
          <w:p>
            <w:pPr>
              <w:spacing w:after="0"/>
              <w:rPr>
                <w:sz w:val="17"/>
                <w:szCs w:val="17"/>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represents interest and accretion expenses on our convertible debt instruments. Interest expense decreased somewhat due to conversions to Common Stock of the Calm Note and B3D Note during the period.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As of September 30, 2020, we had cash and cash equivalents, excluding restricted cash, of $61,894, total current assets of $63,868, total current liabilities of $14,289 and positive working capital of $49,579, compared to a working capital deficiency of $12,287 as of December 31, 2019.</w:t>
      </w:r>
    </w:p>
    <w:p>
      <w:pPr>
        <w:spacing w:after="0" w:line="17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2020, to address the Company’s historical working capital deficiencies, and its outstanding long-term debt, the Company raised net proceeds of $74,125 in a series of registered direct equity offerings, after deducting $9,150 in broker commissions, legal fees and other related offering expenses. We settled our long-term debt by converting $7,670 of principal on the B3D Note and the entire $2,500 Calm Note to Common Stock. We also paid in full the short-term $910 advance funding owed to Credit Cash, and recognized a gain of $91. Finally, on May 1, 2020, we entered into a U.S. Small Business Administration (“SBA”) Paycheck Protection Program (“PPP”) promissory note in the principal amount of $5,653. The principal amount of the PPP Loan is subject to forgiveness under the PPP upon the Company’s request to the extent that PPP loan proceeds are used to pay expenses permitted by the PPP. Interest accrued on any principal forgiven may also be forgiven if the SBA pays the interest. At this time, there can be no assurance that any part of the PPP loan will be forgiven. See Note 7. </w:t>
      </w:r>
      <w:r>
        <w:rPr>
          <w:rFonts w:ascii="Times New Roman" w:cs="Times New Roman" w:eastAsia="Times New Roman" w:hAnsi="Times New Roman"/>
          <w:sz w:val="18"/>
          <w:szCs w:val="18"/>
          <w:i w:val="1"/>
          <w:iCs w:val="1"/>
          <w:color w:val="auto"/>
        </w:rPr>
        <w:t>Debt.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4" w:name="page45"/>
    <w:bookmarkEnd w:id="44"/>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financial statements for the year ended December 31, 2019 included an explanatory paragraph indicating that there was substantial doubt about our ability to continue as a going concern. We believe that as a result of the transactions that have occurred in 2020, we have successfully mitigated the substantial doubt raised by our historical operating results and will satisfy our liquidity needs for at least twelve months from the date of issuance of these financial statements. However, while we have addressed our working capital deficiency and long-term debt, while continuing to focus on our overall operating profitability, we expect to incur net losses in the foreseeable future. In addition, the ultimate duration and severity of the ongoing COVID-19 pandemic are uncertain at this time, and may result in additional material adverse impacts on our liquidity position and access to capital. Therefore, we cannot predict with certainty that the results of our actions will satisfy our liquidity needs in the longer-term.</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Credit Cash Funding Advance</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As of March 31, 2020, the outstanding repayment amount of $910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 owed under the CC Agreement as of June 1, 2020 (net of a $91 early pay cash discount) and the CC Lender released all security interests held on the assets of the CC Borrowers, including the CC Borrowers’ existing and future accounts receivables and other rights to payment.</w:t>
      </w:r>
    </w:p>
    <w:p>
      <w:pPr>
        <w:spacing w:after="0" w:line="18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As compensation for the consent of existing creditor B3D, LLC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convertible promissory note (the “B3D Note”) in order to increase the principal amount owed to B3D from $7,000 to $7,150, which additional $150 in principal and any interest accrued thereon will become convertible, at B3D’s option, into shares of our Common Stock subject to upon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B3D Senior Secured Loan</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March 6, 2020, XpresSpa Holdings entered into a sixth amendment (the “Sixth Credit Agreement Amendment”) to our existing credit agreement with B3D. In connection with the Sixth Credit Agreement Amendment and B3D Note, B3D agreed to provide us with $500 in additional funding and to submit one or more conversion notices to convert an aggregate of $375 in principal under the B3D Note to Common Stock on or prior to March 27, 2020. XpresSpa Holdings entered into the Credit Agreement Amendment in order to, among other provisions, (i) amend and restate our existing convertible promissory note with B3D in order to increase the principal amount owed from $7,150 million to $7,900, which additional $750 in principal and any interest accrued thereon will be convertible, at 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w:t>
      </w:r>
    </w:p>
    <w:p>
      <w:pPr>
        <w:spacing w:after="0" w:line="187" w:lineRule="exact"/>
        <w:rPr>
          <w:sz w:val="20"/>
          <w:szCs w:val="20"/>
          <w:color w:val="auto"/>
        </w:rPr>
      </w:pPr>
    </w:p>
    <w:p>
      <w:pPr>
        <w:jc w:val="both"/>
        <w:ind w:left="40" w:right="7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2020, B3D converted a total of $7,670 of principal into shares of Common Stock at conversion prices of $1.68 and $0.525. As a result, $14,485 of derivative liability was settled and reclassified to equity, the Company wrote off $2,957 of unamortized debt discount and $195 of unamortized debt issuance costs, and 13,496,508 shares of Common Stock were issued.</w:t>
      </w:r>
    </w:p>
    <w:p>
      <w:pPr>
        <w:spacing w:after="0" w:line="182"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On October 6, 2020, B3D converted the remaining $230 of principal outstanding on the B3D Note into shares of Common Stock at a conversion price of $0.525 per share, effectively terminating the credit agreement and releasing all related liens.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Registered Direct Common Stock Offerings</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We sold a total of 6,511,280 shares of Common Stock and 1,900,625 of pre-funded warrants and received total proceeds of $4,207, net of financial advisory and consulting fees of $626, in connection with three registered direct offerings in March 2020. Subsequently, 1,900,625 pre-funded warrants were exercised for total proceeds of $57.</w:t>
      </w:r>
    </w:p>
    <w:p>
      <w:pPr>
        <w:spacing w:after="0" w:line="17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On April 6, 2020, we entered into a securities purchase agreement with certain purchasers, pursuant to which we issued and sold, in a registered direct offering (i) 4,139,393 shares of Common Stock at an offering price of $0.66 per share and (ii) an aggregate of 481,818 pre-funded warrants exercisable for shares of Common Stock at an offering price of $0.63 per pre-funded warrant. We received proceeds of $2,792, net of $244 in financial advisory consultant fees. Each pre-funded warrant represented the right to purchase one share of Common Stock at an exercise price of $0.03 per share and was exercised in April 2020 for total proceeds of $14.</w:t>
      </w:r>
    </w:p>
    <w:p>
      <w:pPr>
        <w:spacing w:after="0" w:line="18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June 17, 2020, we entered into a securities purchase agreement pursuant to which we agreed to issue and sell 7,614,700 shares of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“Warrants”) exercisable for an aggregate of 7,614,700 shares of Common Stock at an exercise price of $5.25 per share. Each Warrant will be immediately exercisable and will expire 21 months from the issuance date. The Warrants and the shares of Common Stock issuable upon the exercise of the Warrants were not offered pursuant to a registration statement and were offered pursuant to the exemption provided in Section 4(a)(2) under the Securities Act of 1933, as amended (the “Securities Act”), and Rule 506(b) promulgated thereunder. The Offerings closed on June 19, 2020 with us receiving gross proceeds of $40,000 before deducting placement agent fees and related offering expenses of $4,409. The shares of Common Stock issuable upon the exercise of the Warrants have now been registered for resale.</w:t>
      </w:r>
    </w:p>
    <w:p>
      <w:pPr>
        <w:spacing w:after="0" w:line="19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Registered Offering, warrants to purchase 133,258 shares of our Common Stock were issued to Palladium Capital Advisors, LLC (“Palladium”) (the “Palladium Warrants”) at an exercise price equal to $5.25 per share and warrants to purchase 609,176 shares of our Common Stock were issued to H.C. Wainwright &amp; Co., LLC (the “H.C.W. Warrants”) at an exercise price equal to $6.5663 per share pursuant to the respective placement agent agreements.</w:t>
      </w:r>
    </w:p>
    <w:p>
      <w:pPr>
        <w:spacing w:after="0" w:line="182"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August 25, 2020, we entered into a securities purchase agreement pursuant to which we agreed to issue and sell in a registered direct offering 10,407,408 shares of Common Stock and warrants exercisable for an aggregate of 11,216,932 shares of Common Stock at a combined offering price of $3.15 per share. The Warrants have an exercise price of $3.02 per share. We also offered and sold to certain purchasers pre-funded warrants to purchase an aggregate of 809,524 shares of Common Stock, in lieu of shares of Common Stock. Each pre-funded warrant represented the right to purchase one share of Common Stock at an exercise price of $0.001 per share and was exercised in August 2020. The offering closed on August 28, 2020 with us receiving gross proceeds of $35,333 before deducting placement agent fees and related offering expenses of $3,871.</w:t>
      </w:r>
    </w:p>
    <w:p>
      <w:pPr>
        <w:spacing w:after="0" w:line="18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August offering, warrants to purchase 222,222 shares of our Common Stock were issued to Palladium at an exercise price equal to $3.02 per share and warrants to purchase 897,355 shares of our Common Stock were issued to H.C. Wainwright &amp; Co., LLC at an exercise price equal to $3.9375 per share pursuant to the respective placement agent agreements.</w:t>
      </w:r>
    </w:p>
    <w:p>
      <w:pPr>
        <w:spacing w:after="0" w:line="18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We expect to utilize our cash and cash equivalents to provide capital to support our near-term operating losses arising from the limited near-term growth of XpresSpa, maintaining and renovating our existing XpresSpa locations, funding the development and expansion of our recently launched XpresCheck™ Wellness Centers, and supporting corporate functions.</w:t>
      </w:r>
    </w:p>
    <w:p>
      <w:pPr>
        <w:spacing w:after="0" w:line="177" w:lineRule="exact"/>
        <w:rPr>
          <w:sz w:val="20"/>
          <w:szCs w:val="20"/>
          <w:color w:val="auto"/>
        </w:rPr>
      </w:pPr>
    </w:p>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We have taken actions described above to improve our overall cash position and our access to liquidity. We continue to expand and explore strategic partnerships, right-size our corporate structure, and streamline our operations.</w:t>
      </w:r>
    </w:p>
    <w:p>
      <w:pPr>
        <w:spacing w:after="0" w:line="163"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If we continue to experience operating losses and negative cash flows in the longer-term, while not expected, we may not be able to access additional funds. A failure to generate additional liquidity could negatively impact our access to new</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6" w:name="page47"/>
    <w:bookmarkEnd w:id="46"/>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XpresSpa or XpresCheck™ Wellness Center locations, and inventory or services that are important to the long-term operation of our businesses.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included in our Annual Report on Form 10-K for the year ended December 31, 2019,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81"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pacing w:after="0" w:line="217"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9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Financial and Accounting Officer), as appropriate, to allow timely decisions regarding required disclosure.</w:t>
      </w:r>
    </w:p>
    <w:p>
      <w:pPr>
        <w:spacing w:after="0" w:line="143"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As of September 30, 2020, we carried out an evaluation, under the supervision and with the participation of our management, including our Chief Executive Officer (Principal Financial and Accounting Officer), of the effectiveness of the design and operation of our disclosure controls and procedures. Based on our evaluation, we have concluded that our disclosure controls and procedures were not effective as of September 30, 2020. This determination is based on the previously reported material weakness management identified in our internal control over financial reporting, as described below. We are in the process of remediating the material weaknesses in our internal control. We believe the completion of these processes should remedy our disclosure controls and procedures. We will continue to monitor these issues.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Previously Reported Material Weakness in Internal Control Over Financial Reporting</w:t>
      </w:r>
    </w:p>
    <w:p>
      <w:pPr>
        <w:spacing w:after="0" w:line="194"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In our Annual Report for the year ended December 31, 2019, filed with the SEC on April 20, 2020, management concluded that our internal control over financial reporting was not effective as of December 31, 2019. In the evaluation, management identified a material weakness in internal control related to our financial close and reporting process. Management also concluded that we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the Principal Accounting Officer extensively used outside consultants who possessed the appropriate levels of accounting and controls knowledge.</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Plan for Material Weakness in Internal Control over Financial Reporting</w:t>
      </w:r>
    </w:p>
    <w:p>
      <w:pPr>
        <w:spacing w:after="0" w:line="18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We are still considering the full extent of the procedures to implement in order to remediate the material weakness described above. The current remediation plan includes a more robust review process, and an increase in the supervision and monitoring of the financial reporting processes and our accounting personnel. We will ensure that accounting personnel have the level of accounting and controls knowledge and experience commensurate with our financial reporting requirements by instituting a formal training program for all accounting personnel on a regular basis on internal control procedures over financial reporting. The current remediation plan also includes implementing controls over calculations, analysis and conclusions associated with non-routine transactions at a more precise level. We have allocated additional resources to the corporate accounting function, which includes the use of independent consultants with sufficient expertise to assist in the preparation and review of certain non-recurring transactions and timely review of the account reconciliations. In addition, we have begun to automate, where possible and practical, certain account analyses and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jc w:val="both"/>
        <w:ind w:left="40" w:right="79"/>
        <w:spacing w:after="0" w:line="276" w:lineRule="auto"/>
        <w:rPr>
          <w:sz w:val="20"/>
          <w:szCs w:val="20"/>
          <w:color w:val="auto"/>
        </w:rPr>
      </w:pPr>
      <w:r>
        <w:rPr>
          <w:rFonts w:ascii="Times New Roman" w:cs="Times New Roman" w:eastAsia="Times New Roman" w:hAnsi="Times New Roman"/>
          <w:sz w:val="18"/>
          <w:szCs w:val="18"/>
          <w:color w:val="auto"/>
        </w:rPr>
        <w:t>calculations currently being done manually by better utilizing our current general ledger accounting system and implementing software solutions specifically designed to perform calculations of the recurring accounting entries.</w:t>
      </w:r>
    </w:p>
    <w:p>
      <w:pPr>
        <w:spacing w:after="0" w:line="123"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Where cost effective, we will outsource any manual processes that are time consuming to free up accounting personnel to spend more time preparing and reviewing account analyses.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Other than as described above, there has been no change in our internal control over financial reporting (as defined in Rule 13a-15(f) and 15d-15(f) under the Exchange Act) that occurred during the quarter ended September 30, 2020 that has materially affected, or is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9"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our notes to the condensed consolidated financial statements included in “Item 1. Financial Statements.”</w:t>
      </w:r>
    </w:p>
    <w:p>
      <w:pPr>
        <w:spacing w:after="0" w:line="15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The following additional risk factors, which could affect our business, financial condition, operating results and cash flows should be read in connection with the existing disclosure on risk factors made in the our most recently filed Annual Report on Form 10-K and other filings made with the SEC.</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have no operating history in the diagnostic testing and vaccination industry.</w:t>
      </w:r>
    </w:p>
    <w:p>
      <w:pPr>
        <w:spacing w:after="0" w:line="223"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Despite our management’s extensive experience in health and wellness services, we have no specific operating history in the diagnostic testing and vaccination industry, including providing management services to a professional practice offering diagnostic testing or vaccination services. We will face substantial risks and uncertainties to which our new diagnostic testing and vaccination line of business will be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and vaccination line of business may not succeed.</w:t>
      </w:r>
    </w:p>
    <w:p>
      <w:pPr>
        <w:spacing w:after="0" w:line="18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never establish long-term formal contracts and relationships with professional practices for the ordering of and collection of samples for, or with laboratories for the performance of, COVID-19 and other medical testing in our XpresCheck™ Wellness Centers.</w:t>
      </w:r>
    </w:p>
    <w:p>
      <w:pPr>
        <w:spacing w:after="0" w:line="17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We have begun offering COVID-19 and other medical testing services, as well as and certain seasonal vaccines in XpresCheck™ Wellness Centers. On June 22, 2020, we began pilot testing and have established a formal contractual relationship with a professional practice for the ordering of and collection of samples for, and with clinical laboratories for the performance, of COVID-19 testing. These contractual relationships are for an initial period of one year, with automatic one year renewals, unless otherwise terminated by either party. We may never formalize longer-term arrangements with a professional practice or clinical laboratory for these purposes and may never conduct diagnostic testing and vaccination operations on a widescale basis. As a result, there can be no assurances that we will be able to execute our current plans or generate substantial revenue associated with our current XpresCheck COVID-19 testing and other medical testing and vaccines plans, including any COVID-19 vaccine that might become available in the future.</w:t>
      </w:r>
    </w:p>
    <w:p>
      <w:pPr>
        <w:spacing w:after="0" w:line="185" w:lineRule="exact"/>
        <w:rPr>
          <w:sz w:val="20"/>
          <w:szCs w:val="20"/>
          <w:color w:val="auto"/>
        </w:rPr>
      </w:pPr>
    </w:p>
    <w:p>
      <w:pPr>
        <w:jc w:val="both"/>
        <w:ind w:left="40" w:right="7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secure new locations for, or transition our existing spa facilities into, XpresCheck™ Wellness Centers at which COVID-19 or other medical testing and vaccinations will be ordered or performed.</w:t>
      </w:r>
    </w:p>
    <w:p>
      <w:pPr>
        <w:spacing w:after="0" w:line="16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There can be no assurances that we will be able to open new XpresCheck™ Wellness Centers or further expand our initial sites, including JFK International Airport, Newark Liberty International Airport, Boston Logan International Airport, in order make available or renovate our other existing spa facilities for the purpose of operating a location at which XpresCheck COVID-19 testing will be ordered and/or performed by a professional practice. In addition, we recently announced the expansion of our testing capabilities to include rapid testing services for other communicable diseases, including influenza, mononucleosis and group A streptococcus, as well as seasonal flu vaccination services which may require additional renovations and costs. If we are unable to successfully transition such facilities to locations at which COVID-19 testing or other medical testing and vaccination services will be ordered and/or performed due to issues with lease agreements, permits, licenses or other delays, we will not be able to move forward with our planned business transition.</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9" w:name="page50"/>
    <w:bookmarkEnd w:id="49"/>
    <w:p>
      <w:pPr>
        <w:jc w:val="both"/>
        <w:ind w:left="40" w:right="5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7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plan to contract with a limited number of professional practices, and potentially only a single professional practice, for the ordering of and collection of samples for COVID-19 testing. Now that our current professional practice has begun performing point of care COVID-19 testing and other communicable disease testing and seasonal flu vaccination services at our XpresCheck™ Wellness Centers, we currently rely on a limited number of suppliers for test kits, seasonal flu vaccines, collection supplies, reagents, and various other equipment and materials we intend to use in performing COVID-19 or other medical testing or for administering seasonal flu vaccines, and we may not be able to increase our number of suppliers sigficantly for these items. We currently do not have formal long-term agreements with any professional practice or supplier, and, as a result, our professional practice partners or suppliers could cease supplying these services or tests, materials and equipment to us at any time due to our inability to reach agreement on terms,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if any are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the volume or scope of our testing and vaccination services.</w:t>
      </w:r>
    </w:p>
    <w:p>
      <w:pPr>
        <w:spacing w:after="0" w:line="189"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COVID-19 testing technology we have chosen may not perform as expected, as a result of human error or otherwise, and may not aid in the testing of this virus.</w:t>
      </w:r>
    </w:p>
    <w:p>
      <w:pPr>
        <w:spacing w:after="0" w:line="200" w:lineRule="exact"/>
        <w:rPr>
          <w:sz w:val="20"/>
          <w:szCs w:val="20"/>
          <w:color w:val="auto"/>
        </w:rPr>
      </w:pPr>
    </w:p>
    <w:p>
      <w:pPr>
        <w:spacing w:after="0" w:line="386"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June 22, 2020, our professional practice partner began performing point of care COVID-19 testing at our JFK Airport XpresCheck location, which has since expanded to Newark Liberty International Airport and Boston Logan International Airport. Our success will depend on the COVID-19 and other communicable diseases testing technology we have chosen to use to provide a reliable, high-quality diagnostic result. Diagnostic testing for COVID-19 is relatively new, and there is no guarantee that the COVID-19 test technology we are currently using, or that we may choose to use in the future, will be accurate. We believe that customers will be particularly sensitive to COVID-19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are currently using may not be effective. As a result, the failure or perceived failure of the chosen tests to perform as expected could have a material adverse effect on our business, financial condition, results of operation and cash flows. If there is little or no demand for the COVID-19 test, our business could be materially harmed. Moreover, as testing technology evolves, develops and improves over time, we may not be able to identify and gain access to the latest and best COVID-19 testing methodologies and equipment.</w:t>
      </w:r>
    </w:p>
    <w:p>
      <w:pPr>
        <w:spacing w:after="0" w:line="19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There can be no assurance that demand for our COVID-19 testing services will exist in the future at the levels we expect or at all, because of the success of containment efforts, the emergence of a vaccine, widespread availability of testing at other locations or due to other events. If there is no demand for our COVID-19 testing services or demand is significantly lower than we expect, our business will be materially harmed.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both"/>
        <w:ind w:left="40" w:right="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COVID-19 testing and other medical testing and vaccination capabilities may never achieve significant acceptance in the market or by countries or states that are imposing travel or quarantine restrictions.</w:t>
      </w:r>
    </w:p>
    <w:p>
      <w:pPr>
        <w:spacing w:after="0" w:line="160"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 Further, the success of our business may depend on being part of a national rollout of a COVID-19 vaccination when it becomes available. Moreover, we cannot assure you that any vaccination will become available in the near term or at all. In addition, we are working with major airlines to support creation of potential air bridges between U.S. cities and international destinations, including, but not limited to, New York to London, and are engaged in discussions with multiple emerging Health Passport Apps. These apps would directly link into COVID-19 test results from there partnered labs, so that passengers would be able to show their test results through these apps to airlines and destinations in order to facilitate a hassle-free entry and avoid quarantines, where applicable. However, there can be no assurance as to the degree to which our public testing model assists passengers meet testing requirements for entry into, or avoidance of quarantine in various states and countries, and we may not be able to execute our COVID-19 testing strategy and our business results may be harmed.</w:t>
      </w:r>
    </w:p>
    <w:p>
      <w:pPr>
        <w:spacing w:after="0" w:line="190"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In addition, we recently announced the expansion of our testing capabilities to include rapid testing services for other communicable diseases, including influenza, mononucleosis and group A streptococcus, as well as seasonal flu vaccines. These plans will require us to expend additional funds and efforts to obtain medical testing supplies for these additional communicable diseases and to market our capabilities in these additional areas. Demand for these additional testing and vaccination services may never meet anticipated levels, which would have a material adverse effect on our business, financial condition and results of operations.</w:t>
      </w:r>
    </w:p>
    <w:p>
      <w:pPr>
        <w:spacing w:after="0" w:line="18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use potentially hazardous materials, chemicals and patient samples in our XpresCheck diagnostic testing and vaccination business and any disputes relating to improper handling, storage or disposal of these materials could be time consuming and costly.</w:t>
      </w:r>
    </w:p>
    <w:p>
      <w:pPr>
        <w:spacing w:after="0" w:line="175"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spacing w:after="0" w:line="185" w:lineRule="exact"/>
        <w:rPr>
          <w:sz w:val="20"/>
          <w:szCs w:val="20"/>
          <w:color w:val="auto"/>
        </w:rPr>
      </w:pPr>
    </w:p>
    <w:p>
      <w:pPr>
        <w:jc w:val="both"/>
        <w:ind w:left="40" w:right="59" w:firstLine="53"/>
        <w:spacing w:after="0" w:line="252" w:lineRule="auto"/>
        <w:rPr>
          <w:sz w:val="20"/>
          <w:szCs w:val="20"/>
          <w:color w:val="auto"/>
        </w:rPr>
      </w:pPr>
      <w:r>
        <w:rPr>
          <w:rFonts w:ascii="Times New Roman" w:cs="Times New Roman" w:eastAsia="Times New Roman" w:hAnsi="Times New Roman"/>
          <w:sz w:val="18"/>
          <w:szCs w:val="18"/>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or their coverage may not be adequate to fully cover potential liability claims to which we might be exposed.</w:t>
      </w:r>
    </w:p>
    <w:p>
      <w:pPr>
        <w:spacing w:after="0" w:line="18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XpresCheck diagnostic testing and vaccination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licensing or other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181"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6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8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spacing w:after="0" w:line="17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complex federal, state, local and foreign laws and regulations that apply to our XpresCheck business, we could suffer severe consequences that could materially and adversely affect our operating results and financial condition.</w:t>
      </w:r>
    </w:p>
    <w:p>
      <w:pPr>
        <w:spacing w:after="0" w:line="175"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8"/>
          <w:szCs w:val="18"/>
          <w:color w:val="auto"/>
        </w:rPr>
        <w:t>We expect our planned operations to be subject to extensive federal, state, local and foreign laws and regulations, all of which are subject to change. These laws and regulations currently include, among other things:</w:t>
      </w:r>
    </w:p>
    <w:p>
      <w:pPr>
        <w:spacing w:after="0" w:line="163" w:lineRule="exact"/>
        <w:rPr>
          <w:sz w:val="20"/>
          <w:szCs w:val="20"/>
          <w:color w:val="auto"/>
        </w:rPr>
      </w:pPr>
    </w:p>
    <w:p>
      <w:pPr>
        <w:ind w:left="680" w:hanging="31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 which requires that laboratories obtain certification from the federal government, and state licensure laws;</w:t>
      </w:r>
    </w:p>
    <w:p>
      <w:pPr>
        <w:spacing w:after="0" w:line="25" w:lineRule="exact"/>
        <w:rPr>
          <w:rFonts w:ascii="Times New Roman" w:cs="Times New Roman" w:eastAsia="Times New Roman" w:hAnsi="Times New Roman"/>
          <w:sz w:val="18"/>
          <w:szCs w:val="18"/>
          <w:color w:val="auto"/>
        </w:rPr>
      </w:pPr>
    </w:p>
    <w:p>
      <w:pPr>
        <w:ind w:left="680" w:hanging="31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laws and regulations;</w:t>
      </w:r>
    </w:p>
    <w:p>
      <w:pPr>
        <w:spacing w:after="0" w:line="6" w:lineRule="exact"/>
        <w:rPr>
          <w:rFonts w:ascii="Times New Roman" w:cs="Times New Roman" w:eastAsia="Times New Roman" w:hAnsi="Times New Roman"/>
          <w:sz w:val="18"/>
          <w:szCs w:val="18"/>
          <w:color w:val="auto"/>
        </w:rPr>
      </w:pPr>
    </w:p>
    <w:p>
      <w:pPr>
        <w:jc w:val="both"/>
        <w:ind w:left="680" w:right="59" w:hanging="311"/>
        <w:spacing w:after="0" w:line="24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(HIPAA), which imposes comprehensive federal standards with respect to the privacy and security of protected health information and requirements for the use of certain standardized electronic transactions, and amendments to HIPAA under the Health Information Technology for Economic and Clinical Health Act (HITECH), which strengthen and expand HIPAA privacy and security compliance requirements, increase penalties for violators, extend enforcement authority to state attorneys general and impose requirements for breach notification;</w:t>
      </w:r>
    </w:p>
    <w:p>
      <w:pPr>
        <w:spacing w:after="0" w:line="4" w:lineRule="exact"/>
        <w:rPr>
          <w:rFonts w:ascii="Times New Roman" w:cs="Times New Roman" w:eastAsia="Times New Roman" w:hAnsi="Times New Roman"/>
          <w:sz w:val="18"/>
          <w:szCs w:val="18"/>
          <w:color w:val="auto"/>
        </w:rPr>
      </w:pPr>
    </w:p>
    <w:p>
      <w:pPr>
        <w:jc w:val="both"/>
        <w:ind w:left="680" w:right="59" w:hanging="311"/>
        <w:spacing w:after="0" w:line="24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2" w:lineRule="exact"/>
        <w:rPr>
          <w:rFonts w:ascii="Times New Roman" w:cs="Times New Roman" w:eastAsia="Times New Roman" w:hAnsi="Times New Roman"/>
          <w:sz w:val="18"/>
          <w:szCs w:val="18"/>
          <w:color w:val="auto"/>
        </w:rPr>
      </w:pPr>
    </w:p>
    <w:p>
      <w:pPr>
        <w:jc w:val="both"/>
        <w:ind w:left="680" w:right="59" w:hanging="311"/>
        <w:spacing w:after="0" w:line="24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3" w:lineRule="exact"/>
        <w:rPr>
          <w:rFonts w:ascii="Times New Roman" w:cs="Times New Roman" w:eastAsia="Times New Roman" w:hAnsi="Times New Roman"/>
          <w:sz w:val="18"/>
          <w:szCs w:val="18"/>
          <w:color w:val="auto"/>
        </w:rPr>
      </w:pPr>
    </w:p>
    <w:p>
      <w:pPr>
        <w:ind w:left="680" w:right="79" w:hanging="311"/>
        <w:spacing w:after="0" w:line="24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and false claims acts, which may extend to services reimbursable by any third-party payor, including private insurers;</w:t>
      </w:r>
    </w:p>
    <w:p>
      <w:pPr>
        <w:spacing w:after="0" w:line="1" w:lineRule="exact"/>
        <w:rPr>
          <w:rFonts w:ascii="Times New Roman" w:cs="Times New Roman" w:eastAsia="Times New Roman" w:hAnsi="Times New Roman"/>
          <w:sz w:val="18"/>
          <w:szCs w:val="18"/>
          <w:color w:val="auto"/>
        </w:rPr>
      </w:pPr>
    </w:p>
    <w:p>
      <w:pPr>
        <w:jc w:val="both"/>
        <w:ind w:left="680" w:right="59" w:hanging="311"/>
        <w:spacing w:after="0" w:line="24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2" w:lineRule="exact"/>
        <w:rPr>
          <w:rFonts w:ascii="Times New Roman" w:cs="Times New Roman" w:eastAsia="Times New Roman" w:hAnsi="Times New Roman"/>
          <w:sz w:val="18"/>
          <w:szCs w:val="18"/>
          <w:color w:val="auto"/>
        </w:rPr>
      </w:pPr>
    </w:p>
    <w:p>
      <w:pPr>
        <w:jc w:val="both"/>
        <w:ind w:left="680" w:right="59" w:hanging="311"/>
        <w:spacing w:after="0" w:line="25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ind w:left="680" w:hanging="31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impose reporting and other compliance-related requirements;</w:t>
      </w:r>
    </w:p>
    <w:p>
      <w:pPr>
        <w:spacing w:after="0" w:line="25" w:lineRule="exact"/>
        <w:rPr>
          <w:rFonts w:ascii="Times New Roman" w:cs="Times New Roman" w:eastAsia="Times New Roman" w:hAnsi="Times New Roman"/>
          <w:sz w:val="18"/>
          <w:szCs w:val="18"/>
          <w:color w:val="auto"/>
        </w:rPr>
      </w:pPr>
    </w:p>
    <w:p>
      <w:pPr>
        <w:jc w:val="both"/>
        <w:ind w:left="680" w:right="79" w:hanging="311"/>
        <w:spacing w:after="0" w:line="24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p>
      <w:pPr>
        <w:spacing w:after="0" w:line="2" w:lineRule="exact"/>
        <w:rPr>
          <w:rFonts w:ascii="Times New Roman" w:cs="Times New Roman" w:eastAsia="Times New Roman" w:hAnsi="Times New Roman"/>
          <w:sz w:val="18"/>
          <w:szCs w:val="18"/>
          <w:color w:val="auto"/>
        </w:rPr>
      </w:pPr>
    </w:p>
    <w:p>
      <w:pPr>
        <w:ind w:left="680" w:hanging="31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w:t>
      </w:r>
    </w:p>
    <w:p>
      <w:pPr>
        <w:spacing w:after="0" w:line="200"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81"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the way that the FDA regulates COVID-19 tests could result in the delay or additional expense in XpresCheck offering tests.</w:t>
      </w:r>
    </w:p>
    <w:p>
      <w:pPr>
        <w:spacing w:after="0" w:line="160"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183"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professional practice partner’s failure to accurately bill for testing services, or to comply with applicable laws relating to government healthcare programs, could have a material adverse effect on our business.</w:t>
      </w:r>
    </w:p>
    <w:p>
      <w:pPr>
        <w:spacing w:after="0" w:line="160"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212529"/>
        </w:rPr>
        <w:t xml:space="preserve">Billing for diagnostic testing and vaccination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if </w:t>
      </w:r>
      <w:r>
        <w:rPr>
          <w:rFonts w:ascii="Times New Roman" w:cs="Times New Roman" w:eastAsia="Times New Roman" w:hAnsi="Times New Roman"/>
          <w:sz w:val="18"/>
          <w:szCs w:val="18"/>
          <w:color w:val="000000"/>
        </w:rPr>
        <w:t>we begin performing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point of care COVID-19 or other medical testing at our XpresCheck™ Wellness Centers</w:t>
      </w:r>
      <w:r>
        <w:rPr>
          <w:rFonts w:ascii="Times New Roman" w:cs="Times New Roman" w:eastAsia="Times New Roman" w:hAnsi="Times New Roman"/>
          <w:sz w:val="18"/>
          <w:szCs w:val="18"/>
          <w:color w:val="212529"/>
        </w:rPr>
        <w:t>. We expect that the majority of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billing and related operations will be provided by a third party. Failure to accurately bill for our services could have a material adverse effect on our business. In addition, failure to comply with applicable laws relating to billing government healthcare programs may result in various consequences, including the return of overpayments, civil and criminal fines and penalties, exclusion from participation in government healthcare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w:t>
      </w:r>
      <w:r>
        <w:rPr>
          <w:rFonts w:ascii="Times New Roman" w:cs="Times New Roman" w:eastAsia="Times New Roman" w:hAnsi="Times New Roman"/>
          <w:sz w:val="18"/>
          <w:szCs w:val="18"/>
          <w:i w:val="1"/>
          <w:iCs w:val="1"/>
          <w:color w:val="212529"/>
        </w:rPr>
        <w:t>qui</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 xml:space="preserve">tam </w:t>
      </w:r>
      <w:r>
        <w:rPr>
          <w:rFonts w:ascii="Times New Roman" w:cs="Times New Roman" w:eastAsia="Times New Roman" w:hAnsi="Times New Roman"/>
          <w:sz w:val="18"/>
          <w:szCs w:val="18"/>
          <w:color w:val="212529"/>
        </w:rPr>
        <w:t>provisions of the federal False Claims Act and similar provisions in certain state false claims acts allow private</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individuals to bring lawsuits against healthcare companies on behalf of the government.</w:t>
      </w:r>
    </w:p>
    <w:p>
      <w:pPr>
        <w:spacing w:after="0" w:line="190" w:lineRule="exact"/>
        <w:rPr>
          <w:sz w:val="20"/>
          <w:szCs w:val="20"/>
          <w:color w:val="auto"/>
        </w:rPr>
      </w:pPr>
    </w:p>
    <w:p>
      <w:pPr>
        <w:jc w:val="both"/>
        <w:ind w:left="40" w:right="79"/>
        <w:spacing w:after="0" w:line="261" w:lineRule="auto"/>
        <w:rPr>
          <w:sz w:val="20"/>
          <w:szCs w:val="20"/>
          <w:color w:val="auto"/>
        </w:rPr>
      </w:pPr>
      <w:r>
        <w:rPr>
          <w:rFonts w:ascii="Times New Roman" w:cs="Times New Roman" w:eastAsia="Times New Roman" w:hAnsi="Times New Roman"/>
          <w:sz w:val="18"/>
          <w:szCs w:val="18"/>
          <w:color w:val="auto"/>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at which services will be reimbursed, and the government has the remedy of excluding a non-compliant provider from participation in the Medicare and Medicaid programs. We expect that federal and state governments continue aggressive enforcement efforts against perceived healthcare fraud. Legislative provisions relating to healthcare fraud and abuse provide government enforcement personnel with substantial funding, powers, penalties and remedies to pursue suspected cases of fraud and abuse.</w:t>
      </w:r>
    </w:p>
    <w:p>
      <w:pPr>
        <w:spacing w:after="0" w:line="17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212529"/>
        </w:rPr>
        <w:t>We depend on third parties to provide services critical to our XpresCheck diagnostic testing and vaccination business, and we depend on them to comply with applicable laws and regulations. Additionally, any breaches of the information technology systems of third parties could have a material adverse effect on our operations.</w:t>
      </w:r>
    </w:p>
    <w:p>
      <w:pPr>
        <w:spacing w:after="0" w:line="17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We depend on third parties to provide services critical to our XpresCheck diagnostic testing and vaccination business, including supplies, ground and air transport of clinical and diagnostic testing supplies and specimens, vaccinations,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83" w:lineRule="exact"/>
        <w:rPr>
          <w:sz w:val="20"/>
          <w:szCs w:val="20"/>
          <w:color w:val="auto"/>
        </w:rPr>
      </w:pPr>
    </w:p>
    <w:p>
      <w:pPr>
        <w:jc w:val="both"/>
        <w:ind w:left="40" w:right="7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reputation may be materially impaired if we do not comply with privacy laws or information security policies.</w:t>
      </w:r>
    </w:p>
    <w:p>
      <w:pPr>
        <w:spacing w:after="0" w:line="160"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8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We will be subject to laws and regulations regarding protecting the security and privacy of certain healthcare and personal information, including: (a) the federal Health Insurance Portability and Accountability Act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7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7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jc w:val="both"/>
        <w:ind w:left="40" w:right="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complex and overlapping laws protecting the privacy and security of health information and personal data.</w:t>
      </w:r>
    </w:p>
    <w:p>
      <w:pPr>
        <w:spacing w:after="0" w:line="16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There are a number of state, federal and international laws protecting the privacy and security of health information and personal data. Under the administrative simplification provisions of HIPAA, the U.S. Department of Health and Human Services has issued regulations which establish uniform standards governing the conduct of certain electronic healthcare transactions and protecting the privacy and security of personal health information (PHI) used or disclosed by healthcare providers and other covered entities.</w:t>
      </w:r>
    </w:p>
    <w:p>
      <w:pPr>
        <w:spacing w:after="0" w:line="18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privacy regulations regulate the use and disclosure of PHI by healthcare providers engaging in certain electronic transactions or “standard transactions.” They also set forth certain rights that an individual has with respect to his or her PHI maintained by a covered healthcare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data security laws.</w:t>
      </w:r>
    </w:p>
    <w:p>
      <w:pPr>
        <w:spacing w:after="0" w:line="18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8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HIPAA, HITECH and state privacy restrictions may have a negative impact on our operations. Noncompliance could subject us to criminal penalties, civil sanctions and significant monetary penalties as well as reputational damage.</w:t>
      </w:r>
    </w:p>
    <w:p>
      <w:pPr>
        <w:spacing w:after="0" w:line="18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9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both"/>
        <w:ind w:left="40" w:right="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capital expenditures in XpresCheck™ Wellness Centers may not generate a positive return and we will incur significant additional costs.</w:t>
      </w:r>
    </w:p>
    <w:p>
      <w:pPr>
        <w:spacing w:after="0" w:line="160"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Our capital expenditures may not generate a positive return. Significant capital expenditures will be required to construct new XpresCheck™ Wellness Centers or renovate our existing spa facilities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or other medical testing could be limited, and our competitive position could be harmed.</w:t>
      </w:r>
    </w:p>
    <w:p>
      <w:pPr>
        <w:spacing w:after="0" w:line="187"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color w:val="212529"/>
        </w:rPr>
        <w:t>we expect to incur significant additional costs as we expand the ability of our professional practice partner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perform on-site COVID-19 and other medical testing in XpresCheck™ Wellness Centers. The COVID-19 outbreak could disrupt our future supply chain, including by impacting our ability to secure COVID-19 or other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tbl>
      <w:tblPr>
        <w:tblLayout w:type="fixed"/>
        <w:tblInd w:w="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06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1"/>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92"/>
        </w:trPr>
        <w:tc>
          <w:tcPr>
            <w:tcW w:w="860" w:type="dxa"/>
            <w:vAlign w:val="bottom"/>
          </w:tcPr>
          <w:p>
            <w:pPr>
              <w:spacing w:after="0"/>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4.1</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Warrant (incorporated by reference from Exhibit 4.1 to our Current Report on Form 8-K filed with</w:t>
              </w:r>
            </w:hyperlink>
          </w:p>
        </w:tc>
      </w:tr>
      <w:tr>
        <w:trPr>
          <w:trHeight w:val="193"/>
        </w:trPr>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40" w:type="dxa"/>
            <w:vAlign w:val="bottom"/>
            <w:gridSpan w:val="8"/>
          </w:tcPr>
          <w:p>
            <w:pPr>
              <w:spacing w:after="0" w:line="193"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the SEC on August 28, 2020)</w:t>
              </w:r>
            </w:hyperlink>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860" w:type="dxa"/>
            <w:vAlign w:val="bottom"/>
          </w:tcPr>
          <w:p>
            <w:pPr>
              <w:spacing w:after="0"/>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4.2</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of Pre-Funded Warrant (incorporated by reference from Exhibit 4.2 to our Current Report on Form 8-K</w:t>
              </w:r>
            </w:hyperlink>
          </w:p>
        </w:tc>
      </w:tr>
      <w:tr>
        <w:trPr>
          <w:trHeight w:val="193"/>
        </w:trPr>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20" w:type="dxa"/>
            <w:vAlign w:val="bottom"/>
            <w:tcBorders>
              <w:bottom w:val="single" w:sz="8" w:color="0000EE"/>
            </w:tcBorders>
            <w:gridSpan w:val="3"/>
          </w:tcPr>
          <w:p>
            <w:pPr>
              <w:spacing w:after="0" w:line="193" w:lineRule="exact"/>
              <w:rPr>
                <w:rFonts w:ascii="Times New Roman" w:cs="Times New Roman" w:eastAsia="Times New Roman" w:hAnsi="Times New Roman"/>
                <w:sz w:val="18"/>
                <w:szCs w:val="18"/>
                <w:color w:val="0000EE"/>
                <w:w w:val="97"/>
              </w:rPr>
            </w:pPr>
            <w:hyperlink r:id="rId65">
              <w:r>
                <w:rPr>
                  <w:rFonts w:ascii="Times New Roman" w:cs="Times New Roman" w:eastAsia="Times New Roman" w:hAnsi="Times New Roman"/>
                  <w:sz w:val="18"/>
                  <w:szCs w:val="18"/>
                  <w:color w:val="0000EE"/>
                  <w:w w:val="97"/>
                </w:rPr>
                <w:t>filed with the SEC on August 28, 2020)</w:t>
              </w:r>
            </w:hyperlink>
          </w:p>
        </w:tc>
        <w:tc>
          <w:tcPr>
            <w:tcW w:w="5020" w:type="dxa"/>
            <w:vAlign w:val="bottom"/>
            <w:gridSpan w:val="5"/>
          </w:tcPr>
          <w:p>
            <w:pPr>
              <w:spacing w:after="0"/>
              <w:rPr>
                <w:sz w:val="16"/>
                <w:szCs w:val="16"/>
                <w:color w:val="auto"/>
              </w:rPr>
            </w:pPr>
          </w:p>
        </w:tc>
      </w:tr>
      <w:tr>
        <w:trPr>
          <w:trHeight w:val="299"/>
        </w:trPr>
        <w:tc>
          <w:tcPr>
            <w:tcW w:w="860" w:type="dxa"/>
            <w:vAlign w:val="bottom"/>
          </w:tcPr>
          <w:p>
            <w:pPr>
              <w:spacing w:after="0"/>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4.3</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Form of Placement Agent Warrant (incorporated by reference to Exhibit 4.3 to our Current Report on Form 8-</w:t>
              </w:r>
            </w:hyperlink>
          </w:p>
        </w:tc>
      </w:tr>
      <w:tr>
        <w:trPr>
          <w:trHeight w:val="193"/>
        </w:trPr>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40" w:type="dxa"/>
            <w:vAlign w:val="bottom"/>
            <w:gridSpan w:val="8"/>
          </w:tcPr>
          <w:p>
            <w:pPr>
              <w:spacing w:after="0" w:line="193"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K filed with the SEC on August 18, 2020).</w:t>
              </w:r>
            </w:hyperlink>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860" w:type="dxa"/>
            <w:vAlign w:val="bottom"/>
          </w:tcPr>
          <w:p>
            <w:pPr>
              <w:spacing w:after="0"/>
              <w:rPr>
                <w:rFonts w:ascii="Times New Roman" w:cs="Times New Roman" w:eastAsia="Times New Roman" w:hAnsi="Times New Roman"/>
                <w:sz w:val="18"/>
                <w:szCs w:val="18"/>
                <w:u w:val="single" w:color="auto"/>
                <w:color w:val="0000EE"/>
              </w:rPr>
            </w:pPr>
            <w:hyperlink r:id="rId67">
              <w:r>
                <w:rPr>
                  <w:rFonts w:ascii="Times New Roman" w:cs="Times New Roman" w:eastAsia="Times New Roman" w:hAnsi="Times New Roman"/>
                  <w:sz w:val="18"/>
                  <w:szCs w:val="18"/>
                  <w:u w:val="single" w:color="auto"/>
                  <w:color w:val="0000EE"/>
                </w:rPr>
                <w:t>10.1</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Securities Purchase Agreement, date as of August 25, 2020, by and between the Company and the purchasers</w:t>
              </w:r>
            </w:hyperlink>
          </w:p>
        </w:tc>
      </w:tr>
      <w:tr>
        <w:trPr>
          <w:trHeight w:val="193"/>
        </w:trPr>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40" w:type="dxa"/>
            <w:vAlign w:val="bottom"/>
            <w:gridSpan w:val="8"/>
          </w:tcPr>
          <w:p>
            <w:pPr>
              <w:spacing w:after="0" w:line="193"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party thereto (incorporated by reference to Exhibit 10.1 to the Company’s Current Report on Form 8-K filed</w:t>
              </w:r>
            </w:hyperlink>
          </w:p>
        </w:tc>
      </w:tr>
      <w:tr>
        <w:trPr>
          <w:trHeight w:val="193"/>
        </w:trPr>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tcBorders>
              <w:top w:val="single" w:sz="8" w:color="0000EE"/>
            </w:tcBorders>
            <w:gridSpan w:val="7"/>
          </w:tcPr>
          <w:p>
            <w:pPr>
              <w:spacing w:after="0" w:line="193"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with the SEC on August 18, 2020)</w:t>
              </w:r>
            </w:hyperlink>
          </w:p>
        </w:tc>
        <w:tc>
          <w:tcPr>
            <w:tcW w:w="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860" w:type="dxa"/>
            <w:vAlign w:val="bottom"/>
          </w:tcPr>
          <w:p>
            <w:pPr>
              <w:spacing w:after="0"/>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10.2</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XpresTest, Inc. 2020 Equity Incentive Plan (incorporated by reference to Exhibit 10.1 to our Current Report</w:t>
              </w:r>
            </w:hyperlink>
          </w:p>
        </w:tc>
      </w:tr>
      <w:tr>
        <w:trPr>
          <w:trHeight w:val="193"/>
        </w:trPr>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7"/>
              </w:rPr>
            </w:pPr>
            <w:hyperlink r:id="rId68">
              <w:r>
                <w:rPr>
                  <w:rFonts w:ascii="Times New Roman" w:cs="Times New Roman" w:eastAsia="Times New Roman" w:hAnsi="Times New Roman"/>
                  <w:sz w:val="18"/>
                  <w:szCs w:val="18"/>
                  <w:color w:val="0000EE"/>
                  <w:w w:val="97"/>
                </w:rPr>
                <w:t>filed with the SEC on September 28, 2020)</w:t>
              </w:r>
            </w:hyperlink>
          </w:p>
        </w:tc>
        <w:tc>
          <w:tcPr>
            <w:tcW w:w="4780" w:type="dxa"/>
            <w:vAlign w:val="bottom"/>
            <w:gridSpan w:val="3"/>
          </w:tcPr>
          <w:p>
            <w:pPr>
              <w:spacing w:after="0"/>
              <w:rPr>
                <w:sz w:val="16"/>
                <w:szCs w:val="16"/>
                <w:color w:val="auto"/>
              </w:rPr>
            </w:pPr>
          </w:p>
        </w:tc>
      </w:tr>
      <w:tr>
        <w:trPr>
          <w:trHeight w:val="619"/>
        </w:trPr>
        <w:tc>
          <w:tcPr>
            <w:tcW w:w="86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31*</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8"/>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Certification of Principal Executive Officer and Principal Financial Officer pursuant to Exchange Act, Rules</w:t>
              </w:r>
            </w:hyperlink>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tcBorders>
              <w:top w:val="single" w:sz="8" w:color="0000EE"/>
            </w:tcBorders>
            <w:gridSpan w:val="7"/>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13a – 14(a) and 15d – 14(a), as adopted pursuant to Section 302 of the Sarbanes-Oxley Act of 2002</w:t>
              </w:r>
            </w:hyperlink>
          </w:p>
        </w:tc>
        <w:tc>
          <w:tcPr>
            <w:tcW w:w="20" w:type="dxa"/>
            <w:vAlign w:val="bottom"/>
          </w:tcPr>
          <w:p>
            <w:pPr>
              <w:spacing w:after="0"/>
              <w:rPr>
                <w:sz w:val="20"/>
                <w:szCs w:val="20"/>
                <w:color w:val="auto"/>
              </w:rPr>
            </w:pPr>
          </w:p>
        </w:tc>
      </w:tr>
      <w:tr>
        <w:trPr>
          <w:trHeight w:val="279"/>
        </w:trPr>
        <w:tc>
          <w:tcPr>
            <w:tcW w:w="86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32**</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Certifications of Principal Executive Officer and Principal Financial Officer Pursuant to 18 U.S.C.</w:t>
              </w:r>
            </w:hyperlink>
          </w:p>
        </w:tc>
      </w:tr>
      <w:tr>
        <w:trPr>
          <w:trHeight w:val="193"/>
        </w:trPr>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2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Section 1350, as adopted pursuant to Section 906 of the Sarbanes-Oxley Act of 2002</w:t>
              </w:r>
            </w:hyperlink>
          </w:p>
        </w:tc>
        <w:tc>
          <w:tcPr>
            <w:tcW w:w="1820" w:type="dxa"/>
            <w:vAlign w:val="bottom"/>
            <w:gridSpan w:val="2"/>
          </w:tcPr>
          <w:p>
            <w:pPr>
              <w:spacing w:after="0"/>
              <w:rPr>
                <w:sz w:val="16"/>
                <w:szCs w:val="16"/>
                <w:color w:val="auto"/>
              </w:rPr>
            </w:pPr>
          </w:p>
        </w:tc>
      </w:tr>
      <w:tr>
        <w:trPr>
          <w:trHeight w:val="34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1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1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1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1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1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143510</wp:posOffset>
            </wp:positionV>
            <wp:extent cx="1419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00" w:hanging="1051"/>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Filed herewith.</w:t>
      </w:r>
    </w:p>
    <w:p>
      <w:pPr>
        <w:spacing w:after="0" w:line="27" w:lineRule="exact"/>
        <w:rPr>
          <w:sz w:val="20"/>
          <w:szCs w:val="20"/>
          <w:color w:val="auto"/>
        </w:rPr>
      </w:pPr>
    </w:p>
    <w:p>
      <w:pPr>
        <w:ind w:left="1100" w:hanging="1051"/>
        <w:spacing w:after="0"/>
        <w:tabs>
          <w:tab w:leader="none" w:pos="11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Furnished herein.</w:t>
      </w:r>
    </w:p>
    <w:p>
      <w:pPr>
        <w:spacing w:after="0" w:line="6" w:lineRule="exact"/>
        <w:rPr>
          <w:sz w:val="20"/>
          <w:szCs w:val="20"/>
          <w:color w:val="auto"/>
        </w:rPr>
      </w:pPr>
    </w:p>
    <w:p>
      <w:pPr>
        <w:ind w:left="1100" w:hanging="1051"/>
        <w:spacing w:after="0"/>
        <w:tabs>
          <w:tab w:leader="none" w:pos="11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contract or compensatory plan or arrangement.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2" w:lineRule="exact"/>
        <w:rPr>
          <w:rFonts w:ascii="Times New Roman" w:cs="Times New Roman" w:eastAsia="Times New Roman" w:hAnsi="Times New Roman"/>
          <w:sz w:val="18"/>
          <w:szCs w:val="18"/>
          <w:b w:val="1"/>
          <w:bCs w:val="1"/>
          <w:color w:val="auto"/>
        </w:rPr>
      </w:pPr>
    </w:p>
    <w:p>
      <w:pPr>
        <w:ind w:left="4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353695</wp:posOffset>
            </wp:positionV>
            <wp:extent cx="56635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left="40" w:right="7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119" w:right="1440" w:bottom="1440" w:gutter="0" w:footer="0" w:header="0"/>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22860</wp:posOffset>
            </wp:positionV>
            <wp:extent cx="2535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10795</wp:posOffset>
            </wp:positionV>
            <wp:extent cx="255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552700" cy="825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940" w:space="720"/>
            <w:col w:w="4359"/>
          </w:cols>
          <w:pgMar w:left="1440" w:top="119" w:right="1440" w:bottom="1440" w:gutter="0" w:footer="0" w:header="0"/>
          <w:type w:val="continuous"/>
        </w:sect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Douglas Satzman</w:t>
      </w:r>
    </w:p>
    <w:p>
      <w:pPr>
        <w:spacing w:after="0" w:line="19"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7"/>
          <w:szCs w:val="17"/>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619125</wp:posOffset>
            </wp:positionV>
            <wp:extent cx="56635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9" w:lineRule="exact"/>
        <w:rPr>
          <w:sz w:val="20"/>
          <w:szCs w:val="20"/>
          <w:color w:val="auto"/>
        </w:rPr>
      </w:pPr>
    </w:p>
    <w:p>
      <w:pPr>
        <w:jc w:val="center"/>
        <w:ind w:left="1000" w:right="2400"/>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SECTION 302 OF THE SARBANES-OXLEY ACT OF 2002</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Satzman, certify that:</w:t>
      </w:r>
    </w:p>
    <w:p>
      <w:pPr>
        <w:spacing w:after="0" w:line="219" w:lineRule="exact"/>
        <w:rPr>
          <w:sz w:val="20"/>
          <w:szCs w:val="20"/>
          <w:color w:val="auto"/>
        </w:rPr>
      </w:pPr>
    </w:p>
    <w:p>
      <w:pPr>
        <w:ind w:left="180" w:hanging="173"/>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XpresSpa Group, Inc.;</w:t>
      </w:r>
    </w:p>
    <w:p>
      <w:pPr>
        <w:spacing w:after="0" w:line="218" w:lineRule="exact"/>
        <w:rPr>
          <w:rFonts w:ascii="Times New Roman" w:cs="Times New Roman" w:eastAsia="Times New Roman" w:hAnsi="Times New Roman"/>
          <w:sz w:val="18"/>
          <w:szCs w:val="18"/>
          <w:color w:val="auto"/>
        </w:rPr>
      </w:pPr>
    </w:p>
    <w:p>
      <w:pPr>
        <w:jc w:val="both"/>
        <w:ind w:firstLine="7"/>
        <w:spacing w:after="0" w:line="261"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firstLine="7"/>
        <w:spacing w:after="0" w:line="276" w:lineRule="auto"/>
        <w:tabs>
          <w:tab w:leader="none" w:pos="1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7"/>
        <w:spacing w:after="0" w:line="261" w:lineRule="auto"/>
        <w:tabs>
          <w:tab w:leader="none" w:pos="1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jc w:val="both"/>
        <w:ind w:firstLine="7"/>
        <w:spacing w:after="0" w:line="261" w:lineRule="auto"/>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7"/>
        <w:spacing w:after="0" w:line="261" w:lineRule="auto"/>
        <w:tabs>
          <w:tab w:leader="none" w:pos="1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7"/>
        <w:spacing w:after="0" w:line="276" w:lineRule="auto"/>
        <w:tabs>
          <w:tab w:leader="none" w:pos="1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7"/>
        <w:spacing w:after="0" w:line="261" w:lineRule="auto"/>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firstLine="7"/>
        <w:spacing w:after="0" w:line="276" w:lineRule="auto"/>
        <w:tabs>
          <w:tab w:leader="none" w:pos="1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7"/>
        <w:spacing w:after="0" w:line="276" w:lineRule="auto"/>
        <w:tabs>
          <w:tab w:leader="none" w:pos="1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firstLine="7"/>
        <w:spacing w:after="0" w:line="276" w:lineRule="auto"/>
        <w:tabs>
          <w:tab w:leader="none" w:pos="1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32" w:lineRule="exact"/>
        <w:rPr>
          <w:sz w:val="20"/>
          <w:szCs w:val="20"/>
          <w:color w:val="auto"/>
        </w:rPr>
      </w:pPr>
    </w:p>
    <w:p>
      <w:pPr>
        <w:ind w:left="3920"/>
        <w:spacing w:after="0"/>
        <w:tabs>
          <w:tab w:leader="none" w:pos="42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15240</wp:posOffset>
            </wp:positionV>
            <wp:extent cx="31445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144520" cy="8255"/>
                    </a:xfrm>
                    <a:prstGeom prst="rect">
                      <a:avLst/>
                    </a:prstGeom>
                    <a:noFill/>
                  </pic:spPr>
                </pic:pic>
              </a:graphicData>
            </a:graphic>
          </wp:anchor>
        </w:drawing>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628904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289040"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9" w:lineRule="exact"/>
        <w:rPr>
          <w:sz w:val="20"/>
          <w:szCs w:val="20"/>
          <w:color w:val="auto"/>
        </w:rPr>
      </w:pPr>
    </w:p>
    <w:p>
      <w:pPr>
        <w:jc w:val="center"/>
        <w:ind w:left="1020" w:right="880"/>
        <w:spacing w:after="0" w:line="278" w:lineRule="auto"/>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 SECTION 906 OF THE SARBANES-OXLEY ACT OF 2002</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16, 2020</w:t>
      </w:r>
    </w:p>
    <w:p>
      <w:pPr>
        <w:spacing w:after="0" w:line="219" w:lineRule="exact"/>
        <w:rPr>
          <w:sz w:val="20"/>
          <w:szCs w:val="20"/>
          <w:color w:val="auto"/>
        </w:rPr>
      </w:pPr>
    </w:p>
    <w:p>
      <w:pPr>
        <w:ind w:left="3920"/>
        <w:spacing w:after="0"/>
        <w:tabs>
          <w:tab w:leader="none" w:pos="42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15240</wp:posOffset>
            </wp:positionV>
            <wp:extent cx="31445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144520" cy="8255"/>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Douglas Satzman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628904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89040" cy="25400"/>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upperLetter"/>
      <w:start w:val="29"/>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64" Type="http://schemas.openxmlformats.org/officeDocument/2006/relationships/hyperlink" Target="https://www.sec.gov/Archives/edgar/data/1410428/000110465920074007/tm2022774d1_ex4-1.htm" TargetMode="External"/><Relationship Id="rId65" Type="http://schemas.openxmlformats.org/officeDocument/2006/relationships/hyperlink" Target="https://www.sec.gov/Archives/edgar/data/1410428/000110465920074007/tm2022774d1_ex4-2.htm" TargetMode="External"/><Relationship Id="rId66" Type="http://schemas.openxmlformats.org/officeDocument/2006/relationships/hyperlink" Target="https://www.sec.gov/Archives/edgar/data/1410428/000110465920048297/tm2016230-1_ex41.htm" TargetMode="External"/><Relationship Id="rId67" Type="http://schemas.openxmlformats.org/officeDocument/2006/relationships/hyperlink" Target="https://www.sec.gov/Archives/edgar/data/1410428/000110465920043879/tm2015133d1_ex10-1.htm" TargetMode="External"/><Relationship Id="rId68" Type="http://schemas.openxmlformats.org/officeDocument/2006/relationships/hyperlink" Target="https://www.sec.gov/Archives/edgar/data/1410428/000110465920057642/tm2018713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2020-11-16T16:00:01Z</dcterms:created>
  <dcterms:modified xsi:type="dcterms:W3CDTF">2020-11-16T16:00:01Z</dcterms:modified>
</cp:coreProperties>
</file>