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98420U109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3" w:lineRule="exact"/>
        <w:rPr>
          <w:sz w:val="24"/>
          <w:szCs w:val="24"/>
          <w:color w:val="auto"/>
        </w:rPr>
      </w:pPr>
    </w:p>
    <w:p>
      <w:pPr>
        <w:ind w:left="660" w:hanging="652"/>
        <w:spacing w:after="0" w:line="207" w:lineRule="exact"/>
        <w:tabs>
          <w:tab w:leader="none" w:pos="6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57"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98420U109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20" w:right="8380" w:hanging="588"/>
        <w:spacing w:after="0" w:line="51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Mitchell P. Kopin</w:t>
      </w:r>
    </w:p>
    <w:p>
      <w:pPr>
        <w:spacing w:after="0" w:line="1" w:lineRule="exact"/>
        <w:rPr>
          <w:rFonts w:ascii="Arial" w:cs="Arial" w:eastAsia="Arial" w:hAnsi="Arial"/>
          <w:sz w:val="18"/>
          <w:szCs w:val="18"/>
          <w:color w:val="auto"/>
        </w:rPr>
      </w:pPr>
    </w:p>
    <w:p>
      <w:pPr>
        <w:ind w:left="920" w:hanging="58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80" w:hanging="254"/>
        <w:spacing w:after="0" w:line="207" w:lineRule="exact"/>
        <w:tabs>
          <w:tab w:leader="none" w:pos="11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54"/>
        <w:spacing w:after="0" w:line="207" w:lineRule="exact"/>
        <w:tabs>
          <w:tab w:leader="none" w:pos="11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920" w:hanging="58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20" w:right="7860" w:hanging="588"/>
        <w:spacing w:after="0" w:line="624"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-1746885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3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0</w:t>
            </w:r>
          </w:p>
        </w:tc>
      </w:tr>
      <w:tr>
        <w:trPr>
          <w:trHeight w:val="223"/>
        </w:trPr>
        <w:tc>
          <w:tcPr>
            <w:tcW w:w="1840" w:type="dxa"/>
            <w:vAlign w:val="bottom"/>
          </w:tcPr>
          <w:p>
            <w:pPr>
              <w:jc w:val="center"/>
              <w:ind w:right="37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r>
      <w:tr>
        <w:trPr>
          <w:trHeight w:val="215"/>
        </w:trPr>
        <w:tc>
          <w:tcPr>
            <w:tcW w:w="1840" w:type="dxa"/>
            <w:vAlign w:val="bottom"/>
          </w:tcPr>
          <w:p>
            <w:pPr>
              <w:jc w:val="center"/>
              <w:ind w:right="350"/>
              <w:spacing w:after="0"/>
              <w:rPr>
                <w:sz w:val="20"/>
                <w:szCs w:val="20"/>
                <w:color w:val="auto"/>
              </w:rPr>
            </w:pPr>
            <w:r>
              <w:rPr>
                <w:rFonts w:ascii="Arial" w:cs="Arial" w:eastAsia="Arial" w:hAnsi="Arial"/>
                <w:sz w:val="18"/>
                <w:szCs w:val="18"/>
                <w:color w:val="auto"/>
                <w:w w:val="91"/>
              </w:rPr>
              <w:t>Shares Beneficially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23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2,145,130</w:t>
            </w:r>
          </w:p>
        </w:tc>
      </w:tr>
      <w:tr>
        <w:trPr>
          <w:trHeight w:val="224"/>
        </w:trPr>
        <w:tc>
          <w:tcPr>
            <w:tcW w:w="1840" w:type="dxa"/>
            <w:vAlign w:val="bottom"/>
          </w:tcPr>
          <w:p>
            <w:pPr>
              <w:jc w:val="center"/>
              <w:ind w:right="350"/>
              <w:spacing w:after="0"/>
              <w:rPr>
                <w:sz w:val="20"/>
                <w:szCs w:val="20"/>
                <w:color w:val="auto"/>
              </w:rPr>
            </w:pPr>
            <w:r>
              <w:rPr>
                <w:rFonts w:ascii="Arial" w:cs="Arial" w:eastAsia="Arial" w:hAnsi="Arial"/>
                <w:sz w:val="18"/>
                <w:szCs w:val="18"/>
                <w:color w:val="auto"/>
                <w:w w:val="91"/>
              </w:rPr>
              <w:t>Owned by Each</w:t>
            </w: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r>
      <w:tr>
        <w:trPr>
          <w:trHeight w:val="188"/>
        </w:trPr>
        <w:tc>
          <w:tcPr>
            <w:tcW w:w="18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2"/>
              </w:rPr>
              <w:t>Reporting</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7.</w:t>
            </w:r>
          </w:p>
        </w:tc>
        <w:tc>
          <w:tcPr>
            <w:tcW w:w="236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6580" w:type="dxa"/>
            <w:vAlign w:val="bottom"/>
          </w:tcPr>
          <w:p>
            <w:pPr>
              <w:ind w:left="420"/>
              <w:spacing w:after="0" w:line="189" w:lineRule="exact"/>
              <w:rPr>
                <w:sz w:val="20"/>
                <w:szCs w:val="20"/>
                <w:color w:val="auto"/>
              </w:rPr>
            </w:pPr>
            <w:r>
              <w:rPr>
                <w:rFonts w:ascii="Arial" w:cs="Arial" w:eastAsia="Arial" w:hAnsi="Arial"/>
                <w:sz w:val="18"/>
                <w:szCs w:val="18"/>
                <w:color w:val="auto"/>
              </w:rPr>
              <w:t>0</w:t>
            </w:r>
          </w:p>
        </w:tc>
      </w:tr>
      <w:tr>
        <w:trPr>
          <w:trHeight w:val="251"/>
        </w:trPr>
        <w:tc>
          <w:tcPr>
            <w:tcW w:w="1840" w:type="dxa"/>
            <w:vAlign w:val="bottom"/>
          </w:tcPr>
          <w:p>
            <w:pPr>
              <w:jc w:val="center"/>
              <w:ind w:right="370"/>
              <w:spacing w:after="0"/>
              <w:rPr>
                <w:sz w:val="20"/>
                <w:szCs w:val="20"/>
                <w:color w:val="auto"/>
              </w:rPr>
            </w:pPr>
            <w:r>
              <w:rPr>
                <w:rFonts w:ascii="Arial" w:cs="Arial" w:eastAsia="Arial" w:hAnsi="Arial"/>
                <w:sz w:val="18"/>
                <w:szCs w:val="18"/>
                <w:color w:val="auto"/>
                <w:w w:val="91"/>
              </w:rPr>
              <w:t>Person With:</w:t>
            </w:r>
          </w:p>
        </w:tc>
        <w:tc>
          <w:tcPr>
            <w:tcW w:w="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6580" w:type="dxa"/>
            <w:vAlign w:val="bottom"/>
            <w:tcBorders>
              <w:bottom w:val="single" w:sz="8" w:color="auto"/>
            </w:tcBorders>
          </w:tcPr>
          <w:p>
            <w:pPr>
              <w:spacing w:after="0"/>
              <w:rPr>
                <w:sz w:val="21"/>
                <w:szCs w:val="21"/>
                <w:color w:val="auto"/>
              </w:rPr>
            </w:pPr>
          </w:p>
        </w:tc>
      </w:tr>
      <w:tr>
        <w:trPr>
          <w:trHeight w:val="230"/>
        </w:trPr>
        <w:tc>
          <w:tcPr>
            <w:tcW w:w="1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23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2,145,130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920" w:right="5680" w:hanging="588"/>
        <w:spacing w:after="0" w:line="49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2,145,130 (see Item 4)</w:t>
      </w:r>
    </w:p>
    <w:p>
      <w:pPr>
        <w:spacing w:after="0" w:line="1" w:lineRule="exact"/>
        <w:rPr>
          <w:sz w:val="20"/>
          <w:szCs w:val="20"/>
          <w:color w:val="auto"/>
        </w:rPr>
      </w:pPr>
    </w:p>
    <w:p>
      <w:pPr>
        <w:ind w:left="340"/>
        <w:spacing w:after="0" w:line="196" w:lineRule="exact"/>
        <w:tabs>
          <w:tab w:leader="none" w:pos="900" w:val="left"/>
          <w:tab w:leader="none" w:pos="744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right="6700" w:hanging="588"/>
        <w:spacing w:after="0" w:line="516"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 (see Item 4)</w:t>
      </w:r>
    </w:p>
    <w:p>
      <w:pPr>
        <w:spacing w:after="0" w:line="1" w:lineRule="exact"/>
        <w:rPr>
          <w:rFonts w:ascii="Arial" w:cs="Arial" w:eastAsia="Arial" w:hAnsi="Arial"/>
          <w:sz w:val="18"/>
          <w:szCs w:val="18"/>
          <w:color w:val="auto"/>
        </w:rPr>
      </w:pPr>
    </w:p>
    <w:p>
      <w:pPr>
        <w:ind w:left="920" w:right="7320" w:hanging="588"/>
        <w:spacing w:after="0" w:line="52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98420U109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20" w:right="8380" w:hanging="588"/>
        <w:spacing w:after="0" w:line="516"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Daniel B. Asher</w:t>
      </w:r>
    </w:p>
    <w:p>
      <w:pPr>
        <w:spacing w:after="0" w:line="1" w:lineRule="exact"/>
        <w:rPr>
          <w:rFonts w:ascii="Arial" w:cs="Arial" w:eastAsia="Arial" w:hAnsi="Arial"/>
          <w:sz w:val="18"/>
          <w:szCs w:val="18"/>
          <w:color w:val="auto"/>
        </w:rPr>
      </w:pPr>
    </w:p>
    <w:p>
      <w:pPr>
        <w:ind w:left="920" w:hanging="588"/>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80" w:hanging="254"/>
        <w:spacing w:after="0" w:line="207" w:lineRule="exact"/>
        <w:tabs>
          <w:tab w:leader="none" w:pos="11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54"/>
        <w:spacing w:after="0" w:line="207" w:lineRule="exact"/>
        <w:tabs>
          <w:tab w:leader="none" w:pos="11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920" w:hanging="588"/>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20" w:right="7860" w:hanging="588"/>
        <w:spacing w:after="0" w:line="624"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-1746885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3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0</w:t>
            </w:r>
          </w:p>
        </w:tc>
      </w:tr>
      <w:tr>
        <w:trPr>
          <w:trHeight w:val="223"/>
        </w:trPr>
        <w:tc>
          <w:tcPr>
            <w:tcW w:w="1840" w:type="dxa"/>
            <w:vAlign w:val="bottom"/>
          </w:tcPr>
          <w:p>
            <w:pPr>
              <w:jc w:val="center"/>
              <w:ind w:right="37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r>
      <w:tr>
        <w:trPr>
          <w:trHeight w:val="215"/>
        </w:trPr>
        <w:tc>
          <w:tcPr>
            <w:tcW w:w="1840" w:type="dxa"/>
            <w:vAlign w:val="bottom"/>
          </w:tcPr>
          <w:p>
            <w:pPr>
              <w:jc w:val="center"/>
              <w:ind w:right="350"/>
              <w:spacing w:after="0"/>
              <w:rPr>
                <w:sz w:val="20"/>
                <w:szCs w:val="20"/>
                <w:color w:val="auto"/>
              </w:rPr>
            </w:pPr>
            <w:r>
              <w:rPr>
                <w:rFonts w:ascii="Arial" w:cs="Arial" w:eastAsia="Arial" w:hAnsi="Arial"/>
                <w:sz w:val="18"/>
                <w:szCs w:val="18"/>
                <w:color w:val="auto"/>
                <w:w w:val="91"/>
              </w:rPr>
              <w:t>Shares Beneficially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23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2,145,130</w:t>
            </w:r>
          </w:p>
        </w:tc>
      </w:tr>
      <w:tr>
        <w:trPr>
          <w:trHeight w:val="224"/>
        </w:trPr>
        <w:tc>
          <w:tcPr>
            <w:tcW w:w="1840" w:type="dxa"/>
            <w:vAlign w:val="bottom"/>
          </w:tcPr>
          <w:p>
            <w:pPr>
              <w:jc w:val="center"/>
              <w:ind w:right="350"/>
              <w:spacing w:after="0"/>
              <w:rPr>
                <w:sz w:val="20"/>
                <w:szCs w:val="20"/>
                <w:color w:val="auto"/>
              </w:rPr>
            </w:pPr>
            <w:r>
              <w:rPr>
                <w:rFonts w:ascii="Arial" w:cs="Arial" w:eastAsia="Arial" w:hAnsi="Arial"/>
                <w:sz w:val="18"/>
                <w:szCs w:val="18"/>
                <w:color w:val="auto"/>
                <w:w w:val="91"/>
              </w:rPr>
              <w:t>Owned by Each</w:t>
            </w: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r>
      <w:tr>
        <w:trPr>
          <w:trHeight w:val="188"/>
        </w:trPr>
        <w:tc>
          <w:tcPr>
            <w:tcW w:w="18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2"/>
              </w:rPr>
              <w:t>Reporting</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7.</w:t>
            </w:r>
          </w:p>
        </w:tc>
        <w:tc>
          <w:tcPr>
            <w:tcW w:w="236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6580" w:type="dxa"/>
            <w:vAlign w:val="bottom"/>
          </w:tcPr>
          <w:p>
            <w:pPr>
              <w:ind w:left="420"/>
              <w:spacing w:after="0" w:line="189" w:lineRule="exact"/>
              <w:rPr>
                <w:sz w:val="20"/>
                <w:szCs w:val="20"/>
                <w:color w:val="auto"/>
              </w:rPr>
            </w:pPr>
            <w:r>
              <w:rPr>
                <w:rFonts w:ascii="Arial" w:cs="Arial" w:eastAsia="Arial" w:hAnsi="Arial"/>
                <w:sz w:val="18"/>
                <w:szCs w:val="18"/>
                <w:color w:val="auto"/>
              </w:rPr>
              <w:t>0</w:t>
            </w:r>
          </w:p>
        </w:tc>
      </w:tr>
      <w:tr>
        <w:trPr>
          <w:trHeight w:val="251"/>
        </w:trPr>
        <w:tc>
          <w:tcPr>
            <w:tcW w:w="1840" w:type="dxa"/>
            <w:vAlign w:val="bottom"/>
          </w:tcPr>
          <w:p>
            <w:pPr>
              <w:jc w:val="center"/>
              <w:ind w:right="370"/>
              <w:spacing w:after="0"/>
              <w:rPr>
                <w:sz w:val="20"/>
                <w:szCs w:val="20"/>
                <w:color w:val="auto"/>
              </w:rPr>
            </w:pPr>
            <w:r>
              <w:rPr>
                <w:rFonts w:ascii="Arial" w:cs="Arial" w:eastAsia="Arial" w:hAnsi="Arial"/>
                <w:sz w:val="18"/>
                <w:szCs w:val="18"/>
                <w:color w:val="auto"/>
                <w:w w:val="91"/>
              </w:rPr>
              <w:t>Person With:</w:t>
            </w:r>
          </w:p>
        </w:tc>
        <w:tc>
          <w:tcPr>
            <w:tcW w:w="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6580" w:type="dxa"/>
            <w:vAlign w:val="bottom"/>
            <w:tcBorders>
              <w:bottom w:val="single" w:sz="8" w:color="auto"/>
            </w:tcBorders>
          </w:tcPr>
          <w:p>
            <w:pPr>
              <w:spacing w:after="0"/>
              <w:rPr>
                <w:sz w:val="21"/>
                <w:szCs w:val="21"/>
                <w:color w:val="auto"/>
              </w:rPr>
            </w:pPr>
          </w:p>
        </w:tc>
      </w:tr>
      <w:tr>
        <w:trPr>
          <w:trHeight w:val="230"/>
        </w:trPr>
        <w:tc>
          <w:tcPr>
            <w:tcW w:w="1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23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2,145,130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920" w:right="5680" w:hanging="588"/>
        <w:spacing w:after="0" w:line="49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2,145,130 (see Item 4)</w:t>
      </w:r>
    </w:p>
    <w:p>
      <w:pPr>
        <w:spacing w:after="0" w:line="1" w:lineRule="exact"/>
        <w:rPr>
          <w:sz w:val="20"/>
          <w:szCs w:val="20"/>
          <w:color w:val="auto"/>
        </w:rPr>
      </w:pPr>
    </w:p>
    <w:p>
      <w:pPr>
        <w:ind w:left="340"/>
        <w:spacing w:after="0" w:line="196" w:lineRule="exact"/>
        <w:tabs>
          <w:tab w:leader="none" w:pos="900" w:val="left"/>
          <w:tab w:leader="none" w:pos="744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right="6700" w:hanging="588"/>
        <w:spacing w:after="0" w:line="516"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 (see Item 4)</w:t>
      </w:r>
    </w:p>
    <w:p>
      <w:pPr>
        <w:spacing w:after="0" w:line="1" w:lineRule="exact"/>
        <w:rPr>
          <w:rFonts w:ascii="Arial" w:cs="Arial" w:eastAsia="Arial" w:hAnsi="Arial"/>
          <w:sz w:val="18"/>
          <w:szCs w:val="18"/>
          <w:color w:val="auto"/>
        </w:rPr>
      </w:pPr>
    </w:p>
    <w:p>
      <w:pPr>
        <w:ind w:left="920" w:right="7320" w:hanging="588"/>
        <w:spacing w:after="0" w:line="52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98420U109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20" w:right="8380" w:hanging="588"/>
        <w:spacing w:after="0" w:line="581"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Intracoastal Capital LLC</w:t>
      </w:r>
    </w:p>
    <w:p>
      <w:pPr>
        <w:ind w:left="920" w:hanging="58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80" w:hanging="254"/>
        <w:spacing w:after="0" w:line="207" w:lineRule="exact"/>
        <w:tabs>
          <w:tab w:leader="none" w:pos="11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54"/>
        <w:spacing w:after="0" w:line="207" w:lineRule="exact"/>
        <w:tabs>
          <w:tab w:leader="none" w:pos="11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920" w:hanging="588"/>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20" w:right="7860" w:hanging="588"/>
        <w:spacing w:after="0" w:line="624"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-1746885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3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0</w:t>
            </w:r>
          </w:p>
        </w:tc>
      </w:tr>
      <w:tr>
        <w:trPr>
          <w:trHeight w:val="223"/>
        </w:trPr>
        <w:tc>
          <w:tcPr>
            <w:tcW w:w="1840" w:type="dxa"/>
            <w:vAlign w:val="bottom"/>
          </w:tcPr>
          <w:p>
            <w:pPr>
              <w:jc w:val="center"/>
              <w:ind w:right="37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r>
      <w:tr>
        <w:trPr>
          <w:trHeight w:val="215"/>
        </w:trPr>
        <w:tc>
          <w:tcPr>
            <w:tcW w:w="1840" w:type="dxa"/>
            <w:vAlign w:val="bottom"/>
          </w:tcPr>
          <w:p>
            <w:pPr>
              <w:jc w:val="center"/>
              <w:ind w:right="350"/>
              <w:spacing w:after="0"/>
              <w:rPr>
                <w:sz w:val="20"/>
                <w:szCs w:val="20"/>
                <w:color w:val="auto"/>
              </w:rPr>
            </w:pPr>
            <w:r>
              <w:rPr>
                <w:rFonts w:ascii="Arial" w:cs="Arial" w:eastAsia="Arial" w:hAnsi="Arial"/>
                <w:sz w:val="18"/>
                <w:szCs w:val="18"/>
                <w:color w:val="auto"/>
                <w:w w:val="91"/>
              </w:rPr>
              <w:t>Shares Beneficially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23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2,145,130</w:t>
            </w:r>
          </w:p>
        </w:tc>
      </w:tr>
      <w:tr>
        <w:trPr>
          <w:trHeight w:val="224"/>
        </w:trPr>
        <w:tc>
          <w:tcPr>
            <w:tcW w:w="1840" w:type="dxa"/>
            <w:vAlign w:val="bottom"/>
          </w:tcPr>
          <w:p>
            <w:pPr>
              <w:jc w:val="center"/>
              <w:ind w:right="350"/>
              <w:spacing w:after="0"/>
              <w:rPr>
                <w:sz w:val="20"/>
                <w:szCs w:val="20"/>
                <w:color w:val="auto"/>
              </w:rPr>
            </w:pPr>
            <w:r>
              <w:rPr>
                <w:rFonts w:ascii="Arial" w:cs="Arial" w:eastAsia="Arial" w:hAnsi="Arial"/>
                <w:sz w:val="18"/>
                <w:szCs w:val="18"/>
                <w:color w:val="auto"/>
                <w:w w:val="91"/>
              </w:rPr>
              <w:t>Owned by Each</w:t>
            </w: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r>
      <w:tr>
        <w:trPr>
          <w:trHeight w:val="188"/>
        </w:trPr>
        <w:tc>
          <w:tcPr>
            <w:tcW w:w="18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2"/>
              </w:rPr>
              <w:t>Reporting</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7.</w:t>
            </w:r>
          </w:p>
        </w:tc>
        <w:tc>
          <w:tcPr>
            <w:tcW w:w="236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6580" w:type="dxa"/>
            <w:vAlign w:val="bottom"/>
          </w:tcPr>
          <w:p>
            <w:pPr>
              <w:ind w:left="420"/>
              <w:spacing w:after="0" w:line="189" w:lineRule="exact"/>
              <w:rPr>
                <w:sz w:val="20"/>
                <w:szCs w:val="20"/>
                <w:color w:val="auto"/>
              </w:rPr>
            </w:pPr>
            <w:r>
              <w:rPr>
                <w:rFonts w:ascii="Arial" w:cs="Arial" w:eastAsia="Arial" w:hAnsi="Arial"/>
                <w:sz w:val="18"/>
                <w:szCs w:val="18"/>
                <w:color w:val="auto"/>
              </w:rPr>
              <w:t>0</w:t>
            </w:r>
          </w:p>
        </w:tc>
      </w:tr>
      <w:tr>
        <w:trPr>
          <w:trHeight w:val="251"/>
        </w:trPr>
        <w:tc>
          <w:tcPr>
            <w:tcW w:w="1840" w:type="dxa"/>
            <w:vAlign w:val="bottom"/>
          </w:tcPr>
          <w:p>
            <w:pPr>
              <w:jc w:val="center"/>
              <w:ind w:right="370"/>
              <w:spacing w:after="0"/>
              <w:rPr>
                <w:sz w:val="20"/>
                <w:szCs w:val="20"/>
                <w:color w:val="auto"/>
              </w:rPr>
            </w:pPr>
            <w:r>
              <w:rPr>
                <w:rFonts w:ascii="Arial" w:cs="Arial" w:eastAsia="Arial" w:hAnsi="Arial"/>
                <w:sz w:val="18"/>
                <w:szCs w:val="18"/>
                <w:color w:val="auto"/>
                <w:w w:val="91"/>
              </w:rPr>
              <w:t>Person With:</w:t>
            </w:r>
          </w:p>
        </w:tc>
        <w:tc>
          <w:tcPr>
            <w:tcW w:w="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6580" w:type="dxa"/>
            <w:vAlign w:val="bottom"/>
            <w:tcBorders>
              <w:bottom w:val="single" w:sz="8" w:color="auto"/>
            </w:tcBorders>
          </w:tcPr>
          <w:p>
            <w:pPr>
              <w:spacing w:after="0"/>
              <w:rPr>
                <w:sz w:val="21"/>
                <w:szCs w:val="21"/>
                <w:color w:val="auto"/>
              </w:rPr>
            </w:pPr>
          </w:p>
        </w:tc>
      </w:tr>
      <w:tr>
        <w:trPr>
          <w:trHeight w:val="230"/>
        </w:trPr>
        <w:tc>
          <w:tcPr>
            <w:tcW w:w="18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23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6580" w:type="dxa"/>
            <w:vAlign w:val="bottom"/>
          </w:tcPr>
          <w:p>
            <w:pPr>
              <w:ind w:left="420"/>
              <w:spacing w:after="0"/>
              <w:rPr>
                <w:sz w:val="20"/>
                <w:szCs w:val="20"/>
                <w:color w:val="auto"/>
              </w:rPr>
            </w:pPr>
            <w:r>
              <w:rPr>
                <w:rFonts w:ascii="Arial" w:cs="Arial" w:eastAsia="Arial" w:hAnsi="Arial"/>
                <w:sz w:val="18"/>
                <w:szCs w:val="18"/>
                <w:color w:val="auto"/>
              </w:rPr>
              <w:t>2,145,130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920" w:right="5680" w:hanging="588"/>
        <w:spacing w:after="0" w:line="49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2,145,130 (see Item 4)</w:t>
      </w:r>
    </w:p>
    <w:p>
      <w:pPr>
        <w:spacing w:after="0" w:line="1" w:lineRule="exact"/>
        <w:rPr>
          <w:sz w:val="20"/>
          <w:szCs w:val="20"/>
          <w:color w:val="auto"/>
        </w:rPr>
      </w:pPr>
    </w:p>
    <w:p>
      <w:pPr>
        <w:ind w:left="340"/>
        <w:spacing w:after="0" w:line="196" w:lineRule="exact"/>
        <w:tabs>
          <w:tab w:leader="none" w:pos="900" w:val="left"/>
          <w:tab w:leader="none" w:pos="744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right="6700" w:hanging="588"/>
        <w:spacing w:after="0" w:line="516"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 (see Item 4)</w:t>
      </w:r>
    </w:p>
    <w:p>
      <w:pPr>
        <w:spacing w:after="0" w:line="1" w:lineRule="exact"/>
        <w:rPr>
          <w:rFonts w:ascii="Arial" w:cs="Arial" w:eastAsia="Arial" w:hAnsi="Arial"/>
          <w:sz w:val="18"/>
          <w:szCs w:val="18"/>
          <w:color w:val="auto"/>
        </w:rPr>
      </w:pPr>
    </w:p>
    <w:p>
      <w:pPr>
        <w:ind w:left="920" w:hanging="588"/>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Name of Issuer</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XpresSpa Group,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 Address of Issuer’s Principal Executive Offices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New York 10017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25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660" w:hanging="25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 w:lineRule="exact"/>
        <w:rPr>
          <w:rFonts w:ascii="Arial" w:cs="Arial" w:eastAsia="Arial" w:hAnsi="Arial"/>
          <w:sz w:val="18"/>
          <w:szCs w:val="18"/>
          <w:color w:val="auto"/>
        </w:rPr>
      </w:pPr>
    </w:p>
    <w:p>
      <w:pPr>
        <w:ind w:left="660" w:hanging="25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7"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This Schedule 13G is being filed on behalf of (i) Mitchell P. Kopin, an individual who is a citizen of the United States of America (“</w:t>
      </w:r>
      <w:r>
        <w:rPr>
          <w:rFonts w:ascii="Arial" w:cs="Arial" w:eastAsia="Arial" w:hAnsi="Arial"/>
          <w:sz w:val="18"/>
          <w:szCs w:val="18"/>
          <w:b w:val="1"/>
          <w:bCs w:val="1"/>
          <w:color w:val="auto"/>
        </w:rPr>
        <w:t>Mr.</w:t>
      </w:r>
      <w:r>
        <w:rPr>
          <w:rFonts w:ascii="Arial" w:cs="Arial" w:eastAsia="Arial" w:hAnsi="Arial"/>
          <w:sz w:val="18"/>
          <w:szCs w:val="18"/>
          <w:color w:val="auto"/>
        </w:rPr>
        <w:t xml:space="preserve"> </w:t>
      </w:r>
      <w:r>
        <w:rPr>
          <w:rFonts w:ascii="Arial" w:cs="Arial" w:eastAsia="Arial" w:hAnsi="Arial"/>
          <w:sz w:val="18"/>
          <w:szCs w:val="18"/>
          <w:b w:val="1"/>
          <w:bCs w:val="1"/>
          <w:color w:val="auto"/>
        </w:rPr>
        <w:t>Kopin</w:t>
      </w:r>
      <w:r>
        <w:rPr>
          <w:rFonts w:ascii="Arial" w:cs="Arial" w:eastAsia="Arial" w:hAnsi="Arial"/>
          <w:sz w:val="18"/>
          <w:szCs w:val="18"/>
          <w:color w:val="auto"/>
        </w:rPr>
        <w:t>”), (ii) Daniel B. Asher, an individual who is a citizen of the United States of America (“</w:t>
      </w:r>
      <w:r>
        <w:rPr>
          <w:rFonts w:ascii="Arial" w:cs="Arial" w:eastAsia="Arial" w:hAnsi="Arial"/>
          <w:sz w:val="18"/>
          <w:szCs w:val="18"/>
          <w:b w:val="1"/>
          <w:bCs w:val="1"/>
          <w:color w:val="auto"/>
        </w:rPr>
        <w:t>Mr. Asher</w:t>
      </w:r>
      <w:r>
        <w:rPr>
          <w:rFonts w:ascii="Arial" w:cs="Arial" w:eastAsia="Arial" w:hAnsi="Arial"/>
          <w:sz w:val="18"/>
          <w:szCs w:val="18"/>
          <w:color w:val="auto"/>
        </w:rPr>
        <w:t>”) and (iii) Intracoastal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w:t>
      </w:r>
      <w:r>
        <w:rPr>
          <w:rFonts w:ascii="Arial" w:cs="Arial" w:eastAsia="Arial" w:hAnsi="Arial"/>
          <w:sz w:val="18"/>
          <w:szCs w:val="18"/>
          <w:b w:val="1"/>
          <w:bCs w:val="1"/>
          <w:color w:val="auto"/>
        </w:rPr>
        <w:t>Intracoastal</w:t>
      </w:r>
      <w:r>
        <w:rPr>
          <w:rFonts w:ascii="Arial" w:cs="Arial" w:eastAsia="Arial" w:hAnsi="Arial"/>
          <w:sz w:val="18"/>
          <w:szCs w:val="18"/>
          <w:color w:val="auto"/>
        </w:rPr>
        <w:t>” and together with Mr. Kopin and Mr. Asher, collectively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w:t>
      </w:r>
    </w:p>
    <w:p>
      <w:pPr>
        <w:spacing w:after="0" w:line="180" w:lineRule="exact"/>
        <w:rPr>
          <w:sz w:val="20"/>
          <w:szCs w:val="20"/>
          <w:color w:val="auto"/>
        </w:rPr>
      </w:pPr>
    </w:p>
    <w:p>
      <w:pPr>
        <w:jc w:val="both"/>
        <w:ind w:left="1300" w:right="20"/>
        <w:spacing w:after="0" w:line="266" w:lineRule="auto"/>
        <w:rPr>
          <w:sz w:val="20"/>
          <w:szCs w:val="20"/>
          <w:color w:val="auto"/>
        </w:rPr>
      </w:pPr>
      <w:r>
        <w:rPr>
          <w:rFonts w:ascii="Arial" w:cs="Arial" w:eastAsia="Arial" w:hAnsi="Arial"/>
          <w:sz w:val="18"/>
          <w:szCs w:val="18"/>
          <w:color w:val="auto"/>
        </w:rPr>
        <w:t xml:space="preserve">The Reporting Persons have entered into a Joint Filing Agreement, a copy of which is filed with this Schedule 13G as </w:t>
      </w:r>
      <w:r>
        <w:rPr>
          <w:rFonts w:ascii="Arial" w:cs="Arial" w:eastAsia="Arial" w:hAnsi="Arial"/>
          <w:sz w:val="18"/>
          <w:szCs w:val="18"/>
          <w:b w:val="1"/>
          <w:bCs w:val="1"/>
          <w:u w:val="single" w:color="auto"/>
          <w:color w:val="auto"/>
        </w:rPr>
        <w:t>Exhibit 1</w:t>
      </w:r>
      <w:r>
        <w:rPr>
          <w:rFonts w:ascii="Arial" w:cs="Arial" w:eastAsia="Arial" w:hAnsi="Arial"/>
          <w:sz w:val="18"/>
          <w:szCs w:val="18"/>
          <w:color w:val="auto"/>
        </w:rPr>
        <w:t>, pursuant to which the Reporting Persons have agreed to file this Schedule 13G jointly in accordance with the provisions of Rule 13d-1(k) of the Securities Exchange Act of 1934, as amended.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office of Mr. Kopin and Intracoastal is 245 Palm Trail, Delray Beach, Florida 33483.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office of Mr. Asher is 111 W. Jackson Boulevard, Suite 2000, Chicago, Illinois 60604.</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Title of Class of Securities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$0.01 par value per share, of the Issuer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29" w:lineRule="exact"/>
        <w:rPr>
          <w:sz w:val="20"/>
          <w:szCs w:val="20"/>
          <w:color w:val="auto"/>
        </w:rPr>
      </w:pPr>
    </w:p>
    <w:p>
      <w:pPr>
        <w:ind w:left="1300" w:right="9260" w:hanging="891"/>
        <w:spacing w:after="0" w:line="561" w:lineRule="auto"/>
        <w:tabs>
          <w:tab w:leader="none" w:pos="65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98420U109</w:t>
      </w: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As of the close of business on May 25, 2018, each of the Reporting Persons may have been deemed to have beneficial ownership of 2,145,130 shares of Common Stock in the aggregate, which consisted of (i) 806,452 shares of Common Stock issuable upon conversion of a secured convertible note held by Intracoastal (the “</w:t>
      </w:r>
      <w:r>
        <w:rPr>
          <w:rFonts w:ascii="Arial" w:cs="Arial" w:eastAsia="Arial" w:hAnsi="Arial"/>
          <w:sz w:val="17"/>
          <w:szCs w:val="17"/>
          <w:b w:val="1"/>
          <w:bCs w:val="1"/>
          <w:color w:val="auto"/>
        </w:rPr>
        <w:t>Convertible Note</w:t>
      </w:r>
      <w:r>
        <w:rPr>
          <w:rFonts w:ascii="Arial" w:cs="Arial" w:eastAsia="Arial" w:hAnsi="Arial"/>
          <w:sz w:val="17"/>
          <w:szCs w:val="17"/>
          <w:color w:val="auto"/>
        </w:rPr>
        <w:t>”) and (ii) 1,338,678 shares of Common Stock issuable in the aggregate upon exercise of three warrants held by Intracoastal (the “</w:t>
      </w:r>
      <w:r>
        <w:rPr>
          <w:rFonts w:ascii="Arial" w:cs="Arial" w:eastAsia="Arial" w:hAnsi="Arial"/>
          <w:sz w:val="17"/>
          <w:szCs w:val="17"/>
          <w:b w:val="1"/>
          <w:bCs w:val="1"/>
          <w:color w:val="auto"/>
        </w:rPr>
        <w:t>Intracoastal Warrants</w:t>
      </w:r>
      <w:r>
        <w:rPr>
          <w:rFonts w:ascii="Arial" w:cs="Arial" w:eastAsia="Arial" w:hAnsi="Arial"/>
          <w:sz w:val="17"/>
          <w:szCs w:val="17"/>
          <w:color w:val="auto"/>
        </w:rPr>
        <w:t>”), and all such shares of Common Stock represent beneficial ownership of approximately 7.5% of the Common Stock, based on (1) 26,634,475 shares of Common Stock outstanding as of May 15, 2018 as reported by the Issuer, plus (2) 806,452 shares of Common Stock issuable upon conversion of the Convertible Note, and (iii) 1,338,678 shares of Common Stock issuable in the aggregate upon exercise of the Intracoastal Warrants.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420" w:type="dxa"/>
        <w:tblCellMar>
          <w:top w:w="0" w:type="dxa"/>
          <w:left w:w="0" w:type="dxa"/>
          <w:bottom w:w="0" w:type="dxa"/>
          <w:right w:w="0" w:type="dxa"/>
        </w:tblCellMar>
      </w:tblP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w w:val="95"/>
              </w:rPr>
              <w:t>(c) Number of shares as to which each Reporting Person has: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3600" w:type="dxa"/>
            <w:vAlign w:val="bottom"/>
          </w:tcPr>
          <w:p>
            <w:pPr>
              <w:ind w:left="480"/>
              <w:spacing w:after="0"/>
              <w:rPr>
                <w:sz w:val="20"/>
                <w:szCs w:val="20"/>
                <w:color w:val="auto"/>
              </w:rPr>
            </w:pPr>
            <w:r>
              <w:rPr>
                <w:rFonts w:ascii="Arial" w:cs="Arial" w:eastAsia="Arial" w:hAnsi="Arial"/>
                <w:sz w:val="18"/>
                <w:szCs w:val="18"/>
                <w:color w:val="auto"/>
                <w:w w:val="92"/>
              </w:rPr>
              <w:t>(i) Sole power to vote or to direct the vote:</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840" w:type="dxa"/>
            <w:vAlign w:val="bottom"/>
            <w:gridSpan w:val="2"/>
          </w:tcPr>
          <w:p>
            <w:pPr>
              <w:ind w:left="480"/>
              <w:spacing w:after="0"/>
              <w:rPr>
                <w:sz w:val="20"/>
                <w:szCs w:val="20"/>
                <w:color w:val="auto"/>
              </w:rPr>
            </w:pPr>
            <w:r>
              <w:rPr>
                <w:rFonts w:ascii="Arial" w:cs="Arial" w:eastAsia="Arial" w:hAnsi="Arial"/>
                <w:sz w:val="18"/>
                <w:szCs w:val="18"/>
                <w:color w:val="auto"/>
                <w:w w:val="92"/>
              </w:rPr>
              <w:t>(ii) Shared power to vote or to direct the vote:</w:t>
            </w:r>
          </w:p>
        </w:tc>
        <w:tc>
          <w:tcPr>
            <w:tcW w:w="160" w:type="dxa"/>
            <w:vAlign w:val="bottom"/>
          </w:tcPr>
          <w:p>
            <w:pPr>
              <w:spacing w:after="0"/>
              <w:rPr>
                <w:sz w:val="24"/>
                <w:szCs w:val="24"/>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2,145,130   .</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840" w:type="dxa"/>
            <w:vAlign w:val="bottom"/>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560" w:type="dxa"/>
            <w:vAlign w:val="bottom"/>
            <w:gridSpan w:val="5"/>
          </w:tcPr>
          <w:p>
            <w:pPr>
              <w:ind w:left="480"/>
              <w:spacing w:after="0"/>
              <w:rPr>
                <w:sz w:val="20"/>
                <w:szCs w:val="20"/>
                <w:color w:val="auto"/>
              </w:rPr>
            </w:pPr>
            <w:r>
              <w:rPr>
                <w:rFonts w:ascii="Arial" w:cs="Arial" w:eastAsia="Arial" w:hAnsi="Arial"/>
                <w:sz w:val="18"/>
                <w:szCs w:val="18"/>
                <w:color w:val="auto"/>
                <w:w w:val="93"/>
              </w:rPr>
              <w:t>(iii) Sole power to dispose or to direct the disposition of</w:t>
            </w:r>
          </w:p>
        </w:tc>
        <w:tc>
          <w:tcPr>
            <w:tcW w:w="160" w:type="dxa"/>
            <w:vAlign w:val="bottom"/>
          </w:tcPr>
          <w:p>
            <w:pPr>
              <w:spacing w:after="0"/>
              <w:rPr>
                <w:sz w:val="24"/>
                <w:szCs w:val="24"/>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4"/>
                <w:szCs w:val="24"/>
                <w:color w:val="auto"/>
              </w:rPr>
            </w:pPr>
          </w:p>
        </w:tc>
      </w:tr>
      <w:tr>
        <w:trPr>
          <w:trHeight w:val="20"/>
        </w:trPr>
        <w:tc>
          <w:tcPr>
            <w:tcW w:w="4560" w:type="dxa"/>
            <w:vAlign w:val="bottom"/>
            <w:gridSpan w:val="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720" w:type="dxa"/>
            <w:vAlign w:val="bottom"/>
            <w:gridSpan w:val="6"/>
          </w:tcPr>
          <w:p>
            <w:pPr>
              <w:ind w:left="480"/>
              <w:spacing w:after="0"/>
              <w:rPr>
                <w:sz w:val="20"/>
                <w:szCs w:val="20"/>
                <w:color w:val="auto"/>
              </w:rPr>
            </w:pPr>
            <w:r>
              <w:rPr>
                <w:rFonts w:ascii="Arial" w:cs="Arial" w:eastAsia="Arial" w:hAnsi="Arial"/>
                <w:sz w:val="18"/>
                <w:szCs w:val="18"/>
                <w:color w:val="auto"/>
                <w:w w:val="91"/>
              </w:rPr>
              <w:t>(iv) Shared power to dispose or to direct the disposition of</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2,145,130  .</w:t>
            </w: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25,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25,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2019-12-07T10:06:51Z</dcterms:created>
  <dcterms:modified xsi:type="dcterms:W3CDTF">2019-12-07T10:06:51Z</dcterms:modified>
</cp:coreProperties>
</file>