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November 16,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Delaware</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001-34785</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(State or other jurisdiction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(Commission</w:t>
            </w:r>
          </w:p>
        </w:tc>
        <w:tc>
          <w:tcPr>
            <w:tcW w:w="1700" w:type="dxa"/>
            <w:vAlign w:val="bottom"/>
          </w:tcPr>
          <w:p>
            <w:pPr>
              <w:jc w:val="center"/>
              <w:ind w:left="1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of incorporation)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780 Third Avenue, 12</w:t>
            </w:r>
            <w:r>
              <w:rPr>
                <w:rFonts w:ascii="Arial" w:cs="Arial" w:eastAsia="Arial" w:hAnsi="Arial"/>
                <w:sz w:val="30"/>
                <w:szCs w:val="30"/>
                <w:b w:val="1"/>
                <w:bCs w:val="1"/>
                <w:color w:val="auto"/>
                <w:w w:val="91"/>
                <w:vertAlign w:val="superscript"/>
              </w:rPr>
              <w:t>th</w:t>
            </w:r>
            <w:r>
              <w:rPr>
                <w:rFonts w:ascii="Arial" w:cs="Arial" w:eastAsia="Arial" w:hAnsi="Arial"/>
                <w:sz w:val="18"/>
                <w:szCs w:val="18"/>
                <w:b w:val="1"/>
                <w:bCs w:val="1"/>
                <w:color w:val="auto"/>
                <w:w w:val="91"/>
              </w:rPr>
              <w:t xml:space="preserve"> Floor, New York, NY 10017</w:t>
            </w:r>
          </w:p>
        </w:tc>
        <w:tc>
          <w:tcPr>
            <w:tcW w:w="1700" w:type="dxa"/>
            <w:vAlign w:val="bottom"/>
          </w:tcPr>
          <w:p>
            <w:pPr>
              <w:spacing w:after="0"/>
              <w:rPr>
                <w:sz w:val="24"/>
                <w:szCs w:val="24"/>
                <w:color w:val="auto"/>
              </w:rPr>
            </w:pPr>
          </w:p>
        </w:tc>
      </w:tr>
      <w:tr>
        <w:trPr>
          <w:trHeight w:val="234"/>
        </w:trPr>
        <w:tc>
          <w:tcPr>
            <w:tcW w:w="2180" w:type="dxa"/>
            <w:vAlign w:val="bottom"/>
          </w:tcPr>
          <w:p>
            <w:pPr>
              <w:spacing w:after="0"/>
              <w:rPr>
                <w:sz w:val="20"/>
                <w:szCs w:val="20"/>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700" w:type="dxa"/>
            <w:vAlign w:val="bottom"/>
          </w:tcPr>
          <w:p>
            <w:pPr>
              <w:spacing w:after="0"/>
              <w:rPr>
                <w:sz w:val="20"/>
                <w:szCs w:val="20"/>
                <w:color w:val="auto"/>
              </w:rPr>
            </w:pPr>
          </w:p>
        </w:tc>
      </w:tr>
      <w:tr>
        <w:trPr>
          <w:trHeight w:val="432"/>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(212) 309-7549</w:t>
            </w:r>
          </w:p>
        </w:tc>
        <w:tc>
          <w:tcPr>
            <w:tcW w:w="17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bookmarkStart w:id="1" w:name="page2"/>
    <w:bookmarkEnd w:id="1"/>
    <w:p>
      <w:pPr>
        <w:ind w:left="1300" w:right="1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2" w:lineRule="exact"/>
        <w:rPr>
          <w:sz w:val="20"/>
          <w:szCs w:val="20"/>
          <w:color w:val="auto"/>
        </w:rPr>
      </w:pPr>
    </w:p>
    <w:p>
      <w:pPr>
        <w:jc w:val="both"/>
        <w:ind w:right="160" w:firstLine="8"/>
        <w:spacing w:after="0" w:line="266" w:lineRule="auto"/>
        <w:tabs>
          <w:tab w:leader="none" w:pos="245"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November 16, 2015, at the 2015 Annual Meeting of Stockholders (the “</w:t>
      </w:r>
      <w:r>
        <w:rPr>
          <w:rFonts w:ascii="Arial" w:cs="Arial" w:eastAsia="Arial" w:hAnsi="Arial"/>
          <w:sz w:val="18"/>
          <w:szCs w:val="18"/>
          <w:b w:val="1"/>
          <w:bCs w:val="1"/>
          <w:color w:val="auto"/>
        </w:rPr>
        <w:t>Annual Meeting</w:t>
      </w:r>
      <w:r>
        <w:rPr>
          <w:rFonts w:ascii="Arial" w:cs="Arial" w:eastAsia="Arial" w:hAnsi="Arial"/>
          <w:sz w:val="18"/>
          <w:szCs w:val="18"/>
          <w:color w:val="auto"/>
        </w:rPr>
        <w:t>”) of Vringo, Inc. (the “</w:t>
      </w:r>
      <w:r>
        <w:rPr>
          <w:rFonts w:ascii="Arial" w:cs="Arial" w:eastAsia="Arial" w:hAnsi="Arial"/>
          <w:sz w:val="18"/>
          <w:szCs w:val="18"/>
          <w:b w:val="1"/>
          <w:bCs w:val="1"/>
          <w:color w:val="auto"/>
        </w:rPr>
        <w:t>Company</w:t>
      </w:r>
      <w:r>
        <w:rPr>
          <w:rFonts w:ascii="Arial" w:cs="Arial" w:eastAsia="Arial" w:hAnsi="Arial"/>
          <w:sz w:val="18"/>
          <w:szCs w:val="18"/>
          <w:color w:val="auto"/>
        </w:rPr>
        <w:t>”), the stockholders of the Company approved an amendment to the Company’s 2012 Employee, Director and Consultant Equity Incentive Plan (the “</w:t>
      </w:r>
      <w:r>
        <w:rPr>
          <w:rFonts w:ascii="Arial" w:cs="Arial" w:eastAsia="Arial" w:hAnsi="Arial"/>
          <w:sz w:val="18"/>
          <w:szCs w:val="18"/>
          <w:b w:val="1"/>
          <w:bCs w:val="1"/>
          <w:color w:val="auto"/>
        </w:rPr>
        <w:t>Plan</w:t>
      </w:r>
      <w:r>
        <w:rPr>
          <w:rFonts w:ascii="Arial" w:cs="Arial" w:eastAsia="Arial" w:hAnsi="Arial"/>
          <w:sz w:val="18"/>
          <w:szCs w:val="18"/>
          <w:color w:val="auto"/>
        </w:rPr>
        <w:t>”) to increase the number of shares of common stock reserved for issuance under the Plan to up to a maximum of 21,000,000 shares.</w:t>
      </w:r>
    </w:p>
    <w:p>
      <w:pPr>
        <w:spacing w:after="0" w:line="180"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A complete copy of the Plan was filed as “Appendix C” to the Company’s Proxy Statement on Schedule 14A (DEF 14A) for the Company’s Annual Meeting as filed with the Securities and Exchange Commission on September 25, 2015 and is incorporated herein by this reference.</w:t>
      </w:r>
    </w:p>
    <w:p>
      <w:pPr>
        <w:spacing w:after="0" w:line="14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jc w:val="both"/>
        <w:ind w:right="380" w:firstLine="8"/>
        <w:spacing w:after="0" w:line="264" w:lineRule="auto"/>
        <w:tabs>
          <w:tab w:leader="none" w:pos="245"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November 16, 2015, the Company held the Annual Meeting. At the Annual Meeting, the holders of 79,938,169 shares of the Company’s common stock were present in person or represented by proxy, which represents 72.25% of the total shares of outstanding common stock entitled to vote as of the record date of September 25, 2015.</w:t>
      </w:r>
    </w:p>
    <w:p>
      <w:pPr>
        <w:spacing w:after="0" w:line="181"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following actions were taken in the Annual Meeting:</w:t>
      </w:r>
    </w:p>
    <w:p>
      <w:pPr>
        <w:spacing w:after="0" w:line="225" w:lineRule="exact"/>
        <w:rPr>
          <w:sz w:val="20"/>
          <w:szCs w:val="20"/>
          <w:color w:val="auto"/>
        </w:rPr>
      </w:pPr>
    </w:p>
    <w:p>
      <w:pPr>
        <w:ind w:left="340" w:right="22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following six nominees were reelected to serve on the Company’s Board of Directors until the Company’s 2016 annual meeting of stockholders or until their respective successors have been elected and qualified, or until their earlier resignation or removal:</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0" w:type="dxa"/>
            <w:vAlign w:val="bottom"/>
            <w:gridSpan w:val="2"/>
          </w:tcPr>
          <w:p>
            <w:pPr>
              <w:spacing w:after="0"/>
              <w:rPr>
                <w:sz w:val="20"/>
                <w:szCs w:val="20"/>
                <w:color w:val="auto"/>
              </w:rPr>
            </w:pPr>
            <w:r>
              <w:rPr>
                <w:rFonts w:ascii="Arial" w:cs="Arial" w:eastAsia="Arial" w:hAnsi="Arial"/>
                <w:sz w:val="18"/>
                <w:szCs w:val="18"/>
                <w:b w:val="1"/>
                <w:bCs w:val="1"/>
                <w:color w:val="auto"/>
              </w:rPr>
              <w:t>Name of Director Nominees</w:t>
            </w:r>
          </w:p>
        </w:tc>
        <w:tc>
          <w:tcPr>
            <w:tcW w:w="244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89"/>
              </w:rPr>
              <w:t>Votes For</w:t>
            </w:r>
          </w:p>
        </w:tc>
        <w:tc>
          <w:tcPr>
            <w:tcW w:w="320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90"/>
              </w:rPr>
              <w:t>Votes Withheld</w:t>
            </w:r>
          </w:p>
        </w:tc>
        <w:tc>
          <w:tcPr>
            <w:tcW w:w="190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0"/>
              </w:rPr>
              <w:t>Broker Non-Vote</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140" w:type="dxa"/>
            <w:vAlign w:val="bottom"/>
            <w:tcBorders>
              <w:top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Andrew D. Perlman</w:t>
            </w:r>
          </w:p>
        </w:tc>
        <w:tc>
          <w:tcPr>
            <w:tcW w:w="2440" w:type="dxa"/>
            <w:vAlign w:val="bottom"/>
            <w:gridSpan w:val="3"/>
            <w:shd w:val="clear" w:color="auto" w:fill="CCEEFF"/>
          </w:tcPr>
          <w:p>
            <w:pPr>
              <w:jc w:val="center"/>
              <w:ind w:left="10"/>
              <w:spacing w:after="0"/>
              <w:rPr>
                <w:sz w:val="20"/>
                <w:szCs w:val="20"/>
                <w:color w:val="auto"/>
              </w:rPr>
            </w:pPr>
            <w:r>
              <w:rPr>
                <w:rFonts w:ascii="Arial" w:cs="Arial" w:eastAsia="Arial" w:hAnsi="Arial"/>
                <w:sz w:val="18"/>
                <w:szCs w:val="18"/>
                <w:color w:val="auto"/>
                <w:w w:val="90"/>
              </w:rPr>
              <w:t>25,135,683</w:t>
            </w:r>
          </w:p>
        </w:tc>
        <w:tc>
          <w:tcPr>
            <w:tcW w:w="1940" w:type="dxa"/>
            <w:vAlign w:val="bottom"/>
            <w:gridSpan w:val="2"/>
            <w:shd w:val="clear" w:color="auto" w:fill="CCEEFF"/>
          </w:tcPr>
          <w:p>
            <w:pPr>
              <w:jc w:val="center"/>
              <w:ind w:left="650"/>
              <w:spacing w:after="0"/>
              <w:rPr>
                <w:sz w:val="20"/>
                <w:szCs w:val="20"/>
                <w:color w:val="auto"/>
              </w:rPr>
            </w:pPr>
            <w:r>
              <w:rPr>
                <w:rFonts w:ascii="Arial" w:cs="Arial" w:eastAsia="Arial" w:hAnsi="Arial"/>
                <w:sz w:val="18"/>
                <w:szCs w:val="18"/>
                <w:color w:val="auto"/>
                <w:w w:val="89"/>
              </w:rPr>
              <w:t>3,712,493</w:t>
            </w:r>
          </w:p>
        </w:tc>
        <w:tc>
          <w:tcPr>
            <w:tcW w:w="126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51,089,993</w:t>
            </w: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H. Van Sinclair</w:t>
            </w:r>
          </w:p>
        </w:tc>
        <w:tc>
          <w:tcPr>
            <w:tcW w:w="2440" w:type="dxa"/>
            <w:vAlign w:val="bottom"/>
            <w:gridSpan w:val="3"/>
          </w:tcPr>
          <w:p>
            <w:pPr>
              <w:jc w:val="center"/>
              <w:ind w:left="10"/>
              <w:spacing w:after="0"/>
              <w:rPr>
                <w:sz w:val="20"/>
                <w:szCs w:val="20"/>
                <w:color w:val="auto"/>
              </w:rPr>
            </w:pPr>
            <w:r>
              <w:rPr>
                <w:rFonts w:ascii="Arial" w:cs="Arial" w:eastAsia="Arial" w:hAnsi="Arial"/>
                <w:sz w:val="18"/>
                <w:szCs w:val="18"/>
                <w:color w:val="auto"/>
                <w:w w:val="90"/>
              </w:rPr>
              <w:t>25,862,013</w:t>
            </w:r>
          </w:p>
        </w:tc>
        <w:tc>
          <w:tcPr>
            <w:tcW w:w="1940" w:type="dxa"/>
            <w:vAlign w:val="bottom"/>
            <w:gridSpan w:val="2"/>
          </w:tcPr>
          <w:p>
            <w:pPr>
              <w:jc w:val="center"/>
              <w:ind w:left="650"/>
              <w:spacing w:after="0"/>
              <w:rPr>
                <w:sz w:val="20"/>
                <w:szCs w:val="20"/>
                <w:color w:val="auto"/>
              </w:rPr>
            </w:pPr>
            <w:r>
              <w:rPr>
                <w:rFonts w:ascii="Arial" w:cs="Arial" w:eastAsia="Arial" w:hAnsi="Arial"/>
                <w:sz w:val="18"/>
                <w:szCs w:val="18"/>
                <w:color w:val="auto"/>
                <w:w w:val="89"/>
              </w:rPr>
              <w:t>2,986,163</w:t>
            </w:r>
          </w:p>
        </w:tc>
        <w:tc>
          <w:tcPr>
            <w:tcW w:w="12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51,089,993</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Engleman</w:t>
            </w:r>
          </w:p>
        </w:tc>
        <w:tc>
          <w:tcPr>
            <w:tcW w:w="2440" w:type="dxa"/>
            <w:vAlign w:val="bottom"/>
            <w:gridSpan w:val="3"/>
            <w:shd w:val="clear" w:color="auto" w:fill="CCEEFF"/>
          </w:tcPr>
          <w:p>
            <w:pPr>
              <w:jc w:val="center"/>
              <w:ind w:left="10"/>
              <w:spacing w:after="0"/>
              <w:rPr>
                <w:sz w:val="20"/>
                <w:szCs w:val="20"/>
                <w:color w:val="auto"/>
              </w:rPr>
            </w:pPr>
            <w:r>
              <w:rPr>
                <w:rFonts w:ascii="Arial" w:cs="Arial" w:eastAsia="Arial" w:hAnsi="Arial"/>
                <w:sz w:val="18"/>
                <w:szCs w:val="18"/>
                <w:color w:val="auto"/>
                <w:w w:val="90"/>
              </w:rPr>
              <w:t>25,881,513</w:t>
            </w:r>
          </w:p>
        </w:tc>
        <w:tc>
          <w:tcPr>
            <w:tcW w:w="1940" w:type="dxa"/>
            <w:vAlign w:val="bottom"/>
            <w:gridSpan w:val="2"/>
            <w:shd w:val="clear" w:color="auto" w:fill="CCEEFF"/>
          </w:tcPr>
          <w:p>
            <w:pPr>
              <w:jc w:val="center"/>
              <w:ind w:left="650"/>
              <w:spacing w:after="0"/>
              <w:rPr>
                <w:sz w:val="20"/>
                <w:szCs w:val="20"/>
                <w:color w:val="auto"/>
              </w:rPr>
            </w:pPr>
            <w:r>
              <w:rPr>
                <w:rFonts w:ascii="Arial" w:cs="Arial" w:eastAsia="Arial" w:hAnsi="Arial"/>
                <w:sz w:val="18"/>
                <w:szCs w:val="18"/>
                <w:color w:val="auto"/>
                <w:w w:val="89"/>
              </w:rPr>
              <w:t>2,966,663</w:t>
            </w:r>
          </w:p>
        </w:tc>
        <w:tc>
          <w:tcPr>
            <w:tcW w:w="126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51,089,993</w:t>
            </w: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Ashley C. Keller</w:t>
            </w:r>
          </w:p>
        </w:tc>
        <w:tc>
          <w:tcPr>
            <w:tcW w:w="2440" w:type="dxa"/>
            <w:vAlign w:val="bottom"/>
            <w:gridSpan w:val="3"/>
          </w:tcPr>
          <w:p>
            <w:pPr>
              <w:jc w:val="center"/>
              <w:ind w:left="10"/>
              <w:spacing w:after="0"/>
              <w:rPr>
                <w:sz w:val="20"/>
                <w:szCs w:val="20"/>
                <w:color w:val="auto"/>
              </w:rPr>
            </w:pPr>
            <w:r>
              <w:rPr>
                <w:rFonts w:ascii="Arial" w:cs="Arial" w:eastAsia="Arial" w:hAnsi="Arial"/>
                <w:sz w:val="18"/>
                <w:szCs w:val="18"/>
                <w:color w:val="auto"/>
                <w:w w:val="90"/>
              </w:rPr>
              <w:t>25,852,541</w:t>
            </w:r>
          </w:p>
        </w:tc>
        <w:tc>
          <w:tcPr>
            <w:tcW w:w="1940" w:type="dxa"/>
            <w:vAlign w:val="bottom"/>
            <w:gridSpan w:val="2"/>
          </w:tcPr>
          <w:p>
            <w:pPr>
              <w:jc w:val="center"/>
              <w:ind w:left="650"/>
              <w:spacing w:after="0"/>
              <w:rPr>
                <w:sz w:val="20"/>
                <w:szCs w:val="20"/>
                <w:color w:val="auto"/>
              </w:rPr>
            </w:pPr>
            <w:r>
              <w:rPr>
                <w:rFonts w:ascii="Arial" w:cs="Arial" w:eastAsia="Arial" w:hAnsi="Arial"/>
                <w:sz w:val="18"/>
                <w:szCs w:val="18"/>
                <w:color w:val="auto"/>
                <w:w w:val="89"/>
              </w:rPr>
              <w:t>2,995,635</w:t>
            </w:r>
          </w:p>
        </w:tc>
        <w:tc>
          <w:tcPr>
            <w:tcW w:w="12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51,089,993</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Noel J. Spiegel</w:t>
            </w:r>
          </w:p>
        </w:tc>
        <w:tc>
          <w:tcPr>
            <w:tcW w:w="2440" w:type="dxa"/>
            <w:vAlign w:val="bottom"/>
            <w:gridSpan w:val="3"/>
            <w:shd w:val="clear" w:color="auto" w:fill="CCEEFF"/>
          </w:tcPr>
          <w:p>
            <w:pPr>
              <w:jc w:val="center"/>
              <w:ind w:left="10"/>
              <w:spacing w:after="0"/>
              <w:rPr>
                <w:sz w:val="20"/>
                <w:szCs w:val="20"/>
                <w:color w:val="auto"/>
              </w:rPr>
            </w:pPr>
            <w:r>
              <w:rPr>
                <w:rFonts w:ascii="Arial" w:cs="Arial" w:eastAsia="Arial" w:hAnsi="Arial"/>
                <w:sz w:val="18"/>
                <w:szCs w:val="18"/>
                <w:color w:val="auto"/>
                <w:w w:val="90"/>
              </w:rPr>
              <w:t>25,835,499</w:t>
            </w:r>
          </w:p>
        </w:tc>
        <w:tc>
          <w:tcPr>
            <w:tcW w:w="1940" w:type="dxa"/>
            <w:vAlign w:val="bottom"/>
            <w:gridSpan w:val="2"/>
            <w:shd w:val="clear" w:color="auto" w:fill="CCEEFF"/>
          </w:tcPr>
          <w:p>
            <w:pPr>
              <w:jc w:val="center"/>
              <w:ind w:left="650"/>
              <w:spacing w:after="0"/>
              <w:rPr>
                <w:sz w:val="20"/>
                <w:szCs w:val="20"/>
                <w:color w:val="auto"/>
              </w:rPr>
            </w:pPr>
            <w:r>
              <w:rPr>
                <w:rFonts w:ascii="Arial" w:cs="Arial" w:eastAsia="Arial" w:hAnsi="Arial"/>
                <w:sz w:val="18"/>
                <w:szCs w:val="18"/>
                <w:color w:val="auto"/>
                <w:w w:val="89"/>
              </w:rPr>
              <w:t>3,012,677</w:t>
            </w:r>
          </w:p>
        </w:tc>
        <w:tc>
          <w:tcPr>
            <w:tcW w:w="126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51,089,993</w:t>
            </w: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Donald E. Stout</w:t>
            </w:r>
          </w:p>
        </w:tc>
        <w:tc>
          <w:tcPr>
            <w:tcW w:w="2440" w:type="dxa"/>
            <w:vAlign w:val="bottom"/>
            <w:gridSpan w:val="3"/>
          </w:tcPr>
          <w:p>
            <w:pPr>
              <w:jc w:val="center"/>
              <w:ind w:left="10"/>
              <w:spacing w:after="0"/>
              <w:rPr>
                <w:sz w:val="20"/>
                <w:szCs w:val="20"/>
                <w:color w:val="auto"/>
              </w:rPr>
            </w:pPr>
            <w:r>
              <w:rPr>
                <w:rFonts w:ascii="Arial" w:cs="Arial" w:eastAsia="Arial" w:hAnsi="Arial"/>
                <w:sz w:val="18"/>
                <w:szCs w:val="18"/>
                <w:color w:val="auto"/>
                <w:w w:val="90"/>
              </w:rPr>
              <w:t>25,973,020</w:t>
            </w:r>
          </w:p>
        </w:tc>
        <w:tc>
          <w:tcPr>
            <w:tcW w:w="1940" w:type="dxa"/>
            <w:vAlign w:val="bottom"/>
            <w:gridSpan w:val="2"/>
          </w:tcPr>
          <w:p>
            <w:pPr>
              <w:jc w:val="center"/>
              <w:ind w:left="650"/>
              <w:spacing w:after="0"/>
              <w:rPr>
                <w:sz w:val="20"/>
                <w:szCs w:val="20"/>
                <w:color w:val="auto"/>
              </w:rPr>
            </w:pPr>
            <w:r>
              <w:rPr>
                <w:rFonts w:ascii="Arial" w:cs="Arial" w:eastAsia="Arial" w:hAnsi="Arial"/>
                <w:sz w:val="18"/>
                <w:szCs w:val="18"/>
                <w:color w:val="auto"/>
                <w:w w:val="89"/>
              </w:rPr>
              <w:t>2,875,156</w:t>
            </w:r>
          </w:p>
        </w:tc>
        <w:tc>
          <w:tcPr>
            <w:tcW w:w="126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51,089,993</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340" w:right="240" w:hanging="332"/>
        <w:spacing w:after="0" w:line="266"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amendment to the Company’s Amended and Restated Certificate of Incorporation (the “</w:t>
      </w:r>
      <w:r>
        <w:rPr>
          <w:rFonts w:ascii="Arial" w:cs="Arial" w:eastAsia="Arial" w:hAnsi="Arial"/>
          <w:sz w:val="18"/>
          <w:szCs w:val="18"/>
          <w:b w:val="1"/>
          <w:bCs w:val="1"/>
          <w:color w:val="auto"/>
        </w:rPr>
        <w:t>Charter</w:t>
      </w:r>
      <w:r>
        <w:rPr>
          <w:rFonts w:ascii="Arial" w:cs="Arial" w:eastAsia="Arial" w:hAnsi="Arial"/>
          <w:sz w:val="18"/>
          <w:szCs w:val="18"/>
          <w:color w:val="auto"/>
        </w:rPr>
        <w:t>”) to effect a reverse stock split of the Company’s issued and outstanding shares of common stock, at a ratio within the range of one-for-two to one-for-ten, such ratio to be determined by our Board of Directors, was approved, based on the following votes: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18"/>
                <w:szCs w:val="18"/>
                <w:color w:val="auto"/>
              </w:rPr>
            </w:pPr>
          </w:p>
        </w:tc>
        <w:tc>
          <w:tcPr>
            <w:tcW w:w="2700" w:type="dxa"/>
            <w:vAlign w:val="bottom"/>
            <w:gridSpan w:val="2"/>
          </w:tcPr>
          <w:p>
            <w:pPr>
              <w:jc w:val="center"/>
              <w:ind w:right="1980"/>
              <w:spacing w:after="0"/>
              <w:rPr>
                <w:sz w:val="20"/>
                <w:szCs w:val="20"/>
                <w:color w:val="auto"/>
              </w:rPr>
            </w:pPr>
            <w:r>
              <w:rPr>
                <w:rFonts w:ascii="Arial" w:cs="Arial" w:eastAsia="Arial" w:hAnsi="Arial"/>
                <w:sz w:val="18"/>
                <w:szCs w:val="18"/>
                <w:b w:val="1"/>
                <w:bCs w:val="1"/>
                <w:color w:val="auto"/>
                <w:w w:val="86"/>
              </w:rPr>
              <w:t>Votes For</w:t>
            </w:r>
          </w:p>
        </w:tc>
        <w:tc>
          <w:tcPr>
            <w:tcW w:w="2840" w:type="dxa"/>
            <w:vAlign w:val="bottom"/>
            <w:gridSpan w:val="2"/>
          </w:tcPr>
          <w:p>
            <w:pPr>
              <w:jc w:val="center"/>
              <w:ind w:right="1800"/>
              <w:spacing w:after="0"/>
              <w:rPr>
                <w:sz w:val="20"/>
                <w:szCs w:val="20"/>
                <w:color w:val="auto"/>
              </w:rPr>
            </w:pPr>
            <w:r>
              <w:rPr>
                <w:rFonts w:ascii="Arial" w:cs="Arial" w:eastAsia="Arial" w:hAnsi="Arial"/>
                <w:sz w:val="18"/>
                <w:szCs w:val="18"/>
                <w:b w:val="1"/>
                <w:bCs w:val="1"/>
                <w:color w:val="auto"/>
                <w:w w:val="86"/>
              </w:rPr>
              <w:t>Votes Against</w:t>
            </w:r>
          </w:p>
        </w:tc>
        <w:tc>
          <w:tcPr>
            <w:tcW w:w="1880" w:type="dxa"/>
            <w:vAlign w:val="bottom"/>
            <w:gridSpan w:val="2"/>
          </w:tcPr>
          <w:p>
            <w:pPr>
              <w:jc w:val="center"/>
              <w:ind w:right="820"/>
              <w:spacing w:after="0"/>
              <w:rPr>
                <w:sz w:val="20"/>
                <w:szCs w:val="20"/>
                <w:color w:val="auto"/>
              </w:rPr>
            </w:pPr>
            <w:r>
              <w:rPr>
                <w:rFonts w:ascii="Arial" w:cs="Arial" w:eastAsia="Arial" w:hAnsi="Arial"/>
                <w:sz w:val="18"/>
                <w:szCs w:val="18"/>
                <w:b w:val="1"/>
                <w:bCs w:val="1"/>
                <w:color w:val="auto"/>
                <w:w w:val="88"/>
              </w:rPr>
              <w:t>Votes Abstain</w:t>
            </w:r>
          </w:p>
        </w:tc>
        <w:tc>
          <w:tcPr>
            <w:tcW w:w="29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Broker Non-Vote</w:t>
            </w:r>
          </w:p>
        </w:tc>
      </w:tr>
      <w:tr>
        <w:trPr>
          <w:trHeight w:val="21"/>
        </w:trPr>
        <w:tc>
          <w:tcPr>
            <w:tcW w:w="108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16"/>
        </w:trPr>
        <w:tc>
          <w:tcPr>
            <w:tcW w:w="3780" w:type="dxa"/>
            <w:vAlign w:val="bottom"/>
            <w:gridSpan w:val="3"/>
            <w:shd w:val="clear" w:color="auto" w:fill="CCEEFF"/>
          </w:tcPr>
          <w:p>
            <w:pPr>
              <w:jc w:val="right"/>
              <w:ind w:right="1940"/>
              <w:spacing w:after="0"/>
              <w:rPr>
                <w:sz w:val="20"/>
                <w:szCs w:val="20"/>
                <w:color w:val="auto"/>
              </w:rPr>
            </w:pPr>
            <w:r>
              <w:rPr>
                <w:rFonts w:ascii="Arial" w:cs="Arial" w:eastAsia="Arial" w:hAnsi="Arial"/>
                <w:sz w:val="18"/>
                <w:szCs w:val="18"/>
                <w:color w:val="auto"/>
              </w:rPr>
              <w:t>65,697,530</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13,694,162</w:t>
            </w:r>
          </w:p>
        </w:tc>
        <w:tc>
          <w:tcPr>
            <w:tcW w:w="18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546,477</w:t>
            </w:r>
          </w:p>
        </w:tc>
        <w:tc>
          <w:tcPr>
            <w:tcW w:w="8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340" w:right="100" w:hanging="332"/>
        <w:spacing w:after="0" w:line="259"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issuance of the Company’s common stock underlying convertible notes and warrants issued pursuant to the terms of that certain Securities Purchase Agreement, dated May 4, 2015, by and among the Company and the investors named therein, in an amount equal to or in excess of 20% of the Company’s common stock outstanding before the issuance of such convertible notes and warrants in accordance with NASDAQ Listing Rule 5635(d), was approved, based on the following votes: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18"/>
                <w:szCs w:val="18"/>
                <w:color w:val="auto"/>
              </w:rPr>
            </w:pPr>
          </w:p>
        </w:tc>
        <w:tc>
          <w:tcPr>
            <w:tcW w:w="2700" w:type="dxa"/>
            <w:vAlign w:val="bottom"/>
            <w:gridSpan w:val="2"/>
          </w:tcPr>
          <w:p>
            <w:pPr>
              <w:jc w:val="center"/>
              <w:ind w:right="1980"/>
              <w:spacing w:after="0"/>
              <w:rPr>
                <w:sz w:val="20"/>
                <w:szCs w:val="20"/>
                <w:color w:val="auto"/>
              </w:rPr>
            </w:pPr>
            <w:r>
              <w:rPr>
                <w:rFonts w:ascii="Arial" w:cs="Arial" w:eastAsia="Arial" w:hAnsi="Arial"/>
                <w:sz w:val="18"/>
                <w:szCs w:val="18"/>
                <w:b w:val="1"/>
                <w:bCs w:val="1"/>
                <w:color w:val="auto"/>
                <w:w w:val="86"/>
              </w:rPr>
              <w:t>Votes For</w:t>
            </w:r>
          </w:p>
        </w:tc>
        <w:tc>
          <w:tcPr>
            <w:tcW w:w="2840" w:type="dxa"/>
            <w:vAlign w:val="bottom"/>
            <w:gridSpan w:val="2"/>
          </w:tcPr>
          <w:p>
            <w:pPr>
              <w:jc w:val="center"/>
              <w:ind w:right="1800"/>
              <w:spacing w:after="0"/>
              <w:rPr>
                <w:sz w:val="20"/>
                <w:szCs w:val="20"/>
                <w:color w:val="auto"/>
              </w:rPr>
            </w:pPr>
            <w:r>
              <w:rPr>
                <w:rFonts w:ascii="Arial" w:cs="Arial" w:eastAsia="Arial" w:hAnsi="Arial"/>
                <w:sz w:val="18"/>
                <w:szCs w:val="18"/>
                <w:b w:val="1"/>
                <w:bCs w:val="1"/>
                <w:color w:val="auto"/>
                <w:w w:val="86"/>
              </w:rPr>
              <w:t>Votes Against</w:t>
            </w:r>
          </w:p>
        </w:tc>
        <w:tc>
          <w:tcPr>
            <w:tcW w:w="1880" w:type="dxa"/>
            <w:vAlign w:val="bottom"/>
            <w:gridSpan w:val="2"/>
          </w:tcPr>
          <w:p>
            <w:pPr>
              <w:jc w:val="center"/>
              <w:ind w:right="820"/>
              <w:spacing w:after="0"/>
              <w:rPr>
                <w:sz w:val="20"/>
                <w:szCs w:val="20"/>
                <w:color w:val="auto"/>
              </w:rPr>
            </w:pPr>
            <w:r>
              <w:rPr>
                <w:rFonts w:ascii="Arial" w:cs="Arial" w:eastAsia="Arial" w:hAnsi="Arial"/>
                <w:sz w:val="18"/>
                <w:szCs w:val="18"/>
                <w:b w:val="1"/>
                <w:bCs w:val="1"/>
                <w:color w:val="auto"/>
                <w:w w:val="88"/>
              </w:rPr>
              <w:t>Votes Abstain</w:t>
            </w:r>
          </w:p>
        </w:tc>
        <w:tc>
          <w:tcPr>
            <w:tcW w:w="29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Broker Non-Vote</w:t>
            </w:r>
          </w:p>
        </w:tc>
      </w:tr>
      <w:tr>
        <w:trPr>
          <w:trHeight w:val="21"/>
        </w:trPr>
        <w:tc>
          <w:tcPr>
            <w:tcW w:w="108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16"/>
        </w:trPr>
        <w:tc>
          <w:tcPr>
            <w:tcW w:w="3780" w:type="dxa"/>
            <w:vAlign w:val="bottom"/>
            <w:gridSpan w:val="3"/>
            <w:shd w:val="clear" w:color="auto" w:fill="CCEEFF"/>
          </w:tcPr>
          <w:p>
            <w:pPr>
              <w:jc w:val="right"/>
              <w:ind w:right="1940"/>
              <w:spacing w:after="0"/>
              <w:rPr>
                <w:sz w:val="20"/>
                <w:szCs w:val="20"/>
                <w:color w:val="auto"/>
              </w:rPr>
            </w:pPr>
            <w:r>
              <w:rPr>
                <w:rFonts w:ascii="Arial" w:cs="Arial" w:eastAsia="Arial" w:hAnsi="Arial"/>
                <w:sz w:val="18"/>
                <w:szCs w:val="18"/>
                <w:color w:val="auto"/>
              </w:rPr>
              <w:t>22,820,666</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5,226,207</w:t>
            </w:r>
          </w:p>
        </w:tc>
        <w:tc>
          <w:tcPr>
            <w:tcW w:w="18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801,303</w:t>
            </w:r>
          </w:p>
        </w:tc>
        <w:tc>
          <w:tcPr>
            <w:tcW w:w="8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51,089,993</w:t>
            </w:r>
          </w:p>
        </w:tc>
        <w:tc>
          <w:tcPr>
            <w:tcW w:w="760" w:type="dxa"/>
            <w:vAlign w:val="bottom"/>
            <w:shd w:val="clear" w:color="auto" w:fill="CCEEFF"/>
          </w:tcPr>
          <w:p>
            <w:pPr>
              <w:spacing w:after="0"/>
              <w:rPr>
                <w:sz w:val="18"/>
                <w:szCs w:val="18"/>
                <w:color w:val="auto"/>
              </w:rPr>
            </w:pPr>
          </w:p>
        </w:tc>
      </w:tr>
      <w:tr>
        <w:trPr>
          <w:trHeight w:val="459"/>
        </w:trPr>
        <w:tc>
          <w:tcPr>
            <w:tcW w:w="10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2" w:name="page3"/>
    <w:bookmarkEnd w:id="2"/>
    <w:p>
      <w:pPr>
        <w:ind w:left="340" w:hanging="332"/>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amendment to the Company’s Charter to increase the number of our authorized shares of common stock by 100,000,000, from 150,000,000 to</w:t>
      </w:r>
    </w:p>
    <w:p>
      <w:pPr>
        <w:spacing w:after="0" w:line="34"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8"/>
          <w:szCs w:val="18"/>
          <w:color w:val="auto"/>
        </w:rPr>
        <w:t>250,000,000 shares, was not approved, based on the following votes: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17"/>
                <w:szCs w:val="17"/>
                <w:color w:val="auto"/>
              </w:rPr>
            </w:pPr>
          </w:p>
        </w:tc>
        <w:tc>
          <w:tcPr>
            <w:tcW w:w="2700" w:type="dxa"/>
            <w:vAlign w:val="bottom"/>
            <w:gridSpan w:val="2"/>
          </w:tcPr>
          <w:p>
            <w:pPr>
              <w:jc w:val="center"/>
              <w:ind w:right="1980"/>
              <w:spacing w:after="0"/>
              <w:rPr>
                <w:sz w:val="20"/>
                <w:szCs w:val="20"/>
                <w:color w:val="auto"/>
              </w:rPr>
            </w:pPr>
            <w:r>
              <w:rPr>
                <w:rFonts w:ascii="Arial" w:cs="Arial" w:eastAsia="Arial" w:hAnsi="Arial"/>
                <w:sz w:val="18"/>
                <w:szCs w:val="18"/>
                <w:b w:val="1"/>
                <w:bCs w:val="1"/>
                <w:color w:val="auto"/>
                <w:w w:val="86"/>
              </w:rPr>
              <w:t>Votes For</w:t>
            </w:r>
          </w:p>
        </w:tc>
        <w:tc>
          <w:tcPr>
            <w:tcW w:w="2840" w:type="dxa"/>
            <w:vAlign w:val="bottom"/>
            <w:gridSpan w:val="2"/>
          </w:tcPr>
          <w:p>
            <w:pPr>
              <w:jc w:val="center"/>
              <w:ind w:right="1800"/>
              <w:spacing w:after="0"/>
              <w:rPr>
                <w:sz w:val="20"/>
                <w:szCs w:val="20"/>
                <w:color w:val="auto"/>
              </w:rPr>
            </w:pPr>
            <w:r>
              <w:rPr>
                <w:rFonts w:ascii="Arial" w:cs="Arial" w:eastAsia="Arial" w:hAnsi="Arial"/>
                <w:sz w:val="18"/>
                <w:szCs w:val="18"/>
                <w:b w:val="1"/>
                <w:bCs w:val="1"/>
                <w:color w:val="auto"/>
                <w:w w:val="86"/>
              </w:rPr>
              <w:t>Votes Against</w:t>
            </w:r>
          </w:p>
        </w:tc>
        <w:tc>
          <w:tcPr>
            <w:tcW w:w="1880" w:type="dxa"/>
            <w:vAlign w:val="bottom"/>
            <w:gridSpan w:val="2"/>
          </w:tcPr>
          <w:p>
            <w:pPr>
              <w:jc w:val="center"/>
              <w:ind w:right="820"/>
              <w:spacing w:after="0"/>
              <w:rPr>
                <w:sz w:val="20"/>
                <w:szCs w:val="20"/>
                <w:color w:val="auto"/>
              </w:rPr>
            </w:pPr>
            <w:r>
              <w:rPr>
                <w:rFonts w:ascii="Arial" w:cs="Arial" w:eastAsia="Arial" w:hAnsi="Arial"/>
                <w:sz w:val="18"/>
                <w:szCs w:val="18"/>
                <w:b w:val="1"/>
                <w:bCs w:val="1"/>
                <w:color w:val="auto"/>
                <w:w w:val="88"/>
              </w:rPr>
              <w:t>Votes Abstain</w:t>
            </w:r>
          </w:p>
        </w:tc>
        <w:tc>
          <w:tcPr>
            <w:tcW w:w="29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Broker Non-Vote</w:t>
            </w:r>
          </w:p>
        </w:tc>
      </w:tr>
      <w:tr>
        <w:trPr>
          <w:trHeight w:val="21"/>
        </w:trPr>
        <w:tc>
          <w:tcPr>
            <w:tcW w:w="108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16"/>
        </w:trPr>
        <w:tc>
          <w:tcPr>
            <w:tcW w:w="3780" w:type="dxa"/>
            <w:vAlign w:val="bottom"/>
            <w:gridSpan w:val="3"/>
            <w:shd w:val="clear" w:color="auto" w:fill="CCEEFF"/>
          </w:tcPr>
          <w:p>
            <w:pPr>
              <w:jc w:val="right"/>
              <w:ind w:right="1940"/>
              <w:spacing w:after="0"/>
              <w:rPr>
                <w:sz w:val="20"/>
                <w:szCs w:val="20"/>
                <w:color w:val="auto"/>
              </w:rPr>
            </w:pPr>
            <w:r>
              <w:rPr>
                <w:rFonts w:ascii="Arial" w:cs="Arial" w:eastAsia="Arial" w:hAnsi="Arial"/>
                <w:sz w:val="18"/>
                <w:szCs w:val="18"/>
                <w:color w:val="auto"/>
              </w:rPr>
              <w:t>55,196,012</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23,106,947</w:t>
            </w:r>
          </w:p>
        </w:tc>
        <w:tc>
          <w:tcPr>
            <w:tcW w:w="18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1,635,210</w:t>
            </w:r>
          </w:p>
        </w:tc>
        <w:tc>
          <w:tcPr>
            <w:tcW w:w="8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340" w:right="26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amendment to the Plan to increase the number of shares of common stock reserved for issuance under the Plan to up to a maximum of 21,000,000 shares (on a pre-split basis), was approved, based on the following votes: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17"/>
                <w:szCs w:val="17"/>
                <w:color w:val="auto"/>
              </w:rPr>
            </w:pPr>
          </w:p>
        </w:tc>
        <w:tc>
          <w:tcPr>
            <w:tcW w:w="2700" w:type="dxa"/>
            <w:vAlign w:val="bottom"/>
            <w:gridSpan w:val="2"/>
          </w:tcPr>
          <w:p>
            <w:pPr>
              <w:jc w:val="center"/>
              <w:ind w:right="1980"/>
              <w:spacing w:after="0"/>
              <w:rPr>
                <w:sz w:val="20"/>
                <w:szCs w:val="20"/>
                <w:color w:val="auto"/>
              </w:rPr>
            </w:pPr>
            <w:r>
              <w:rPr>
                <w:rFonts w:ascii="Arial" w:cs="Arial" w:eastAsia="Arial" w:hAnsi="Arial"/>
                <w:sz w:val="18"/>
                <w:szCs w:val="18"/>
                <w:b w:val="1"/>
                <w:bCs w:val="1"/>
                <w:color w:val="auto"/>
                <w:w w:val="86"/>
              </w:rPr>
              <w:t>Votes For</w:t>
            </w:r>
          </w:p>
        </w:tc>
        <w:tc>
          <w:tcPr>
            <w:tcW w:w="2840" w:type="dxa"/>
            <w:vAlign w:val="bottom"/>
            <w:gridSpan w:val="2"/>
          </w:tcPr>
          <w:p>
            <w:pPr>
              <w:jc w:val="center"/>
              <w:ind w:right="1800"/>
              <w:spacing w:after="0"/>
              <w:rPr>
                <w:sz w:val="20"/>
                <w:szCs w:val="20"/>
                <w:color w:val="auto"/>
              </w:rPr>
            </w:pPr>
            <w:r>
              <w:rPr>
                <w:rFonts w:ascii="Arial" w:cs="Arial" w:eastAsia="Arial" w:hAnsi="Arial"/>
                <w:sz w:val="18"/>
                <w:szCs w:val="18"/>
                <w:b w:val="1"/>
                <w:bCs w:val="1"/>
                <w:color w:val="auto"/>
                <w:w w:val="86"/>
              </w:rPr>
              <w:t>Votes Against</w:t>
            </w:r>
          </w:p>
        </w:tc>
        <w:tc>
          <w:tcPr>
            <w:tcW w:w="1880" w:type="dxa"/>
            <w:vAlign w:val="bottom"/>
            <w:gridSpan w:val="2"/>
          </w:tcPr>
          <w:p>
            <w:pPr>
              <w:jc w:val="center"/>
              <w:ind w:right="820"/>
              <w:spacing w:after="0"/>
              <w:rPr>
                <w:sz w:val="20"/>
                <w:szCs w:val="20"/>
                <w:color w:val="auto"/>
              </w:rPr>
            </w:pPr>
            <w:r>
              <w:rPr>
                <w:rFonts w:ascii="Arial" w:cs="Arial" w:eastAsia="Arial" w:hAnsi="Arial"/>
                <w:sz w:val="18"/>
                <w:szCs w:val="18"/>
                <w:b w:val="1"/>
                <w:bCs w:val="1"/>
                <w:color w:val="auto"/>
                <w:w w:val="88"/>
              </w:rPr>
              <w:t>Votes Abstain</w:t>
            </w:r>
          </w:p>
        </w:tc>
        <w:tc>
          <w:tcPr>
            <w:tcW w:w="29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Broker Non-Vote</w:t>
            </w:r>
          </w:p>
        </w:tc>
      </w:tr>
      <w:tr>
        <w:trPr>
          <w:trHeight w:val="21"/>
        </w:trPr>
        <w:tc>
          <w:tcPr>
            <w:tcW w:w="108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16"/>
        </w:trPr>
        <w:tc>
          <w:tcPr>
            <w:tcW w:w="3780" w:type="dxa"/>
            <w:vAlign w:val="bottom"/>
            <w:gridSpan w:val="3"/>
            <w:shd w:val="clear" w:color="auto" w:fill="CCEEFF"/>
          </w:tcPr>
          <w:p>
            <w:pPr>
              <w:jc w:val="right"/>
              <w:ind w:right="1940"/>
              <w:spacing w:after="0"/>
              <w:rPr>
                <w:sz w:val="20"/>
                <w:szCs w:val="20"/>
                <w:color w:val="auto"/>
              </w:rPr>
            </w:pPr>
            <w:r>
              <w:rPr>
                <w:rFonts w:ascii="Arial" w:cs="Arial" w:eastAsia="Arial" w:hAnsi="Arial"/>
                <w:sz w:val="18"/>
                <w:szCs w:val="18"/>
                <w:color w:val="auto"/>
              </w:rPr>
              <w:t>19,317,310</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9,220,663</w:t>
            </w:r>
          </w:p>
        </w:tc>
        <w:tc>
          <w:tcPr>
            <w:tcW w:w="18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310,196</w:t>
            </w:r>
          </w:p>
        </w:tc>
        <w:tc>
          <w:tcPr>
            <w:tcW w:w="8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51,089,993</w:t>
            </w:r>
          </w:p>
        </w:tc>
        <w:tc>
          <w:tcPr>
            <w:tcW w:w="7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340" w:right="22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selection of Cohn Reznik LLP as the Company’s independent registered public accounting firm for the fiscal year ending December 31, 2015, was ratified, based on the following votes: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17"/>
                <w:szCs w:val="17"/>
                <w:color w:val="auto"/>
              </w:rPr>
            </w:pPr>
          </w:p>
        </w:tc>
        <w:tc>
          <w:tcPr>
            <w:tcW w:w="2700" w:type="dxa"/>
            <w:vAlign w:val="bottom"/>
            <w:gridSpan w:val="2"/>
          </w:tcPr>
          <w:p>
            <w:pPr>
              <w:jc w:val="center"/>
              <w:ind w:right="1980"/>
              <w:spacing w:after="0"/>
              <w:rPr>
                <w:sz w:val="20"/>
                <w:szCs w:val="20"/>
                <w:color w:val="auto"/>
              </w:rPr>
            </w:pPr>
            <w:r>
              <w:rPr>
                <w:rFonts w:ascii="Arial" w:cs="Arial" w:eastAsia="Arial" w:hAnsi="Arial"/>
                <w:sz w:val="18"/>
                <w:szCs w:val="18"/>
                <w:b w:val="1"/>
                <w:bCs w:val="1"/>
                <w:color w:val="auto"/>
                <w:w w:val="86"/>
              </w:rPr>
              <w:t>Votes For</w:t>
            </w:r>
          </w:p>
        </w:tc>
        <w:tc>
          <w:tcPr>
            <w:tcW w:w="2840" w:type="dxa"/>
            <w:vAlign w:val="bottom"/>
            <w:gridSpan w:val="2"/>
          </w:tcPr>
          <w:p>
            <w:pPr>
              <w:jc w:val="center"/>
              <w:ind w:right="1800"/>
              <w:spacing w:after="0"/>
              <w:rPr>
                <w:sz w:val="20"/>
                <w:szCs w:val="20"/>
                <w:color w:val="auto"/>
              </w:rPr>
            </w:pPr>
            <w:r>
              <w:rPr>
                <w:rFonts w:ascii="Arial" w:cs="Arial" w:eastAsia="Arial" w:hAnsi="Arial"/>
                <w:sz w:val="18"/>
                <w:szCs w:val="18"/>
                <w:b w:val="1"/>
                <w:bCs w:val="1"/>
                <w:color w:val="auto"/>
                <w:w w:val="86"/>
              </w:rPr>
              <w:t>Votes Against</w:t>
            </w:r>
          </w:p>
        </w:tc>
        <w:tc>
          <w:tcPr>
            <w:tcW w:w="1880" w:type="dxa"/>
            <w:vAlign w:val="bottom"/>
            <w:gridSpan w:val="2"/>
          </w:tcPr>
          <w:p>
            <w:pPr>
              <w:jc w:val="center"/>
              <w:ind w:right="820"/>
              <w:spacing w:after="0"/>
              <w:rPr>
                <w:sz w:val="20"/>
                <w:szCs w:val="20"/>
                <w:color w:val="auto"/>
              </w:rPr>
            </w:pPr>
            <w:r>
              <w:rPr>
                <w:rFonts w:ascii="Arial" w:cs="Arial" w:eastAsia="Arial" w:hAnsi="Arial"/>
                <w:sz w:val="18"/>
                <w:szCs w:val="18"/>
                <w:b w:val="1"/>
                <w:bCs w:val="1"/>
                <w:color w:val="auto"/>
                <w:w w:val="88"/>
              </w:rPr>
              <w:t>Votes Abstain</w:t>
            </w:r>
          </w:p>
        </w:tc>
        <w:tc>
          <w:tcPr>
            <w:tcW w:w="29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Broker Non-Vote</w:t>
            </w:r>
          </w:p>
        </w:tc>
      </w:tr>
      <w:tr>
        <w:trPr>
          <w:trHeight w:val="21"/>
        </w:trPr>
        <w:tc>
          <w:tcPr>
            <w:tcW w:w="108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16"/>
        </w:trPr>
        <w:tc>
          <w:tcPr>
            <w:tcW w:w="3780" w:type="dxa"/>
            <w:vAlign w:val="bottom"/>
            <w:gridSpan w:val="3"/>
            <w:shd w:val="clear" w:color="auto" w:fill="CCEEFF"/>
          </w:tcPr>
          <w:p>
            <w:pPr>
              <w:jc w:val="right"/>
              <w:ind w:right="1940"/>
              <w:spacing w:after="0"/>
              <w:rPr>
                <w:sz w:val="20"/>
                <w:szCs w:val="20"/>
                <w:color w:val="auto"/>
              </w:rPr>
            </w:pPr>
            <w:r>
              <w:rPr>
                <w:rFonts w:ascii="Arial" w:cs="Arial" w:eastAsia="Arial" w:hAnsi="Arial"/>
                <w:sz w:val="18"/>
                <w:szCs w:val="18"/>
                <w:color w:val="auto"/>
              </w:rPr>
              <w:t>75,567,649</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2,774,186</w:t>
            </w:r>
          </w:p>
        </w:tc>
        <w:tc>
          <w:tcPr>
            <w:tcW w:w="18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1,596,334</w:t>
            </w:r>
          </w:p>
        </w:tc>
        <w:tc>
          <w:tcPr>
            <w:tcW w:w="8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340" w:right="420" w:hanging="332"/>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compensation of the Company’s named executive officers, as disclosed in our proxy statement, was approved by an advisory vote, based on the following votes: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17"/>
                <w:szCs w:val="17"/>
                <w:color w:val="auto"/>
              </w:rPr>
            </w:pPr>
          </w:p>
        </w:tc>
        <w:tc>
          <w:tcPr>
            <w:tcW w:w="2700" w:type="dxa"/>
            <w:vAlign w:val="bottom"/>
            <w:gridSpan w:val="2"/>
          </w:tcPr>
          <w:p>
            <w:pPr>
              <w:jc w:val="center"/>
              <w:ind w:right="1980"/>
              <w:spacing w:after="0"/>
              <w:rPr>
                <w:sz w:val="20"/>
                <w:szCs w:val="20"/>
                <w:color w:val="auto"/>
              </w:rPr>
            </w:pPr>
            <w:r>
              <w:rPr>
                <w:rFonts w:ascii="Arial" w:cs="Arial" w:eastAsia="Arial" w:hAnsi="Arial"/>
                <w:sz w:val="18"/>
                <w:szCs w:val="18"/>
                <w:b w:val="1"/>
                <w:bCs w:val="1"/>
                <w:color w:val="auto"/>
                <w:w w:val="86"/>
              </w:rPr>
              <w:t>Votes For</w:t>
            </w:r>
          </w:p>
        </w:tc>
        <w:tc>
          <w:tcPr>
            <w:tcW w:w="2840" w:type="dxa"/>
            <w:vAlign w:val="bottom"/>
            <w:gridSpan w:val="2"/>
          </w:tcPr>
          <w:p>
            <w:pPr>
              <w:jc w:val="center"/>
              <w:ind w:right="1800"/>
              <w:spacing w:after="0"/>
              <w:rPr>
                <w:sz w:val="20"/>
                <w:szCs w:val="20"/>
                <w:color w:val="auto"/>
              </w:rPr>
            </w:pPr>
            <w:r>
              <w:rPr>
                <w:rFonts w:ascii="Arial" w:cs="Arial" w:eastAsia="Arial" w:hAnsi="Arial"/>
                <w:sz w:val="18"/>
                <w:szCs w:val="18"/>
                <w:b w:val="1"/>
                <w:bCs w:val="1"/>
                <w:color w:val="auto"/>
                <w:w w:val="86"/>
              </w:rPr>
              <w:t>Votes Against</w:t>
            </w:r>
          </w:p>
        </w:tc>
        <w:tc>
          <w:tcPr>
            <w:tcW w:w="1880" w:type="dxa"/>
            <w:vAlign w:val="bottom"/>
            <w:gridSpan w:val="2"/>
          </w:tcPr>
          <w:p>
            <w:pPr>
              <w:jc w:val="center"/>
              <w:ind w:right="820"/>
              <w:spacing w:after="0"/>
              <w:rPr>
                <w:sz w:val="20"/>
                <w:szCs w:val="20"/>
                <w:color w:val="auto"/>
              </w:rPr>
            </w:pPr>
            <w:r>
              <w:rPr>
                <w:rFonts w:ascii="Arial" w:cs="Arial" w:eastAsia="Arial" w:hAnsi="Arial"/>
                <w:sz w:val="18"/>
                <w:szCs w:val="18"/>
                <w:b w:val="1"/>
                <w:bCs w:val="1"/>
                <w:color w:val="auto"/>
                <w:w w:val="88"/>
              </w:rPr>
              <w:t>Votes Abstain</w:t>
            </w:r>
          </w:p>
        </w:tc>
        <w:tc>
          <w:tcPr>
            <w:tcW w:w="29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Broker Non-Vote</w:t>
            </w:r>
          </w:p>
        </w:tc>
      </w:tr>
      <w:tr>
        <w:trPr>
          <w:trHeight w:val="21"/>
        </w:trPr>
        <w:tc>
          <w:tcPr>
            <w:tcW w:w="108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16"/>
        </w:trPr>
        <w:tc>
          <w:tcPr>
            <w:tcW w:w="3780" w:type="dxa"/>
            <w:vAlign w:val="bottom"/>
            <w:gridSpan w:val="3"/>
            <w:shd w:val="clear" w:color="auto" w:fill="CCEEFF"/>
          </w:tcPr>
          <w:p>
            <w:pPr>
              <w:jc w:val="right"/>
              <w:ind w:right="1940"/>
              <w:spacing w:after="0"/>
              <w:rPr>
                <w:sz w:val="20"/>
                <w:szCs w:val="20"/>
                <w:color w:val="auto"/>
              </w:rPr>
            </w:pPr>
            <w:r>
              <w:rPr>
                <w:rFonts w:ascii="Arial" w:cs="Arial" w:eastAsia="Arial" w:hAnsi="Arial"/>
                <w:sz w:val="18"/>
                <w:szCs w:val="18"/>
                <w:color w:val="auto"/>
              </w:rPr>
              <w:t>19,437,062</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8,426,357</w:t>
            </w:r>
          </w:p>
        </w:tc>
        <w:tc>
          <w:tcPr>
            <w:tcW w:w="18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984,757</w:t>
            </w:r>
          </w:p>
        </w:tc>
        <w:tc>
          <w:tcPr>
            <w:tcW w:w="8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51,089,993</w:t>
            </w:r>
          </w:p>
        </w:tc>
        <w:tc>
          <w:tcPr>
            <w:tcW w:w="760" w:type="dxa"/>
            <w:vAlign w:val="bottom"/>
            <w:shd w:val="clear" w:color="auto" w:fill="CCEEFF"/>
          </w:tcPr>
          <w:p>
            <w:pPr>
              <w:spacing w:after="0"/>
              <w:rPr>
                <w:sz w:val="18"/>
                <w:szCs w:val="18"/>
                <w:color w:val="auto"/>
              </w:rPr>
            </w:pPr>
          </w:p>
        </w:tc>
      </w:tr>
      <w:tr>
        <w:trPr>
          <w:trHeight w:val="675"/>
        </w:trPr>
        <w:tc>
          <w:tcPr>
            <w:tcW w:w="10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70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7020" w:type="dxa"/>
            <w:vAlign w:val="bottom"/>
            <w:gridSpan w:val="2"/>
          </w:tcPr>
          <w:p>
            <w:pPr>
              <w:ind w:left="2460"/>
              <w:spacing w:after="0"/>
              <w:rPr>
                <w:sz w:val="20"/>
                <w:szCs w:val="20"/>
                <w:color w:val="auto"/>
              </w:rPr>
            </w:pPr>
            <w:r>
              <w:rPr>
                <w:rFonts w:ascii="Arial" w:cs="Arial" w:eastAsia="Arial" w:hAnsi="Arial"/>
                <w:sz w:val="18"/>
                <w:szCs w:val="18"/>
                <w:b w:val="1"/>
                <w:bCs w:val="1"/>
                <w:color w:val="auto"/>
              </w:rPr>
              <w:t>VRINGO, INC.</w:t>
            </w:r>
          </w:p>
        </w:tc>
      </w:tr>
      <w:tr>
        <w:trPr>
          <w:trHeight w:val="432"/>
        </w:trPr>
        <w:tc>
          <w:tcPr>
            <w:tcW w:w="4400" w:type="dxa"/>
            <w:vAlign w:val="bottom"/>
          </w:tcPr>
          <w:p>
            <w:pPr>
              <w:spacing w:after="0"/>
              <w:rPr>
                <w:sz w:val="20"/>
                <w:szCs w:val="20"/>
                <w:color w:val="auto"/>
              </w:rPr>
            </w:pPr>
            <w:r>
              <w:rPr>
                <w:rFonts w:ascii="Arial" w:cs="Arial" w:eastAsia="Arial" w:hAnsi="Arial"/>
                <w:sz w:val="18"/>
                <w:szCs w:val="18"/>
                <w:color w:val="auto"/>
              </w:rPr>
              <w:t>Date: November 16, 2015</w:t>
            </w:r>
          </w:p>
        </w:tc>
        <w:tc>
          <w:tcPr>
            <w:tcW w:w="3040" w:type="dxa"/>
            <w:vAlign w:val="bottom"/>
          </w:tcPr>
          <w:p>
            <w:pPr>
              <w:ind w:left="246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D. Perlman</w:t>
            </w:r>
          </w:p>
        </w:tc>
      </w:tr>
      <w:tr>
        <w:trPr>
          <w:trHeight w:val="195"/>
        </w:trPr>
        <w:tc>
          <w:tcPr>
            <w:tcW w:w="4400" w:type="dxa"/>
            <w:vAlign w:val="bottom"/>
          </w:tcPr>
          <w:p>
            <w:pPr>
              <w:spacing w:after="0"/>
              <w:rPr>
                <w:sz w:val="16"/>
                <w:szCs w:val="16"/>
                <w:color w:val="auto"/>
              </w:rPr>
            </w:pPr>
          </w:p>
        </w:tc>
        <w:tc>
          <w:tcPr>
            <w:tcW w:w="3040" w:type="dxa"/>
            <w:vAlign w:val="bottom"/>
          </w:tcPr>
          <w:p>
            <w:pPr>
              <w:ind w:left="2460"/>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Andrew D. Perlman</w:t>
            </w:r>
          </w:p>
        </w:tc>
      </w:tr>
      <w:tr>
        <w:trPr>
          <w:trHeight w:val="230"/>
        </w:trPr>
        <w:tc>
          <w:tcPr>
            <w:tcW w:w="4400" w:type="dxa"/>
            <w:vAlign w:val="bottom"/>
          </w:tcPr>
          <w:p>
            <w:pPr>
              <w:spacing w:after="0"/>
              <w:rPr>
                <w:sz w:val="20"/>
                <w:szCs w:val="20"/>
                <w:color w:val="auto"/>
              </w:rPr>
            </w:pPr>
          </w:p>
        </w:tc>
        <w:tc>
          <w:tcPr>
            <w:tcW w:w="3040" w:type="dxa"/>
            <w:vAlign w:val="bottom"/>
          </w:tcPr>
          <w:p>
            <w:pPr>
              <w:ind w:left="246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59"/>
        </w:trPr>
        <w:tc>
          <w:tcPr>
            <w:tcW w:w="44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68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5"/>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2"/>
    </w:lvl>
  </w:abstractNum>
  <w:abstractNum w:abstractNumId="5">
    <w:nsid w:val="7545E146"/>
    <w:multiLevelType w:val="hybridMultilevel"/>
    <w:lvl w:ilvl="0">
      <w:lvlJc w:val="left"/>
      <w:lvlText w:val="(%1)"/>
      <w:numFmt w:val="decimal"/>
      <w:start w:val="3"/>
    </w:lvl>
  </w:abstractNum>
  <w:abstractNum w:abstractNumId="6">
    <w:nsid w:val="515F007C"/>
    <w:multiLevelType w:val="hybridMultilevel"/>
    <w:lvl w:ilvl="0">
      <w:lvlJc w:val="left"/>
      <w:lvlText w:val="(%1)"/>
      <w:numFmt w:val="decimal"/>
      <w:start w:val="4"/>
    </w:lvl>
  </w:abstractNum>
  <w:abstractNum w:abstractNumId="7">
    <w:nsid w:val="5BD062C2"/>
    <w:multiLevelType w:val="hybridMultilevel"/>
    <w:lvl w:ilvl="0">
      <w:lvlJc w:val="left"/>
      <w:lvlText w:val="(%1)"/>
      <w:numFmt w:val="decimal"/>
      <w:start w:val="5"/>
    </w:lvl>
  </w:abstractNum>
  <w:abstractNum w:abstractNumId="8">
    <w:nsid w:val="12200854"/>
    <w:multiLevelType w:val="hybridMultilevel"/>
    <w:lvl w:ilvl="0">
      <w:lvlJc w:val="left"/>
      <w:lvlText w:val="(%1)"/>
      <w:numFmt w:val="decimal"/>
      <w:start w:val="6"/>
    </w:lvl>
  </w:abstractNum>
  <w:abstractNum w:abstractNumId="9">
    <w:nsid w:val="4DB127F8"/>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2019-12-08T20:07:08Z</dcterms:created>
  <dcterms:modified xsi:type="dcterms:W3CDTF">2019-12-08T20:07:08Z</dcterms:modified>
</cp:coreProperties>
</file>