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900" w:right="1620" w:hanging="3892"/>
        <w:spacing w:after="0" w:line="48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2019</w:t>
      </w:r>
    </w:p>
    <w:p>
      <w:pPr>
        <w:spacing w:after="0" w:line="26" w:lineRule="exact"/>
        <w:rPr>
          <w:sz w:val="24"/>
          <w:szCs w:val="24"/>
          <w:color w:val="auto"/>
        </w:rPr>
      </w:pPr>
    </w:p>
    <w:p>
      <w:pPr>
        <w:ind w:left="4140" w:right="1600" w:hanging="4132"/>
        <w:spacing w:after="0" w:line="501"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ind w:left="43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001-34785</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XpresSpa Group,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5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51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6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5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780 Third Avenue, 12th Floor, New York, NY</w:t>
            </w:r>
          </w:p>
        </w:tc>
        <w:tc>
          <w:tcPr>
            <w:tcW w:w="3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34"/>
        </w:trPr>
        <w:tc>
          <w:tcPr>
            <w:tcW w:w="51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6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309-7549</w:t>
      </w:r>
    </w:p>
    <w:p>
      <w:pPr>
        <w:spacing w:after="0" w:line="22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7"/>
        </w:trPr>
        <w:tc>
          <w:tcPr>
            <w:tcW w:w="19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340"/>
              <w:spacing w:after="0" w:line="188" w:lineRule="exact"/>
              <w:rPr>
                <w:sz w:val="20"/>
                <w:szCs w:val="20"/>
                <w:color w:val="auto"/>
              </w:rPr>
            </w:pPr>
            <w:r>
              <w:rPr>
                <w:rFonts w:ascii="Times New Roman" w:cs="Times New Roman" w:eastAsia="Times New Roman" w:hAnsi="Times New Roman"/>
                <w:sz w:val="18"/>
                <w:szCs w:val="18"/>
                <w:color w:val="auto"/>
              </w:rPr>
              <w:t>x</w:t>
            </w:r>
          </w:p>
        </w:tc>
        <w:tc>
          <w:tcPr>
            <w:tcW w:w="5180" w:type="dxa"/>
            <w:vAlign w:val="bottom"/>
          </w:tcPr>
          <w:p>
            <w:pPr>
              <w:ind w:left="2760"/>
              <w:spacing w:after="0" w:line="188" w:lineRule="exact"/>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8" w:lineRule="exact"/>
              <w:rPr>
                <w:sz w:val="20"/>
                <w:szCs w:val="20"/>
                <w:color w:val="auto"/>
              </w:rPr>
            </w:pPr>
            <w:r>
              <w:rPr>
                <w:rFonts w:ascii="Times New Roman" w:cs="Times New Roman" w:eastAsia="Times New Roman" w:hAnsi="Times New Roman"/>
                <w:sz w:val="18"/>
                <w:szCs w:val="18"/>
                <w:color w:val="auto"/>
              </w:rPr>
              <w:t>x</w:t>
            </w:r>
          </w:p>
        </w:tc>
      </w:tr>
      <w:tr>
        <w:trPr>
          <w:trHeight w:val="283"/>
        </w:trPr>
        <w:tc>
          <w:tcPr>
            <w:tcW w:w="19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40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XSPA</w:t>
            </w:r>
          </w:p>
        </w:tc>
        <w:tc>
          <w:tcPr>
            <w:tcW w:w="12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15, 2019, 1,956,712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60" w:type="dxa"/>
            <w:vAlign w:val="bottom"/>
            <w:gridSpan w:val="4"/>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XpresSpa Group, Inc. and Subsidiaries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40" w:type="dxa"/>
            <w:vAlign w:val="bottom"/>
            <w:gridSpan w:val="3"/>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tcBorders>
              <w:top w:val="single" w:sz="8" w:color="CCEEFF"/>
            </w:tcBorders>
            <w:gridSpan w:val="15"/>
            <w:shd w:val="clear" w:color="auto" w:fill="CCEEFF"/>
          </w:tcPr>
          <w:p>
            <w:pPr>
              <w:spacing w:after="0" w:line="136" w:lineRule="exact"/>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PART I. FINANCIAL INFORMATION</w:t>
              </w:r>
            </w:hyperlink>
          </w:p>
        </w:tc>
        <w:tc>
          <w:tcPr>
            <w:tcW w:w="900" w:type="dxa"/>
            <w:vAlign w:val="bottom"/>
            <w:tcBorders>
              <w:top w:val="single" w:sz="8" w:color="auto"/>
            </w:tcBorders>
            <w:gridSpan w:val="3"/>
            <w:shd w:val="clear" w:color="auto" w:fill="CCEEFF"/>
          </w:tcPr>
          <w:p>
            <w:pPr>
              <w:jc w:val="right"/>
              <w:spacing w:after="0" w:line="142" w:lineRule="exact"/>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3">
              <w:r>
                <w:rPr>
                  <w:rFonts w:ascii="Times New Roman" w:cs="Times New Roman" w:eastAsia="Times New Roman" w:hAnsi="Times New Roman"/>
                  <w:sz w:val="18"/>
                  <w:szCs w:val="18"/>
                  <w:color w:val="0000EE"/>
                  <w:w w:val="94"/>
                </w:rPr>
                <w:t>Item 1.</w:t>
              </w:r>
            </w:hyperlink>
          </w:p>
        </w:tc>
        <w:tc>
          <w:tcPr>
            <w:tcW w:w="400" w:type="dxa"/>
            <w:vAlign w:val="bottom"/>
            <w:gridSpan w:val="2"/>
            <w:shd w:val="clear" w:color="auto" w:fill="CCEEFF"/>
          </w:tcPr>
          <w:p>
            <w:pPr>
              <w:spacing w:after="0"/>
              <w:rPr>
                <w:sz w:val="15"/>
                <w:szCs w:val="15"/>
                <w:color w:val="auto"/>
              </w:rPr>
            </w:pPr>
          </w:p>
        </w:tc>
        <w:tc>
          <w:tcPr>
            <w:tcW w:w="336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Financial Statements</w:t>
              </w:r>
            </w:hyperlink>
          </w:p>
        </w:tc>
        <w:tc>
          <w:tcPr>
            <w:tcW w:w="6240" w:type="dxa"/>
            <w:vAlign w:val="bottom"/>
            <w:gridSpan w:val="3"/>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Times New Roman" w:cs="Times New Roman" w:eastAsia="Times New Roman" w:hAnsi="Times New Roman"/>
                <w:sz w:val="18"/>
                <w:szCs w:val="18"/>
                <w:color w:val="0000EE"/>
                <w:w w:val="94"/>
              </w:rPr>
            </w:pPr>
            <w:hyperlink w:anchor="page31">
              <w:r>
                <w:rPr>
                  <w:rFonts w:ascii="Times New Roman" w:cs="Times New Roman" w:eastAsia="Times New Roman" w:hAnsi="Times New Roman"/>
                  <w:sz w:val="18"/>
                  <w:szCs w:val="18"/>
                  <w:color w:val="0000EE"/>
                  <w:w w:val="94"/>
                </w:rPr>
                <w:t>Item 2.</w:t>
              </w:r>
            </w:hyperlink>
          </w:p>
        </w:tc>
        <w:tc>
          <w:tcPr>
            <w:tcW w:w="400" w:type="dxa"/>
            <w:vAlign w:val="bottom"/>
            <w:gridSpan w:val="2"/>
          </w:tcPr>
          <w:p>
            <w:pPr>
              <w:spacing w:after="0"/>
              <w:rPr>
                <w:sz w:val="15"/>
                <w:szCs w:val="15"/>
                <w:color w:val="auto"/>
              </w:rPr>
            </w:pPr>
          </w:p>
        </w:tc>
        <w:tc>
          <w:tcPr>
            <w:tcW w:w="9600" w:type="dxa"/>
            <w:vAlign w:val="bottom"/>
            <w:gridSpan w:val="12"/>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42">
              <w:r>
                <w:rPr>
                  <w:rFonts w:ascii="Times New Roman" w:cs="Times New Roman" w:eastAsia="Times New Roman" w:hAnsi="Times New Roman"/>
                  <w:sz w:val="18"/>
                  <w:szCs w:val="18"/>
                  <w:color w:val="0000EE"/>
                  <w:w w:val="94"/>
                </w:rPr>
                <w:t>Item 3.</w:t>
              </w:r>
            </w:hyperlink>
          </w:p>
        </w:tc>
        <w:tc>
          <w:tcPr>
            <w:tcW w:w="400" w:type="dxa"/>
            <w:vAlign w:val="bottom"/>
            <w:gridSpan w:val="2"/>
            <w:shd w:val="clear" w:color="auto" w:fill="CCEEFF"/>
          </w:tcPr>
          <w:p>
            <w:pPr>
              <w:spacing w:after="0"/>
              <w:rPr>
                <w:sz w:val="17"/>
                <w:szCs w:val="17"/>
                <w:color w:val="auto"/>
              </w:rPr>
            </w:pPr>
          </w:p>
        </w:tc>
        <w:tc>
          <w:tcPr>
            <w:tcW w:w="96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Quantitative and Qualitative Disclosures About Market Risk</w:t>
              </w:r>
            </w:hyperlink>
          </w:p>
        </w:tc>
        <w:tc>
          <w:tcPr>
            <w:tcW w:w="90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Times New Roman" w:cs="Times New Roman" w:eastAsia="Times New Roman" w:hAnsi="Times New Roman"/>
                <w:sz w:val="18"/>
                <w:szCs w:val="18"/>
                <w:color w:val="0000EE"/>
                <w:w w:val="94"/>
              </w:rPr>
            </w:pPr>
            <w:hyperlink w:anchor="page42">
              <w:r>
                <w:rPr>
                  <w:rFonts w:ascii="Times New Roman" w:cs="Times New Roman" w:eastAsia="Times New Roman" w:hAnsi="Times New Roman"/>
                  <w:sz w:val="18"/>
                  <w:szCs w:val="18"/>
                  <w:color w:val="0000EE"/>
                  <w:w w:val="94"/>
                </w:rPr>
                <w:t>Item 4.</w:t>
              </w:r>
            </w:hyperlink>
          </w:p>
        </w:tc>
        <w:tc>
          <w:tcPr>
            <w:tcW w:w="400" w:type="dxa"/>
            <w:vAlign w:val="bottom"/>
            <w:tcBorders>
              <w:top w:val="single" w:sz="8" w:color="CCEEFF"/>
            </w:tcBorders>
            <w:gridSpan w:val="2"/>
          </w:tcPr>
          <w:p>
            <w:pPr>
              <w:spacing w:after="0"/>
              <w:rPr>
                <w:sz w:val="15"/>
                <w:szCs w:val="15"/>
                <w:color w:val="auto"/>
              </w:rPr>
            </w:pPr>
          </w:p>
        </w:tc>
        <w:tc>
          <w:tcPr>
            <w:tcW w:w="4360" w:type="dxa"/>
            <w:vAlign w:val="bottom"/>
            <w:tcBorders>
              <w:top w:val="single" w:sz="8" w:color="0000EE"/>
            </w:tcBorders>
            <w:gridSpan w:val="10"/>
          </w:tcPr>
          <w:p>
            <w:pPr>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Controls and Procedures</w:t>
              </w:r>
            </w:hyperlink>
          </w:p>
        </w:tc>
        <w:tc>
          <w:tcPr>
            <w:tcW w:w="5240" w:type="dxa"/>
            <w:vAlign w:val="bottom"/>
            <w:tcBorders>
              <w:top w:val="single" w:sz="8" w:color="CCEEFF"/>
            </w:tcBorders>
            <w:gridSpan w:val="2"/>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42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PART II. OTHER INFORMATION</w:t>
              </w:r>
            </w:hyperlink>
          </w:p>
        </w:tc>
        <w:tc>
          <w:tcPr>
            <w:tcW w:w="9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1.</w:t>
              </w:r>
            </w:hyperlink>
          </w:p>
        </w:tc>
        <w:tc>
          <w:tcPr>
            <w:tcW w:w="9600" w:type="dxa"/>
            <w:vAlign w:val="bottom"/>
            <w:gridSpan w:val="12"/>
          </w:tcPr>
          <w:p>
            <w:pPr>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Legal Proceedings</w:t>
              </w:r>
            </w:hyperlink>
          </w:p>
        </w:tc>
        <w:tc>
          <w:tcPr>
            <w:tcW w:w="9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1A.</w:t>
              </w:r>
            </w:hyperlink>
          </w:p>
        </w:tc>
        <w:tc>
          <w:tcPr>
            <w:tcW w:w="96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Risk Factors</w:t>
              </w:r>
            </w:hyperlink>
          </w:p>
        </w:tc>
        <w:tc>
          <w:tcPr>
            <w:tcW w:w="90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2.</w:t>
              </w:r>
            </w:hyperlink>
          </w:p>
        </w:tc>
        <w:tc>
          <w:tcPr>
            <w:tcW w:w="280" w:type="dxa"/>
            <w:vAlign w:val="bottom"/>
          </w:tcPr>
          <w:p>
            <w:pPr>
              <w:spacing w:after="0"/>
              <w:rPr>
                <w:sz w:val="15"/>
                <w:szCs w:val="15"/>
                <w:color w:val="auto"/>
              </w:rPr>
            </w:pPr>
          </w:p>
        </w:tc>
        <w:tc>
          <w:tcPr>
            <w:tcW w:w="9600" w:type="dxa"/>
            <w:vAlign w:val="bottom"/>
            <w:gridSpan w:val="12"/>
          </w:tcPr>
          <w:p>
            <w:pPr>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Unregistered Sales of Equity Securities and Use of Proceeds</w:t>
              </w:r>
            </w:hyperlink>
          </w:p>
        </w:tc>
        <w:tc>
          <w:tcPr>
            <w:tcW w:w="9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43">
              <w:r>
                <w:rPr>
                  <w:rFonts w:ascii="Times New Roman" w:cs="Times New Roman" w:eastAsia="Times New Roman" w:hAnsi="Times New Roman"/>
                  <w:sz w:val="18"/>
                  <w:szCs w:val="18"/>
                  <w:color w:val="0000EE"/>
                  <w:w w:val="94"/>
                </w:rPr>
                <w:t>Item 3.</w:t>
              </w:r>
            </w:hyperlink>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234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Defaults Upon Senior Securities</w:t>
              </w:r>
            </w:hyperlink>
          </w:p>
        </w:tc>
        <w:tc>
          <w:tcPr>
            <w:tcW w:w="7260" w:type="dxa"/>
            <w:vAlign w:val="bottom"/>
            <w:tcBorders>
              <w:bottom w:val="single" w:sz="8" w:color="CCEEFF"/>
            </w:tcBorders>
            <w:gridSpan w:val="4"/>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3"/>
          </w:tcPr>
          <w:p>
            <w:pPr>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4.</w:t>
              </w:r>
            </w:hyperlink>
          </w:p>
        </w:tc>
        <w:tc>
          <w:tcPr>
            <w:tcW w:w="9600" w:type="dxa"/>
            <w:vAlign w:val="bottom"/>
            <w:gridSpan w:val="12"/>
          </w:tcPr>
          <w:p>
            <w:pPr>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Mine Safety Disclosures</w:t>
              </w:r>
            </w:hyperlink>
          </w:p>
        </w:tc>
        <w:tc>
          <w:tcPr>
            <w:tcW w:w="9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44">
              <w:r>
                <w:rPr>
                  <w:rFonts w:ascii="Times New Roman" w:cs="Times New Roman" w:eastAsia="Times New Roman" w:hAnsi="Times New Roman"/>
                  <w:sz w:val="18"/>
                  <w:szCs w:val="18"/>
                  <w:color w:val="0000EE"/>
                  <w:w w:val="94"/>
                </w:rPr>
                <w:t>Item 5.</w:t>
              </w:r>
            </w:hyperlink>
          </w:p>
        </w:tc>
        <w:tc>
          <w:tcPr>
            <w:tcW w:w="400" w:type="dxa"/>
            <w:vAlign w:val="bottom"/>
            <w:gridSpan w:val="2"/>
            <w:shd w:val="clear" w:color="auto" w:fill="CCEEFF"/>
          </w:tcPr>
          <w:p>
            <w:pPr>
              <w:spacing w:after="0"/>
              <w:rPr>
                <w:sz w:val="17"/>
                <w:szCs w:val="17"/>
                <w:color w:val="auto"/>
              </w:rPr>
            </w:pPr>
          </w:p>
        </w:tc>
        <w:tc>
          <w:tcPr>
            <w:tcW w:w="96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Other Information</w:t>
              </w:r>
            </w:hyperlink>
          </w:p>
        </w:tc>
        <w:tc>
          <w:tcPr>
            <w:tcW w:w="90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Times New Roman" w:cs="Times New Roman" w:eastAsia="Times New Roman" w:hAnsi="Times New Roman"/>
                <w:sz w:val="18"/>
                <w:szCs w:val="18"/>
                <w:color w:val="0000EE"/>
                <w:w w:val="94"/>
              </w:rPr>
            </w:pPr>
            <w:hyperlink w:anchor="page44">
              <w:r>
                <w:rPr>
                  <w:rFonts w:ascii="Times New Roman" w:cs="Times New Roman" w:eastAsia="Times New Roman" w:hAnsi="Times New Roman"/>
                  <w:sz w:val="18"/>
                  <w:szCs w:val="18"/>
                  <w:color w:val="0000EE"/>
                  <w:w w:val="94"/>
                </w:rPr>
                <w:t>Item 6.</w:t>
              </w:r>
            </w:hyperlink>
          </w:p>
        </w:tc>
        <w:tc>
          <w:tcPr>
            <w:tcW w:w="400" w:type="dxa"/>
            <w:vAlign w:val="bottom"/>
            <w:tcBorders>
              <w:top w:val="single" w:sz="8" w:color="CCEEFF"/>
            </w:tcBorders>
            <w:gridSpan w:val="2"/>
          </w:tcPr>
          <w:p>
            <w:pPr>
              <w:spacing w:after="0"/>
              <w:rPr>
                <w:sz w:val="15"/>
                <w:szCs w:val="15"/>
                <w:color w:val="auto"/>
              </w:rPr>
            </w:pPr>
          </w:p>
        </w:tc>
        <w:tc>
          <w:tcPr>
            <w:tcW w:w="132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Exhibits</w:t>
              </w:r>
            </w:hyperlink>
          </w:p>
        </w:tc>
        <w:tc>
          <w:tcPr>
            <w:tcW w:w="8280" w:type="dxa"/>
            <w:vAlign w:val="bottom"/>
            <w:tcBorders>
              <w:top w:val="single" w:sz="8" w:color="CCEEFF"/>
            </w:tcBorders>
            <w:gridSpan w:val="9"/>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3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3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XpresSpa Group, Inc. and Subsidiaries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3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3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2,884</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7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disposal</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11,289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8,599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9,565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3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8,795</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7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held for disposal</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9,565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$0.01 par value per share; 6,968 shares authorized; 348 issued and none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7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$0.01 par value per share; 1,609,167 shares authorized; 80,458 issued and none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7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Junior Preferred stock, $0.01 par value per share; 300,000 shares authorized; none issued and outstanding</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Series D Convertible Preferred Stock, $0.01 par value per share; 500,000 shares authorized; 23,760 shares issued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21,027 shares outstanding with a liquidation value of $20,186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E Convertible Preferred Stock, $0.01 par value per share, 1,473,300 shares authorized; 48,387 shares issued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 with a liquidation value of $3,023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150,000,000 shares authorized; 1,941,341 and 1,761,802 issued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as of March 31, 2019 and December 31, 2018, respectively</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296,823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(289,886)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attributable to the Company</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3,992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to reflect the impact of the 1:20 reverse stock split that became effective on February 22,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March 31,</w:t>
      </w:r>
    </w:p>
    <w:p>
      <w:pPr>
        <w:sectPr>
          <w:pgSz w:w="11900" w:h="16838" w:orient="portrait"/>
          <w:cols w:equalWidth="0" w:num="1">
            <w:col w:w="11420"/>
          </w:cols>
          <w:pgMar w:left="240" w:top="900" w:right="239"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Products and services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Occupancy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Products and other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Consolidated net loss from continuing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from discontinued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loss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loss from continuing operations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comprehensive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Comprehensive loss from continuing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comprehensive loss from discontinued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1"/>
        </w:trPr>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11,046</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11,800</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12,600</w:t>
            </w:r>
          </w:p>
        </w:tc>
        <w:tc>
          <w:tcPr>
            <w:tcW w:w="40" w:type="dxa"/>
            <w:vAlign w:val="bottom"/>
          </w:tcPr>
          <w:p>
            <w:pPr>
              <w:spacing w:after="0"/>
              <w:rPr>
                <w:sz w:val="18"/>
                <w:szCs w:val="18"/>
                <w:color w:val="auto"/>
              </w:rPr>
            </w:pPr>
          </w:p>
        </w:tc>
      </w:tr>
      <w:tr>
        <w:trPr>
          <w:trHeight w:val="62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5,778</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6,210</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2,060</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1,507</w:t>
            </w:r>
          </w:p>
        </w:tc>
        <w:tc>
          <w:tcPr>
            <w:tcW w:w="4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9,098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9,777</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1,653</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19,630</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4,596</w:t>
            </w: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35,656</w:t>
            </w:r>
          </w:p>
        </w:tc>
        <w:tc>
          <w:tcPr>
            <w:tcW w:w="4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(2,117)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(23,056)</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191"/>
        </w:trPr>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(2,833)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(23,329)</w:t>
            </w:r>
          </w:p>
        </w:tc>
        <w:tc>
          <w:tcPr>
            <w:tcW w:w="40" w:type="dxa"/>
            <w:vAlign w:val="bottom"/>
          </w:tcPr>
          <w:p>
            <w:pPr>
              <w:spacing w:after="0"/>
              <w:rPr>
                <w:sz w:val="16"/>
                <w:szCs w:val="16"/>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(23,245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5"/>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(605)</w:t>
            </w:r>
          </w:p>
        </w:tc>
        <w:tc>
          <w:tcPr>
            <w:tcW w:w="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0"/>
        </w:trPr>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(23,850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0"/>
        </w:trPr>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3"/>
        </w:trPr>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(23,933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4"/>
        </w:trPr>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(2,844)</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(23,245)</w:t>
            </w: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(23,311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5"/>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(605)</w:t>
            </w:r>
          </w:p>
        </w:tc>
        <w:tc>
          <w:tcPr>
            <w:tcW w:w="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3"/>
        </w:trPr>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(23,916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90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per share from continuing operations</w:t>
            </w:r>
          </w:p>
        </w:tc>
        <w:tc>
          <w:tcPr>
            <w:tcW w:w="19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per share from discontinued operations</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basic and diluted net loss per share</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during the period:**</w:t>
            </w:r>
          </w:p>
        </w:tc>
        <w:tc>
          <w:tcPr>
            <w:tcW w:w="1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2"/>
            <w:vMerge w:val="continue"/>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1,852,072</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1,279,639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Borders>
              <w:bottom w:val="single" w:sz="8" w:color="CCEEFF"/>
            </w:tcBorders>
            <w:vMerge w:val="continue"/>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1,852,072</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1,279,639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*Includes stock-based compensation expense, as follows: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to reflect the impact of the 1:20 reverse stock split that became effective on February 22,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gridSpan w:val="5"/>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0" w:type="dxa"/>
            <w:vAlign w:val="bottom"/>
          </w:tcPr>
          <w:p>
            <w:pPr>
              <w:spacing w:after="0"/>
              <w:rPr>
                <w:sz w:val="18"/>
                <w:szCs w:val="18"/>
                <w:color w:val="auto"/>
              </w:rPr>
            </w:pPr>
          </w:p>
        </w:tc>
        <w:tc>
          <w:tcPr>
            <w:tcW w:w="9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in capital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center"/>
              <w:ind w:right="339"/>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center"/>
              <w:ind w:right="339"/>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42"/>
        </w:trPr>
        <w:tc>
          <w:tcPr>
            <w:tcW w:w="27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295,904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(286,913)</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9,106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4,029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13,135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 repayment of</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815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debt and interest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(2,973)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(2,973)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56"/>
        </w:trPr>
        <w:tc>
          <w:tcPr>
            <w:tcW w:w="27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296,823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(289,886</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(272</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7,033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3,992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11,025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40" w:type="dxa"/>
            <w:vAlign w:val="bottom"/>
            <w:gridSpan w:val="5"/>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capital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42"/>
        </w:trPr>
        <w:tc>
          <w:tcPr>
            <w:tcW w:w="27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290,396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(249,708)</w:t>
            </w:r>
          </w:p>
        </w:tc>
        <w:tc>
          <w:tcPr>
            <w:tcW w:w="220" w:type="dxa"/>
            <w:vAlign w:val="bottom"/>
            <w:tcBorders>
              <w:top w:val="single" w:sz="8" w:color="CCEEFF"/>
            </w:tcBorders>
            <w:gridSpan w:val="2"/>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40,883</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4,956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45,839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 (“RSUs”)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(23,933)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(23,933)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(23,850)</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56"/>
        </w:trPr>
        <w:tc>
          <w:tcPr>
            <w:tcW w:w="27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2018</w:t>
            </w:r>
          </w:p>
        </w:tc>
        <w:tc>
          <w:tcPr>
            <w:tcW w:w="14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266</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290,707</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(273,641</w:t>
            </w:r>
          </w:p>
        </w:tc>
        <w:tc>
          <w:tcPr>
            <w:tcW w:w="220" w:type="dxa"/>
            <w:vAlign w:val="bottom"/>
            <w:tcBorders>
              <w:top w:val="single" w:sz="8" w:color="CCEEFF"/>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(140</w:t>
            </w:r>
          </w:p>
        </w:tc>
        <w:tc>
          <w:tcPr>
            <w:tcW w:w="220" w:type="dxa"/>
            <w:vAlign w:val="bottom"/>
            <w:tcBorders>
              <w:top w:val="single" w:sz="8" w:color="CCEEFF"/>
              <w:bottom w:val="single" w:sz="8" w:color="CCEEFF"/>
            </w:tcBorders>
            <w:gridSpan w:val="2"/>
            <w:shd w:val="clear" w:color="auto" w:fill="CCEEFF"/>
          </w:tcPr>
          <w:p>
            <w:pPr>
              <w:jc w:val="right"/>
              <w:ind w:right="119"/>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17,196</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4,819</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22,015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net loss</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(23,850)</w:t>
            </w:r>
          </w:p>
        </w:tc>
      </w:tr>
      <w:tr>
        <w:trPr>
          <w:trHeight w:val="23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net loss from discontinued operations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0"/>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net loss from continuing operations</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loss from continuing operations to net cash used in operating activities: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not affecting cash flows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impairment, and amortization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1,653</w:t>
            </w: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19,630</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shares of common stock for repayment of debt and interest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the sale of patents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inventory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 and other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accounts payable, accrued expenses and other current liabilities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 – continuing operations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 – discontinued operations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1,363</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software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patents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from note receivable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 – continuing operations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 – discontinued operations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0"/>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 – continuing operations</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 – discontinued operations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and foreign currency translation</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 and restricted cash</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18"/>
                <w:szCs w:val="18"/>
                <w:color w:val="auto"/>
              </w:rPr>
            </w:pP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6,368</w:t>
            </w:r>
          </w:p>
        </w:tc>
      </w:tr>
      <w:tr>
        <w:trPr>
          <w:trHeight w:val="263"/>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Borders>
              <w:bottom w:val="single" w:sz="8" w:color="CCEEFF"/>
            </w:tcBorders>
          </w:tcPr>
          <w:p>
            <w:pPr>
              <w:spacing w:after="0"/>
              <w:rPr>
                <w:sz w:val="22"/>
                <w:szCs w:val="22"/>
                <w:color w:val="auto"/>
              </w:rPr>
            </w:pPr>
          </w:p>
        </w:tc>
      </w:tr>
      <w:tr>
        <w:trPr>
          <w:trHeight w:val="197"/>
        </w:trPr>
        <w:tc>
          <w:tcPr>
            <w:tcW w:w="8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paid during the period for</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transactions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to repay $685 of debt and interest</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817</w:t>
            </w: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5, 2018, the Company changed its name to XpresSpa Group, Inc. (“XpresSpa Group” or the “Company”) from FORM Holdings Corp. The Company’s common stock, par value $0.01 per share (the “Common Stock”), which had previously been listed under the trading symbol “FH” on the Nasdaq Capital Market, has been listed under the trading symbol “XSPA” since January 8, 2018. Rebranding to XpresSpa Group aligned the Company’s corporate strategy to build a pure-play health and wellness services company, which the Company commenced following its acquisition of XpresSpa Holdings, LLC (“XpresSpa”) on December 23, 2016.</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transition to a pure-play health and wellness services company, the Company currently has one operating segment that is also its sole reporting unit, XpresSpa, a leading airport retailer of spa services. XpresSpa is a well-recognized airport spa brand with 55 locations, consisting of 50 domestic and 5 international locations as of March 31, 2019. XpresSpa offers travelers premium spa services, including massage, nail and skin care, as well as spa and travel products. During the first three months of 2019 and 2018, XpresSpa generated $12,230 and $12,600 of revenue, respectively. As of March 31, 2019 and 2018, approximately 79% and 87%, respectively, of XpresSpa’s total revenue was generated by services, primarily massage and nailcare, and 21% and 13%, respectively, was generated by retail products, primarily travel accessories and other revenue.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XpresSpa is a leading airport retailer of spa services and related products. As of March 31, 2019, XpresSpa operated 55 total locations in 24 airports, and one off-airport location in New York City, in three countries including the United States, Netherlands and United Arab Emirates. Services and products include:</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massage services for the neck, back, feet and whole body;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nail care, such as pedicures, manicures and polish changes;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products, such as neck pillows, blankets and massage tools;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offerings, such as cryotherapy services, NormaTec compression services, and Dermalogica personal care services and retail products.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over 15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Consequently, travelers at large airport hubs have idle time in the terminal after passing through security.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XpresSpa was developed to address the stress and idle time spent at the airport, allowing travelers to spend this time productively, by relaxing and focusing on personal care and wellness. XpresSpa is well positioned to benefit from consumers’ growing interest in health and wellness and increasing demand for spa services and related wellness products.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intended to make an airport more desirable to airlines, require funding from bond issuances that in turn rely upon, in part, the expected minimum rent guarantees and expected income from concessionaires.</w:t>
      </w: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certain patent portfolios, which it looks to monetize through sales and licensing agreements. During the year ended December 31, 2018, the Company determined that its former intellectual property operating segment would no longer be an area of focus and, as such, will no longer operate as a separate operating segment, as it is not expected to generate any material revenues or operating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2017, the Company completed the sale of FLI Charge, Inc. (“FLI Charge”) and in March 2018, the Company completed the sale of Group Mobile Int’l LLC (“Group Mobile”). These two entities previously comprised the Company’s technology operating segment. The results of operations for FLI Charge and Group Mobile are presented in the condensed consolidated statements of operations and comprehensive loss as consolidated net loss from discontinued operations. The carrying amounts of assets and liabilities belonging to Group Mobile as of December 31, 2018, are presented in the condensed consolidated balance sheets as assets held for disposal and liabilities held for disposal,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2019, the Company had approximately $2,884 of cash and cash equivalents, $2,003 of inventory and prepaid expenses and $109 of assets held for disposal, which amount to total current assets of $4,996. The Company’s total current liabilities balance, which includes accounts payable, accrued expenses, debt, and the current portion of Convertible Notes (as defined below), was $17,030 as of March 31, 2019. The working capital deficiency of $12,034 as of March 31, 2019 includes $1,695 of Convertible Notes classified as short-term for which principal repayments may be made in shares of Common Stock at the Company’s election, subject to certain conditions.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aggressively reduced operating and overhead expenses and generated positive cash flows for the three months ended March 31, 2019. While the Company continues to focus on its overall profitability, the Company expects to incur net losses in the foreseeable future. The report of the Company’s independent registered public accounting firm on its financial statements for the years ended December 31, 2018 and 2017 includes an explanatory paragraph indicating that there is substantial doubt about the Company’s ability to continue as a going concern. The receipt of this explanatory paragraph with respect to the Company’s financial statements for the years ended December 31, 2018 and 2017 resulted in a breach of a covenant under the Senior Secured Note which constitutes an event of default under the Senior Secured Note. Upon the occurrence of an event of default under the Senior Secured Note, Rockmore may, among other things, declare the Senior Secured Note and all accrued and unpaid interest thereon and all other amounts owing under the Senior Secured Note to be due and payable. If the maturity date of the Senior Secured Note is accelerated as a result of the event of default referenced above, an event of default under the Convertible Notes would be triggered. If an event of default under the Convertible Notes occurs, the outstanding principal amount of the Convertible Notes, liquidated damages and other amounts owing in respect thereof through the date of acceleration, shall become, at the holder’s election, immediately due and payable in cash.</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taken actions to improve its overall cash position and access to liquidity by exploring valuable strategic partnerships, right-sizing its corporate structure, and stream-lining operations. In addition, the Company expects to generate additional liquidity through the monetization of certain investments and other assets. The Company expects that these actions will be executed in alignment with the anticipated timing of its liquidity needs. There can be no assurance, however, that any such opportunities will materialize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historical operating results indicate that there is substantial doubt related to the Company's ability to continue as a going concern. The Company believes it is probable that the actions discussed above will transpire and will successfully mitigate the substantial doubt raised by its historical operating results and will satisfy its liquidity needs 12 months from the issuance of the financial statements. However, the Company cannot reasonably predict with any certainty that the results of its planned actions will generate the expected liquidity required to satisfy its liquidity needs.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continues to experience operating losses, and the Company is not able to generate additional liquidity through the actions described above or through some combination of other actions, while not expected, the Company may not be able to access additional funds and the Company might need to secure additional sources of funds, which may or may not be available. Additionally, a failure to generate additional liquidity could negatively impact its access to inventory or services that are important to the operation of the business.</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CEO Transition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2019, Edward Jankowski resigned as Chief Executive Officer of the Company and as a director of the Company. Mr. Jankowski’s resignation was not as a result of any disagreement with the Company on any matters related to the Company’s operations, policies or practices. Mr. Jankowski will receive termination benefits including $375 payable in equal installments over a twelve-month term commencing on February 13, 2019 and COBRA continuation coverage paid in full by the Company for up to a maximum of twelve months.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as of February 11, 2019, Douglas Satzman was appointed by the Company’s board of directors as the Chief Executive Officer of the Company and as a director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Reverse Stock Split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22, 2019, The Company filed a certificate of amendment to its amended and restated certificate of incorporation with the Secretary of State of the State of Delaware to effect a 1-for-20 reverse stock split of the Company’s shares of Common Stock. Such amendment and ratio were previously approved by the Company’s stockholders and board of directors,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reverse stock split, every twenty (20) shares of the Company’s pre-reverse split Common Stock were combined and reclassified into one (1) share of Common Stock. Proportionate voting rights and other rights of Common Stock 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Such cash payment in lieu of a fractional share of Common Stock was calculated by multiplying such fractional interest in one share of Common Stock by the closing trading price of the Company’s Common Stock on February 22, 2019, and rounded to the nearest cent. No fractional shares were issued in connection with the reverse stock split.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began trading on the Nasdaq Capital Market on a post-reverse split basis at the open of business on February 25,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Dispositions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20, 2017, the Company sold FLI Charge to a group of private investors and FLI Charge management, who now own and operate FLI Charge. In February 2019, the Company entered into an agreement to release FLI Charge’s obligation to pay any royalties on FLI Charge’s perpetual gross revenues with regard to conductive wireless charging, power, or accessories, and to cancel its warrants exercisable in FLI Charge in exchange for cash proceeds of $1,100, which were received in full on February 15, 2019.</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22, 2018, the Company sold Group Mobile to a third party. The Company has not provided any continued management or financing support to FLI Charge or Group Mobile.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Rebranding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5, 2018, the Company changed its name to XpresSpa Group, Inc. from FORM Holdings Corp, which aligned the Company’s corporate strategy to build a pure-play health and wellness services company. The Company’s Common Stock, par value $0.01 per share, which had previously been listed under the trading symbol “FH” on the Nasdaq Capital Market, has been listed under the trading symbol “XSPA” since January 8, 2018.</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 of Patents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2018, the Company sold certain patents to Crypto Currency Patent Holdings Company LLC, a unit of Marathon Patent Group, Inc. (“Marathon”), for approximately $1,250, comprised of $250 in cash and 250,000 shares of Marathon Common Stock valued at approximately $1,000 at the time of the transaction. The Marathon Common Stock was subject to a lockup period (the “Lockup Period”) which commenced on the transaction date and ended on July 11, 2018, subject to a leak-out provision. The Marathon Common Stock is recognized as a cost method investment and, as such, was required to be measured at cost on the date of acquisition, which, as of the transaction date, approximated fair value. The fair value of the Marathon Common Stock was estimated by multiplying the number of shares as they become tradeable by the price per share as of the transaction date; however, due to the fact that the Marathon Common Stock is restricted during the Lockup Period, the Company applied a discount on the lack of marketability to estimate the fair value at the measurement date. The fair value of the consideration as of the Transaction Date was determined to be $450.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Collaboration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12, 2018, the Company entered into a Product Sale and Marketing Agreement (the “Collaboration Agreement”) with Calm.com, Inc. (“Calm”) primarily related to the display, marketing, promotion, offer for sale and sale of Calm’s products in each of the Company’s branded stores throughout the United States.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Collaboration Agreement will remain in effect until July 31, 2019, unless terminated earlier in accordance with its terms, and automatically renew for successive terms of six months unless either party provides written notice of termination no later than thirty days prior to any such automatic renewal.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Convertible Notes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2018, the Company entered into a securities purchase agreement (the “Securities Purchase Agreement”) with certain institutional investors (the “Investors”), pursuant to which the Company agreed to sell up to (i) an aggregate principal amount of $4,438 in 5% Secured Convertible Notes due on November 16, 2019, which included $88 of convertible notes issued to Palladium Capital Advisors as Placement Agent (the “Convertible Notes”), convertible into shares of its Common Stock at a conversion price of $12.40 per share, (ii) Class A Warrants (the “Class A Warrants”) to purchase 357,862 shares of Common Stock at an exercise price of $12.40 per share and (iii) Class B Warrants (the “Class B Warrants,” and together with the Class A Warrants, the “Warrants”) to purchase 178,931 shares of Common Stock at an exercise price of $12.40 per share. The Convertible Notes bear interest at a rate of 5% per annum. The Convertible Notes are senior secured obligations of the Company and are secured by certain of its personal property. Unless earlier converted or redeemed, the Convertible Notes will mature on November 16, 2019. The transaction closed on May 17, 2018, at which time the Company received $4,350 in gross proceeds from the Investors.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amount of the outstanding Convertible Notes was originally to be repaid monthly in the amount of approximately $296, beginning on September 17, 2018, and the Company may make such payments and related interest payments in cash or, subject to certain conditions, in registered shares of its Common Stock (or a combination thereof), at its election. If the Company chooses to repay the Convertible Notes in shares of its Common Stock, the shares will be issued at a 10% discount to the volume weighted average price of its Common Stock for the five (5) trading days commencing eight (8) days</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prior to the relevant repayment date and ending on the fourth (4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trading day prior to such repayment date, subject to a minimum floor price of not less than 20% of the conversion price of the Convertible Notes on the issue date. The Company may also repay the Convertible Notes in advance of the maturity schedule subject to an early repayment penalty of 15%.</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August 14, 2018, the Company entered into an Amendment Agreement (the “First Amendment Agreement”) whereby the initial monthly principal repayment and accrued interest due on the Convertible Notes of $351 was settled in 103,350 shares of Common Stock on August 15, 2018. All other material terms of the Securities Purchase Agreement remained unchanged. During the year ended December 31, 2018, several of the Investors converted their monthly principal payments and accrued interest due on the Convertible Notes into shares of Common Stock pursuant to the First Amendment Agreement, resulting in the issuance of an additional 377,109 shares of Common Stock.</w:t>
      </w: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11, 2018, the Company entered into a Second Amendment Agreement (the “Second Amendment Agreement”) whereby each Holder waived the Company’s obligation to make any monthly payments for the months of January, February and March 2019. Pursuant to the Second Amendment Agreement, each Holder was permitted to convert its pro-rata share of the Convertible Notes, at a conversion price of $4.00 per share of Common Stock, such that the maximum number of shares to be issued pursuant to the Second Amendment Agreement shall not exceed 250,000 shares of Common Stock. All other material terms of the Securities Purchase Agreement remained unchanged. During the three months ended March 31, 2019, five investors converted a portion of their allotted shares, in settlement of $465, into shares of Common Stock pursuant to the Second Amendment Agreement, resulting in the issuance of an additional 179,555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and Series E Preferred Stock Financing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entry into the Collaboration Agreement, the Company entered into a stock purchase agreement (the “Purchase Agreement”) with Calm, pursuant to which the Company issued to Calm an aggregate of 32,258 shares of the Company’s newly designated Series E Convertible Preferred Stock, par value $0.01 per share (the “Series E Preferred Stock”), which are initially convertible into 161,290 shares of Common Stock, par value $0.01 per share, at a conversion price of $12.40 per share, subject to certain adjustments. The purchase price per share of the Series E Preferred Stock was $62.00 per share for gross proceeds to the Company of $2,000. In addition, on December 28, 2018, in satisfaction of the conditions under the Purchase Agreement, the Company sold, and Calm purchased, 16,129 additional shares of Series E Preferred Stock (the “Additional Series E Shares”), which are initially convertible into 80,645 shares of Common Stock at a conversion price of $12.40 per share, subject to certain adjustments, for gross proceeds to the Company of $1,000. The sale of Additional Series E Shares were on the same terms and conditions as those contained in the Purchase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and Reporting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 and principles of consolidation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interim condensed financial statements, which have been derived from audited financial statements, have been prepared in accordance with generally accepted accounting principles in the United States of America (“GAAP”) for interim financial information and the instructions to Rule 10-01 of Regulation S-X, and should be read in conjunction with the Company's Annual Report on Form 10-K for the year ended December 31, 2018. The condensed consolidated financial statements include the accounts of the Company, all entities that are wholly-owned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three-month period ended March 31, 2019 are not necessarily indicative of the results that may be expected for the entire fiscal year or for any other interim period. All significant intercompany balances and transactions have been eliminated in consolidation.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accompanying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intangible assets, the useful lives of the Company’s intangible assets, the valuation of the Company’s derivative warrant liabilities, the valuation of stock-based compensation, deferred tax assets and liabilities, income tax uncertainties, and other contingencies.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Cash and cash equivalents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cash in checking accounts with financial institutions. The Company has established guidelines relating to diversification and maturities of its investments in order to minimize credit risk and maintain high liquidity of funds. Cash equivalents include amounts due from third-party financial institutions for credit and debit card transactions which typically settle in less than five days. As of March 31, 2019 and December 31, 2018, cash and cash equivalents included $622 and $260 of credit card receivables, respectively. As of March 31, 2019, the Company held significant portions of its cash balance in overseas accounts, totaling $1,424, which is not insured by the Federal Deposit Insurance Corporation (“FDIC”). If the Company were to distribute the amounts held overseas, the Company would need to follow an approval and distribution process as defined in its operating and partnership agreements, which may delay and/or reduce the availability of cash to the Company. In addition, as of March 31, 2019, there was an additional $428 of restricted cash held by a third party recorded as restricted cash on the condensed consolidated balance sheets.</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(d) Right-of-use assets and lease liability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right-of-use asset represents a lessee's right to use an asset over the life of a lease. The asset is calculated as the initial amount of the lease liability, plus any lease payments made to the lessor before the lease commencement date, plus any initial direct costs incurred, minus any lease incentives received. The amortization period for the right-of-use asset is from the lease commencement date to the earlier of the end of the lease term or the end of the useful life of the asset.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addition of these items on the balance sheet is in accordance with ASU 2016-02 issued by FASB.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“(h) Recently issued accounting pronouncements” below for more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Revenue recognition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the sale of XpresSpa products and services at the point of sale, net of discounts and applicable sales taxes. Revenues from the XpresSpa wholesale and e-commerce businesses are recorded at the time goods are shipped. Accordingly, the Company recognizes revenue for its single performance obligation related to both in-store and online sales at the point at which the service has been performed or the control of the merchandise has passed to the customer. The Company excludes all sales taxes assessed to its customers. Sales taxes assessed on revenues are included in accounts payable, accrued expenses and other current liabilities in the condensed consolidated balance sheets until remitted to the state agencies.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has a franchise agreement with an unaffiliated franchisee to operate an XpresSpa location. The Company has identified the franchise right as a distinct performance obligation that transfers over time, and therefore any portion of the non-recurring initial franchise fee that is allocated to the franchise right should be recognized over the course of the contract rather than all upfront as would be the case with distinct performance obligations. Under the Company’s franchising model, all initial franchising fees relate to the franchise right and therefore are recognized over the course of the contract which commences upon signing of the agreement. Upon receipt of the non-recurring, non-refundable initial franchise fee, management records a deferred revenue asset and recognizes revenue on a straight-line basis over the contract term. As of March 31, 2019, there were no franchise royalty revenues as operations have not yet commenced. Once operations commence, franchise royalty revenue will be recorded in the period earned.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revenue relates to one-time intellectual property licenses as well as the sale of certain of the Company’s intellectual property. Revenue from patent licensing is recognized when the Company transfers promised intellectual property rights to customers in an amount that reflects the consideration to which the Company expects to be entitled in exchange for those intellectual property rights. Currently, revenue arrangements related to intellectual property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receipt of the upfront fee, and transfer of the promised intellectual property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Cost of sales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sales for the Company’s wellness operating segment consists of store-level costs. Store-level costs include all costs that are directly attributable to the store operations and include:</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related benefits for store operations and store-level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percentage rent and occupancy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merchandise;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shipping and handling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shortage and valuation adjustments, including purchase price allocation increase in fair values which was recorded as part of acquisition;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sourcing operations.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for the Company’s intellectual property operating segment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Fair value measurements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measures fair value in accordance with FASB ASC 820-10,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3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Other than quoted prices included in Level 1 inputs that are observable for the asset or liability, either directly or indirectly, for substantially the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of the asset or liability.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for the asset or liability used to measure fair value to the extent that observable inputs are not available, thereby allowing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situations in which there is little, if any, market activity for the asset or liability at measurement date.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Recently issued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2016-02, Leases (Topic 842)</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standard provides new guidance related to accounting for leases and supersedes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2016, FASB issued ASU 2016-02, Leases, and several amendments (collectively, “ASU 2016-02”), which requires the Company to recognize assets and liabilities arising from most operating leases on the consolidated statements of financial condition. In 2018, the FASB issued ASU 2018-11, Targeted Improvements (“ASU 2018-11”), which provides a transition option to not apply the new lease standard to the comparative periods presented in the consolidated statements of financial condition. Under this transition option, the Company shall apply the new leases standard at the adoption date and recognizes any cumulative-effect adjustment to the opening balance of retained earnings in the period of adoption.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ASU 2016-02 effective for the fiscal year beginning after December 15, 2018 on a modified retrospective basis. The Company applied the transition option permitted by ASU 2018-11 and elected the package of practical expedients to alleviate certain operational and reporting complexities related to the adoption. The Company recognized right-of-use assets and lease liabilities for its current operating leases of $9,565 as of March 31, 2019 upon adoption of ASU 2016-02.</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ASU No. 2014-15, Presentation of Financial Statements — Going Concern, Disclosures of Uncertainties about an Entity’s Ability to Continue as a Going Concern</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standard requires management to evaluate whether there are conditions or events, considered in the aggregate, that raise substantial doubt about the entity’s ability to continue as a going concern within one year after the date that the financial statements are issued. Substantial doubt about an entity’s ability to continue as a going concern exists when it is probable that the entity will be unable to meet its obligations as they become due within one year after the date that the financial statements are issued. Management’s evaluation should be based on relevant conditions and events that are known and reasonably knowable at the date that the financial statements are issued. The amendments in this Update are effective for the annual period beginning after December 15, 2016. See Item 2 “Management’s Discussion and Analysis of Financial Condition and Results of Operations — Liquidity and Capital Resources” for management’s assessment and conclusion for the three months ended March 31,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2016-13, Financial Instruments - Credit Losses (Topic 326): Measurement of Credit Losses on Financial Instruments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The new standard is effective for the fiscal year beginning after December 15, 2019, with early adoption permitted. The Company is currently in the process of evaluating the potential impact of the adoption on its consolidated financial statements.</w:t>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ASU No. 2017-11, Earnings Per Share (Topic 260); Distinguishing Liabilities from Equity (Topic 480); Derivatives and Hedging (Topic 815)</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standard provides new guidance to address the complexity of accounting for certain financial instruments with down round features. The amendments of this ASU change the classification analysis of certain equity-linked financial instruments (or embedded features) with down round features. A down round feature no longer precludes equity classification when assessing whether the instrument is indexed to an entity’s own stock. A freestanding equity-linked financial instrument (or embedded conversion feature) no longer would be accounted for as a derivative liability at fair value as a result of the existence of a down round feature. The new standard is effective for the fiscal year beginning after December 15, 2018 with early adoption permitted. The Company early adopted this standard effective January 1, 2018. Adoption of this ASU did not have a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2017-12, Derivatives and Hedging (Topic 815): Targeted Improvements to Accounting for Hedging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standard was created to provide more specific guidance and to simplify the application of hedge accounting in current U.S. GAAP to facilitate financial reporting that more closely reflects an entity’s risk management activities. The new standard is effective for the fiscal year beginning after December 15, 2018. Adoption of this ASU did not have a material impact on the Company’s consolidated financial statements.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standard provides guidance on the reclassification of certain tax effects from AOCI to retained earnings in the period in which the effects of the change in the U.S. federal corporate income tax rate in the Tax Cuts and Jobs Act is recorded. The new standard is effective for the fiscal year beginning after December 15, 2018. Adoption of this ASU did not have a material impact on the Company’s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2018-13, Fair Value Measurement (Topic 820): Disclosure Framework—Changes to the Disclosure Requirements for Fair Value Measurement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 surrounding unobservable inputs and the elimination of disclosures around the valuation processes for Level 3 measurements. The new standard is effective for the fiscal year beginning after December 15, 2019. The Company is currently in the process of evaluating the impact of the adoption of this standard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Loss per Share of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computation of basic and diluted net loss per share of Common Stock, reflective of the impact of the 1:20 reverse stock split that became effective on February 22,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numerator:</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 shares of common stock</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attributable to shares of common stock</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the Company</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denominator:</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Basic shares of common stock outstanding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1,852,072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1,329,639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 of common stock from continuing operations</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 of common stock from discontinued operations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3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per share data presented excludes from the calculation of diluted net loss the following potentially</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dilutive securities, as they had an anti-dilutive impact: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Both vested and unvested options to purchase an equal number of shares of common stock of the Company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147,500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to issue an equal number of shares of common stock of the Company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55,250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an equal number of shares of common stock of the Company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703,670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on an as converted basis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6,364,328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on an as converted basis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217,500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potentially dilutive instruments, excluded from the calculation of net loss per share</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7,488,248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4. Cash, Cash Equivalents, and Restricted Cash</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cash equivalents, and restricted cash in the condensed consolidated balance sheets are comprised of the following as of March 31, 2019 and December 31,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denominated in United States dollars</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Cash denominated in currency other than United States dollars</w:t>
            </w: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Credit and debit card receivables</w:t>
            </w: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8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Other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in the condensed consolidated balance sheets are comprised of the following as of March 31,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method investments</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Lease deposits</w:t>
            </w: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w:t>
            </w:r>
          </w:p>
        </w:tc>
      </w:tr>
      <w:tr>
        <w:trPr>
          <w:trHeight w:val="223"/>
        </w:trPr>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the Company’s other assets included:</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$1,625 cost method investment in Route1 Inc. (“Route1”), which the Company received from the disposition of Group Mobile in March 2018;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$787 cost method investment in InfoMedia Services Limited (“InfoMedia”), which the Company acquired in 2014;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cost method investment in Marathon Patent Group, Inc. (“Marathon”), which the Company acquired in January 2018;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cost method investment in FLI Charge, which the Company received from the disposition of FLI Charge in October 2017;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$901 deposits made pursuant to various lease agreements, which will be returned to the Company at the end of the leases.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Intangible Assets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intangible assets, which consist of the following:</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2019</w:t>
            </w: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4"/>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and</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and Impairment</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26,897</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(26,802)</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(26,797)</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trade name relates to the value of the XpresSpa trade name, customer relationships represent the value of the loyalty customers, software relates to certain capitalized third-party costs related to a new point-of-sale system, and patents consist of intellectual property portfolios acquired from third parties.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intangible assets are amortized over their expected useful lives. During the three-months ended March 31, 2019, the Company recorded amortization expense of $568.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impairment indicators related to any of the Company’s amortizable intangible assets during the three months ended March 31, 2019 for the Company’s continuing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its retail space at various domestic and international airports. Additionally, the Company leases its corporate office and an additional retail space in New York. Certain leases entered by the Company fall under ASC 842 discussed in Note 2 above. The Company determines if an arrangement is a lease at inception and if it qualifies under ASC 842. Certain lease arrangements contain fixed payments throughout the term of the lease. Others involve a variable component to determine lease obligation in which a certain percentage of sales is used to calculate the lease payment.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based on the requirements of operating and finance leased defined in ASC 842-10, all qualifying leases held by the Company are classified as an operating lease.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below table for the reconciliation as of March 31, 2019:</w:t>
            </w:r>
          </w:p>
        </w:tc>
        <w:tc>
          <w:tcPr>
            <w:tcW w:w="2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2019</w:t>
            </w:r>
          </w:p>
        </w:tc>
        <w:tc>
          <w:tcPr>
            <w:tcW w:w="32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New leases entered</w:t>
            </w: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of existing qualifying leases</w:t>
            </w: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lease obligation</w:t>
            </w: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2019</w:t>
            </w: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31, 2019, operating leases under ASC 842 contain the future minimum commitments: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Calendar Years ending December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incremental borrowing rate</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(3,461</w:t>
            </w:r>
          </w:p>
        </w:tc>
        <w:tc>
          <w:tcPr>
            <w:tcW w:w="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were as follows:</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414"/>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payment costs for the three months ended March 31, 2019 was $338.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continuing operating segments are defined as components of an enterprise about which separate financial information is available that is regularly evaluated by the enterprise’s CODM in deciding how to allocate resources and in assessing performance. As a result of the Company’s transition to a pure-play health and wellness services company, it currently has one operating segment that is also its sole reporting unit, XpresSpa.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operates in two geographical segments: the United States and all other countries. The following table represents the geographical revenue and segment operating loss for the three-month period ended March 31, 2019 and 2018, and total asset information as of March 31, 2019 and December 31, 2018. There were no concentrations of geographical revenue, segment operating loss or total assets related to any single foreign country that were material to the Company’s condensed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10,971</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 other countries</w:t>
            </w:r>
          </w:p>
        </w:tc>
        <w:tc>
          <w:tcPr>
            <w:tcW w:w="2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other countries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2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(23,276)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 other countries</w:t>
            </w:r>
          </w:p>
        </w:tc>
        <w:tc>
          <w:tcPr>
            <w:tcW w:w="2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2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Non-operating expense, net</w:t>
            </w:r>
          </w:p>
        </w:tc>
        <w:tc>
          <w:tcPr>
            <w:tcW w:w="2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2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6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36,098</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27,809</w:t>
            </w: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 countries</w:t>
            </w:r>
          </w:p>
        </w:tc>
        <w:tc>
          <w:tcPr>
            <w:tcW w:w="3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2,666</w:t>
            </w: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disposal</w:t>
            </w:r>
          </w:p>
        </w:tc>
        <w:tc>
          <w:tcPr>
            <w:tcW w:w="3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9. Senior Secured Note and Convertible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acquisition of XpresSpa, which was completed on December 23, 2016, the Company recorded the debt described below.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XpresSpa entered into a credit agreement and secured promissory note (the “Senior Secured Note”) with Rockmore Investment Master Fund Ltd. (“Rockmore”), a related party, on April 22, 2015 that was amended on August 8, 2016. Rockmore is an investment entity controlled by the Company’s Chairman of the Board of Directors, Bruce T. Bernstein.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principal of the Senior Secured Note is $6,500 payable in full upon maturity on December 31, 2019. In May 2017, per the original agreement and with Rockmore’s consent, the Company elected to extend the maturity date of the Senior Secured Note from May 1, 2018 to May 1, 2019. No other material terms of the Senior Secured Note were modified. The Senior Secured Note bears 11.24% interest per year (based on 360 days in a year) that is payable as follows:</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9.24% annual interest, calculated on a monthly basis, which is payable in arrears on the last business day of each month plus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annual interest, calculated on a monthly basis, which accrues monthly and becomes due and payable on the anniversary dates of the Senior Secured Note.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14, 2018, the Company and Rockmore agreed to extend the maturity date of the Senior Secured Note from May 1, 2019 to December 31, 2019. No other material terms of the Senior Secured Note were modified. As consideration for the agreement to extend the maturity date of the Senior Secured Note and the consent to the Securities Purchase Agreement, the Company issued to Rockmore 250,000 Class A Warrants. These Class A Warrants were issued on the same terms and conditions as the Class A Warrants issued pursuant to the Securities Purchase Agreement. The warrants issued to Rockmore were classified as equity warrants in the condensed consolidated balance sheets as of March 31, 2019 and December 31, 2018.</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Senior Secured Note can be prepaid by XpresSpa at a 4% penalty at any point at its election. The Senior Secured Note is secured by substantially all of the assets of XpresSpa. In addition, XpresSpa needs consent of Rockmore to incur any additional debt, except for:</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to finance acquisition, construction, or improvement of fixed and capital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bonds, bid bonds, appeal bonds, surety bonds, and similar;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 and employee benefit plan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debt not exceeding $1,000;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notes not exceeding $5,000;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bank guarantees and others in the ordinary course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Rockmore was entitled to certain reporting rights and annual audited financial information, which Rockmore waived in March 2017.</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three-month periods ended March 31, 2019 and 2018, XpresSpa paid and recorded $183 of interest expense in connection with the Rockmore debt.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2018, the Company entered into the Securities Purchase Agreement with the Investors, pursuant to which the Company agreed to sell up to (i) an aggregate principal amount of $4,438 in the Convertible Notes, which includes $88 of Convertible Notes issued to Palladium Capital Advisors as Placement Agent, convertible into Common Stock at a conversion price of $12.40 per share, (ii) Class A Warrants to purchase 357,862 shares of Common Stock at an exercise price of $12.40 per share and (iii) Class B Warrants to purchase up to 178,931 shares of Common Stock at an exercise price of $12.40 per share. The Convertible Notes bear interest at a rate of 5% per annum. The Convertible Notes are senior secured obligations of the Company and are secured by certain of its personal property. Unless earlier converted or redeemed, the Convertible Notes will mature on November 16, 2019. The transaction closed on May 17, 2018.</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amount of the outstanding Convertible Notes was originally to be repaid monthly in the amount of $296, beginning on September 17, 2018, and the Company may make such payments and related interest payments in cash or, subject to certain conditions, in registered shares of Common Stock (or a combination thereof), at its election. If the Company chooses to repay the Convertible Notes in shares of Common Stock, the shares will be issued at a 10% discount to the volume weighted average price of Common Stock for the five (5) trading days commencing eight (8) days prior to the relevant repayment date</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and ending on the fourth (4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trading day prior to such repayment date, subject to a minimum floor price of not less than 20% of the conversion price of the Convertible Notes on the issue date. The Company may also repay the Convertible Notes in advance of the maturity schedule subject to an early repayment penalty of 15%.</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14, 2018, the Company and each of the Investors entered into an Amendment Agreement (“First Amendment Agreement”) whereby the initial monthly principal repayment and accrued interest due on the Convertible Notes of $351 was settled in 2,067 shares of Common Stock on August 15, 2018. All other material terms of the Securities Purchase Agreement remained unchanged. During the three-month period ended September 30, 2018, several of the Investors converted their monthly principal payments and accrued interest due on the Convertible Notes into shares of Common Stock pursuant to the First Amendment Agreement, resulting in the issuance of an additional 2,737 shares of Common Stock.</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11, 2018, the Company entered into a Second Amendment Agreement (“Second Amendment Agreement”) whereby certain investors waived the Company’s obligation to make any monthly payments for the months of January, February and March 2019. Pursuant to the Second Amendment Agreement, each of such investors was permitted to convert its pro-rata share of the Convertible Notes, at a conversion price of $4.00 per share of Common Stock, such that the maximum number of shares to be issued pursuant to this amendment shall not exceed 250,000 shares of Common Stock. All other material terms of the Securities Purchase Agreement remained unchanged. During the three-month period ended December 31, 2018, one of the investors converted a portion of their allotted shares, in settlement of $23,000, into shares of Common Stock pursuant to the Second Amendment Agreement, resulting in the issuance of an additional 5,627 shares of Common Stock.</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On April 16, 2019, the Company failed to make a minimum monthly payment as required pursuant to the Convertible Notes, which failure constitutes an event of default under the Convertible Notes. Pursuant to the terms of the Convertible Notes, upon an event of default, an Investor may elect to accelerate payment of </w:t>
      </w:r>
      <w:r>
        <w:rPr>
          <w:rFonts w:ascii="Times New Roman" w:cs="Times New Roman" w:eastAsia="Times New Roman" w:hAnsi="Times New Roman"/>
          <w:sz w:val="18"/>
          <w:szCs w:val="18"/>
          <w:color w:val="auto"/>
        </w:rPr>
        <w:t>the outstanding principal amount of such Investor’s Convertible Note, liquidated damages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and other amounts owing in respect thereof through the date of acceleration, which amounts become immediately due and payable in cash. As of May 15, 2019, no Investor has provided notice to the Company electing to exercise its right to accelerate payment.</w:t>
      </w:r>
    </w:p>
    <w:p>
      <w:pPr>
        <w:sectPr>
          <w:pgSz w:w="11900" w:h="16838" w:orient="portrait"/>
          <w:cols w:equalWidth="0" w:num="1">
            <w:col w:w="11420"/>
          </w:cols>
          <w:pgMar w:left="240" w:top="900" w:right="2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changes in the book value of the Convertible Notes from December 31, 2018 to March 31,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 value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repayments in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debt discount and debt issuance costs, included in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Book value as of March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58" w:hanging="858"/>
        <w:spacing w:after="0"/>
        <w:tabs>
          <w:tab w:leader="none" w:pos="8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1,986</w:t>
      </w:r>
    </w:p>
    <w:p>
      <w:pPr>
        <w:spacing w:after="0" w:line="27" w:lineRule="exact"/>
        <w:rPr>
          <w:rFonts w:ascii="Times New Roman" w:cs="Times New Roman" w:eastAsia="Times New Roman" w:hAnsi="Times New Roman"/>
          <w:sz w:val="18"/>
          <w:szCs w:val="18"/>
          <w:color w:val="auto"/>
        </w:rPr>
      </w:pPr>
    </w:p>
    <w:p>
      <w:pPr>
        <w:ind w:left="93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(685)</w:t>
      </w:r>
    </w:p>
    <w:p>
      <w:pPr>
        <w:spacing w:after="0" w:line="9" w:lineRule="exact"/>
        <w:rPr>
          <w:rFonts w:ascii="Times New Roman" w:cs="Times New Roman" w:eastAsia="Times New Roman" w:hAnsi="Times New Roman"/>
          <w:sz w:val="18"/>
          <w:szCs w:val="18"/>
          <w:color w:val="auto"/>
        </w:rPr>
      </w:pPr>
    </w:p>
    <w:p>
      <w:pPr>
        <w:ind w:left="99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058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1" w:lineRule="exact"/>
        <w:rPr>
          <w:sz w:val="20"/>
          <w:szCs w:val="20"/>
          <w:color w:val="auto"/>
        </w:rPr>
      </w:pPr>
    </w:p>
    <w:p>
      <w:pPr>
        <w:ind w:left="858" w:hanging="858"/>
        <w:spacing w:after="0"/>
        <w:tabs>
          <w:tab w:leader="none" w:pos="8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8058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8058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2" w:space="720"/>
            <w:col w:w="1378"/>
          </w:cols>
          <w:pgMar w:left="240" w:top="900" w:right="239" w:bottom="1440" w:gutter="0" w:footer="0" w:header="0"/>
          <w:type w:val="continuous"/>
        </w:sectPr>
      </w:pP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discount and debt issuance costs are amortized on a straight-line basis over the remaining term of the Convertible Notes. During the three months ended March 31, 2019, the Company recorded $394 of amortization of debt discount and debt issuance costs, which was included in interest expense for the three months ended March 31, 2019. Additionally, for the three months ended March 31, 2019, the Company recorded $26 of interest expense related to the Convertible Notes, which is included in interest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Warrant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placement in the fair value hierarchy of derivative warrant liabilities measured at fair value on a recurring basis as of March 31, 2019 and December 31, 2018:</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2018 Warrants</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 measurement at reporting date using</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 in</w:t>
            </w: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Significant 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14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14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31,2019:</w:t>
            </w:r>
          </w:p>
        </w:tc>
        <w:tc>
          <w:tcPr>
            <w:tcW w:w="1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Warrants</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Warrants</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its derivative warrant liabilities at fair value. The derivative warrant liabilities were classified within Level 3 because they were valued using the Black-Scholes-Merton model, which utilizes significant inputs that are unobservable in the market. These derivative warrant liabilities were initially measured at fair value and are marked to market at each balance sheet date. The derivative warrant liabilities are recorded as derivative warrant liabilities in the condensed consolidated balance sheets and the revaluation of the derivative warrants liabilities is included in other non-operating income (expense) in the condensed consolidated statements of operations and comprehensive loss.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the Company’s financial instruments as of March 31, 2019 and December 31, 2018 consisted of cash and cash equivalents, trade and loan receivables, inventory, accounts payable and other current liabilities. The carrying amounts of all the aforementioned financial instruments approximate fair value because of the short-term maturities of these instruments.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derivative warrant liabilities measured at fair value using significant unobservable inputs (Level 3) during the three months ended March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520" w:type="dxa"/>
            <w:vAlign w:val="bottom"/>
            <w:gridSpan w:val="2"/>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fair value of the derivative warrant liabilities</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March 31, 2019</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processes for Level 3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2018 Warrants</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March 31, 2019:</w:t>
            </w: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3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00" w:type="dxa"/>
            <w:vAlign w:val="bottom"/>
            <w:tcBorders>
              <w:bottom w:val="single" w:sz="8" w:color="CCEEFF"/>
            </w:tcBorders>
          </w:tcPr>
          <w:p>
            <w:pPr>
              <w:spacing w:after="0"/>
              <w:rPr>
                <w:sz w:val="24"/>
                <w:szCs w:val="24"/>
                <w:color w:val="auto"/>
              </w:rPr>
            </w:pPr>
          </w:p>
        </w:tc>
        <w:tc>
          <w:tcPr>
            <w:tcW w:w="31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 A Warrants</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Black-Scholes-Merton</w:t>
            </w: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8"/>
              </w:rPr>
              <w:t>69.1%</w:t>
            </w: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8"/>
              </w:rPr>
              <w:t>2.26%</w:t>
            </w: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4.13</w:t>
            </w:r>
          </w:p>
        </w:tc>
      </w:tr>
      <w:tr>
        <w:trPr>
          <w:trHeight w:val="234"/>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8"/>
              </w:rPr>
              <w:t>0.00%</w:t>
            </w:r>
          </w:p>
        </w:tc>
      </w:tr>
    </w:tbl>
    <w:p>
      <w:pPr>
        <w:spacing w:after="0" w:line="3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fair value of B warrants is $0 as they expired during the first three months of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3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00" w:type="dxa"/>
            <w:vAlign w:val="bottom"/>
            <w:tcBorders>
              <w:bottom w:val="single" w:sz="8" w:color="CCEEFF"/>
            </w:tcBorders>
          </w:tcPr>
          <w:p>
            <w:pPr>
              <w:spacing w:after="0"/>
              <w:rPr>
                <w:sz w:val="24"/>
                <w:szCs w:val="24"/>
                <w:color w:val="auto"/>
              </w:rPr>
            </w:pPr>
          </w:p>
        </w:tc>
        <w:tc>
          <w:tcPr>
            <w:tcW w:w="31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 A Warrants</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Black-Scholes-Merton</w:t>
            </w: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70.61%</w:t>
            </w: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w:t>
            </w:r>
          </w:p>
        </w:tc>
      </w:tr>
      <w:tr>
        <w:trPr>
          <w:trHeight w:val="234"/>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of Level 3 measurements to changes in significant unobservable inputs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inputs to estimate the fair value of the Company’s derivative warrant liabilities were the current market price of the Company’s Common Stock, the exercise price of the derivative warrant liabilities,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an increase in the market price of the Company’s shares of Common Stock, an increase in the volatility of the Company’s shares of Common Stock, and an increase in the remaining term of the derivative warrant liabilities would each result in a directionally similar change in the estimated fair value of the Company’s derivative warrant liabilities. Such changes would increase the associated liability while decreases in these assumptions would decrease the associated liability. An increase in the risk-free interest rate or a decrease in the differential between the derivative warrant liabilities’ exercise price and the market price of the Company’s shares of Common Stock would result in a decrease in the estimated fair value measurement and thus a decrease in the associated liability. The Company has not declared, and does not plan to declare, dividends on its Common Stock, and as such, there is no change in the estimated fair value of the derivative warrant liabilities due to the dividend assumption.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warrant activity during the three months ended March 31, 2019 year ended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No. of warrants*</w:t>
            </w:r>
          </w:p>
        </w:tc>
        <w:tc>
          <w:tcPr>
            <w:tcW w:w="140" w:type="dxa"/>
            <w:vAlign w:val="bottom"/>
          </w:tcPr>
          <w:p>
            <w:pPr>
              <w:spacing w:after="0"/>
              <w:rPr>
                <w:sz w:val="20"/>
                <w:szCs w:val="20"/>
                <w:color w:val="auto"/>
              </w:rPr>
            </w:pPr>
          </w:p>
        </w:tc>
        <w:tc>
          <w:tcPr>
            <w:tcW w:w="18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 range*</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703,669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 – 100.00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2019</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 – 100.00</w:t>
            </w: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Company’s outstanding equity warrants as of March 31, 2019 consist of the following:</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0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No. outstanding*</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0" w:type="dxa"/>
            <w:vAlign w:val="bottom"/>
          </w:tcPr>
          <w:p>
            <w:pPr>
              <w:spacing w:after="0"/>
              <w:rPr>
                <w:sz w:val="20"/>
                <w:szCs w:val="20"/>
                <w:color w:val="auto"/>
              </w:rPr>
            </w:pPr>
          </w:p>
        </w:tc>
        <w:tc>
          <w:tcPr>
            <w:tcW w:w="18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2015 Warrants</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2.04 years</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April 15, 2021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December 2016 Warrants</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2.73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December 23, 2021</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2018 Warrants</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w:t>
            </w:r>
          </w:p>
        </w:tc>
        <w:tc>
          <w:tcPr>
            <w:tcW w:w="2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4.63 years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November 17, 2023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as of March 31, 2019</w:t>
            </w: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1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140,000</w:t>
            </w: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Company’s outstanding derivative warrants as of December 31, 2018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94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20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No. outstanding*</w:t>
            </w:r>
          </w:p>
        </w:tc>
        <w:tc>
          <w:tcPr>
            <w:tcW w:w="200" w:type="dxa"/>
            <w:vAlign w:val="bottom"/>
          </w:tcPr>
          <w:p>
            <w:pPr>
              <w:spacing w:after="0"/>
              <w:rPr>
                <w:sz w:val="20"/>
                <w:szCs w:val="20"/>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23"/>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2015 Warrants</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 years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4, 2020</w:t>
            </w:r>
          </w:p>
        </w:tc>
      </w:tr>
      <w:tr>
        <w:trPr>
          <w:trHeight w:val="20"/>
        </w:trPr>
        <w:tc>
          <w:tcPr>
            <w:tcW w:w="33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to reflect the impact of the 1:20 reverse stock split that became effective on February 22,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stock-based compensation plan available to grant stock options and RSUs to the Company’s directors, employees and consultants. Under the 2012 Employee, Director and Consultant Equity Incentive Plan (the “Plan”), a maximum of 78,000 shares of Common Stock may be awarded. In 2015 and 2016, the Company amended the Plan so that a maximum number of shares of Common Stock that may be awarded was increased to 355,000. As of March 31, 2019, 108,549 shares were available for future grants under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for the three months ended March 31, 2019 and 2018 was $104 and $312, respectively.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37,500 RSUs of the Company’s shares of Common Stock, par value $0.20, were granted. These RSUs vest in full on February 10, 2019. No additional RSUs were granted, exercised, or expired during this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options to purchase 75,000 shares of Common Stock with an exercise price per share of $4.20 were granted. These options vest in substantially equal installments on each of the first four anniversaries of the grant date, February 10, 2019. Additionally, there were forfeitures of 29,478 shares of stock options during this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 information is adjusted to reflect the impact of the 1:20 reverse stock split that became effective on February 22, 2019.</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2019, there was no aggregate intrinsic value associated with either the options outstanding or the options exercisable, as they were out-of-the-money. As of December 31, 2018, there was no aggregate intrinsic value associated with either the options outstanding or the options exercisable, as they were out-of-the-money. There were no options exercised during the three months ended March 31,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2018, the Company entered into a consulting agreement with an employee of Mistral Equity Partners, which is a significant shareholder of the Company and whose Chief Executive Officer is a member of the Board of Directors of the Company, to consult on certain business-related matters. The total consideration is approximately $10 per month through June 30, 2019. The agreement may be terminated by either party at any time upon delivery of written notice. Pursuant to the agreement, the Company recorded consulting expense of $30 for the three months ended March 31,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property and equipment activity during the three months ended March 31, 2019 and 2018:</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of property and equipment as of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06857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6857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Balance of property and equipment as of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06857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of property and equipment as of January 1,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6857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of property and equipment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06857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89" w:hanging="389"/>
        <w:spacing w:after="0"/>
        <w:tabs>
          <w:tab w:leader="none" w:pos="3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15,797</w:t>
      </w:r>
    </w:p>
    <w:p>
      <w:pPr>
        <w:spacing w:after="0" w:line="27" w:lineRule="exact"/>
        <w:rPr>
          <w:rFonts w:ascii="Times New Roman" w:cs="Times New Roman" w:eastAsia="Times New Roman" w:hAnsi="Times New Roman"/>
          <w:sz w:val="18"/>
          <w:szCs w:val="18"/>
          <w:color w:val="auto"/>
        </w:rPr>
      </w:pPr>
    </w:p>
    <w:p>
      <w:pPr>
        <w:ind w:left="4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1,171</w:t>
      </w:r>
    </w:p>
    <w:p>
      <w:pPr>
        <w:spacing w:after="0" w:line="9" w:lineRule="exact"/>
        <w:rPr>
          <w:sz w:val="20"/>
          <w:szCs w:val="20"/>
          <w:color w:val="auto"/>
        </w:rPr>
      </w:pPr>
    </w:p>
    <w:p>
      <w:pPr>
        <w:jc w:val="right"/>
        <w:ind w:right="3440"/>
        <w:spacing w:after="0"/>
        <w:rPr>
          <w:sz w:val="20"/>
          <w:szCs w:val="20"/>
          <w:color w:val="auto"/>
        </w:rPr>
      </w:pPr>
      <w:r>
        <w:rPr>
          <w:rFonts w:ascii="Times New Roman" w:cs="Times New Roman" w:eastAsia="Times New Roman" w:hAnsi="Times New Roman"/>
          <w:sz w:val="18"/>
          <w:szCs w:val="18"/>
          <w:color w:val="auto"/>
        </w:rPr>
        <w:t>(1,040)</w:t>
      </w:r>
    </w:p>
    <w:p>
      <w:pPr>
        <w:spacing w:after="0" w:line="23" w:lineRule="exact"/>
        <w:rPr>
          <w:sz w:val="20"/>
          <w:szCs w:val="20"/>
          <w:color w:val="auto"/>
        </w:rPr>
      </w:pPr>
    </w:p>
    <w:p>
      <w:pPr>
        <w:ind w:left="389"/>
        <w:spacing w:after="0"/>
        <w:rPr>
          <w:sz w:val="20"/>
          <w:szCs w:val="20"/>
          <w:color w:val="auto"/>
        </w:rPr>
      </w:pPr>
      <w:r>
        <w:rPr>
          <w:rFonts w:ascii="Times New Roman" w:cs="Times New Roman" w:eastAsia="Times New Roman" w:hAnsi="Times New Roman"/>
          <w:sz w:val="18"/>
          <w:szCs w:val="18"/>
          <w:color w:val="auto"/>
        </w:rPr>
        <w:t>15,928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657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14" w:lineRule="exact"/>
        <w:rPr>
          <w:sz w:val="20"/>
          <w:szCs w:val="20"/>
          <w:color w:val="auto"/>
        </w:rPr>
      </w:pPr>
    </w:p>
    <w:p>
      <w:pPr>
        <w:jc w:val="right"/>
        <w:ind w:right="3500"/>
        <w:spacing w:after="0"/>
        <w:rPr>
          <w:sz w:val="20"/>
          <w:szCs w:val="20"/>
          <w:color w:val="auto"/>
        </w:rPr>
      </w:pPr>
      <w:r>
        <w:rPr>
          <w:rFonts w:ascii="Times New Roman" w:cs="Times New Roman" w:eastAsia="Times New Roman" w:hAnsi="Times New Roman"/>
          <w:sz w:val="18"/>
          <w:szCs w:val="18"/>
          <w:color w:val="auto"/>
        </w:rPr>
        <w:t>11,795</w:t>
      </w:r>
    </w:p>
    <w:p>
      <w:pPr>
        <w:spacing w:after="0" w:line="27" w:lineRule="exact"/>
        <w:rPr>
          <w:sz w:val="20"/>
          <w:szCs w:val="20"/>
          <w:color w:val="auto"/>
        </w:rPr>
      </w:pPr>
    </w:p>
    <w:p>
      <w:pPr>
        <w:jc w:val="right"/>
        <w:ind w:right="3500"/>
        <w:spacing w:after="0"/>
        <w:rPr>
          <w:sz w:val="20"/>
          <w:szCs w:val="20"/>
          <w:color w:val="auto"/>
        </w:rPr>
      </w:pPr>
      <w:r>
        <w:rPr>
          <w:rFonts w:ascii="Times New Roman" w:cs="Times New Roman" w:eastAsia="Times New Roman" w:hAnsi="Times New Roman"/>
          <w:sz w:val="18"/>
          <w:szCs w:val="18"/>
          <w:color w:val="auto"/>
        </w:rPr>
        <w:t>570</w:t>
      </w:r>
    </w:p>
    <w:p>
      <w:pPr>
        <w:spacing w:after="0" w:line="9" w:lineRule="exact"/>
        <w:rPr>
          <w:sz w:val="20"/>
          <w:szCs w:val="20"/>
          <w:color w:val="auto"/>
        </w:rPr>
      </w:pPr>
    </w:p>
    <w:p>
      <w:pPr>
        <w:jc w:val="center"/>
        <w:ind w:right="3011"/>
        <w:spacing w:after="0"/>
        <w:rPr>
          <w:sz w:val="20"/>
          <w:szCs w:val="20"/>
          <w:color w:val="auto"/>
        </w:rPr>
      </w:pPr>
      <w:r>
        <w:rPr>
          <w:rFonts w:ascii="Times New Roman" w:cs="Times New Roman" w:eastAsia="Times New Roman" w:hAnsi="Times New Roman"/>
          <w:sz w:val="17"/>
          <w:szCs w:val="17"/>
          <w:color w:val="auto"/>
        </w:rPr>
        <w:t>(1,076)</w:t>
      </w:r>
    </w:p>
    <w:p>
      <w:pPr>
        <w:spacing w:after="0" w:line="43" w:lineRule="exact"/>
        <w:rPr>
          <w:sz w:val="20"/>
          <w:szCs w:val="20"/>
          <w:color w:val="auto"/>
        </w:rPr>
      </w:pPr>
    </w:p>
    <w:p>
      <w:pPr>
        <w:ind w:left="409" w:hanging="409"/>
        <w:spacing w:after="0"/>
        <w:tabs>
          <w:tab w:leader="none" w:pos="409" w:val="left"/>
        </w:tabs>
        <w:numPr>
          <w:ilvl w:val="0"/>
          <w:numId w:val="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11,289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5657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11" w:space="720"/>
            <w:col w:w="4389"/>
          </w:cols>
          <w:pgMar w:left="240" w:top="904" w:right="239" w:bottom="1440" w:gutter="0" w:footer="0" w:header="0"/>
          <w:type w:val="continuous"/>
        </w:sect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Property and equipment is comprised of three categories: leasehold improvements, furniture and fixtures, and other operating equipment.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 recorded $1,076 and $1,047 of depreciation expense from continuing operations, respectively. Included in the depreciation expense from continuing operations for the three months ended March 31, 2019 and 2018 was a $0 and $131 expense, respectively, for impairment of fixed assets in locations where the Company has obligations under long-term leases.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the Company had capitalized $719 and $770, respectively, related to construction-in-progress based on percentage of completion of each in-progress project.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40" w:type="dxa"/>
            <w:vAlign w:val="bottom"/>
          </w:tcPr>
          <w:p>
            <w:pPr>
              <w:spacing w:after="0"/>
              <w:rPr>
                <w:sz w:val="20"/>
                <w:szCs w:val="20"/>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 years</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17,872</w:t>
            </w: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18,932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 5-8 years</w:t>
            </w:r>
          </w:p>
        </w:tc>
      </w:tr>
      <w:tr>
        <w:trPr>
          <w:trHeight w:val="23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equipment</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Maximum 5 years</w:t>
            </w:r>
          </w:p>
        </w:tc>
      </w:tr>
      <w:tr>
        <w:trPr>
          <w:trHeight w:val="210"/>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22,518</w:t>
            </w: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(9,197)</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(10,723)</w:t>
            </w:r>
          </w:p>
        </w:tc>
        <w:tc>
          <w:tcPr>
            <w:tcW w:w="1940" w:type="dxa"/>
            <w:vAlign w:val="bottom"/>
            <w:shd w:val="clear" w:color="auto" w:fill="CCEEFF"/>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related assets. Leasehold improvements are depreciated over the shorter of remaining lease term or economic useful life (which is on average 5-8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and December 31, 2018, the Company’s other current assets were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5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are predominantly comprised of prepaid insurance policies which have terms of one year or less.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Accounts Payable, Accrued Expenses and Other Current Liabilities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the Company’s accounts payable, accrued expenses and other current liabilities were comprised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Tax-related liabilities</w:t>
            </w:r>
          </w:p>
        </w:tc>
        <w:tc>
          <w:tcPr>
            <w:tcW w:w="20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certificates and loyalty reward program liabilities</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payable, accrued expenses and other current liabilities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17. Discontinued Operations and Assets and Liabilities Held for Disposal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FLI Charge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20, 2017 (the “Closing Date”), the Company sold FLI Charge, a wholly-owned subsidiary included in its discontinued technology operating segment, to a group of private investors and FLI Charge management, to own and operate FLI Charge. The Company did not provide any continued management or financing support to FLI Charge after the Closing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consideration for the sale of FLI Charge was $1,250, payable in installments. Additionally, the Company is entitled to a 5% royalty, in perpetuity, on the gross revenue of FLI Charge and of any affiliate of FLI Charge with regard to conductive wireless charging, power, or accessories. During the three months ended March 31, 2019, the Company received a buyout from the royalty agreement in the amount of $1,184. This is reflected in “Other” revenue on the condensed consolidated statements of operation. The Company also received a warrant exercisable in FLI Charge or an affiliate of FLI Charge upon an initial public offering or certain defined events in connection with a change of control. The warrant had a five-year life and is based on a valuation of the lesser of $30,000 or the financing valuation of FLI Charge preceding the initial public offering or certain defined events.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Mobile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7, 2018 (the “Signing Date”), the Company entered into a membership purchase agreement (the “Purchase Agreement”) with Route1 Security Corporation, a Delaware corporation (the “Buyer”), and Route1 Inc., an Ontario corporation (“Route1”), pursuant to which the Buyer agreed to acquire Group Mobile, a wholly-owned subsidiary included in its discontinued technology operating segment, (the “Disposition”). The transaction closed on March 22, 2018 (the “Closing Date”), after which the Company no longer had any involvement with Group Mobile.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for the Disposition, the Buyer issued to the Company:</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2,250,000 shares of common stock of Route1 (“Route1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30,000,000 shares of Route1 Common Stock, which feature an exercise price of CAD 5 cents per share of Common Stock and will be exercisable for a three-year period;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payments over the three-year period pursuant to an earn-out provision in the Purchase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retained certain inventory with a value of $555, which was to be disposed of separately from the transaction with Route1 in the first half of 2018. Of this amount, $110 was sold and the remaining inventory excluded from the transaction was subsequently determined to be obsolete and unsalable and was fully written off in June 2018. Assets held for disposal includes $109 of accounts receivable, net of allowance, associated with the sale of the inventory excluded from the transaction with Route1.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Post-closing, the Company owned approximately 6.7% of Route1 common stock. The Route1 common stock is not tradable until a date no earlier than 12 months after the Closing Date; 50%, or 12,500,000 shares, of Route1 common stock are tradeable after 12 months plus an additional 2,083,333 shares of Route1 common stock are tradeable each month until 18 months after the Closing Date, subject to a change of control provision. The Company has the ability to sell the Route1 common stock and warrants to qualified institutional investors. The Group Mobile Purchase Agreement also contains representations, warranties, and covenants customary for transactions of this type.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consideration of the Disposition is recognized as a cost method investment and, as such, was measured at cost on the date of acquisition, which, as of the Closing Date, approximated fair value. The fair value of the total consideration as of the Closing Date was determined to be $1,625, which was less than the carrying value of the asset, and is included in other assets in the condensed consolidated balance sheets as of December 31, 2018. This resulted in a loss on disposal of $301, which is included in consolidated net loss from discontinued operations in the condensed consolidated statement of operations and comprehensive loss for the three months ended March 31,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the total consideration for the Group Mobile disposition was determined using a combination of valuation methods including:</w:t>
      </w:r>
    </w:p>
    <w:p>
      <w:pPr>
        <w:spacing w:after="0" w:line="225" w:lineRule="exact"/>
        <w:rPr>
          <w:sz w:val="20"/>
          <w:szCs w:val="20"/>
          <w:color w:val="auto"/>
        </w:rPr>
      </w:pPr>
    </w:p>
    <w:p>
      <w:pPr>
        <w:ind w:left="98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Route 1 common stock was determined to be $308, which was estimated by multiplying the number of shares as they become tradeable by the price per share as of the Closing Date.</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5" w:name="page26"/>
    <w:bookmarkEnd w:id="25"/>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warrants was determined to be $176, which was obtained using the Black-Scholes-Merton model.</w:t>
      </w:r>
    </w:p>
    <w:p>
      <w:pPr>
        <w:spacing w:after="0" w:line="225" w:lineRule="exact"/>
        <w:rPr>
          <w:rFonts w:ascii="Times New Roman" w:cs="Times New Roman" w:eastAsia="Times New Roman" w:hAnsi="Times New Roman"/>
          <w:sz w:val="18"/>
          <w:szCs w:val="18"/>
          <w:color w:val="auto"/>
        </w:rPr>
      </w:pPr>
    </w:p>
    <w:p>
      <w:pPr>
        <w:ind w:right="1040" w:firstLine="332"/>
        <w:spacing w:after="0" w:line="498" w:lineRule="auto"/>
        <w:tabs>
          <w:tab w:leader="none" w:pos="9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earn-out provision was determined to be $1,141, which was estimated using a Monte-Carlo simulation analysis. The sale of Group Mobile was completed on March 22, 2018. The Company did not have any involvement with Group Mobile post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and Assets and Liabilities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the consolidated net loss from discontinued operations, as presented in the condensed consolidated statements of operations and comprehensive loss for the three-month periods ended March 31, 2019 and March 31,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4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3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2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loss from discontinued operations</w:t>
            </w: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following table presents the carrying amounts of the major classes of assets and liabilities held for sale as of March 31, 2019 and December 31, 2018, as presented in the condensed 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Assets held for disposal</w:t>
            </w:r>
          </w:p>
        </w:tc>
        <w:tc>
          <w:tcPr>
            <w:tcW w:w="18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24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held for disposal</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provisions for the three-month period ended March 31, 2019 reflect an estimated global annual effective tax rate of approximately (.73)%.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2019, deferred tax assets generated from the Company’s activities in the United States were offset by a valuation allowance because realization depends on generating future taxable income, which, in the Company’s estimation, is not more likely than not to be generated before such net operating loss carryforwards expire. Net operating losses generated for tax years beginning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Income tax benefit for the three-month period ended March 31, 2019 of $10 was attributable primarily to the reduction to the valuation allowance as a result of the Tax Cuts and Jobs Act’s impact on the lives of net operating losses. The final annual tax rate cannot be determined until the end of the fiscal year; therefore, the actual tax rate could differ from current estimates. Although the Company has an immaterial amount of uncertain tax positions, the Company does not expect to record any additional material provisions for unrecognized tax benefits in the next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recorded $290 as of December 31, 2018 and $250 as of December 31, 2017, which are included in accounts payable, accrued expenses and other current liabilities in the condensed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legal fees in the period in which they are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Cordial</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termination of the relationship with Cordial, XpresSpa sought to substitute two new ACDBE partners in place of Cordial.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arguments on the appeal are expected to take place in early 2019. Oral argument on the appeal went forward on March 20, 2019, and the Company expects the court to rule on the appeal in the coming months.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3, 2018, the Court issued an order extending the time for the defendants to respond to Cordial’s lawsuit until June 25, 2018. On May 4, 2018, the defendants moved the lawsuit to the United States District Court for the Northern District of Georgia. On June 5, 2018, the Court granted an extension of time for the defendants’ response until August 17, 2018.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operation expenses. XpresSpa filed an opposition and, in a decision entered December 26, 2018, the Court denied Cordial’s TRO Motion entirely. Defendants filed a Motion to Dismiss the Complaint in its entirety on November 20, 2018, which is pending decision by the Court.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re Chen et al.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Times New Roman" w:cs="Times New Roman" w:eastAsia="Times New Roman" w:hAnsi="Times New Roman"/>
          <w:sz w:val="18"/>
          <w:szCs w:val="18"/>
          <w:i w:val="1"/>
          <w:iCs w:val="1"/>
          <w:color w:val="auto"/>
        </w:rPr>
        <w:t>In re Chen et al.</w:t>
      </w:r>
      <w:r>
        <w:rPr>
          <w:rFonts w:ascii="Times New Roman" w:cs="Times New Roman" w:eastAsia="Times New Roman" w:hAnsi="Times New Roman"/>
          <w:sz w:val="18"/>
          <w:szCs w:val="18"/>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w:t>
      </w:r>
    </w:p>
    <w:p>
      <w:pPr>
        <w:spacing w:after="0" w:line="1" w:lineRule="exact"/>
        <w:rPr>
          <w:sz w:val="20"/>
          <w:szCs w:val="20"/>
          <w:color w:val="auto"/>
        </w:rPr>
      </w:pPr>
    </w:p>
    <w:p>
      <w:pPr>
        <w:jc w:val="both"/>
        <w:ind w:firstLine="8"/>
        <w:spacing w:after="0" w:line="251" w:lineRule="auto"/>
        <w:tabs>
          <w:tab w:leader="none" w:pos="1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 and are awaiting the Court’s ruling on the open issues.</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Binn v. FORM Holdings Corp. et al.</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6, 2017, Moreton Binn and Marisol F, LLC, former stockholders of XpresSpa, filed a lawsuit against the Company and its directors in the United States District Court for the Southern District of New York. The lawsuit alleged violations of various sections of the Securities Exchange Act of 1934 (“Exchange Act”), material omissions and misrepresentations (negligent and fraudulent), fraudulent omission, expropriation, breach of fiduciary duties, aiding and abetting, and unjust enrichment in the defendants’ conduct related to the Company’s acquisition of XpresSpa, and sought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By March 30, 2018, the motion to dismiss was fully briefed. On August 7, 2018, the Court ruled on the defendants’ motion, dismissing eight of the plaintiffs’ ten claims and denying the defendants’ motion to dismiss with respect to the two remaining claims, related to the Exchange Act. On October 30, 2018, the Court ordered that the plaintiffs could file an amended complaint and, in response, the defendants could move for summary judgment. Consistent with the Court’s Order, on November 16, 2018, the plaintiffs filed a second amended complaint, modifying their allegations, and asserting claims pursuant to the Exchange Act and the Securities Act of 1933, as well as bringing a breach of contract claim. On December 17, 2018, the defendants filed a motion for summary judgment seeking dismissal of all claims. On February 1, 2019, the plaintiffs filed an opposition to defendants’ motion and a counter motion for partial summary judgment concerning one of the alleged misstatements. The defendants’ motion for summary judgment was fully briefed as of March 1, 2019. The plaintiffs’ partial motion for summary judgment was fully briefed as of March 15, 2019, and is pending before the Court.</w:t>
      </w:r>
    </w:p>
    <w:p>
      <w:pPr>
        <w:spacing w:after="0" w:line="1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29, 2019, an emergency hearing was held before the Court in which the plaintiff sought a temporary restraining order and preliminary injunction to preclude acceleration of the maturity on the Senior Secured Note. The Court entered a temporary restraining order, while allowing parties the opportunity to brief the issue. The Court will hear oral arguments on the preliminary injunction on June 14,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Kainz v. FORM Holdings Corp. et al.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March 20, 2019, a second suit was commenced in the United States District Court for the Southern District of New York against FORM Holdings Corp., seven of its directors and former directors, as well as a managing director of Mistral Equity Partners. The individual plaintiff, Roman Kainz, who was a shareholder of XpresSpa Holdings, LLC at the time of its merger with FORM Holdings Corp, alleges that the defendants violated Sections 10(b) and 20(a) of the Securities Exchange Act of 1934 by making false statements concerning,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merger and the independence of FORM Holdings Corp.’s board of directors, violated Section 12(2) of the Securities Act of 1933, breached the Merger Agreement by making false and misleading statements concerning the merger, and fraudulently induced Plaintiff into signing the joinder agreement related to the Merger. This suit seeks rescission of the transaction, damages, equitable and injunctive relief, fees and costs, and various other relief. On May 8, 2019, the defendants filed a motion to dismiss the entire action. The motion is expected to be fully briefed by June 19, 2019.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Route1</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23, 2018, Route1 and Group Mobile filed a Statement of Claim against the Company in the Ontario (Canada) Superior Court of Justice seeking monetary damages based on indemnity claims made by Route1 and Group Mobile pursuant to the Group Mobile Purchase Agreement, including an offset against funds payable to the Company by Route1 and Group Mobile pursuant to the Group Mobile Purchase Agreement. On August 13, 2018, the Company filed its Defense and Counterclaim, seeking the payment of such funds payable to the Company by Route1 and Group Mobile pursuant to the Group Mobile Purchase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Rodger Jenkins v. XpresSpa Group, Inc.</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2019, Rodger Jenkins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engaged in litigation related to certain of the intellectual property that it owns, for which no liability is recorded, as the Company does not expect a material negative outcome.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an action is brought against the Company or one of its subsidiaries, the Company will investigate the allegation and vigorously defend itself.</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0" w:name="page31"/>
    <w:bookmarkEnd w:id="3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2018 filed on April 1, 2019, as subsequently amended on April 30, 2019 (the “2018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in this Quarterly Report on Form 10-Q to “we,” “us” and “our” refer to XpresSpa Group, Inc., a Delaware corporation, and its condensed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55 locations, consisting of 50 domestic and 5 international locations as of March 31, 2019. XpresSpa offers travelers premium spa services, including massage, nail and skin care, as well as spa and travel products. For the three-month period ended March 31, 2019 and 2018, XpresSpa generated $12,230,000 and $11,800,000 of revenue, respectively. For the three-month period ended March 31, 2019, approximately 88% of XpresSpa’s total revenue was generated by services, primarily massage and nailcare, and 12% was generated by retail products, primarily travel accessories.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2017, we completed the sale of FLI Charge, Inc. (“FLI Charge”) and in March 2018, we completed the sale of Group Mobile Int’l LLC (“Group Mobile”). These two entities previously comprised our technology operating segment. The results of operations for Group Mobile are presented in the condensed consolidated statements of operations and comprehensive loss as consolidated net loss from discontinued operations. The carrying amounts of assets and liabilities belonging to Group Mobile as of December 31, 2018 are presented in the condensed consolidated balance sheets as assets held for disposal and liabilities held for disposal,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2019, we had approximately $2,884,000 of cash and cash equivalents, $2,003,000 of inventory and other current assets and $109,000 of assets held for disposal, which amount to total current assets of $4,996,000. The Company’s total current liabilities balance, which includes accounts payable, accrued expenses, debt, and Convertible Notes, was $17,030,000 as of March 31, 2019. The working capital deficiency of $12,024,000 as of March 31, 2019 includes $1,695,000 of convertible notes classified as short-term for which principal repayments may be made in shares of Common Stock at the Company’s election, subject to certain conditions.</w:t>
      </w: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aggressively reduced operating and overhead expenses and generated positive cash flows for the three months ended March 31, 2019. While the Company continues to focus on its overall profitability, the Company expects to incur net losses in the foreseeable future. As discussed above and elsewhere in this Annual Report on Form 10-K, the report of our independent registered public accounting firm on our financial statements for the years ended December 31, 2018 and 2017 includes an explanatory paragraph indicating that there is substantial doubt about our ability to continue as a going concern. The receipt of this explanatory paragraph with respect to our financial statements for the years ended December 31, 2018 and 2017 will result in a breach of a covenant under the Senior Secured Note which, if unremedied for a period of 30 days after the date hereof, will constitute an event of default under the Senior Secured Note. Upon the occurrence of an event of default under the Senior Secured Note, Rockmore may, among other things, declare the Senior Secured Note and all accrued and unpaid interest thereon and all other amounts owing under the Senior Secured Note to be due and payable. If the maturity date of the Senior Secured Note is accelerated as a result of the event of default referenced above, an event of default under the Convertible Notes would be triggered. If an event of default under the Convertible Notes occurs, the outstanding principal amount of the Convertible Notes, liquidated damages and other amounts owing in respect thereof through the date of acceleration, shall become, at the holder’s election, immediately due and payable in cash.</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taken actions to improve our overall cash position and access to liquidity by exploring valuable strategic partnerships, right-sizing our corporate structure, and stream-lining our operations. We expect that the actions taken will enhance our liquidity and financial environment. In addition, we expect to generate additional liquidity through the monetization of certain investments and other assets. We expect that these actions will be executed in alignment with the anticipated timing of our liquidity needs. There can be no assurance, however, that any such opportunities will materialize.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historical operating results indicate that there is substantial doubt related to the Company's ability to continue as a going concern. We believe it is probable that the actions discussed above will transpire and will successfully mitigate the substantial doubt raised by our historical operating results and will satisfy our liquidity needs 12 months from the issuance of the financial statements. However, we cannot reasonably predict with any certainty that the results of our planned actions will generate the expected liquidity required to satisfy our liquidity needs.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continue to experience operating losses, and we are not able to generate additional liquidity through the actions described above or through some combination of other actions, while not expected, we may not be able to access additional funds and we might need to secure additional sources of funds, which may or may not be available to us. Additionally, a failure to generate additional liquidity could negatively impact our access to inventory or services that are important to the operation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Transition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2019, Edward Jankowski resigned as Chief Executive Officer of the Company and as a director of the Company. Mr. Jankowski’s resignation was not as a result of any disagreement with the Company on any matters related to the Company’s operations, policies or practices. Mr. Jankowski will receive termination benefits including $375,000 payable in equal installments over a twelve-month term commencing on February 13, 2019 and COBRA continuation coverage paid in full by the Company for up to a maximum of twelve months.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as of February 11, 2019, Douglas Satzman was appointed by our board of directors as the Chief Executive Officer of the Company and as a director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22, 2019, we filed a certificate of amendment to our amended and restated certificate of incorporation with the Secretary of State of the State of Delaware to effect a 1-for-20 reverse stock split of our shares of Common Stock. Such amendment and ratio were previously approved by our stockholders and board of directors, respectively.</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reverse stock split, every twenty (20) shares of our pre-reverse split Common Stock were combined and reclassified into one (1) share of Common Stock. Proportionate voting rights and other rights of Common Stock 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Such cash payment in lieu of a fractional share of Common Stock was calculated by multiplying such fractional interest in one share of Common Stock by the closing trading price of our Common Stock on February 22, 2019, and rounded to the nearest cent. No fractional shares were issued in connection with the reverse stock split.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began trading on the Nasdaq Capital Market on a post-reverse split basis at the open of business on February 25,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referred to in the MD&amp;A have been adjusted to reflect the 1-for-20 reverse stock split on February 22,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Dispositions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October 20, 2017, we sold FLI Charge to a group of private investors and FLI Charge management, who now own and operate FLI Charge. In February 2019, the Company entered into an agreement to release FLI Charge’s obligation to pay any royalties on FLI Charge’s perpetual gross revenues with regard to conductive wireless charging, power, or accessories, and to cancel its warrants exercisable in FLI Charge in exchange for cash proceeds of $1,100,000 which were received in full on February 15, 2019.</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22, 2018, we sold Group Mobile to a third party. We have not provided any continued management or financing support to FLI Charge or Group Mobile.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Rebranding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5, 2018, we changed our name to XpresSpa Group, Inc. from FORM Holdings Corp, which aligned our corporate strategy to build a pure-play health and wellness services company. Our Common Stock, par value $0.01 per share, which had previously been listed under the trading symbol “FH” on the Nasdaq Capital Market, has been listed under the trading symbol “XSPA” since January 8,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 of Patents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2018, we sold certain patents to Crypto Currency Patent Holdings Company LLC, a unit of Marathon Patent Group, Inc. (“Marathon”), for approximately $1,250,000, comprised of $250,000 in cash and 250,000 shares of Marathon Common Stock valued at approximately $1,000,000 (the “Marathon Common Stock”) at the time of the transaction. The Marathon Common Stock was subject to a lockup period (the “Lockup Period”) which commenced on the Transaction Date and ended on July 11, 2018, subject to a leak-out provision.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Collaboration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2018, we entered into a Product Sale and Marketing Agreement (the “Collaboration Agreement”) with Calm.com, Inc. (“Calm”) primarily related to the display, marketing, promotion, offer for sale and sale of Calm’s products in each of our branded stores throughout the United States.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Collaboration Agreement will remain in effect until July 31, 2019, unless terminated earlier in accordance with its terms, and automatically renew for successive terms of six months unless either party provides written notice of termination no later than thirty days prior to any such automatic renewal.</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Convertible Notes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2018, we entered into a securities purchase agreement (the “Securities Purchase Agreement”) with certain institutional investors (the “Investors”), pursuant to which we agreed to sell up to (i) an aggregate principal amount of $4,438,000 in 5% Secured Convertible Notes due on November 16, 2019, which included $88,000 issued to Palladium Capital Advisors as Placement Agent (the “Convertible Notes”), convertible into shares of our Common Stock, par value $0.01 per share (the “Common Stock”) at a conversion price of $12.40 per share, (ii) Class A Warrants (the “Class A Warrants”) to purchase 357,862 shares of Common Stock at an exercise price of $12.40 per share and (iii) Class B Warrants (the “Class B Warrants,” and together with the Class A Warrants, the “Warrants”) to purchase 178,931 shares of Common Stock at an exercise price of $12.40 per share. The Convertible Notes bear interest at a rate of 5% per annum. The Convertible Notes are senior secured obligations of ours and are secured by certain of our personal property. Unless earlier converted or redeemed, the Convertible Notes will mature on November 16, 2019. The transaction closed on May 17, 2018, at which time we received $4,350,000 in gross proceeds from the Investors.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amount of the outstanding Convertible Notes is to be repaid monthly in the amount of approximately $296,000, beginning on September 17, 2018, and we may make such payments and related interest payments in cash or, subject to certain conditions, in registered shares of our Common Stock (or a combination thereof), at our election. If we choose to repay the Convertible Notes in shares of our Common Stock, the shares will be issued at a 10% discount to the volume weighted average price of our Common Stock for the five (5) trading days commencing eight (8) days prior to the relevant repayment date and</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ending on the fourth (4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 trading day prior to such repayment date, subject to a minimum floor price of not less than 20% of the conversion price of the Convertible Notes on the issue date. We may also repay the Convertible Notes in advance of the maturity schedule subject to an early repayment penalty of 15%.</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2018, we entered into an Amendment Agreement (“Amendment Agreement”) whereby the initial monthly principal repayment and accrued interest due on the Convertible Notes of $351,000 was settled in 103,350 shares of Common Stock on August 15, 2018. All other material terms of the Securities Purchase Agreement remained unchanged.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11, 2018, we entered into a Second Amendment Agreement (“Second Amendment Agreement”) whereby each Holder waived the Company’s obligation to make any Monthly Payments for the months of January, February and March 2019. Pursuant to the Second Amendment Agreement, each Holder was permitted to convert its pro-rata share of the Convertible Notes, at a conversion price of $4.00 per share of Common Stock, such that the maximum number of shares to be issued pursuant to this amendment shall not exceed 250,000 shares of Common Stock. All other material terms of the Securities Purchase Agreement remained unchanged.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E Preferred Stock Financing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entry into the Collaboration Agreement, we entered into a stock purchase agreement (the “Purchase Agreement”) with Calm, pursuant to which we issued to Calm an aggregate of 32,258 shares of our newly designated Series E Convertible Preferred Stock, par value $0.01 per share (the “Series E Preferred Stock”), which are initially convertible into 161,290 shares of Common Stock, par value $0.01 per share, at a conversion price of $12.40 per share, subject to certain adjustments. The purchase price per share of the Series E Preferred Stock was $62.00 per share for gross proceeds to us of $2,000,000. In addition, on December 28, 2018, in satisfaction of the conditions under the Purchase Agreement, we sold, and Calm purchased, 16,129 additional shares of Series E Preferred Stock (the “Additional Series E Shares”), which are initially convertible into 80,645 shares of Common Stock at a conversion price of $12.40 per share, subject to certain adjustments, for gross proceeds to us of $1,000,000. The sale of Additional Series E Shares were on the same terms and conditions as those contained in the Purchase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 and Outlook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XpresSpa regularly measures comparable store sales, which it defines as current period sales from stores opened more than 12 months compared to those same stores’ sales in the prior year period (“Comp Store Sales”). The measurement of Comp Store Sales on a daily, weekly, monthly, quarterly and year-to-date basis provides an additional perspective on XpresSpa’s total sales growth when considering the influence of new unit contribution. A reconciliation between Comp Store Sales and total revenue as reported on the financial statements is presented below:</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33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2019</w:t>
            </w:r>
          </w:p>
        </w:tc>
        <w:tc>
          <w:tcPr>
            <w:tcW w:w="338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2018</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187"/>
        </w:trPr>
        <w:tc>
          <w:tcPr>
            <w:tcW w:w="37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Non-Comp</w:t>
            </w: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Non-Comp</w:t>
            </w: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37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 Store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Store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 Store</w:t>
            </w:r>
          </w:p>
        </w:tc>
        <w:tc>
          <w:tcPr>
            <w:tcW w:w="1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Store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$ 10,634,000</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412,000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$ 11,046,000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$ 10,772,000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$ 1,028,000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$ 11,800,000</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 Store Sales decreased 1.3% during the three months ended March 31, 2019 as compared to the same period in 2018. As of March 31, 2019, XpresSpa had 55 open locations; during the first quarter of 2019, XpresSpa closed one location.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grow XpresSpa by:</w:t>
      </w:r>
    </w:p>
    <w:p>
      <w:pPr>
        <w:spacing w:after="0" w:line="225"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focus on spa-level productivity and leveraging retail partnerships to increase units per transaction, which will contribute to the growth of the Comp Store Sales;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opening of new locations;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franchising program, which was approved in January 2018, and for which we signed our first franchisee in November 2018 with our first franchise location scheduled to open in the summer of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Q1 2019 Adjusted EBITDA Loss</w:t>
            </w: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Products and services revenue</w:t>
            </w:r>
          </w:p>
        </w:tc>
        <w:tc>
          <w:tcPr>
            <w:tcW w:w="2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Labor</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(5,778,000)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Occupancy</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(1,865,000)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Products and other operating costs</w:t>
            </w:r>
          </w:p>
        </w:tc>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(1,438,000)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2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1,965,000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 as a % of total revenue</w:t>
            </w:r>
          </w:p>
        </w:tc>
        <w:tc>
          <w:tcPr>
            <w:tcW w:w="2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amortization and impairment</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(1,081,000)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(568,000)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 impairment</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 amortization and impairment</w:t>
            </w:r>
          </w:p>
        </w:tc>
        <w:tc>
          <w:tcPr>
            <w:tcW w:w="2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(21,283,000)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w:t>
            </w:r>
          </w:p>
        </w:tc>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(3,600,000)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14"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operating revenue and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operating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operating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other operating 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loss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1,184,000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60" w:type="dxa"/>
            <w:vAlign w:val="bottom"/>
          </w:tcPr>
          <w:p>
            <w:pPr>
              <w:spacing w:after="0"/>
              <w:rPr>
                <w:sz w:val="18"/>
                <w:szCs w:val="18"/>
                <w:color w:val="auto"/>
              </w:rPr>
            </w:pPr>
          </w:p>
        </w:tc>
      </w:tr>
      <w:tr>
        <w:trPr>
          <w:trHeight w:val="248"/>
        </w:trPr>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(64,000)</w:t>
            </w: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1,167,000</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736,000</w:t>
            </w:r>
          </w:p>
        </w:tc>
        <w:tc>
          <w:tcPr>
            <w:tcW w:w="60" w:type="dxa"/>
            <w:vAlign w:val="bottom"/>
          </w:tcPr>
          <w:p>
            <w:pPr>
              <w:spacing w:after="0"/>
              <w:rPr>
                <w:sz w:val="18"/>
                <w:szCs w:val="18"/>
                <w:color w:val="auto"/>
              </w:rPr>
            </w:pPr>
          </w:p>
        </w:tc>
      </w:tr>
      <w:tr>
        <w:trPr>
          <w:trHeight w:val="426"/>
        </w:trPr>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(2,117,000)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(23,056,000)</w:t>
            </w:r>
          </w:p>
        </w:tc>
      </w:tr>
      <w:tr>
        <w:trPr>
          <w:trHeight w:val="648"/>
        </w:trPr>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1,649,000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1,653,000</w:t>
            </w:r>
          </w:p>
        </w:tc>
        <w:tc>
          <w:tcPr>
            <w:tcW w:w="60" w:type="dxa"/>
            <w:vAlign w:val="bottom"/>
          </w:tcPr>
          <w:p>
            <w:pPr>
              <w:spacing w:after="0"/>
              <w:rPr>
                <w:sz w:val="24"/>
                <w:szCs w:val="24"/>
                <w:color w:val="auto"/>
              </w:rPr>
            </w:pPr>
          </w:p>
        </w:tc>
      </w:tr>
    </w:tbl>
    <w:p>
      <w:pPr>
        <w:ind w:left="1060"/>
        <w:spacing w:after="0"/>
        <w:rPr>
          <w:sz w:val="20"/>
          <w:szCs w:val="20"/>
          <w:color w:val="auto"/>
        </w:rPr>
      </w:pPr>
      <w:r>
        <w:rPr>
          <w:rFonts w:ascii="Times New Roman" w:cs="Times New Roman" w:eastAsia="Times New Roman" w:hAnsi="Times New Roman"/>
          <w:sz w:val="18"/>
          <w:szCs w:val="18"/>
          <w:color w:val="auto"/>
        </w:rPr>
        <w:t>—19,630,000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104,000</w:t>
      </w:r>
      <w:r>
        <w:rPr>
          <w:rFonts w:ascii="Times New Roman" w:cs="Times New Roman" w:eastAsia="Times New Roman" w:hAnsi="Times New Roman"/>
          <w:sz w:val="17"/>
          <w:szCs w:val="17"/>
          <w:color w:val="auto"/>
        </w:rPr>
        <w:t>312,000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(364,000)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(1,461,000)</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80" w:space="720"/>
            <w:col w:w="2920"/>
          </w:cols>
          <w:pgMar w:left="240" w:top="914" w:right="239" w:bottom="1440" w:gutter="0" w:footer="0" w:header="0"/>
          <w:type w:val="continuous"/>
        </w:sect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type w:val="continuous"/>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We use GAAP and non-GAAP measurements to assess the trends in our business, including Adjusted EBITDA, a non-GAAP measure, which we define as earnings before interest, tax, depreciation and amortization expense, excluding merger and acquisition, integration and one-time costs and stock-based compensation.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supplemental measure of financial performance that is not required by, or presented in accordance with, GAAP. Reconciliations of operating loss from continuing operations for the three-month periods ended March 31, 2019 and March 31, 2018 to Adjusted EBITDA loss are presented in the tables above.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from the sale of XpresSpa products and services at the point of sale, net of discounts and applicable sales taxes. Revenues from the XpresSpa wholesale and e-commerce businesses are recorded at the time goods are shipped. Accordingly, we recognize revenue for our single performance obligation related to both in-store and online sales at the point at which the service has been performed or the control of the merchandise has passed to the customer. We exclude all sales taxes assessed to our customers. Sales taxes assessed on revenues are included in accounts payable, accrued expenses and other current liabilities in the condensed consolidated balance sheets until remitted to the state agencies.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 franchise agreement with an unaffiliated franchisee to operate an XpresSpa location. We have identified the franchise right as a distinct performance obligation that transfers over time, and therefore any portion of the non-recurring initial franchise fee that is allocated to the franchise right should be recognized over the course of the contract rather than all upfront as would be the case with distinct performance obligations. Under our franchising model, all initial franchising fees relate to the franchise right and therefore are recognized over the course of the contract which commences upon signing of the agreement. Upon receipt of the non-recurring, non-refundable initial franchise fee, management records a deferred revenue asset and recognizes revenue on a straight-line basis over the contract term. As of March 31, 2019, there were no franchise royalty revenues as operations have not yet commenced. Once operations commence, franchise royalty revenue will be recorded in the period earned.</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Other revenue relates to one-time intellectual property licenses as well as the sale of certain of our intellectual property. Revenue from patent licensing is recognized when we transfer promised intellectual property rights to purchasers in an amount that reflects the consideration to which we expect to be entitled in exchange for those intellectual property rights. Currently, revenue arrangements related to intellectual property provide for the payment of contractually determined fees and other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receipt of the upfront fee, and transfer of the promised intellectual property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consists of store-level costs. Store-level costs include all costs that are directly attributable to the store operations and include:</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related benefits for store operations and store-level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percentage rent and occupancy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merchandise;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shipping and handling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shortage and valuation adjustments, including purchase price allocation increase in fair values which was recorded as part of acquisition;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sourcing operations.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associated with revenue from intellectual property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amortization and impairment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Depreciation is calculated on a straight-line basis over the estimated useful lives of the assets. The useful lives of our property and equipment is based on estimates of the period over which we expect the assets to be of economic benefit to us. Leasehold improvements are amortized over the shorter of the useful life of the asset or the term of the lease.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our intangible assets are recognized on a straight-line basis over the remaining useful life of the intangible assets. Impairment charges related to our intangible assets are recorded when an impairment indicator exists and the carrying amount of the related asset exceeds its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management and administrative personnel, public and investor relations, overhead/office costs, insurance and various other professional fees, as well as sales and marketing costs and stock-based compensation for management and administrative personnel.</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Non-operating income (expense) includes transaction gains (losses) from foreign exchange rate differences, bank charges, deposits, interest related to outstanding debt, as well as fair value adjustments related to our derivative warrant liabilities. The value of these derivative warrant liabilities is highly influenced by assumptions used in its valuation, as well as by our stock price as of the period end (revaluation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regularly evaluated by the enterprise’s Chief Operating Decision Maker (“CODM”) in deciding how to allocate resources and in assessing performance. As a result of the Company’s transition to a pure-play health and wellness services company, it currently has one operating segment that is also its sole reporting unit, XpresSpa.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certain patent portfolios, which it looks to monetize through sales and licensing agreements. In the previous year, the Company determined that its former intellectual property operating segment would no longer be an area of focus and, as such, will no longer operate as a separate operating segment, as it is not expected to generate any material revenues or operating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 ended March 31, 2019 compared to the three-month period ended March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12,230,000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12,600,000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three-month period ended March 31, 2019, we recorded total revenue of $12,230,000, which represents a decrease of $370,000 (or 2.9%) compared to the three-month period ended March 31, 2018. The decrease in revenue was mainly due to the loss of revenue from locations closed due renovations during the quarter. Additionally, the net loss of two stores as compared to last year contributed to a decrease in revenue compared to the first three months of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three-month period ended March 31, 2019, we recorded total cost of sales of $9,098,000, which represents a decrease of $679,000 (or 6.9%) compared to the three-month period ended March 31, 2018. This is consistent with the decrease in revenues, as we have experienced a decrease in cost of sales associated with labor and occupancy due to the closure of underperforming stores during 2018. As of March 31, 2019, we had 55 locations compared to 57 locations as of March 31, 2018.</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overall decrease in cost of sales is also consistent with initiatives taken by management to streamline processes and reduce store-level costs which included reduced warehousing and shipping charges.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sales is expected to grow over time as our revenues increase. We expect that total cost of sales as a percentage of revenues will decline gradually over time as a result of the store-level performance improvements which we continue to prioritize.</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amortization and impairment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2019, depreciation and amortization expense totaled $1,649,000, which represents a decrease of $4,000 (or under 1%), compared to the depreciation and amortization expense recorded during the three-month period ended March 31, 2018. This is consistent year over year, which is in line with management’s expectations.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impairment</w:t>
            </w:r>
          </w:p>
        </w:tc>
        <w:tc>
          <w:tcPr>
            <w:tcW w:w="2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438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7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19,630,000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$19,630,000 of goodwill impairment recorded during the three-month period ended March 31, 2018, which provided a 100% reserve against goodwill.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5, 2018, we changed our name to XpresSpa Group as part of a rebranding effort to align our corporate strategy to build a pure-play health and wellness services company, which we commenced following our acquisition of XpresSpa on December 23, 2016. Following the subsequent sale of Group Mobile on March 22, 2018, which was the only remaining component of our technology operating segment, our management made the decision that our intellectual property operating segment would no longer be an area of focus and would no longer operate as a separate operating segment as it is not expected to generate any material revenues. This completed our transition into a pure-play health and wellness company with only one operating segment, consisting of our XpresSpa business.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quarter of fiscal year 2018, our stock price declined from an opening price of $1.36 on January 2, 2018 to $0.72 on March 29, 2018. Subsequently, on April 19, 2018, we entered into a separation agreement with our Chief Executive Officer regarding his resignation as Chief Executive Officer and as our Director. These events were identified by our management as triggering events requiring that goodwill be tested for impairment as of March 31, 2018. In addition to our rebranding efforts to a pure-play health and wellness services company, our stock price continued to decline even after the announcement of the new Chief Executive Officer. As the stock price had not rebounded, we determined that the impairment related to the three-month period ended March 31, 2018. We performed testing on the estimated fair value of goodwill and, as a result, we recorded an impairment charge of $19,630,000 to reduce the carrying value of goodwill to its fair value, which was determined to be zero. The impairment to goodwill was a result of the structural changes to the Company, including completion of the transition from a holding company to a pure-play health and wellness company and the change in Chief Executive Officer.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2019, general and administrative expenses decreased by $996,000 (or 21.7%) compared to the three-month period ended March 31, 2018. This decrease is a result of streamlined processes at the corporate level to reduce administrative costs, as well as a reduction in stock-based compensation expense.</w:t>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expense, net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net</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(716,000</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non-operating expenses include interest expense, gain or loss on the revaluation of derivative warrant liabilities and other non-operating income and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2019, we recorded net non-operating expense of $716,000 compared to net non-operating expense of $273,000 recorded during the three-month period ended March 31,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three-month period ended March 31, 2019, we recorded interest expense of $183,000 related to the Senior Secured Note, amortization of debt discount, debt issuance costs, and interest on the Convertible Notes of $592,000, and other non-operating expenses of $92,000. These non-operating expenses were partially offset by a gain of $152,000 on the revaluation of the derivative warrant liabilities that is reported as non-operating income.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three-month period ended March 31, 2018, we recorded interest expense of $183,000 related to the Senior Secured Note and other non-operating expenses of $123,000. This non-operating expense was partially offset by a gain of $33,000 on the revaluation of the derivative warrant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2018, we completed the sale of Group Mobile, previously part of our technology operating segment. The results of operations for Group Mobile are presented in the condensed consolidated statements of operations and comprehensive loss as consolidated net loss from discontinued operations. As of March 31,2019 and 2018, total loss from discontinued operations was $0 and $605,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liquidity and capital requirements are for current and new XpresSpa locations. As of March 31, 2019, we had cash and cash equivalents of $2,884,000. We hold significant portions of our cash balance in overseas accounts, totaling $1,430,000, which is not insured by the Federal Deposit Insurance Corporation (“FDIC”). If we were to distribute the amounts held overseas, we would need to follow an approval and distribution process as it is defined in our operating and partnership agreements, which may delay and/or reduce the availability of our cash to us. Our total cash decreased by $519,000 from $3,403,000 as of December 31, 2018 to $2,884,000 as of March 31, 2019.</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utilize our cash and cash equivalents, along with cash flows from operations, to provide capital to support the growth of our business, primarily through opening new XpresSpa locations, maintaining our existing XpresSpa locations and supporting corporate functions.</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2019, we had approximately $2,884,000 of cash and cash equivalents, $2,003,000 of inventory and other current assets and $109,000 of assets held for disposal, which amount to total current assets of $4,996,000. Our total current liabilities balance, which includes accounts payable, accrued expenses, Convertible Notes, and liabilities held for disposal was $17,030,000 as of March 31, 2019. The working capital deficiency of $12,024,000 as of March 31, 2019 includes $1,695,000 of convertible notes classified as short-term liabilities for which principal repayments may be made in shares of Common Stock at our election.</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have aggressively reduced operating and overhead expenses, and while we continue to focus on our overall profitability, we have continued to generate negative cash flows from operations and we expect to incur net losses in the foreseeable future. As discussed above and elsewhere in this Annual Report on Form 10-K, the report of our independent registered public accounting firm on our financial statements for the years ended December 31, 2018 and 2017 includes an explanatory paragraph indicating that there is substantial doubt about our ability to continue as a going concern. The receipt of this explanatory paragraph with respect to our financial statements for the years ended December 31, 2018 and 2017 will result in a breach of a covenant under the Senior Secured Note which, if unremedied for a period of 30 days after the date hereof, will constitute an event of default under the Senior Secured Note. Upon the occurrence of an event of default under the Senior Secured Note, Rockmore may, among other things, declare the Senior Secured Note and all accrued and unpaid interest thereon and all other amounts owing under the Senior Secured Note to be due and payable. If the maturity date of the Senior Secured Note is accelerated as a result of the event of default referenced above, an event of default under the Convertible Notes would be triggered. If an event of default under the Convertible Notes occurs, the outstanding principal amount of the Convertible Notes, liquidated damages and other amounts owing in respect thereof through the date of acceleration, shall become, at the holder’s election, immediately due and payable in cash.</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taken actions to improve our overall cash position and access to liquidity by exploring valuable strategic partnerships, right-sizing our corporate structure, and stream-lining our operations. We expect that the actions taken in 2018 and in the first quarter of 2019 will enhance our liquidity and financial environment. In addition, we expect to generate additional liquidity through the monetization of certain investments and other assets. We expect that these actions will be executed in alignment with the anticipated timing of our liquidity needs. There can be no assurance, however, that any such opportunities will materialize.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historical operating results indicate that there is substantial doubt related to the Company's ability to continue as a going concern. We believe it is probable that the actions discussed above will transpire and will successfully mitigate the substantial doubt raised by our historical operating results and will satisfy our liquidity needs 12 months from the issuance of the financial statements. However, we cannot reasonably predict with any certainty that the results of our planned actions will generate the expected liquidity required to satisfy our liquidity needs.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continue to experience operating losses, and we are not able to generate additional liquidity through the actions described above or through some combination of other actions, while not expected, we may not be able to access additional funds and we might need to secure additional sources of funds, which may or may not be available to us. Additionally, a failure to generate additional liquidity could negatively impact our access to inventory or services that are important to the operation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included in our Annual Report on Form 10-K filed with the SEC on April 1, 2019, as subsequently amended on April 30, 2019,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as we are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Principal Financial Officer, as appropriate, to allow timely decisions regarding required disclosure.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2019, we carried out an evaluation, under the supervision and with the participation of our management, including our Chief Executive Officer and Principal Financial Officer, of the effectiveness of the design and operation of our disclosure controls and procedures. Based on the foregoing, our Chief Executive Officer and Principal Financial Officer concluded that our disclosure controls and procedures were effective as of the end of the period covered by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and 15d-15(f) under the Exchange Act) that occurred during the quarter ended March 31, 2019 that has materially affected, or is reasonably likely to materially affect, our internal control over financial reporting.</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information regarding legal proceedings, see Note 18 “Commitments and Contingencies” in our notes to the condensed consolidated financial statements included in “Item 1. Financial Statements.”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discussed in Item 1A. Risk Factors in our Annual Report on Form 10-K for the year ended December 31, 2018.</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60" w:type="dxa"/>
            <w:vAlign w:val="bottom"/>
            <w:gridSpan w:val="12"/>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1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240" w:type="dxa"/>
            <w:vAlign w:val="bottom"/>
          </w:tcPr>
          <w:p>
            <w:pPr>
              <w:spacing w:after="0"/>
              <w:rPr>
                <w:sz w:val="24"/>
                <w:szCs w:val="24"/>
                <w:color w:val="auto"/>
              </w:rPr>
            </w:pPr>
          </w:p>
        </w:tc>
        <w:tc>
          <w:tcPr>
            <w:tcW w:w="92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gridSpan w:val="8"/>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40" w:type="dxa"/>
            <w:vAlign w:val="bottom"/>
          </w:tcPr>
          <w:p>
            <w:pPr>
              <w:spacing w:after="0"/>
              <w:rPr>
                <w:rFonts w:ascii="Times New Roman" w:cs="Times New Roman" w:eastAsia="Times New Roman" w:hAnsi="Times New Roman"/>
                <w:sz w:val="18"/>
                <w:szCs w:val="18"/>
                <w:color w:val="0000EE"/>
                <w:w w:val="97"/>
              </w:rPr>
            </w:pPr>
            <w:hyperlink r:id="rId9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1"/>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Certificate of Amendment to the Amended and Restated Certificate of Incorporation of XpresSpa Group, Inc., filed with the Secretary of</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1"/>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State of the State of Delaware on February 22, 2019 (incorporated by reference to Exhibit 3.1 to the Company’s Current Report on Form 8-</w:t>
              </w:r>
            </w:hyperlink>
          </w:p>
        </w:tc>
      </w:tr>
      <w:tr>
        <w:trPr>
          <w:trHeight w:val="196"/>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K filed with the SEC on February 22, 2019).</w:t>
              </w:r>
            </w:hyperlink>
          </w:p>
        </w:tc>
        <w:tc>
          <w:tcPr>
            <w:tcW w:w="20" w:type="dxa"/>
            <w:vAlign w:val="bottom"/>
          </w:tcPr>
          <w:p>
            <w:pPr>
              <w:spacing w:after="0"/>
              <w:rPr>
                <w:sz w:val="17"/>
                <w:szCs w:val="17"/>
                <w:color w:val="auto"/>
              </w:rPr>
            </w:pPr>
          </w:p>
        </w:tc>
      </w:tr>
      <w:tr>
        <w:trPr>
          <w:trHeight w:val="20"/>
        </w:trPr>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4"/>
          </w:tcPr>
          <w:p>
            <w:pPr>
              <w:spacing w:after="0"/>
              <w:rPr>
                <w:rFonts w:ascii="Times New Roman" w:cs="Times New Roman" w:eastAsia="Times New Roman" w:hAnsi="Times New Roman"/>
                <w:sz w:val="18"/>
                <w:szCs w:val="18"/>
                <w:color w:val="0000EE"/>
                <w:w w:val="98"/>
              </w:rPr>
            </w:pPr>
            <w:hyperlink r:id="rId9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1"/>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Executive Employment Agreement between XpresSpa Group, Inc. and Douglas Satzman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Company’s Current Report on Form 8-K filed with the SEC on February 13, 2019).</w:t>
              </w:r>
            </w:hyperlink>
          </w:p>
        </w:tc>
        <w:tc>
          <w:tcPr>
            <w:tcW w:w="2920" w:type="dxa"/>
            <w:vAlign w:val="bottom"/>
            <w:tcBorders>
              <w:top w:val="single" w:sz="8" w:color="0000EE"/>
            </w:tcBorders>
          </w:tcPr>
          <w:p>
            <w:pPr>
              <w:spacing w:after="0"/>
              <w:rPr>
                <w:sz w:val="17"/>
                <w:szCs w:val="17"/>
                <w:color w:val="auto"/>
              </w:rPr>
            </w:pPr>
          </w:p>
        </w:tc>
        <w:tc>
          <w:tcPr>
            <w:tcW w:w="300" w:type="dxa"/>
            <w:vAlign w:val="bottom"/>
            <w:gridSpan w:val="3"/>
          </w:tcPr>
          <w:p>
            <w:pPr>
              <w:spacing w:after="0"/>
              <w:rPr>
                <w:sz w:val="17"/>
                <w:szCs w:val="17"/>
                <w:color w:val="auto"/>
              </w:rPr>
            </w:pPr>
          </w:p>
        </w:tc>
      </w:tr>
      <w:tr>
        <w:trPr>
          <w:trHeight w:val="412"/>
        </w:trPr>
        <w:tc>
          <w:tcPr>
            <w:tcW w:w="1160" w:type="dxa"/>
            <w:vAlign w:val="bottom"/>
            <w:gridSpan w:val="5"/>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220" w:type="dxa"/>
            <w:vAlign w:val="bottom"/>
          </w:tcPr>
          <w:p>
            <w:pPr>
              <w:spacing w:after="0"/>
              <w:rPr>
                <w:sz w:val="24"/>
                <w:szCs w:val="24"/>
                <w:color w:val="auto"/>
              </w:rPr>
            </w:pPr>
          </w:p>
        </w:tc>
        <w:tc>
          <w:tcPr>
            <w:tcW w:w="10040" w:type="dxa"/>
            <w:vAlign w:val="bottom"/>
            <w:gridSpan w:val="11"/>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Separation Agreement between the Company and Mr. Edward Jankowski, dated March 14, 2019 (incorporated by reference to Exhibit 10.1</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to the Company’s Current Report on Form 8-K filed with the SEC on March 15, 2019).</w:t>
              </w:r>
            </w:hyperlink>
          </w:p>
        </w:tc>
        <w:tc>
          <w:tcPr>
            <w:tcW w:w="3760" w:type="dxa"/>
            <w:vAlign w:val="bottom"/>
            <w:tcBorders>
              <w:top w:val="single" w:sz="8" w:color="0000EE"/>
            </w:tcBorders>
            <w:gridSpan w:val="6"/>
          </w:tcPr>
          <w:p>
            <w:pPr>
              <w:spacing w:after="0"/>
              <w:rPr>
                <w:sz w:val="17"/>
                <w:szCs w:val="17"/>
                <w:color w:val="auto"/>
              </w:rPr>
            </w:pPr>
          </w:p>
        </w:tc>
      </w:tr>
      <w:tr>
        <w:trPr>
          <w:trHeight w:val="412"/>
        </w:trPr>
        <w:tc>
          <w:tcPr>
            <w:tcW w:w="420" w:type="dxa"/>
            <w:vAlign w:val="bottom"/>
            <w:gridSpan w:val="4"/>
          </w:tcPr>
          <w:p>
            <w:pPr>
              <w:spacing w:after="0"/>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1"/>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Non-Disclosure Agreement between the Company and Mr. Edward Jankowski, dated March 14, 2019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to the Company’s Current Report on Form 8-K filed with the SEC on March 15, 2019).</w:t>
              </w:r>
            </w:hyperlink>
          </w:p>
        </w:tc>
        <w:tc>
          <w:tcPr>
            <w:tcW w:w="338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60" w:type="dxa"/>
            <w:vAlign w:val="bottom"/>
            <w:gridSpan w:val="5"/>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220" w:type="dxa"/>
            <w:vAlign w:val="bottom"/>
          </w:tcPr>
          <w:p>
            <w:pPr>
              <w:spacing w:after="0"/>
              <w:rPr>
                <w:sz w:val="24"/>
                <w:szCs w:val="24"/>
                <w:color w:val="auto"/>
              </w:rPr>
            </w:pPr>
          </w:p>
        </w:tc>
        <w:tc>
          <w:tcPr>
            <w:tcW w:w="10040" w:type="dxa"/>
            <w:vAlign w:val="bottom"/>
            <w:gridSpan w:val="11"/>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Amendment to Section 382 Rights Agreement, dated March 18, 2019, by and between the Company and American Stock Transfer &amp; Trust</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Company, LLC (incorporated by reference to Exhibit 10.1 to the Company’s Current Report on Form 8-K filed with the SEC on March 22,</w:t>
              </w:r>
            </w:hyperlink>
          </w:p>
        </w:tc>
      </w:tr>
      <w:tr>
        <w:trPr>
          <w:trHeight w:val="196"/>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gridSpan w:val="2"/>
          </w:tcPr>
          <w:p>
            <w:pPr>
              <w:ind w:left="220"/>
              <w:spacing w:after="0" w:line="196" w:lineRule="exact"/>
              <w:rPr>
                <w:rFonts w:ascii="Times New Roman" w:cs="Times New Roman" w:eastAsia="Times New Roman" w:hAnsi="Times New Roman"/>
                <w:sz w:val="18"/>
                <w:szCs w:val="18"/>
                <w:color w:val="0000EE"/>
                <w:w w:val="94"/>
              </w:rPr>
            </w:pPr>
            <w:hyperlink r:id="rId94">
              <w:r>
                <w:rPr>
                  <w:rFonts w:ascii="Times New Roman" w:cs="Times New Roman" w:eastAsia="Times New Roman" w:hAnsi="Times New Roman"/>
                  <w:sz w:val="18"/>
                  <w:szCs w:val="18"/>
                  <w:color w:val="0000EE"/>
                  <w:w w:val="94"/>
                </w:rPr>
                <w:t>2019).</w:t>
              </w:r>
            </w:hyperlink>
          </w:p>
        </w:tc>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80" w:type="dxa"/>
            <w:vAlign w:val="bottom"/>
            <w:gridSpan w:val="2"/>
          </w:tcPr>
          <w:p>
            <w:pPr>
              <w:spacing w:after="0"/>
              <w:rPr>
                <w:rFonts w:ascii="Times New Roman" w:cs="Times New Roman" w:eastAsia="Times New Roman" w:hAnsi="Times New Roman"/>
                <w:sz w:val="18"/>
                <w:szCs w:val="18"/>
                <w:color w:val="0000EE"/>
                <w:w w:val="96"/>
              </w:rPr>
            </w:pPr>
            <w:hyperlink w:anchor="page46">
              <w:r>
                <w:rPr>
                  <w:rFonts w:ascii="Times New Roman" w:cs="Times New Roman" w:eastAsia="Times New Roman" w:hAnsi="Times New Roman"/>
                  <w:sz w:val="18"/>
                  <w:szCs w:val="18"/>
                  <w:color w:val="0000EE"/>
                  <w:w w:val="96"/>
                </w:rPr>
                <w:t>31*</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1"/>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Certification of Principal Executive Officer and Principal Financial Officer pursuant to Exchange Act, Rules 13a - 14(a) and 15d - 14(a), as</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adopted pursuant to Section 302 of the Sarbanes-Oxley Act of 2002.</w:t>
              </w:r>
            </w:hyperlink>
          </w:p>
        </w:tc>
        <w:tc>
          <w:tcPr>
            <w:tcW w:w="51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60" w:type="dxa"/>
            <w:vAlign w:val="bottom"/>
            <w:gridSpan w:val="3"/>
          </w:tcPr>
          <w:p>
            <w:pPr>
              <w:spacing w:after="0"/>
              <w:rPr>
                <w:rFonts w:ascii="Times New Roman" w:cs="Times New Roman" w:eastAsia="Times New Roman" w:hAnsi="Times New Roman"/>
                <w:sz w:val="18"/>
                <w:szCs w:val="18"/>
                <w:color w:val="0000EE"/>
                <w:w w:val="94"/>
              </w:rPr>
            </w:pPr>
            <w:hyperlink w:anchor="page47">
              <w:r>
                <w:rPr>
                  <w:rFonts w:ascii="Times New Roman" w:cs="Times New Roman" w:eastAsia="Times New Roman" w:hAnsi="Times New Roman"/>
                  <w:sz w:val="18"/>
                  <w:szCs w:val="18"/>
                  <w:color w:val="0000EE"/>
                  <w:w w:val="94"/>
                </w:rPr>
                <w:t>32**</w:t>
              </w:r>
            </w:hyperlink>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1"/>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Certifications of Principal Executive Officer and Principal Financial Officer Pursuant to 18 U.S.C. Section 1350, as adopted pursuant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Section 906 of the Sarbanes-Oxley Act of 2002.</w:t>
              </w:r>
            </w:hyperlink>
          </w:p>
        </w:tc>
        <w:tc>
          <w:tcPr>
            <w:tcW w:w="656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ind w:left="1380" w:hanging="1372"/>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380" w:hanging="1372"/>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herein.</w:t>
      </w:r>
    </w:p>
    <w:p>
      <w:pPr>
        <w:spacing w:after="0" w:line="9" w:lineRule="exact"/>
        <w:rPr>
          <w:sz w:val="20"/>
          <w:szCs w:val="20"/>
          <w:color w:val="auto"/>
        </w:rPr>
      </w:pPr>
    </w:p>
    <w:p>
      <w:pPr>
        <w:ind w:left="1380" w:hanging="1372"/>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29" w:lineRule="exact"/>
        <w:rPr>
          <w:sz w:val="20"/>
          <w:szCs w:val="20"/>
          <w:color w:val="auto"/>
        </w:rPr>
      </w:pPr>
    </w:p>
    <w:p>
      <w:pPr>
        <w:spacing w:after="0"/>
        <w:tabs>
          <w:tab w:leader="none" w:pos="560" w:val="left"/>
          <w:tab w:leader="none" w:pos="5820" w:val="left"/>
          <w:tab w:leader="none" w:pos="8100" w:val="left"/>
        </w:tabs>
        <w:rPr>
          <w:sz w:val="20"/>
          <w:szCs w:val="20"/>
          <w:color w:val="auto"/>
        </w:rPr>
      </w:pPr>
      <w:r>
        <w:rPr>
          <w:rFonts w:ascii="Times New Roman" w:cs="Times New Roman" w:eastAsia="Times New Roman" w:hAnsi="Times New Roman"/>
          <w:sz w:val="18"/>
          <w:szCs w:val="18"/>
          <w:color w:val="auto"/>
        </w:rPr>
        <w:t>Date:</w:t>
        <w:tab/>
        <w:t>May 15,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Satzman</w:t>
      </w:r>
    </w:p>
    <w:p>
      <w:pPr>
        <w:spacing w:after="0" w:line="27"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b w:val="1"/>
          <w:bCs w:val="1"/>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XpresSpa Group,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jc w:val="both"/>
        <w:ind w:firstLine="8"/>
        <w:spacing w:after="0" w:line="266" w:lineRule="auto"/>
        <w:tabs>
          <w:tab w:leader="none" w:pos="1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0" w:firstLine="8"/>
        <w:spacing w:after="0" w:line="282" w:lineRule="auto"/>
        <w:tabs>
          <w:tab w:leader="none" w:pos="1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2019</w:t>
      </w:r>
    </w:p>
    <w:p>
      <w:pPr>
        <w:spacing w:after="0" w:line="225" w:lineRule="exact"/>
        <w:rPr>
          <w:sz w:val="20"/>
          <w:szCs w:val="20"/>
          <w:color w:val="auto"/>
        </w:rPr>
      </w:pPr>
    </w:p>
    <w:p>
      <w:pPr>
        <w:ind w:left="4660"/>
        <w:spacing w:after="0"/>
        <w:tabs>
          <w:tab w:leader="none" w:pos="50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DOUGLAS SATZMAN</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XpresSpa Group, Inc., a Delaware corporation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March 31, 2019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2019</w:t>
      </w:r>
    </w:p>
    <w:p>
      <w:pPr>
        <w:spacing w:after="0" w:line="225" w:lineRule="exact"/>
        <w:rPr>
          <w:sz w:val="20"/>
          <w:szCs w:val="20"/>
          <w:color w:val="auto"/>
        </w:rPr>
      </w:pPr>
    </w:p>
    <w:p>
      <w:pPr>
        <w:ind w:left="4660"/>
        <w:spacing w:after="0"/>
        <w:tabs>
          <w:tab w:leader="none" w:pos="50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DOUGLAS SATZMAN</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lowerRoman"/>
      <w:start w:val="1"/>
    </w:lvl>
  </w:abstractNum>
  <w:abstractNum w:abstractNumId="13">
    <w:nsid w:val="257130A3"/>
    <w:multiLevelType w:val="hybridMultilevel"/>
    <w:lvl w:ilvl="0">
      <w:lvlJc w:val="left"/>
      <w:lvlText w:val="(%1)"/>
      <w:numFmt w:val="lowerRoman"/>
      <w:start w:val="2"/>
    </w:lvl>
  </w:abstractNum>
  <w:abstractNum w:abstractNumId="14">
    <w:nsid w:val="62BBD95A"/>
    <w:multiLevelType w:val="hybridMultilevel"/>
    <w:lvl w:ilvl="0">
      <w:lvlJc w:val="left"/>
      <w:lvlText w:val="&amp;"/>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emdash "/>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5"/>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90" Type="http://schemas.openxmlformats.org/officeDocument/2006/relationships/hyperlink" Target="http://www.sec.gov/Archives/edgar/data/1410428/000114420419009610/tv514467_ex3-1.htm" TargetMode="External"/><Relationship Id="rId91" Type="http://schemas.openxmlformats.org/officeDocument/2006/relationships/hyperlink" Target="http://www.sec.gov/Archives/edgar/data/1410428/000114420419007309/tv513163_ex10-1.htm" TargetMode="External"/><Relationship Id="rId92" Type="http://schemas.openxmlformats.org/officeDocument/2006/relationships/hyperlink" Target="http://www.sec.gov/Archives/edgar/data/1410428/000114420419014325/tv516349_ex10-1.htm" TargetMode="External"/><Relationship Id="rId93" Type="http://schemas.openxmlformats.org/officeDocument/2006/relationships/hyperlink" Target="http://www.sec.gov/Archives/edgar/data/1410428/000114420419014325/tv516349_ex10-2.htm" TargetMode="External"/><Relationship Id="rId94" Type="http://schemas.openxmlformats.org/officeDocument/2006/relationships/hyperlink" Target="http://www.sec.gov/Archives/edgar/data/1410428/000114420419015650/tv516755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2019-12-28T12:01:49Z</dcterms:created>
  <dcterms:modified xsi:type="dcterms:W3CDTF">2019-12-28T12:01:49Z</dcterms:modified>
</cp:coreProperties>
</file>