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17, 2016</w:t>
      </w:r>
    </w:p>
    <w:p>
      <w:pPr>
        <w:spacing w:after="0" w:line="225" w:lineRule="exact"/>
        <w:rPr>
          <w:sz w:val="24"/>
          <w:szCs w:val="24"/>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740" w:type="dxa"/>
            <w:vAlign w:val="bottom"/>
          </w:tcPr>
          <w:p>
            <w:pPr>
              <w:jc w:val="center"/>
              <w:ind w:right="2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8"/>
              </w:rPr>
              <w:t>20-4988129</w:t>
            </w:r>
          </w:p>
        </w:tc>
      </w:tr>
      <w:tr>
        <w:trPr>
          <w:trHeight w:val="216"/>
        </w:trPr>
        <w:tc>
          <w:tcPr>
            <w:tcW w:w="474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1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40" w:type="dxa"/>
            <w:vAlign w:val="bottom"/>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1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780 Third Avenue, 12</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 2012 EMPLOYEE, DIRECTOR AND CONSULTANT EQUITY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w:t>
      </w:r>
    </w:p>
    <w:p>
      <w:pPr>
        <w:jc w:val="center"/>
        <w:spacing w:after="0" w:line="186" w:lineRule="auto"/>
        <w:rPr>
          <w:sz w:val="20"/>
          <w:szCs w:val="20"/>
          <w:color w:val="auto"/>
        </w:rPr>
      </w:pPr>
      <w:r>
        <w:rPr>
          <w:rFonts w:ascii="Times New Roman" w:cs="Times New Roman" w:eastAsia="Times New Roman" w:hAnsi="Times New Roman"/>
          <w:sz w:val="18"/>
          <w:szCs w:val="18"/>
          <w:b w:val="1"/>
          <w:bCs w:val="1"/>
          <w:color w:val="auto"/>
        </w:rPr>
        <w:t>780 Third Avenue, 12</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309-7549</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R. Koch,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Merav Gershtenman,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Chrysler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935-3000</w:t>
      </w:r>
    </w:p>
    <w:p>
      <w:pPr>
        <w:spacing w:after="0" w:line="20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Accelerated filer</w:t>
            </w:r>
          </w:p>
        </w:tc>
        <w:tc>
          <w:tcPr>
            <w:tcW w:w="10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68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w:t>
            </w:r>
          </w:p>
        </w:tc>
      </w:tr>
      <w:tr>
        <w:trPr>
          <w:trHeight w:val="655"/>
        </w:trPr>
        <w:tc>
          <w:tcPr>
            <w:tcW w:w="6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60" w:type="dxa"/>
            <w:vAlign w:val="bottom"/>
            <w:gridSpan w:val="6"/>
          </w:tcPr>
          <w:p>
            <w:pPr>
              <w:ind w:left="156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2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Securities To Be</w:t>
            </w:r>
          </w:p>
        </w:tc>
        <w:tc>
          <w:tcPr>
            <w:tcW w:w="2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To Be</w:t>
            </w:r>
          </w:p>
        </w:tc>
        <w:tc>
          <w:tcPr>
            <w:tcW w:w="2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Offering Price Per</w:t>
            </w:r>
          </w:p>
        </w:tc>
        <w:tc>
          <w:tcPr>
            <w:tcW w:w="2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 Registration</w:t>
            </w:r>
          </w:p>
        </w:tc>
      </w:tr>
      <w:tr>
        <w:trPr>
          <w:trHeight w:val="270"/>
        </w:trPr>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2400" w:type="dxa"/>
            <w:vAlign w:val="bottom"/>
            <w:gridSpan w:val="2"/>
          </w:tcPr>
          <w:p>
            <w:pPr>
              <w:jc w:val="center"/>
              <w:ind w:right="280"/>
              <w:spacing w:after="0" w:line="269" w:lineRule="exact"/>
              <w:rPr>
                <w:sz w:val="20"/>
                <w:szCs w:val="20"/>
                <w:color w:val="auto"/>
              </w:rPr>
            </w:pPr>
            <w:r>
              <w:rPr>
                <w:rFonts w:ascii="Times New Roman" w:cs="Times New Roman" w:eastAsia="Times New Roman" w:hAnsi="Times New Roman"/>
                <w:sz w:val="18"/>
                <w:szCs w:val="18"/>
                <w:b w:val="1"/>
                <w:bCs w:val="1"/>
                <w:color w:val="auto"/>
                <w:w w:val="94"/>
              </w:rPr>
              <w:t>Registered</w:t>
            </w:r>
            <w:r>
              <w:rPr>
                <w:rFonts w:ascii="Times New Roman" w:cs="Times New Roman" w:eastAsia="Times New Roman" w:hAnsi="Times New Roman"/>
                <w:sz w:val="30"/>
                <w:szCs w:val="30"/>
                <w:b w:val="1"/>
                <w:bCs w:val="1"/>
                <w:color w:val="auto"/>
                <w:w w:val="94"/>
                <w:vertAlign w:val="superscript"/>
              </w:rPr>
              <w:t>(1)</w:t>
            </w:r>
          </w:p>
        </w:tc>
        <w:tc>
          <w:tcPr>
            <w:tcW w:w="2300" w:type="dxa"/>
            <w:vAlign w:val="bottom"/>
            <w:gridSpan w:val="2"/>
          </w:tcPr>
          <w:p>
            <w:pPr>
              <w:jc w:val="center"/>
              <w:ind w:right="360"/>
              <w:spacing w:after="0" w:line="269" w:lineRule="exact"/>
              <w:rPr>
                <w:sz w:val="20"/>
                <w:szCs w:val="20"/>
                <w:color w:val="auto"/>
              </w:rPr>
            </w:pPr>
            <w:r>
              <w:rPr>
                <w:rFonts w:ascii="Times New Roman" w:cs="Times New Roman" w:eastAsia="Times New Roman" w:hAnsi="Times New Roman"/>
                <w:sz w:val="18"/>
                <w:szCs w:val="18"/>
                <w:b w:val="1"/>
                <w:bCs w:val="1"/>
                <w:color w:val="auto"/>
                <w:w w:val="90"/>
              </w:rPr>
              <w:t>Share</w:t>
            </w:r>
            <w:r>
              <w:rPr>
                <w:rFonts w:ascii="Times New Roman" w:cs="Times New Roman" w:eastAsia="Times New Roman" w:hAnsi="Times New Roman"/>
                <w:sz w:val="30"/>
                <w:szCs w:val="30"/>
                <w:b w:val="1"/>
                <w:bCs w:val="1"/>
                <w:color w:val="auto"/>
                <w:w w:val="90"/>
                <w:vertAlign w:val="superscript"/>
              </w:rPr>
              <w:t>(2)</w:t>
            </w:r>
          </w:p>
        </w:tc>
        <w:tc>
          <w:tcPr>
            <w:tcW w:w="2260" w:type="dxa"/>
            <w:vAlign w:val="bottom"/>
            <w:gridSpan w:val="2"/>
          </w:tcPr>
          <w:p>
            <w:pPr>
              <w:jc w:val="center"/>
              <w:ind w:right="320"/>
              <w:spacing w:after="0" w:line="269" w:lineRule="exact"/>
              <w:rPr>
                <w:sz w:val="20"/>
                <w:szCs w:val="20"/>
                <w:color w:val="auto"/>
              </w:rPr>
            </w:pPr>
            <w:r>
              <w:rPr>
                <w:rFonts w:ascii="Times New Roman" w:cs="Times New Roman" w:eastAsia="Times New Roman" w:hAnsi="Times New Roman"/>
                <w:sz w:val="18"/>
                <w:szCs w:val="18"/>
                <w:b w:val="1"/>
                <w:bCs w:val="1"/>
                <w:color w:val="auto"/>
                <w:w w:val="91"/>
              </w:rPr>
              <w:t>Price</w:t>
            </w:r>
            <w:r>
              <w:rPr>
                <w:rFonts w:ascii="Times New Roman" w:cs="Times New Roman" w:eastAsia="Times New Roman" w:hAnsi="Times New Roman"/>
                <w:sz w:val="30"/>
                <w:szCs w:val="30"/>
                <w:b w:val="1"/>
                <w:bCs w:val="1"/>
                <w:color w:val="auto"/>
                <w:w w:val="91"/>
                <w:vertAlign w:val="superscript"/>
              </w:rPr>
              <w:t>(2)</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1"/>
        </w:trPr>
        <w:tc>
          <w:tcPr>
            <w:tcW w:w="2180" w:type="dxa"/>
            <w:vAlign w:val="bottom"/>
            <w:tcBorders>
              <w:top w:val="single" w:sz="8" w:color="auto"/>
            </w:tcBorders>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auto"/>
              </w:rPr>
              <w:t>Common Stock, $0.01 par</w:t>
            </w:r>
          </w:p>
        </w:tc>
        <w:tc>
          <w:tcPr>
            <w:tcW w:w="24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2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value per share</w:t>
            </w:r>
          </w:p>
        </w:tc>
        <w:tc>
          <w:tcPr>
            <w:tcW w:w="24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540,000 shares</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$1.88</w:t>
            </w:r>
          </w:p>
        </w:tc>
        <w:tc>
          <w:tcPr>
            <w:tcW w:w="34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$1,015,200</w:t>
            </w:r>
          </w:p>
        </w:tc>
        <w:tc>
          <w:tcPr>
            <w:tcW w:w="32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460" w:hanging="330"/>
        <w:spacing w:after="0" w:line="233" w:lineRule="auto"/>
        <w:tabs>
          <w:tab w:leader="none" w:pos="46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shares of common stock, par value $0.01 per share (“Common Stock”), stated above consists of 540,000 additional shares of Common Stock not previously registered which may hereafter be issued under the Vringo, Inc. 2012 Employee, Director and Consultant Equity Incentive Plan (the “2012 Plan”) pursuant to an amendment to the 2012 Plan adopted by the Company’s stockholders on November 16, 2015. The maximum number of shares which may be sold under the 2012 Plan is subject to adjustment in accordance with certain anti-dilution and other provisions of the 2012 Plan. Accordingly, pursuant to Rule 416 under the Securities Act of 1933, as amended, this Registration Statement covers, in addition to the number of shares stated above, an indeterminate number of shares which may be subject to grant or otherwise issuable after the operation of any such anti-dilution and other provisions. All Common Stock figures appear in this Registration Statement have been adjusted to reflect a 1-for-10 reverse stock split of our outstanding Common Stock effected on November 27, 2015.</w:t>
      </w:r>
    </w:p>
    <w:p>
      <w:pPr>
        <w:spacing w:after="0" w:line="203" w:lineRule="exact"/>
        <w:rPr>
          <w:rFonts w:ascii="Times New Roman" w:cs="Times New Roman" w:eastAsia="Times New Roman" w:hAnsi="Times New Roman"/>
          <w:sz w:val="30"/>
          <w:szCs w:val="30"/>
          <w:color w:val="auto"/>
          <w:vertAlign w:val="superscript"/>
        </w:rPr>
      </w:pPr>
    </w:p>
    <w:p>
      <w:pPr>
        <w:ind w:left="460" w:right="40" w:hanging="330"/>
        <w:spacing w:after="0" w:line="219" w:lineRule="auto"/>
        <w:tabs>
          <w:tab w:leader="none" w:pos="46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calculation is made solely for the purpose of determining the registration fee pursuant to the provisions of Rule 457(c) and (h) under the Securities Act as follows: in the case of shares of Common Stock to be issued in connection with equity awards that have not yet been granted or shares of Common Stock that have not yet been issued, the fee is calculated on the basis of the average of the high and low sale prices per share of the Common Stock on The NASDAQ Capital Market ($1.88) as of a date within five business days prior to filing this Registration Statement (March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This Registration Statement registers additional securities of the same class as other securities for which the registration statement filed on Form S-8 (SEC File No. 333-182853) of the Registrant is effective. The information contained in the Registrant’s registration statement on Form S-8 (SEC File No. 333-182853) is hereby incorporated by reference pursuant to General Instruction E of Form S-8.</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60" w:type="dxa"/>
            <w:vAlign w:val="bottom"/>
          </w:tcPr>
          <w:p>
            <w:pPr>
              <w:spacing w:after="0"/>
              <w:rPr>
                <w:sz w:val="18"/>
                <w:szCs w:val="18"/>
                <w:color w:val="auto"/>
              </w:rPr>
            </w:pPr>
          </w:p>
        </w:tc>
      </w:tr>
      <w:tr>
        <w:trPr>
          <w:trHeight w:val="238"/>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(incorporated by reference to Exhibit 3.1 to the Registrant’s Annual Report</w:t>
            </w:r>
          </w:p>
        </w:tc>
      </w:t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on Form 10-K filed on March 10, 2016).</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to the Registrant’s Registration Statement on Form S-1 filed on January 29, 2010).</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Opinion of Mintz, Levin, Cohn, Ferris, Glovsky and Popeo, P.C.</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CohnReznick LLP.</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Mintz, Levin, Cohn, Ferris, Glovsky and Popeo, P.C. (included in Exhibit 5.1).</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Vringo, Inc. 2012 Employee, Director and Consultant Equity Incentive Plan,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New York, on March 17, 2016.</w:t>
      </w:r>
    </w:p>
    <w:p>
      <w:pPr>
        <w:spacing w:after="0" w:line="172"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Andrew D. Perlman</w:t>
      </w:r>
    </w:p>
    <w:p>
      <w:pPr>
        <w:spacing w:after="0" w:line="3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Andrew D. Perlman and Anastasia Nyrkovskaya, and each of them singly, his/her true and lawful attorneys-in-fact and agents, with full power of substitution and resubstitution in each of them singly, for him/her and in his/her name, place and stead, and in any and all capacities, to sign any and all amendments (including post-effective amendments) to this Registration Statement on Form S-8 of Vringo, Inc., and to file the same, with all exhibits thereto and other documents in connection therewith, with the Securities and Exchange Commission, granting to the attorneys-in-fact and agents, and each of them, full power and authority to do and perform each and every act and thing requisite or necessary to be done in or about the premises, as full to all intents and purposes as he/she might or could do in person, hereby ratifying and confirming all that the attorneys-in-fact and agents or any of each of them or their substitute may lawfully do or cause to be done by virtue hereof.</w:t>
      </w:r>
    </w:p>
    <w:p>
      <w:pPr>
        <w:spacing w:after="0" w:line="18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9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92"/>
        </w:trPr>
        <w:tc>
          <w:tcPr>
            <w:tcW w:w="680" w:type="dxa"/>
            <w:vAlign w:val="bottom"/>
          </w:tcPr>
          <w:p>
            <w:pPr>
              <w:spacing w:after="0"/>
              <w:rPr>
                <w:sz w:val="24"/>
                <w:szCs w:val="24"/>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/s/ Andrew D. Perlman</w:t>
            </w:r>
          </w:p>
        </w:tc>
        <w:tc>
          <w:tcPr>
            <w:tcW w:w="1540" w:type="dxa"/>
            <w:vAlign w:val="bottom"/>
            <w:gridSpan w:val="2"/>
          </w:tcPr>
          <w:p>
            <w:pPr>
              <w:spacing w:after="0"/>
              <w:rPr>
                <w:sz w:val="24"/>
                <w:szCs w:val="24"/>
                <w:color w:val="auto"/>
              </w:rPr>
            </w:pPr>
          </w:p>
        </w:tc>
        <w:tc>
          <w:tcPr>
            <w:tcW w:w="45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executive officer)</w:t>
            </w:r>
          </w:p>
        </w:tc>
        <w:tc>
          <w:tcPr>
            <w:tcW w:w="296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Anastasia Nyrkovskaya</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Chief Financial Officer (principal financial and</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19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1300" w:type="dxa"/>
            <w:vAlign w:val="bottom"/>
          </w:tcPr>
          <w:p>
            <w:pPr>
              <w:spacing w:after="0"/>
              <w:rPr>
                <w:sz w:val="20"/>
                <w:szCs w:val="20"/>
                <w:color w:val="auto"/>
              </w:rPr>
            </w:pP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accounting officer)</w:t>
            </w:r>
          </w:p>
        </w:tc>
        <w:tc>
          <w:tcPr>
            <w:tcW w:w="296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John Engleman</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Engleman</w:t>
            </w:r>
          </w:p>
        </w:tc>
        <w:tc>
          <w:tcPr>
            <w:tcW w:w="1840" w:type="dxa"/>
            <w:vAlign w:val="bottom"/>
            <w:gridSpan w:val="5"/>
          </w:tcPr>
          <w:p>
            <w:pPr>
              <w:spacing w:after="0"/>
              <w:rPr>
                <w:sz w:val="20"/>
                <w:szCs w:val="20"/>
                <w:color w:val="auto"/>
              </w:rPr>
            </w:pPr>
          </w:p>
        </w:tc>
        <w:tc>
          <w:tcPr>
            <w:tcW w:w="4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/s/ Bruce T. Bernstein</w:t>
            </w:r>
          </w:p>
        </w:tc>
        <w:tc>
          <w:tcPr>
            <w:tcW w:w="1620" w:type="dxa"/>
            <w:vAlign w:val="bottom"/>
            <w:gridSpan w:val="3"/>
          </w:tcPr>
          <w:p>
            <w:pPr>
              <w:spacing w:after="0"/>
              <w:rPr>
                <w:sz w:val="24"/>
                <w:szCs w:val="24"/>
                <w:color w:val="auto"/>
              </w:rPr>
            </w:pP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Bruce T. Bernstein</w:t>
            </w:r>
          </w:p>
        </w:tc>
        <w:tc>
          <w:tcPr>
            <w:tcW w:w="4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Richard K. Abbe</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Richard K. Abbe</w:t>
            </w:r>
          </w:p>
        </w:tc>
        <w:tc>
          <w:tcPr>
            <w:tcW w:w="1800" w:type="dxa"/>
            <w:vAlign w:val="bottom"/>
            <w:gridSpan w:val="4"/>
          </w:tcPr>
          <w:p>
            <w:pPr>
              <w:spacing w:after="0"/>
              <w:rPr>
                <w:sz w:val="20"/>
                <w:szCs w:val="20"/>
                <w:color w:val="auto"/>
              </w:rPr>
            </w:pPr>
          </w:p>
        </w:tc>
        <w:tc>
          <w:tcPr>
            <w:tcW w:w="4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392"/>
        </w:trPr>
        <w:tc>
          <w:tcPr>
            <w:tcW w:w="68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/s/ Donald E. Stout</w:t>
            </w:r>
          </w:p>
        </w:tc>
        <w:tc>
          <w:tcPr>
            <w:tcW w:w="454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Director</w:t>
            </w: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17, 2016</w:t>
            </w:r>
          </w:p>
        </w:tc>
      </w:tr>
      <w:tr>
        <w:trPr>
          <w:trHeight w:val="237"/>
        </w:trPr>
        <w:tc>
          <w:tcPr>
            <w:tcW w:w="680" w:type="dxa"/>
            <w:vAlign w:val="bottom"/>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Donald E. Stout</w:t>
            </w:r>
          </w:p>
        </w:tc>
        <w:tc>
          <w:tcPr>
            <w:tcW w:w="1840" w:type="dxa"/>
            <w:vAlign w:val="bottom"/>
            <w:gridSpan w:val="5"/>
          </w:tcPr>
          <w:p>
            <w:pPr>
              <w:spacing w:after="0"/>
              <w:rPr>
                <w:sz w:val="20"/>
                <w:szCs w:val="20"/>
                <w:color w:val="auto"/>
              </w:rPr>
            </w:pPr>
          </w:p>
        </w:tc>
        <w:tc>
          <w:tcPr>
            <w:tcW w:w="45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891"/>
        </w:trPr>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7"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60" w:type="dxa"/>
            <w:vAlign w:val="bottom"/>
          </w:tcPr>
          <w:p>
            <w:pPr>
              <w:spacing w:after="0"/>
              <w:rPr>
                <w:sz w:val="24"/>
                <w:szCs w:val="24"/>
                <w:color w:val="auto"/>
              </w:rPr>
            </w:pPr>
          </w:p>
        </w:tc>
      </w:tr>
      <w:tr>
        <w:trPr>
          <w:trHeight w:val="238"/>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7"/>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as amended (incorporated by reference to Exhibit 3.1 to the Registrant’s Annual Report</w:t>
            </w:r>
          </w:p>
        </w:tc>
      </w:t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on Form 10-K filed on March 10, 2016).</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(incorporated by reference to the Registrant’s Registration Statement on Form S-1 filed on January 29, 2010).</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Opinion of Mintz, Levin, Cohn, Ferris, Glovsky and Popeo, P.C.</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CohnReznick LLP.</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Consent of Mintz, Levin, Cohn, Ferris, Glovsky and Popeo, P.C. (included in Exhibit 5.1).</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Vringo, Inc. 2012 Employee, Director and Consultant Equity Incentive Plan,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1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5" w:name="page6"/>
    <w:bookmarkEnd w:id="5"/>
    <w:p>
      <w:pPr>
        <w:ind w:left="105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4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-119380</wp:posOffset>
            </wp:positionV>
            <wp:extent cx="186118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1185" cy="360045"/>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666 Third Avenue</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212-935-3000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212-983-3115 fax</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www.mintz.com</w:t>
      </w:r>
    </w:p>
    <w:p>
      <w:pPr>
        <w:spacing w:after="0" w:line="200" w:lineRule="exact"/>
        <w:rPr>
          <w:sz w:val="20"/>
          <w:szCs w:val="20"/>
          <w:color w:val="auto"/>
        </w:rPr>
      </w:pPr>
    </w:p>
    <w:p>
      <w:pPr>
        <w:spacing w:after="0" w:line="2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March 17,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198" w:lineRule="auto"/>
        <w:rPr>
          <w:sz w:val="20"/>
          <w:szCs w:val="20"/>
          <w:color w:val="auto"/>
        </w:rPr>
      </w:pPr>
      <w:r>
        <w:rPr>
          <w:rFonts w:ascii="Times New Roman" w:cs="Times New Roman" w:eastAsia="Times New Roman" w:hAnsi="Times New Roman"/>
          <w:sz w:val="18"/>
          <w:szCs w:val="18"/>
          <w:color w:val="auto"/>
        </w:rPr>
        <w:t>780 Third Avenue, 12</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acted as legal counsel to Vringo,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540,000 shares (the “Shares”) of the Company’s common stock, $0.01 par value per share (the “Common Stock”), that may be issued pursuant to the Company’s 2012 Employee, Director and Consultant Equity Incentive Plan, as amended (the “2012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89" w:lineRule="exact"/>
        <w:rPr>
          <w:sz w:val="20"/>
          <w:szCs w:val="20"/>
          <w:color w:val="auto"/>
        </w:rPr>
      </w:pPr>
    </w:p>
    <w:p>
      <w:pPr>
        <w:ind w:right="6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Amended and Restated Certificate of Incorporation, as amended, and the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In addition, we have assumed that the Company will receive any required consideration in accordance with the terms of the 2012 Plan.</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the United States federal securities laws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OSTON</w:t>
      </w:r>
      <w:r>
        <w:rPr>
          <w:rFonts w:ascii="Times New Roman" w:cs="Times New Roman" w:eastAsia="Times New Roman" w:hAnsi="Times New Roman"/>
          <w:sz w:val="18"/>
          <w:szCs w:val="18"/>
          <w:color w:val="auto"/>
        </w:rPr>
        <w:t xml:space="preserve"> | L</w:t>
      </w:r>
      <w:r>
        <w:rPr>
          <w:rFonts w:ascii="Times New Roman" w:cs="Times New Roman" w:eastAsia="Times New Roman" w:hAnsi="Times New Roman"/>
          <w:sz w:val="12"/>
          <w:szCs w:val="12"/>
          <w:color w:val="auto"/>
        </w:rPr>
        <w:t>ONDON</w:t>
      </w:r>
      <w:r>
        <w:rPr>
          <w:rFonts w:ascii="Times New Roman" w:cs="Times New Roman" w:eastAsia="Times New Roman" w:hAnsi="Times New Roman"/>
          <w:sz w:val="18"/>
          <w:szCs w:val="18"/>
          <w:color w:val="auto"/>
        </w:rPr>
        <w:t xml:space="preserve"> | L</w:t>
      </w:r>
      <w:r>
        <w:rPr>
          <w:rFonts w:ascii="Times New Roman" w:cs="Times New Roman" w:eastAsia="Times New Roman" w:hAnsi="Times New Roman"/>
          <w:sz w:val="12"/>
          <w:szCs w:val="12"/>
          <w:color w:val="auto"/>
        </w:rPr>
        <w:t>OS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NGELES</w:t>
      </w:r>
      <w:r>
        <w:rPr>
          <w:rFonts w:ascii="Times New Roman" w:cs="Times New Roman" w:eastAsia="Times New Roman" w:hAnsi="Times New Roman"/>
          <w:sz w:val="18"/>
          <w:szCs w:val="18"/>
          <w:color w:val="auto"/>
        </w:rPr>
        <w:t xml:space="preserve"> |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 S</w:t>
      </w:r>
      <w:r>
        <w:rPr>
          <w:rFonts w:ascii="Times New Roman" w:cs="Times New Roman" w:eastAsia="Times New Roman" w:hAnsi="Times New Roman"/>
          <w:sz w:val="12"/>
          <w:szCs w:val="12"/>
          <w:color w:val="auto"/>
        </w:rPr>
        <w:t>AN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IEGO</w:t>
      </w:r>
      <w:r>
        <w:rPr>
          <w:rFonts w:ascii="Times New Roman" w:cs="Times New Roman" w:eastAsia="Times New Roman" w:hAnsi="Times New Roman"/>
          <w:sz w:val="18"/>
          <w:szCs w:val="18"/>
          <w:color w:val="auto"/>
        </w:rPr>
        <w:t xml:space="preserve"> | S</w:t>
      </w:r>
      <w:r>
        <w:rPr>
          <w:rFonts w:ascii="Times New Roman" w:cs="Times New Roman" w:eastAsia="Times New Roman" w:hAnsi="Times New Roman"/>
          <w:sz w:val="12"/>
          <w:szCs w:val="12"/>
          <w:color w:val="auto"/>
        </w:rPr>
        <w:t>AN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RANCISCO</w:t>
      </w:r>
      <w:r>
        <w:rPr>
          <w:rFonts w:ascii="Times New Roman" w:cs="Times New Roman" w:eastAsia="Times New Roman" w:hAnsi="Times New Roman"/>
          <w:sz w:val="18"/>
          <w:szCs w:val="18"/>
          <w:color w:val="auto"/>
        </w:rPr>
        <w:t xml:space="preserve"> | S</w:t>
      </w:r>
      <w:r>
        <w:rPr>
          <w:rFonts w:ascii="Times New Roman" w:cs="Times New Roman" w:eastAsia="Times New Roman" w:hAnsi="Times New Roman"/>
          <w:sz w:val="12"/>
          <w:szCs w:val="12"/>
          <w:color w:val="auto"/>
        </w:rPr>
        <w:t>TAMFORD</w:t>
      </w:r>
      <w:r>
        <w:rPr>
          <w:rFonts w:ascii="Times New Roman" w:cs="Times New Roman" w:eastAsia="Times New Roman" w:hAnsi="Times New Roman"/>
          <w:sz w:val="18"/>
          <w:szCs w:val="18"/>
          <w:color w:val="auto"/>
        </w:rPr>
        <w:t xml:space="preserve"> | W</w:t>
      </w:r>
      <w:r>
        <w:rPr>
          <w:rFonts w:ascii="Times New Roman" w:cs="Times New Roman" w:eastAsia="Times New Roman" w:hAnsi="Times New Roman"/>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INTZ</w:t>
      </w:r>
      <w:r>
        <w:rPr>
          <w:rFonts w:ascii="Times New Roman" w:cs="Times New Roman" w:eastAsia="Times New Roman" w:hAnsi="Times New Roman"/>
          <w:sz w:val="18"/>
          <w:szCs w:val="18"/>
          <w:b w:val="1"/>
          <w:bCs w:val="1"/>
          <w:color w:val="auto"/>
        </w:rPr>
        <w:t>, L</w:t>
      </w:r>
      <w:r>
        <w:rPr>
          <w:rFonts w:ascii="Times New Roman" w:cs="Times New Roman" w:eastAsia="Times New Roman" w:hAnsi="Times New Roman"/>
          <w:sz w:val="12"/>
          <w:szCs w:val="12"/>
          <w:b w:val="1"/>
          <w:bCs w:val="1"/>
          <w:color w:val="auto"/>
        </w:rPr>
        <w:t>EVIN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OHN</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2"/>
          <w:szCs w:val="12"/>
          <w:b w:val="1"/>
          <w:bCs w:val="1"/>
          <w:color w:val="auto"/>
        </w:rPr>
        <w:t>ERRIS</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2"/>
          <w:szCs w:val="12"/>
          <w:b w:val="1"/>
          <w:bCs w:val="1"/>
          <w:color w:val="auto"/>
        </w:rPr>
        <w:t>LOVSKY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OPEO</w:t>
      </w:r>
      <w:r>
        <w:rPr>
          <w:rFonts w:ascii="Times New Roman" w:cs="Times New Roman" w:eastAsia="Times New Roman" w:hAnsi="Times New Roman"/>
          <w:sz w:val="18"/>
          <w:szCs w:val="18"/>
          <w:b w:val="1"/>
          <w:bCs w:val="1"/>
          <w:color w:val="auto"/>
        </w:rPr>
        <w:t>,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when issued, delivered and paid for in accordance with the terms of the 2012 Plan, will be validly issued, fully paid and non-assessable.</w:t>
      </w:r>
    </w:p>
    <w:p>
      <w:pPr>
        <w:spacing w:after="0" w:line="16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39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u w:val="single" w:color="auto"/>
          <w:color w:val="auto"/>
        </w:rPr>
        <w:t>/s/ Mintz, Levin, Cohn, Ferris, Glovsky and Popeo, P.C.</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16, 2015, incorporated by reference herein, which report appears in the December 31, 2015 Form 10-K of Vringo,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dated March 16, 2015 contains an explanatory paragraph that states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the Vringo, Inc. 2012 Employee, Director and Consultant Equity Incentive Plan, of our reports dated March 10, 2016, with respect to the consolidated financial statements of Vringo, Inc. and Subsidiaries as of December 31, 2015, and the related consolidated statements of operations, changes in stockholders’ equity, and cash flows for the year then ended and the effectiveness of internal control over financial reporting as of December 31, 2015, which reports appear in the December 31, 2015 Annual Report on Form 10-K of Vringo, Inc. and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EMPLOYEE, DIRECTOR AND CONSULTANT EQUITY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on November 16, 2015)</w:t>
      </w:r>
      <w:r>
        <w:rPr>
          <w:rFonts w:ascii="Times New Roman" w:cs="Times New Roman" w:eastAsia="Times New Roman" w:hAnsi="Times New Roman"/>
          <w:sz w:val="30"/>
          <w:szCs w:val="30"/>
          <w:b w:val="1"/>
          <w:bCs w:val="1"/>
          <w:color w:val="auto"/>
          <w:vertAlign w:val="superscript"/>
        </w:rPr>
        <w:t>[1]</w:t>
      </w:r>
    </w:p>
    <w:p>
      <w:pPr>
        <w:spacing w:after="0" w:line="200" w:lineRule="exact"/>
        <w:rPr>
          <w:sz w:val="20"/>
          <w:szCs w:val="20"/>
          <w:color w:val="auto"/>
        </w:rPr>
      </w:pPr>
    </w:p>
    <w:p>
      <w:pPr>
        <w:spacing w:after="0" w:line="342" w:lineRule="exact"/>
        <w:rPr>
          <w:sz w:val="20"/>
          <w:szCs w:val="20"/>
          <w:color w:val="auto"/>
        </w:rPr>
      </w:pPr>
    </w:p>
    <w:p>
      <w:pPr>
        <w:ind w:left="520" w:hanging="188"/>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specified or unless the context otherwise requires, the following terms, as used in this Vringo, Inc. 2012 Employee, Director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Equity Incentive Plan, have the following meanings: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means the Board of Directors, unless it has delegated power to act on its behalf to the Committee, in which case the Administrator means the Committee.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 corporation which, for purposes of Section 424 of the Code, is a parent or subsidiary of the Company, direct or indirect.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means an agreement between the Company and a Participant delivered pursuant to the Plan and pertaining to a Stock Right, in such form as the Administrator shall approve.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means the Board of Directors of the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means the occurrence of any of the following events:</w:t>
      </w:r>
    </w:p>
    <w:p>
      <w:pPr>
        <w:spacing w:after="0" w:line="223" w:lineRule="exact"/>
        <w:rPr>
          <w:sz w:val="20"/>
          <w:szCs w:val="20"/>
          <w:color w:val="auto"/>
        </w:rPr>
      </w:pPr>
    </w:p>
    <w:p>
      <w:pPr>
        <w:jc w:val="both"/>
        <w:ind w:left="980" w:hanging="324"/>
        <w:spacing w:after="0" w:line="259" w:lineRule="auto"/>
        <w:tabs>
          <w:tab w:leader="none" w:pos="9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Any “Person” (as such term is used in Sections 13(d) and 14(d) of the Exchange Act) becomes the “Beneficial Owner”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79" w:lineRule="exact"/>
        <w:rPr>
          <w:rFonts w:ascii="Times New Roman" w:cs="Times New Roman" w:eastAsia="Times New Roman" w:hAnsi="Times New Roman"/>
          <w:sz w:val="18"/>
          <w:szCs w:val="18"/>
          <w:b w:val="1"/>
          <w:bCs w:val="1"/>
          <w:color w:val="auto"/>
        </w:rPr>
      </w:pPr>
    </w:p>
    <w:p>
      <w:pPr>
        <w:jc w:val="both"/>
        <w:ind w:left="980" w:hanging="324"/>
        <w:spacing w:after="0" w:line="257" w:lineRule="auto"/>
        <w:tabs>
          <w:tab w:leader="none" w:pos="9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Merger/Sale of Assets</w:t>
      </w:r>
      <w:r>
        <w:rPr>
          <w:rFonts w:ascii="Times New Roman" w:cs="Times New Roman" w:eastAsia="Times New Roman" w:hAnsi="Times New Roman"/>
          <w:sz w:val="18"/>
          <w:szCs w:val="18"/>
          <w:color w:val="auto"/>
        </w:rPr>
        <w:t>. (A) A merger or consolidation of the Company whether or not approved by the Board of Directors, other than a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82" w:lineRule="exact"/>
        <w:rPr>
          <w:rFonts w:ascii="Times New Roman" w:cs="Times New Roman" w:eastAsia="Times New Roman" w:hAnsi="Times New Roman"/>
          <w:sz w:val="18"/>
          <w:szCs w:val="18"/>
          <w:b w:val="1"/>
          <w:bCs w:val="1"/>
          <w:color w:val="auto"/>
        </w:rPr>
      </w:pPr>
    </w:p>
    <w:p>
      <w:pPr>
        <w:jc w:val="both"/>
        <w:ind w:left="980" w:hanging="324"/>
        <w:spacing w:after="0" w:line="257" w:lineRule="auto"/>
        <w:tabs>
          <w:tab w:leader="none" w:pos="9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Change in Board Composition</w:t>
      </w:r>
      <w:r>
        <w:rPr>
          <w:rFonts w:ascii="Times New Roman" w:cs="Times New Roman" w:eastAsia="Times New Roman" w:hAnsi="Times New Roman"/>
          <w:sz w:val="18"/>
          <w:szCs w:val="18"/>
          <w:color w:val="auto"/>
        </w:rPr>
        <w:t>. A change in the composition of the Board of Directors, as a result of which fewer than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are Incumbent Directors. “Incumbent Directors” shall mean directors who either (A) are directors of the Company as of the effective date of the Plan, which is the date of its approval by the shareholders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11"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 of Control” shall be interpreted, if applicable, in a manner, and limited to the extent necessary, so that it will not cause adverse tax consequences under Section 409A.</w:t>
      </w:r>
    </w:p>
    <w:p>
      <w:pPr>
        <w:spacing w:after="0" w:line="296" w:lineRule="exact"/>
        <w:rPr>
          <w:rFonts w:ascii="Times New Roman" w:cs="Times New Roman" w:eastAsia="Times New Roman" w:hAnsi="Times New Roman"/>
          <w:sz w:val="18"/>
          <w:szCs w:val="18"/>
          <w:b w:val="1"/>
          <w:bCs w:val="1"/>
          <w:color w:val="auto"/>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numbers appear in Paragraphs 3(a) and 4(c) have been adjusted to reflect a 1-for-10 reverse stock split of the company’s shares of common stock, par value $0.01 per shares, effected on November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United States Internal Revenue Code of 1986, as amended including any successor statute, regulation and guidance thereto.</w:t>
      </w:r>
    </w:p>
    <w:p>
      <w:pPr>
        <w:spacing w:after="0" w:line="225"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committee of the Board of Directors to which the Board of Directors has delegated power to act under or pursuant to the provisions of the Plan.</w:t>
      </w:r>
      <w:r>
        <w:rPr>
          <w:rFonts w:ascii="Times New Roman" w:cs="Times New Roman" w:eastAsia="Times New Roman" w:hAnsi="Times New Roman"/>
          <w:sz w:val="30"/>
          <w:szCs w:val="30"/>
          <w:color w:val="auto"/>
          <w:vertAlign w:val="superscript"/>
        </w:rPr>
        <w:t>[2]</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means shares of the Company’s common stock, $0.01 par value per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means Vringo, Inc., a Delaware corporation.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xml:space="preserve"> means permanent and total disability as defined in Section 22(e)(3) of the Code.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of a Share of Common Stock means:</w:t>
      </w:r>
    </w:p>
    <w:p>
      <w:pPr>
        <w:spacing w:after="0" w:line="225" w:lineRule="exact"/>
        <w:rPr>
          <w:sz w:val="20"/>
          <w:szCs w:val="20"/>
          <w:color w:val="auto"/>
        </w:rPr>
      </w:pPr>
    </w:p>
    <w:p>
      <w:pPr>
        <w:jc w:val="both"/>
        <w:ind w:firstLine="332"/>
        <w:spacing w:after="0" w:line="266" w:lineRule="auto"/>
        <w:tabs>
          <w:tab w:leader="none" w:pos="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176" w:lineRule="exact"/>
        <w:rPr>
          <w:rFonts w:ascii="Times New Roman" w:cs="Times New Roman" w:eastAsia="Times New Roman" w:hAnsi="Times New Roman"/>
          <w:sz w:val="18"/>
          <w:szCs w:val="18"/>
          <w:color w:val="auto"/>
        </w:rPr>
      </w:pPr>
    </w:p>
    <w:p>
      <w:pPr>
        <w:jc w:val="both"/>
        <w:ind w:firstLine="332"/>
        <w:spacing w:after="0" w:line="261" w:lineRule="auto"/>
        <w:tabs>
          <w:tab w:leader="none" w:pos="5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180"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296" w:lineRule="exact"/>
        <w:rPr>
          <w:rFonts w:ascii="Times New Roman" w:cs="Times New Roman" w:eastAsia="Times New Roman" w:hAnsi="Times New Roman"/>
          <w:sz w:val="18"/>
          <w:szCs w:val="18"/>
          <w:color w:val="auto"/>
        </w:rPr>
      </w:pPr>
    </w:p>
    <w:p>
      <w:pPr>
        <w:ind w:left="340" w:hanging="332"/>
        <w:spacing w:after="0" w:line="195" w:lineRule="auto"/>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Committee should be comprised of “disinterested persons” as defined under Rule 16b-3 of the Exchange Act and “outside directors” as defined in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means an option intended to qualify as an incentive stock option under Section 422 of the Code.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xml:space="preserve"> means an option which is not intended to qualify as an ISO.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an ISO or Non-Qualified Option granted under the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means this Vringo, Inc. 2012 Employee, Director and Consultant Equity Incentive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means the Securities Act of 1933, as amended.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Stock-Based Award</w:t>
      </w:r>
      <w:r>
        <w:rPr>
          <w:rFonts w:ascii="Times New Roman" w:cs="Times New Roman" w:eastAsia="Times New Roman" w:hAnsi="Times New Roman"/>
          <w:sz w:val="18"/>
          <w:szCs w:val="18"/>
          <w:color w:val="auto"/>
        </w:rPr>
        <w:t xml:space="preserve"> means a grant by the Company under the Plan of an equity award or an equity based award which is not an Option or a Stock Grant.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Stock Grant</w:t>
      </w:r>
      <w:r>
        <w:rPr>
          <w:rFonts w:ascii="Times New Roman" w:cs="Times New Roman" w:eastAsia="Times New Roman" w:hAnsi="Times New Roman"/>
          <w:sz w:val="18"/>
          <w:szCs w:val="18"/>
          <w:color w:val="auto"/>
        </w:rPr>
        <w:t xml:space="preserve"> means a grant by the Company of Shares under the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Stock Right</w:t>
      </w:r>
      <w:r>
        <w:rPr>
          <w:rFonts w:ascii="Times New Roman" w:cs="Times New Roman" w:eastAsia="Times New Roman" w:hAnsi="Times New Roman"/>
          <w:sz w:val="18"/>
          <w:szCs w:val="18"/>
          <w:color w:val="auto"/>
        </w:rPr>
        <w:t xml:space="preserve"> means a right to Shares or the value of Shares of the Company granted pursuant to the Plan — an ISO, a Non-Qualified Option, a Stock Grant or a Stock-Based Award.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Survivor</w:t>
      </w:r>
      <w:r>
        <w:rPr>
          <w:rFonts w:ascii="Times New Roman" w:cs="Times New Roman" w:eastAsia="Times New Roman" w:hAnsi="Times New Roman"/>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62" w:lineRule="exact"/>
        <w:rPr>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180" w:lineRule="exact"/>
        <w:rPr>
          <w:sz w:val="20"/>
          <w:szCs w:val="20"/>
          <w:color w:val="auto"/>
        </w:rPr>
      </w:pPr>
    </w:p>
    <w:p>
      <w:pPr>
        <w:ind w:left="520" w:hanging="188"/>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jc w:val="both"/>
        <w:ind w:firstLine="332"/>
        <w:spacing w:after="0" w:line="256" w:lineRule="auto"/>
        <w:tabs>
          <w:tab w:leader="none" w:pos="5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which may be issued from time to time pursuant to this Plan shall be the sum of: (i) 2.1 mm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150,000 shares shall be added to the Plan pursuant to subsection (ii).</w:t>
      </w:r>
    </w:p>
    <w:p>
      <w:pPr>
        <w:spacing w:after="0" w:line="187" w:lineRule="exact"/>
        <w:rPr>
          <w:rFonts w:ascii="Times New Roman" w:cs="Times New Roman" w:eastAsia="Times New Roman" w:hAnsi="Times New Roman"/>
          <w:sz w:val="18"/>
          <w:szCs w:val="18"/>
          <w:color w:val="auto"/>
        </w:rPr>
      </w:pPr>
    </w:p>
    <w:p>
      <w:pPr>
        <w:jc w:val="both"/>
        <w:ind w:firstLine="332"/>
        <w:spacing w:after="0" w:line="255" w:lineRule="auto"/>
        <w:tabs>
          <w:tab w:leader="none" w:pos="5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2" w:name="page13"/>
    <w:bookmarkEnd w:id="12"/>
    <w:p>
      <w:pPr>
        <w:ind w:left="520" w:hanging="188"/>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62" w:lineRule="exact"/>
        <w:rPr>
          <w:sz w:val="20"/>
          <w:szCs w:val="20"/>
          <w:color w:val="auto"/>
        </w:rPr>
      </w:pPr>
    </w:p>
    <w:p>
      <w:pPr>
        <w:ind w:firstLine="332"/>
        <w:spacing w:after="0" w:line="282" w:lineRule="auto"/>
        <w:tabs>
          <w:tab w:leader="none" w:pos="5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provisions of the Plan and all Stock Rights and to make all rules and determinations which it deems necessary or advisable for the administration of the Plan;</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directors and Consultants shall be granted Stock Rights;</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for which a Stock Right or Stock Rights shall be granted, provided, however, that in no event shall Stock Rights with respect to more than 400,000 Shares be granted to any Participant in any fiscal year;</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terms and conditions upon which a Stock Right or Stock Rights may be granted;</w:t>
      </w:r>
    </w:p>
    <w:p>
      <w:pPr>
        <w:spacing w:after="0" w:line="225" w:lineRule="exact"/>
        <w:rPr>
          <w:rFonts w:ascii="Times New Roman" w:cs="Times New Roman" w:eastAsia="Times New Roman" w:hAnsi="Times New Roman"/>
          <w:sz w:val="18"/>
          <w:szCs w:val="18"/>
          <w:color w:val="auto"/>
        </w:rPr>
      </w:pPr>
    </w:p>
    <w:p>
      <w:pPr>
        <w:jc w:val="both"/>
        <w:ind w:firstLine="332"/>
        <w:spacing w:after="0" w:line="256" w:lineRule="auto"/>
        <w:tabs>
          <w:tab w:leader="none" w:pos="5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 or condition of any outstanding Stock Right, including, without limitation, to accelerate the vesting schedule or extend the expiration date up to eighteen months from termination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187" w:lineRule="exact"/>
        <w:rPr>
          <w:rFonts w:ascii="Times New Roman" w:cs="Times New Roman" w:eastAsia="Times New Roman" w:hAnsi="Times New Roman"/>
          <w:sz w:val="18"/>
          <w:szCs w:val="18"/>
          <w:color w:val="auto"/>
        </w:rPr>
      </w:pPr>
    </w:p>
    <w:p>
      <w:pPr>
        <w:jc w:val="both"/>
        <w:ind w:firstLine="332"/>
        <w:spacing w:after="0" w:line="266" w:lineRule="auto"/>
        <w:tabs>
          <w:tab w:leader="none" w:pos="5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520" w:hanging="188"/>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PARTICIPATION.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180" w:lineRule="exact"/>
        <w:rPr>
          <w:sz w:val="20"/>
          <w:szCs w:val="20"/>
          <w:color w:val="auto"/>
        </w:rPr>
      </w:pPr>
    </w:p>
    <w:p>
      <w:pPr>
        <w:ind w:left="520" w:hanging="188"/>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OPTIONS.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80" w:lineRule="exact"/>
        <w:rPr>
          <w:sz w:val="20"/>
          <w:szCs w:val="20"/>
          <w:color w:val="auto"/>
        </w:rPr>
      </w:pPr>
    </w:p>
    <w:p>
      <w:pPr>
        <w:ind w:firstLine="332"/>
        <w:spacing w:after="0" w:line="282" w:lineRule="auto"/>
        <w:tabs>
          <w:tab w:leader="none" w:pos="5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Non-Qualified Options</w:t>
      </w:r>
      <w:r>
        <w:rPr>
          <w:rFonts w:ascii="Times New Roman" w:cs="Times New Roman" w:eastAsia="Times New Roman" w:hAnsi="Times New Roman"/>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to a non U.S. person as to whom Section 409A of the Code does not apply.</w:t>
      </w:r>
    </w:p>
    <w:p>
      <w:pPr>
        <w:spacing w:after="0" w:line="1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Option Agreement shall state the number of Shares to which it pertains.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Periods</w:t>
      </w:r>
      <w:r>
        <w:rPr>
          <w:rFonts w:ascii="Times New Roman" w:cs="Times New Roman" w:eastAsia="Times New Roman" w:hAnsi="Times New Roman"/>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176"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Conditions</w:t>
      </w:r>
      <w:r>
        <w:rPr>
          <w:rFonts w:ascii="Times New Roman" w:cs="Times New Roman" w:eastAsia="Times New Roman" w:hAnsi="Times New Roman"/>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1280" w:hanging="320"/>
        <w:spacing w:after="0"/>
        <w:tabs>
          <w:tab w:leader="none" w:pos="12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or the Participant’s Survivors’ right to sell or transfer the Shares may be restricted; and</w:t>
      </w:r>
    </w:p>
    <w:p>
      <w:pPr>
        <w:spacing w:after="0" w:line="225" w:lineRule="exact"/>
        <w:rPr>
          <w:rFonts w:ascii="Times New Roman" w:cs="Times New Roman" w:eastAsia="Times New Roman" w:hAnsi="Times New Roman"/>
          <w:sz w:val="18"/>
          <w:szCs w:val="18"/>
          <w:color w:val="auto"/>
        </w:rPr>
      </w:pPr>
    </w:p>
    <w:p>
      <w:pPr>
        <w:ind w:left="1280" w:hanging="320"/>
        <w:spacing w:after="0" w:line="282" w:lineRule="auto"/>
        <w:tabs>
          <w:tab w:leader="none" w:pos="12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161" w:lineRule="exact"/>
        <w:rPr>
          <w:rFonts w:ascii="Times New Roman" w:cs="Times New Roman" w:eastAsia="Times New Roman" w:hAnsi="Times New Roman"/>
          <w:sz w:val="18"/>
          <w:szCs w:val="18"/>
          <w:color w:val="auto"/>
        </w:rPr>
      </w:pPr>
    </w:p>
    <w:p>
      <w:pPr>
        <w:ind w:left="960" w:hanging="324"/>
        <w:spacing w:after="0" w:line="282"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Each Option shall terminate not more than ten years from the date of the grant or at such earlier time as the Option Agreement may provide.</w:t>
      </w:r>
    </w:p>
    <w:p>
      <w:pPr>
        <w:spacing w:after="0" w:line="161" w:lineRule="exact"/>
        <w:rPr>
          <w:rFonts w:ascii="Times New Roman" w:cs="Times New Roman" w:eastAsia="Times New Roman" w:hAnsi="Times New Roman"/>
          <w:sz w:val="18"/>
          <w:szCs w:val="18"/>
          <w:color w:val="auto"/>
        </w:rPr>
      </w:pPr>
    </w:p>
    <w:p>
      <w:pPr>
        <w:jc w:val="both"/>
        <w:ind w:left="-20" w:firstLine="332"/>
        <w:spacing w:after="0" w:line="266" w:lineRule="auto"/>
        <w:tabs>
          <w:tab w:leader="none" w:pos="5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176"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standards</w:t>
      </w:r>
      <w:r>
        <w:rPr>
          <w:rFonts w:ascii="Times New Roman" w:cs="Times New Roman" w:eastAsia="Times New Roman" w:hAnsi="Times New Roman"/>
          <w:sz w:val="18"/>
          <w:szCs w:val="18"/>
          <w:color w:val="auto"/>
        </w:rPr>
        <w:t>: The ISO shall meet the minimum standards required of Non-Qualified Options, as described in Paragraph 6(a) above, except clause (i) and (v) thereunder.</w:t>
      </w:r>
    </w:p>
    <w:p>
      <w:pPr>
        <w:spacing w:after="0" w:line="162" w:lineRule="exact"/>
        <w:rPr>
          <w:sz w:val="20"/>
          <w:szCs w:val="20"/>
          <w:color w:val="auto"/>
        </w:rPr>
      </w:pPr>
    </w:p>
    <w:p>
      <w:pPr>
        <w:ind w:left="960" w:hanging="324"/>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Immediately before the ISO is granted, if the Participant owns, directly or by reason of the applicable attribution rules in Section 424(d) of the Code:</w:t>
      </w:r>
    </w:p>
    <w:p>
      <w:pPr>
        <w:spacing w:after="0" w:line="161"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76"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76"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For Participants who own:</w:t>
      </w:r>
    </w:p>
    <w:p>
      <w:pPr>
        <w:spacing w:after="0" w:line="225" w:lineRule="exact"/>
        <w:rPr>
          <w:rFonts w:ascii="Times New Roman" w:cs="Times New Roman" w:eastAsia="Times New Roman" w:hAnsi="Times New Roman"/>
          <w:sz w:val="18"/>
          <w:szCs w:val="18"/>
          <w:color w:val="auto"/>
        </w:rPr>
      </w:pPr>
    </w:p>
    <w:p>
      <w:pPr>
        <w:ind w:left="1280" w:hanging="320"/>
        <w:spacing w:after="0" w:line="282" w:lineRule="auto"/>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61" w:lineRule="exact"/>
        <w:rPr>
          <w:rFonts w:ascii="Times New Roman" w:cs="Times New Roman" w:eastAsia="Times New Roman" w:hAnsi="Times New Roman"/>
          <w:sz w:val="18"/>
          <w:szCs w:val="18"/>
          <w:color w:val="auto"/>
        </w:rPr>
      </w:pPr>
    </w:p>
    <w:p>
      <w:pPr>
        <w:ind w:left="1280" w:right="20" w:hanging="320"/>
        <w:spacing w:after="0" w:line="282" w:lineRule="auto"/>
        <w:tabs>
          <w:tab w:leader="none" w:pos="12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61" w:lineRule="exact"/>
        <w:rPr>
          <w:rFonts w:ascii="Times New Roman" w:cs="Times New Roman" w:eastAsia="Times New Roman" w:hAnsi="Times New Roman"/>
          <w:sz w:val="18"/>
          <w:szCs w:val="18"/>
          <w:color w:val="auto"/>
        </w:rPr>
      </w:pPr>
    </w:p>
    <w:p>
      <w:pPr>
        <w:jc w:val="both"/>
        <w:ind w:left="960" w:hanging="324"/>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Yearly Exercise</w:t>
      </w:r>
      <w:r>
        <w:rPr>
          <w:rFonts w:ascii="Times New Roman" w:cs="Times New Roman" w:eastAsia="Times New Roman" w:hAnsi="Times New Roman"/>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5" w:name="page16"/>
    <w:bookmarkEnd w:id="15"/>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GRANTS.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76" w:lineRule="exact"/>
        <w:rPr>
          <w:sz w:val="20"/>
          <w:szCs w:val="20"/>
          <w:color w:val="auto"/>
        </w:rPr>
      </w:pPr>
    </w:p>
    <w:p>
      <w:pPr>
        <w:jc w:val="both"/>
        <w:ind w:firstLine="332"/>
        <w:spacing w:after="0" w:line="266" w:lineRule="auto"/>
        <w:tabs>
          <w:tab w:leader="none" w:pos="5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17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state the number of Shares to which the Stock Grant pertains;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162" w:lineRule="exact"/>
        <w:rPr>
          <w:sz w:val="20"/>
          <w:szCs w:val="20"/>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OTHER STOCK-BASED AWARDS.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180" w:lineRule="exact"/>
        <w:rPr>
          <w:sz w:val="20"/>
          <w:szCs w:val="20"/>
          <w:color w:val="auto"/>
        </w:rPr>
      </w:pPr>
    </w:p>
    <w:p>
      <w:pPr>
        <w:ind w:left="520" w:hanging="188"/>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 AND ISSUE OF SHARES.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184" w:lineRule="exact"/>
        <w:rPr>
          <w:sz w:val="20"/>
          <w:szCs w:val="20"/>
          <w:color w:val="auto"/>
        </w:rPr>
      </w:pPr>
    </w:p>
    <w:p>
      <w:pPr>
        <w:ind w:left="600" w:hanging="268"/>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CONNECTION WITH THE ISSUANCE OF STOCK GRANTS AND STOCK-BASED AWARDS AND ISSUE OF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w:t>
      </w:r>
    </w:p>
    <w:p>
      <w:pPr>
        <w:jc w:val="both"/>
        <w:spacing w:after="0" w:line="217" w:lineRule="auto"/>
        <w:rPr>
          <w:sz w:val="20"/>
          <w:szCs w:val="20"/>
          <w:color w:val="auto"/>
        </w:rPr>
      </w:pPr>
      <w:r>
        <w:rPr>
          <w:rFonts w:ascii="Times New Roman" w:cs="Times New Roman" w:eastAsia="Times New Roman" w:hAnsi="Times New Roman"/>
          <w:sz w:val="18"/>
          <w:szCs w:val="18"/>
          <w:color w:val="auto"/>
        </w:rPr>
        <w:t>Common Stock held for at least six months (if required to avoid negative accounting treatment) and</w:t>
      </w:r>
      <w:r>
        <w:rPr>
          <w:rFonts w:ascii="Times New Roman" w:cs="Times New Roman" w:eastAsia="Times New Roman" w:hAnsi="Times New Roman"/>
          <w:sz w:val="30"/>
          <w:szCs w:val="30"/>
          <w:color w:val="auto"/>
          <w:vertAlign w:val="superscript"/>
        </w:rPr>
        <w:t>[3]</w:t>
      </w:r>
      <w:r>
        <w:rPr>
          <w:rFonts w:ascii="Times New Roman" w:cs="Times New Roman" w:eastAsia="Times New Roman" w:hAnsi="Times New Roman"/>
          <w:sz w:val="18"/>
          <w:szCs w:val="18"/>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184" w:lineRule="exact"/>
        <w:rPr>
          <w:sz w:val="20"/>
          <w:szCs w:val="20"/>
          <w:color w:val="auto"/>
        </w:rPr>
      </w:pPr>
    </w:p>
    <w:p>
      <w:pPr>
        <w:ind w:left="600" w:hanging="268"/>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76" w:lineRule="exact"/>
        <w:rPr>
          <w:sz w:val="20"/>
          <w:szCs w:val="20"/>
          <w:color w:val="auto"/>
        </w:rPr>
      </w:pPr>
    </w:p>
    <w:p>
      <w:pPr>
        <w:ind w:left="600" w:hanging="26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 AND TRANSFERABILITY OF STOCK RIGHTS.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4" w:lineRule="exact"/>
        <w:rPr>
          <w:sz w:val="20"/>
          <w:szCs w:val="20"/>
          <w:color w:val="auto"/>
        </w:rPr>
      </w:pPr>
    </w:p>
    <w:p>
      <w:pPr>
        <w:ind w:left="340" w:hanging="332"/>
        <w:spacing w:after="0" w:line="195" w:lineRule="auto"/>
        <w:tabs>
          <w:tab w:leader="none" w:pos="340" w:val="left"/>
        </w:tabs>
        <w:numPr>
          <w:ilvl w:val="0"/>
          <w:numId w:val="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600" w:hanging="268"/>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TERMINATION OF SERVICE OTHER THAN FOR CAUSE OR DEATH OR DISABILITY.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otherwise provided in a Participant’s Option Agreement, in the event of a termination of service (whether as an Employee, director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with the Company or an Affiliate before the Participant has exercised an Option, the following rules apply:</w:t>
      </w:r>
    </w:p>
    <w:p>
      <w:pPr>
        <w:spacing w:after="0" w:line="207" w:lineRule="exact"/>
        <w:rPr>
          <w:sz w:val="20"/>
          <w:szCs w:val="20"/>
          <w:color w:val="auto"/>
        </w:rPr>
      </w:pPr>
    </w:p>
    <w:p>
      <w:pPr>
        <w:jc w:val="both"/>
        <w:ind w:firstLine="332"/>
        <w:spacing w:after="0" w:line="256" w:lineRule="auto"/>
        <w:tabs>
          <w:tab w:leader="none" w:pos="5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187" w:lineRule="exact"/>
        <w:rPr>
          <w:rFonts w:ascii="Times New Roman" w:cs="Times New Roman" w:eastAsia="Times New Roman" w:hAnsi="Times New Roman"/>
          <w:sz w:val="18"/>
          <w:szCs w:val="18"/>
          <w:color w:val="auto"/>
        </w:rPr>
      </w:pPr>
    </w:p>
    <w:p>
      <w:pPr>
        <w:ind w:firstLine="332"/>
        <w:spacing w:after="0" w:line="282" w:lineRule="auto"/>
        <w:tabs>
          <w:tab w:leader="none" w:pos="5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eighteen months after the date of the Participant’s termination of service or twelve months in the case of an ISO, but in no event after the date of expiration of the term of the Option.</w:t>
      </w:r>
    </w:p>
    <w:p>
      <w:pPr>
        <w:spacing w:after="0" w:line="183" w:lineRule="exact"/>
        <w:rPr>
          <w:rFonts w:ascii="Times New Roman" w:cs="Times New Roman" w:eastAsia="Times New Roman" w:hAnsi="Times New Roman"/>
          <w:sz w:val="18"/>
          <w:szCs w:val="18"/>
          <w:color w:val="auto"/>
        </w:rPr>
      </w:pPr>
    </w:p>
    <w:p>
      <w:pPr>
        <w:jc w:val="both"/>
        <w:ind w:firstLine="332"/>
        <w:spacing w:after="0" w:line="261" w:lineRule="auto"/>
        <w:tabs>
          <w:tab w:leader="none" w:pos="6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80" w:lineRule="exact"/>
        <w:rPr>
          <w:rFonts w:ascii="Times New Roman" w:cs="Times New Roman" w:eastAsia="Times New Roman" w:hAnsi="Times New Roman"/>
          <w:sz w:val="18"/>
          <w:szCs w:val="18"/>
          <w:color w:val="auto"/>
        </w:rPr>
      </w:pPr>
    </w:p>
    <w:p>
      <w:pPr>
        <w:jc w:val="both"/>
        <w:ind w:firstLine="332"/>
        <w:spacing w:after="0" w:line="260" w:lineRule="auto"/>
        <w:tabs>
          <w:tab w:leader="none" w:pos="58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 shall cause such ISO to become a Non-Qualified Option on the 181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following such leave of absence.</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332"/>
        <w:spacing w:after="0" w:line="266" w:lineRule="auto"/>
        <w:tabs>
          <w:tab w:leader="none" w:pos="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76" w:lineRule="exact"/>
        <w:rPr>
          <w:sz w:val="20"/>
          <w:szCs w:val="20"/>
          <w:color w:val="auto"/>
        </w:rPr>
      </w:pPr>
    </w:p>
    <w:p>
      <w:pPr>
        <w:ind w:left="600" w:hanging="26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TERMINATION OF SERVICE FOR CAUSE.</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62" w:lineRule="exact"/>
        <w:rPr>
          <w:sz w:val="20"/>
          <w:szCs w:val="20"/>
          <w:color w:val="auto"/>
        </w:rPr>
      </w:pPr>
    </w:p>
    <w:p>
      <w:pPr>
        <w:ind w:firstLine="332"/>
        <w:spacing w:after="0" w:line="282" w:lineRule="auto"/>
        <w:tabs>
          <w:tab w:leader="none" w:pos="5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as of the time the Participant is notified his or her service is terminated for Cause will immediately be forfeited.</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5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80" w:lineRule="exact"/>
        <w:rPr>
          <w:sz w:val="20"/>
          <w:szCs w:val="20"/>
          <w:color w:val="auto"/>
        </w:rPr>
      </w:pPr>
    </w:p>
    <w:p>
      <w:pPr>
        <w:ind w:left="340" w:right="4980" w:hanging="8"/>
        <w:spacing w:after="0" w:line="501" w:lineRule="auto"/>
        <w:tabs>
          <w:tab w:leader="none" w:pos="6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EFFECT ON OPTIONS OF TERMINATION OF SERVICE FOR DISABILITY. </w:t>
      </w:r>
      <w:r>
        <w:rPr>
          <w:rFonts w:ascii="Times New Roman" w:cs="Times New Roman" w:eastAsia="Times New Roman" w:hAnsi="Times New Roman"/>
          <w:sz w:val="18"/>
          <w:szCs w:val="18"/>
          <w:color w:val="auto"/>
        </w:rPr>
        <w:t>Except as otherwise provided in a Participant’s Option Agreement:</w:t>
      </w:r>
    </w:p>
    <w:p>
      <w:pPr>
        <w:ind w:right="20" w:firstLine="332"/>
        <w:spacing w:after="0" w:line="282" w:lineRule="auto"/>
        <w:tabs>
          <w:tab w:leader="none" w:pos="5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an Employee, director or Consultant of the Company or of an Affiliate by reason of Disability may exercise any Option granted to such Participant: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on the date of the Participant’s termination of service due to Disability;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0" w:lineRule="exact"/>
        <w:rPr>
          <w:rFonts w:ascii="Times New Roman" w:cs="Times New Roman" w:eastAsia="Times New Roman" w:hAnsi="Times New Roman"/>
          <w:sz w:val="18"/>
          <w:szCs w:val="18"/>
          <w:color w:val="auto"/>
        </w:rPr>
      </w:pPr>
    </w:p>
    <w:p>
      <w:pPr>
        <w:jc w:val="both"/>
        <w:ind w:firstLine="332"/>
        <w:spacing w:after="0" w:line="261" w:lineRule="auto"/>
        <w:tabs>
          <w:tab w:leader="none" w:pos="5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80" w:lineRule="exact"/>
        <w:rPr>
          <w:rFonts w:ascii="Times New Roman" w:cs="Times New Roman" w:eastAsia="Times New Roman" w:hAnsi="Times New Roman"/>
          <w:sz w:val="18"/>
          <w:szCs w:val="18"/>
          <w:color w:val="auto"/>
        </w:rPr>
      </w:pPr>
    </w:p>
    <w:p>
      <w:pPr>
        <w:jc w:val="both"/>
        <w:ind w:firstLine="332"/>
        <w:spacing w:after="0" w:line="261" w:lineRule="auto"/>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340" w:right="3680" w:hanging="8"/>
        <w:spacing w:after="0" w:line="501" w:lineRule="auto"/>
        <w:tabs>
          <w:tab w:leader="none" w:pos="6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EFFECT ON OPTIONS OF DEATH WHILE AN EMPLOYEE, DIRECTOR OR CONSULTANT. </w:t>
      </w:r>
      <w:r>
        <w:rPr>
          <w:rFonts w:ascii="Times New Roman" w:cs="Times New Roman" w:eastAsia="Times New Roman" w:hAnsi="Times New Roman"/>
          <w:sz w:val="18"/>
          <w:szCs w:val="18"/>
          <w:color w:val="auto"/>
        </w:rPr>
        <w:t>Except as otherwise provided in a Participant’s Option Agreement:</w:t>
      </w:r>
    </w:p>
    <w:p>
      <w:pPr>
        <w:ind w:firstLine="278"/>
        <w:spacing w:after="0" w:line="282" w:lineRule="auto"/>
        <w:tabs>
          <w:tab w:leader="none" w:pos="5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Option has become exercisable but has not been exercised on the date of death; and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76" w:lineRule="exact"/>
        <w:rPr>
          <w:rFonts w:ascii="Times New Roman" w:cs="Times New Roman" w:eastAsia="Times New Roman" w:hAnsi="Times New Roman"/>
          <w:sz w:val="18"/>
          <w:szCs w:val="18"/>
          <w:color w:val="auto"/>
        </w:rPr>
      </w:pPr>
    </w:p>
    <w:p>
      <w:pPr>
        <w:jc w:val="both"/>
        <w:ind w:firstLine="278"/>
        <w:spacing w:after="0" w:line="266" w:lineRule="auto"/>
        <w:tabs>
          <w:tab w:leader="none" w:pos="5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76" w:lineRule="exact"/>
        <w:rPr>
          <w:sz w:val="20"/>
          <w:szCs w:val="20"/>
          <w:color w:val="auto"/>
        </w:rPr>
      </w:pPr>
    </w:p>
    <w:p>
      <w:pPr>
        <w:ind w:left="540" w:hanging="262"/>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 ON STOCK GRANTS AND STOCK-BASED AWARDS.</w:t>
      </w:r>
    </w:p>
    <w:p>
      <w:pPr>
        <w:spacing w:after="0" w:line="22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162"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8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76" w:lineRule="exact"/>
        <w:rPr>
          <w:sz w:val="20"/>
          <w:szCs w:val="20"/>
          <w:color w:val="auto"/>
        </w:rPr>
      </w:pPr>
    </w:p>
    <w:p>
      <w:pPr>
        <w:ind w:left="540" w:hanging="262"/>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OF TERMINATION OF SERVICE OTHER THAN FOR CAUSE OR DEATH OR DISABILITY.</w:t>
      </w:r>
    </w:p>
    <w:p>
      <w:pPr>
        <w:spacing w:after="0" w:line="22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180" w:lineRule="exact"/>
        <w:rPr>
          <w:sz w:val="20"/>
          <w:szCs w:val="20"/>
          <w:color w:val="auto"/>
        </w:rPr>
      </w:pPr>
    </w:p>
    <w:p>
      <w:pPr>
        <w:ind w:left="540" w:hanging="262"/>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OF TERMINATION OF SERVICE FOR CAUSE.</w:t>
      </w:r>
    </w:p>
    <w:p>
      <w:pPr>
        <w:spacing w:after="0" w:line="225"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162" w:lineRule="exact"/>
        <w:rPr>
          <w:sz w:val="20"/>
          <w:szCs w:val="20"/>
          <w:color w:val="auto"/>
        </w:rPr>
      </w:pPr>
    </w:p>
    <w:p>
      <w:pPr>
        <w:ind w:firstLine="278"/>
        <w:spacing w:after="0" w:line="282" w:lineRule="auto"/>
        <w:tabs>
          <w:tab w:leader="none" w:pos="5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subject to any Stock Grant whether or not then subject to forfeiture or repurchase shall be immediately subject to repurchase by the Company at par value.</w:t>
      </w:r>
    </w:p>
    <w:p>
      <w:pPr>
        <w:spacing w:after="0" w:line="161" w:lineRule="exact"/>
        <w:rPr>
          <w:rFonts w:ascii="Times New Roman" w:cs="Times New Roman" w:eastAsia="Times New Roman" w:hAnsi="Times New Roman"/>
          <w:sz w:val="18"/>
          <w:szCs w:val="18"/>
          <w:color w:val="auto"/>
        </w:rPr>
      </w:pPr>
    </w:p>
    <w:p>
      <w:pPr>
        <w:jc w:val="both"/>
        <w:ind w:firstLine="278"/>
        <w:spacing w:after="0" w:line="261" w:lineRule="auto"/>
        <w:tabs>
          <w:tab w:leader="none" w:pos="52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540" w:hanging="26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OF TERMINATION OF SERVICE FOR DISABILITY.</w:t>
      </w:r>
    </w:p>
    <w:p>
      <w:pPr>
        <w:spacing w:after="0" w:line="22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184"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80" w:lineRule="exact"/>
        <w:rPr>
          <w:sz w:val="20"/>
          <w:szCs w:val="20"/>
          <w:color w:val="auto"/>
        </w:rPr>
      </w:pPr>
    </w:p>
    <w:p>
      <w:pPr>
        <w:ind w:left="540" w:hanging="26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OF DEATH WHILE AN EMPLOYEE, DIRECTOR OR CONSULTANT.</w:t>
      </w:r>
    </w:p>
    <w:p>
      <w:pPr>
        <w:spacing w:after="0" w:line="225"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188" w:lineRule="exact"/>
        <w:rPr>
          <w:sz w:val="20"/>
          <w:szCs w:val="20"/>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FOR INVESTMENT.</w:t>
      </w:r>
    </w:p>
    <w:p>
      <w:pPr>
        <w:spacing w:after="0" w:line="225"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62" w:lineRule="exact"/>
        <w:rPr>
          <w:sz w:val="20"/>
          <w:szCs w:val="20"/>
          <w:color w:val="auto"/>
        </w:rPr>
      </w:pPr>
    </w:p>
    <w:p>
      <w:pPr>
        <w:jc w:val="both"/>
        <w:ind w:firstLine="278"/>
        <w:spacing w:after="0" w:line="261" w:lineRule="auto"/>
        <w:tabs>
          <w:tab w:leader="none" w:pos="5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80" w:lineRule="exact"/>
        <w:rPr>
          <w:sz w:val="20"/>
          <w:szCs w:val="20"/>
          <w:color w:val="auto"/>
        </w:rPr>
      </w:pPr>
    </w:p>
    <w:p>
      <w:pPr>
        <w:ind w:firstLine="278"/>
        <w:spacing w:after="0" w:line="282" w:lineRule="auto"/>
        <w:tabs>
          <w:tab w:leader="none" w:pos="5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540" w:hanging="26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 OF THE COMPANY.</w:t>
      </w:r>
    </w:p>
    <w:p>
      <w:pPr>
        <w:spacing w:after="0" w:line="22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9" w:lineRule="exact"/>
        <w:rPr>
          <w:sz w:val="20"/>
          <w:szCs w:val="20"/>
          <w:color w:val="auto"/>
        </w:rPr>
      </w:pPr>
    </w:p>
    <w:p>
      <w:pPr>
        <w:ind w:left="540" w:hanging="26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5"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162" w:lineRule="exact"/>
        <w:rPr>
          <w:sz w:val="20"/>
          <w:szCs w:val="20"/>
          <w:color w:val="auto"/>
        </w:rPr>
      </w:pPr>
    </w:p>
    <w:p>
      <w:pPr>
        <w:jc w:val="both"/>
        <w:ind w:firstLine="278"/>
        <w:spacing w:after="0" w:line="256" w:lineRule="auto"/>
        <w:tabs>
          <w:tab w:leader="none" w:pos="5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187" w:lineRule="exact"/>
        <w:rPr>
          <w:rFonts w:ascii="Times New Roman" w:cs="Times New Roman" w:eastAsia="Times New Roman" w:hAnsi="Times New Roman"/>
          <w:sz w:val="18"/>
          <w:szCs w:val="18"/>
          <w:color w:val="auto"/>
        </w:rPr>
      </w:pPr>
    </w:p>
    <w:p>
      <w:pPr>
        <w:jc w:val="both"/>
        <w:ind w:firstLine="278"/>
        <w:spacing w:after="0" w:line="252" w:lineRule="auto"/>
        <w:tabs>
          <w:tab w:leader="none" w:pos="5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18"/>
          <w:szCs w:val="18"/>
          <w:u w:val="single" w:color="auto"/>
          <w:color w:val="auto"/>
        </w:rPr>
        <w:t>less the aggregate</w:t>
      </w:r>
      <w:r>
        <w:rPr>
          <w:rFonts w:ascii="Times New Roman" w:cs="Times New Roman" w:eastAsia="Times New Roman" w:hAnsi="Times New Roman"/>
          <w:sz w:val="18"/>
          <w:szCs w:val="18"/>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19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185"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62" w:lineRule="exact"/>
        <w:rPr>
          <w:sz w:val="20"/>
          <w:szCs w:val="20"/>
          <w:color w:val="auto"/>
        </w:rPr>
      </w:pPr>
    </w:p>
    <w:p>
      <w:pPr>
        <w:jc w:val="both"/>
        <w:ind w:firstLine="278"/>
        <w:spacing w:after="0" w:line="258" w:lineRule="auto"/>
        <w:tabs>
          <w:tab w:leader="none" w:pos="5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 or Reorganization</w:t>
      </w:r>
      <w:r>
        <w:rPr>
          <w:rFonts w:ascii="Times New Roman" w:cs="Times New Roman" w:eastAsia="Times New Roman" w:hAnsi="Times New Roman"/>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3" w:lineRule="exact"/>
        <w:rPr>
          <w:rFonts w:ascii="Times New Roman" w:cs="Times New Roman" w:eastAsia="Times New Roman" w:hAnsi="Times New Roman"/>
          <w:sz w:val="18"/>
          <w:szCs w:val="18"/>
          <w:color w:val="auto"/>
        </w:rPr>
      </w:pPr>
    </w:p>
    <w:p>
      <w:pPr>
        <w:jc w:val="both"/>
        <w:ind w:firstLine="278"/>
        <w:spacing w:after="0" w:line="261" w:lineRule="auto"/>
        <w:tabs>
          <w:tab w:leader="none" w:pos="5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Stock-Based Awards</w:t>
      </w:r>
      <w:r>
        <w:rPr>
          <w:rFonts w:ascii="Times New Roman" w:cs="Times New Roman" w:eastAsia="Times New Roman" w:hAnsi="Times New Roman"/>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Change of Control and, subject to Paragraph 4, its determination shall be conclusive.</w:t>
      </w:r>
    </w:p>
    <w:p>
      <w:pPr>
        <w:spacing w:after="0" w:line="180" w:lineRule="exact"/>
        <w:rPr>
          <w:rFonts w:ascii="Times New Roman" w:cs="Times New Roman" w:eastAsia="Times New Roman" w:hAnsi="Times New Roman"/>
          <w:sz w:val="18"/>
          <w:szCs w:val="18"/>
          <w:color w:val="auto"/>
        </w:rPr>
      </w:pPr>
    </w:p>
    <w:p>
      <w:pPr>
        <w:jc w:val="both"/>
        <w:ind w:firstLine="278"/>
        <w:spacing w:after="0" w:line="255" w:lineRule="auto"/>
        <w:tabs>
          <w:tab w:leader="none" w:pos="5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Options</w:t>
      </w:r>
      <w:r>
        <w:rPr>
          <w:rFonts w:ascii="Times New Roman" w:cs="Times New Roman" w:eastAsia="Times New Roman" w:hAnsi="Times New Roman"/>
          <w:sz w:val="18"/>
          <w:szCs w:val="18"/>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185" w:lineRule="exact"/>
        <w:rPr>
          <w:sz w:val="20"/>
          <w:szCs w:val="20"/>
          <w:color w:val="auto"/>
        </w:rPr>
      </w:pPr>
    </w:p>
    <w:p>
      <w:pPr>
        <w:ind w:left="540" w:hanging="262"/>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ISSUANCES OF SECURITIES.</w:t>
      </w:r>
    </w:p>
    <w:p>
      <w:pPr>
        <w:spacing w:after="0" w:line="22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0" w:lineRule="exact"/>
        <w:rPr>
          <w:sz w:val="20"/>
          <w:szCs w:val="20"/>
          <w:color w:val="auto"/>
        </w:rPr>
      </w:pPr>
    </w:p>
    <w:p>
      <w:pPr>
        <w:ind w:left="540" w:hanging="262"/>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firstLine="270"/>
        <w:spacing w:after="0" w:line="282" w:lineRule="auto"/>
        <w:rPr>
          <w:sz w:val="20"/>
          <w:szCs w:val="20"/>
          <w:color w:val="auto"/>
        </w:rPr>
      </w:pPr>
      <w:r>
        <w:rPr>
          <w:rFonts w:ascii="Times New Roman" w:cs="Times New Roman" w:eastAsia="Times New Roman" w:hAnsi="Times New Roman"/>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162" w:lineRule="exact"/>
        <w:rPr>
          <w:sz w:val="20"/>
          <w:szCs w:val="20"/>
          <w:color w:val="auto"/>
        </w:rPr>
      </w:pPr>
    </w:p>
    <w:p>
      <w:pPr>
        <w:ind w:left="540" w:hanging="262"/>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ISOs INTO NON-QUALIFIED OPTIONS; TERMINATION OF ISOs.</w:t>
      </w:r>
    </w:p>
    <w:p>
      <w:pPr>
        <w:spacing w:after="0" w:line="22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185" w:lineRule="exact"/>
        <w:rPr>
          <w:sz w:val="20"/>
          <w:szCs w:val="20"/>
          <w:color w:val="auto"/>
        </w:rPr>
      </w:pPr>
    </w:p>
    <w:p>
      <w:pPr>
        <w:ind w:left="540" w:hanging="262"/>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186" w:lineRule="exact"/>
        <w:rPr>
          <w:sz w:val="20"/>
          <w:szCs w:val="20"/>
          <w:color w:val="auto"/>
        </w:rPr>
      </w:pPr>
    </w:p>
    <w:p>
      <w:pPr>
        <w:ind w:left="540" w:hanging="262"/>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COMPANY OF DISQUALIFYING DISPOSITION.</w:t>
      </w:r>
    </w:p>
    <w:p>
      <w:pPr>
        <w:spacing w:after="0" w:line="225"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184" w:lineRule="exact"/>
        <w:rPr>
          <w:sz w:val="20"/>
          <w:szCs w:val="20"/>
          <w:color w:val="auto"/>
        </w:rPr>
      </w:pPr>
    </w:p>
    <w:p>
      <w:pPr>
        <w:ind w:left="540" w:hanging="262"/>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p>
    <w:p>
      <w:pPr>
        <w:spacing w:after="0" w:line="22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 xml:space="preserve">The Plan will terminate on the date which is ten years from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540" w:hanging="262"/>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AGREEMENTS.</w:t>
      </w:r>
    </w:p>
    <w:p>
      <w:pPr>
        <w:spacing w:after="0" w:line="225"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197" w:lineRule="exact"/>
        <w:rPr>
          <w:sz w:val="20"/>
          <w:szCs w:val="20"/>
          <w:color w:val="auto"/>
        </w:rPr>
      </w:pPr>
    </w:p>
    <w:p>
      <w:pPr>
        <w:ind w:left="540" w:hanging="262"/>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OR OTHER RELATIONSHIP.</w:t>
      </w:r>
    </w:p>
    <w:p>
      <w:pPr>
        <w:spacing w:after="0" w:line="225"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76" w:lineRule="exact"/>
        <w:rPr>
          <w:sz w:val="20"/>
          <w:szCs w:val="20"/>
          <w:color w:val="auto"/>
        </w:rPr>
      </w:pPr>
    </w:p>
    <w:p>
      <w:pPr>
        <w:ind w:left="540" w:hanging="262"/>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EMPLOYEE, DIRECTOR AND CONSULTANT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 — ISRAEL</w:t>
      </w:r>
    </w:p>
    <w:p>
      <w:pPr>
        <w:spacing w:after="0" w:line="229" w:lineRule="exact"/>
        <w:rPr>
          <w:sz w:val="20"/>
          <w:szCs w:val="20"/>
          <w:color w:val="auto"/>
        </w:rPr>
      </w:pPr>
    </w:p>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EFFECTIVE DATE</w:t>
      </w:r>
    </w:p>
    <w:p>
      <w:pPr>
        <w:spacing w:after="0" w:line="221" w:lineRule="exact"/>
        <w:rPr>
          <w:sz w:val="20"/>
          <w:szCs w:val="20"/>
          <w:color w:val="auto"/>
        </w:rPr>
      </w:pPr>
    </w:p>
    <w:p>
      <w:pPr>
        <w:jc w:val="both"/>
        <w:ind w:left="460" w:hanging="445"/>
        <w:spacing w:after="0" w:line="268" w:lineRule="auto"/>
        <w:tabs>
          <w:tab w:leader="none" w:pos="440" w:val="left"/>
        </w:tabs>
        <w:rPr>
          <w:sz w:val="20"/>
          <w:szCs w:val="20"/>
          <w:color w:val="auto"/>
        </w:rPr>
      </w:pPr>
      <w:r>
        <w:rPr>
          <w:rFonts w:ascii="Times New Roman" w:cs="Times New Roman" w:eastAsia="Times New Roman" w:hAnsi="Times New Roman"/>
          <w:sz w:val="18"/>
          <w:szCs w:val="18"/>
          <w:color w:val="auto"/>
        </w:rPr>
        <w:t>1.1</w:t>
        <w:tab/>
        <w:t>This Appendix A (the “</w:t>
      </w:r>
      <w:r>
        <w:rPr>
          <w:rFonts w:ascii="Times New Roman" w:cs="Times New Roman" w:eastAsia="Times New Roman" w:hAnsi="Times New Roman"/>
          <w:sz w:val="18"/>
          <w:szCs w:val="18"/>
          <w:b w:val="1"/>
          <w:bCs w:val="1"/>
          <w:color w:val="auto"/>
        </w:rPr>
        <w:t>Appendix</w:t>
      </w:r>
      <w:r>
        <w:rPr>
          <w:rFonts w:ascii="Times New Roman" w:cs="Times New Roman" w:eastAsia="Times New Roman" w:hAnsi="Times New Roman"/>
          <w:sz w:val="18"/>
          <w:szCs w:val="18"/>
          <w:color w:val="auto"/>
        </w:rPr>
        <w:t>”) to the Vringo, Inc. 2012 Employee, Director and Consultant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shall apply only to individuals who are granted Stock Grants, Stock Rights or Options who are residents of the State of Israel for tax purposes, or are otherwise subject to taxation in Israel with respect to Options.</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This Appendix shall be effective as of September 12, 2012.</w:t>
      </w:r>
    </w:p>
    <w:p>
      <w:pPr>
        <w:spacing w:after="0" w:line="225"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w:t>
      </w:r>
    </w:p>
    <w:p>
      <w:pPr>
        <w:spacing w:after="0" w:line="225" w:lineRule="exact"/>
        <w:rPr>
          <w:sz w:val="20"/>
          <w:szCs w:val="20"/>
          <w:color w:val="auto"/>
        </w:rPr>
      </w:pPr>
    </w:p>
    <w:p>
      <w:pPr>
        <w:jc w:val="both"/>
        <w:ind w:left="460" w:hanging="445"/>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2.1</w:t>
        <w:tab/>
        <w:t>This Appendix applies to Stock Grants, Stock Rights or Options granted to Israeli Participants under the Plan and such Stock Grants, Stock Rights and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Times New Roman" w:cs="Times New Roman" w:eastAsia="Times New Roman" w:hAnsi="Times New Roman"/>
          <w:sz w:val="18"/>
          <w:szCs w:val="18"/>
          <w:b w:val="1"/>
          <w:bCs w:val="1"/>
          <w:color w:val="auto"/>
        </w:rPr>
        <w:t>102 Options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60" w:hanging="445"/>
        <w:spacing w:after="0" w:line="266" w:lineRule="auto"/>
        <w:tabs>
          <w:tab w:leader="none" w:pos="440" w:val="left"/>
        </w:tabs>
        <w:rPr>
          <w:sz w:val="20"/>
          <w:szCs w:val="20"/>
          <w:color w:val="auto"/>
        </w:rPr>
      </w:pPr>
      <w:r>
        <w:rPr>
          <w:rFonts w:ascii="Times New Roman" w:cs="Times New Roman" w:eastAsia="Times New Roman" w:hAnsi="Times New Roman"/>
          <w:sz w:val="18"/>
          <w:szCs w:val="18"/>
          <w:color w:val="auto"/>
        </w:rPr>
        <w:t>2.2</w:t>
        <w:tab/>
        <w:t>The purpose of this Appendix is to establish certain rules and limitations applicable to Stock Grants, Stock Rights and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176"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60" w:right="2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3.1</w:t>
        <w:tab/>
        <w:t>Capitalized Terms not otherwise defined herein shall have the meanings assigned in the Plan. The following additional terms will apply to grants made pursuant to this Appendix:</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3(i)</w:t>
      </w:r>
      <w:r>
        <w:rPr>
          <w:rFonts w:ascii="Times New Roman" w:cs="Times New Roman" w:eastAsia="Times New Roman" w:hAnsi="Times New Roman"/>
          <w:sz w:val="18"/>
          <w:szCs w:val="18"/>
          <w:color w:val="auto"/>
        </w:rPr>
        <w:t xml:space="preserve"> Stock Grants, Stock Rights or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Stock Grants, Stock Rights or an Option granted under the terms of Section 3(i) of the Ordinance to persons which do not qualify as “employees” under the provisions of Section 102.</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102(b) Track Election</w:t>
      </w:r>
      <w:r>
        <w:rPr>
          <w:rFonts w:ascii="Times New Roman" w:cs="Times New Roman" w:eastAsia="Times New Roman" w:hAnsi="Times New Roman"/>
          <w:sz w:val="18"/>
          <w:szCs w:val="18"/>
          <w:color w:val="auto"/>
        </w:rPr>
        <w:t>” means the right of the Company to prefer either the “Capital Track” (as set under Section 102(b)(2)), or the “Ordinary Income Track” (as set under Section 102(b)(1)), but subject to the provisions of Section 102(g) of the Ordinance.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102(b)</w:t>
      </w:r>
      <w:r>
        <w:rPr>
          <w:rFonts w:ascii="Times New Roman" w:cs="Times New Roman" w:eastAsia="Times New Roman" w:hAnsi="Times New Roman"/>
          <w:sz w:val="18"/>
          <w:szCs w:val="18"/>
          <w:color w:val="auto"/>
        </w:rPr>
        <w:t xml:space="preserve"> Stock Grant, Stock Right or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 Stock Grant, Stock Right or an Option intended to qualify, under the provisions of Section 102(b) of the Ordinance (including the Section 102(b) Choice of Track), as either:</w:t>
      </w:r>
    </w:p>
    <w:p>
      <w:pPr>
        <w:spacing w:after="0" w:line="155" w:lineRule="exact"/>
        <w:rPr>
          <w:sz w:val="20"/>
          <w:szCs w:val="20"/>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102(b)(2) Option</w:t>
      </w:r>
      <w:r>
        <w:rPr>
          <w:rFonts w:ascii="Times New Roman" w:cs="Times New Roman" w:eastAsia="Times New Roman" w:hAnsi="Times New Roman"/>
          <w:sz w:val="18"/>
          <w:szCs w:val="18"/>
          <w:color w:val="auto"/>
        </w:rPr>
        <w:t>” for the special tax treatments under the “Capital Track”,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102(b)(1) Option</w:t>
      </w:r>
      <w:r>
        <w:rPr>
          <w:rFonts w:ascii="Times New Roman" w:cs="Times New Roman" w:eastAsia="Times New Roman" w:hAnsi="Times New Roman"/>
          <w:sz w:val="18"/>
          <w:szCs w:val="18"/>
          <w:color w:val="auto"/>
        </w:rPr>
        <w:t>” for the special tax treatments under the “Ordinary Income Track”.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shall have the meaning ascribed to such definition under Section 102 of the Ordinance, as may be amended from time to time.</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Ordinance”</w:t>
      </w:r>
      <w:r>
        <w:rPr>
          <w:rFonts w:ascii="Times New Roman" w:cs="Times New Roman" w:eastAsia="Times New Roman" w:hAnsi="Times New Roman"/>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means rights issued or distributed in respect of Shares issued pursuant to exercise of Stock Grants, Stock Rights or Options under the Appendix, including bonus shares but excluding cash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xml:space="preserve"> means the Income Tax Rules (Tax Benefits in Share Issuances to Employees) 5763-2003.</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Unapproved 102 Options</w:t>
      </w:r>
      <w:r>
        <w:rPr>
          <w:rFonts w:ascii="Times New Roman" w:cs="Times New Roman" w:eastAsia="Times New Roman" w:hAnsi="Times New Roman"/>
          <w:sz w:val="18"/>
          <w:szCs w:val="18"/>
          <w:color w:val="auto"/>
        </w:rPr>
        <w:t>” means 102 Stock Grants, Stock Rights or Options granted pursuant to Section 102(c) of the Ordinance and not held in trust by a Trustee.</w:t>
      </w:r>
    </w:p>
    <w:p>
      <w:pPr>
        <w:spacing w:after="0" w:line="159"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PARTICIPANTS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persons eligible for participation under the Appendix as recipients of Stock Grants, Stock Rights or Options shall include any Employees (including officers), directors and consultants of the Company or of any Affiliate of the Company who are residents of the State of Israel or those who are deemed to be residents of the State of Israel for the payment of tax. The grant of a Stock Grant, Stock Rights or Option hereunder shall neither entitle the recipient thereof to participate nor disqualify him from participating in, any other grant of Stock Grant, Stock Right or Options pursuant to the Appendix, the Plan or any other equity plan of the Company or any of its Affiliates. Notwithstanding the foregoing, no 102 Stock Grants, Stock Rights or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189"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OPTIONS PURSUANT TO SECTION 102</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5.1</w:t>
        <w:tab/>
        <w:t>The Company may designate Stock Grants, Stock Rights or Options granted to Employees pursuant to Section 102 of the Ordinance as Unapproved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102 Options or 102(b) Options.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jc w:val="both"/>
        <w:ind w:left="460" w:right="2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5.2</w:t>
        <w:tab/>
        <w:t>The grant of 102(b) Stock Grants, Stock Rights or Options shall be made under this Appendix and shall be conditioned upon the approval of this Appendix by the Israeli Tax Authorities (the “</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6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5.3</w:t>
        <w:tab/>
        <w:t>102(b) Stock Grants, Stock Rights or Options may either be classified as 102(b)(2) Stock Grants, Stock Rights or Options under the capital gain tax Track or 102(b)(1) Stock Grants, Stock or Options under the Ordinary Income Track.</w:t>
      </w:r>
    </w:p>
    <w:p>
      <w:pPr>
        <w:spacing w:after="0" w:line="162" w:lineRule="exact"/>
        <w:rPr>
          <w:sz w:val="20"/>
          <w:szCs w:val="20"/>
          <w:color w:val="auto"/>
        </w:rPr>
      </w:pPr>
    </w:p>
    <w:p>
      <w:pPr>
        <w:jc w:val="both"/>
        <w:ind w:left="460" w:hanging="445"/>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5.4</w:t>
        <w:tab/>
        <w:t>The Company’s election of the type of 102(b) Stock Grants, Stock Rights or Options as 102(b)(2) Stock Grants, Stock or Options or 102(b)(1) Stock Grants, Stock Rights or Options granted to Employees (the “</w:t>
      </w: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 shall be appropriately filed with the ITA before the date of grant of 102(b) Stock Grants, Stock Rights or Options. Such Election shall become effective beginning the first date of grant of 102(b) Option under this Appendix and shall remain in effect at least until the end of the year following the year during which the Company first granted 102(b) Stock Grants, Stock Rights or Options or such other period as shall be determined from time to time under Section 102 of the Ordinance and the Rules, regulation and orders promulgated thereunder. The Election shall obligate the Company to grant only the type of 102(b) Stock Grants, Stock Rights or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tock Grants, Stock Rights or Option simultaneously.</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All 102(b) Stock Grants, Stock Rights or Options must be held in trust by a Trustee, as described in Section 6 below.</w:t>
      </w:r>
    </w:p>
    <w:p>
      <w:pPr>
        <w:spacing w:after="0" w:line="225" w:lineRule="exact"/>
        <w:rPr>
          <w:sz w:val="20"/>
          <w:szCs w:val="20"/>
          <w:color w:val="auto"/>
        </w:rPr>
      </w:pPr>
    </w:p>
    <w:p>
      <w:pPr>
        <w:jc w:val="both"/>
        <w:ind w:left="46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5.6</w:t>
        <w:tab/>
        <w:t>For the avoidance of doubt, the designation of Unapproved 102 Options and 102(b) Stock Grants, Stock Rights or Options shall be subject to the terms and conditions set forth in Section 102 of the Ordinance and Rules, regulations and orders promulgated thereunder.</w:t>
      </w:r>
    </w:p>
    <w:p>
      <w:pPr>
        <w:spacing w:after="0" w:line="162" w:lineRule="exact"/>
        <w:rPr>
          <w:sz w:val="20"/>
          <w:szCs w:val="20"/>
          <w:color w:val="auto"/>
        </w:rPr>
      </w:pPr>
    </w:p>
    <w:p>
      <w:pPr>
        <w:jc w:val="both"/>
        <w:ind w:left="460" w:hanging="445"/>
        <w:spacing w:after="0" w:line="258" w:lineRule="auto"/>
        <w:tabs>
          <w:tab w:leader="none" w:pos="440" w:val="left"/>
        </w:tabs>
        <w:rPr>
          <w:sz w:val="20"/>
          <w:szCs w:val="20"/>
          <w:color w:val="auto"/>
        </w:rPr>
      </w:pPr>
      <w:r>
        <w:rPr>
          <w:rFonts w:ascii="Times New Roman" w:cs="Times New Roman" w:eastAsia="Times New Roman" w:hAnsi="Times New Roman"/>
          <w:sz w:val="18"/>
          <w:szCs w:val="18"/>
          <w:color w:val="auto"/>
        </w:rPr>
        <w:t>5.7</w:t>
        <w:tab/>
        <w:t>With regards to 102(b) Stock Grants, Stock Rights or Options, the provisions of the Appendix and/or the Option Agreement shall be subject to the provisions of Section 102 of the Ordinance and the Tax Assessing Officer’s permit, and the said provisions and permit shall be deemed an integral part of the Plan, the 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184"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jc w:val="both"/>
        <w:ind w:left="460" w:hanging="445"/>
        <w:spacing w:after="0" w:line="252" w:lineRule="auto"/>
        <w:tabs>
          <w:tab w:leader="none" w:pos="440" w:val="left"/>
        </w:tabs>
        <w:rPr>
          <w:sz w:val="20"/>
          <w:szCs w:val="20"/>
          <w:color w:val="auto"/>
        </w:rPr>
      </w:pPr>
      <w:r>
        <w:rPr>
          <w:rFonts w:ascii="Times New Roman" w:cs="Times New Roman" w:eastAsia="Times New Roman" w:hAnsi="Times New Roman"/>
          <w:sz w:val="18"/>
          <w:szCs w:val="18"/>
          <w:color w:val="auto"/>
        </w:rPr>
        <w:t>6.1</w:t>
        <w:tab/>
        <w:t>The 102(b) Stock Grants, Stock Rights or Options which shall be granted to Participants and/or any Shares issued upon exercise of such 102(b) Stock Grants, Stock Rights or Options and/or any other shares received subsequently following any realization of rights resulting from a 102(b) Stock Grants, Stock Rights or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Stock Grants, Stock Rights or Options and Shares held by such Trustee at such time to its successor. The Trustee will hold such 102(b) Stock Grants, Stock Rights or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Stock Grants, Stock Rights or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Stock Grants, Stock Rights or Options may be regarded as Unapproved 102 Options, all in accordance with the provisions of Section 102.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both"/>
        <w:ind w:left="440" w:hanging="445"/>
        <w:spacing w:after="0" w:line="261" w:lineRule="auto"/>
        <w:tabs>
          <w:tab w:leader="none" w:pos="420" w:val="left"/>
        </w:tabs>
        <w:rPr>
          <w:sz w:val="20"/>
          <w:szCs w:val="20"/>
          <w:color w:val="auto"/>
        </w:rPr>
      </w:pPr>
      <w:r>
        <w:rPr>
          <w:rFonts w:ascii="Times New Roman" w:cs="Times New Roman" w:eastAsia="Times New Roman" w:hAnsi="Times New Roman"/>
          <w:sz w:val="18"/>
          <w:szCs w:val="18"/>
          <w:color w:val="auto"/>
        </w:rPr>
        <w:t>6.2</w:t>
        <w:tab/>
        <w:t>Anything to the contrary notwithstanding, the Trustee shall not release any 102(b) Options which were not already exercised into Shares by the Participant or release any Shares issued upon exercise of such 102(b) Stock Grants, Stock Rights or Options prior to the full payment of the Participant’s tax liabilities arising from such 102(b) Stock Grants, Stock Rights or Options which were granted to him and/or any Shares issued upon exercise of such 102(b) Stock Grants, Stock Rights or Options.</w:t>
      </w:r>
    </w:p>
    <w:p>
      <w:pPr>
        <w:spacing w:after="0" w:line="180" w:lineRule="exact"/>
        <w:rPr>
          <w:sz w:val="20"/>
          <w:szCs w:val="20"/>
          <w:color w:val="auto"/>
        </w:rPr>
      </w:pPr>
    </w:p>
    <w:p>
      <w:pPr>
        <w:jc w:val="both"/>
        <w:ind w:left="440" w:hanging="445"/>
        <w:spacing w:after="0" w:line="261" w:lineRule="auto"/>
        <w:tabs>
          <w:tab w:leader="none" w:pos="420" w:val="left"/>
        </w:tabs>
        <w:rPr>
          <w:sz w:val="20"/>
          <w:szCs w:val="20"/>
          <w:color w:val="auto"/>
        </w:rPr>
      </w:pPr>
      <w:r>
        <w:rPr>
          <w:rFonts w:ascii="Times New Roman" w:cs="Times New Roman" w:eastAsia="Times New Roman" w:hAnsi="Times New Roman"/>
          <w:sz w:val="18"/>
          <w:szCs w:val="18"/>
          <w:color w:val="auto"/>
        </w:rPr>
        <w:t>6.3</w:t>
        <w:tab/>
        <w:t>Upon receipt of a 102(b) Stock Grants, Stock Rights or Option, the Participant will sign the Stock Grants, Stock Rights or Option Agreement or an applicable option award which shall be deemed as the Participant’s undertaking to exempt the Trustee from any liability in respect of any action or decision duly taken and bona fide executed in relation with the Plan and the Appendix, or any 102(b) Stock Grants, Stock Rights or Option or Share granted to him thereunder.</w:t>
      </w:r>
    </w:p>
    <w:p>
      <w:pPr>
        <w:spacing w:after="0" w:line="180" w:lineRule="exact"/>
        <w:rPr>
          <w:sz w:val="20"/>
          <w:szCs w:val="20"/>
          <w:color w:val="auto"/>
        </w:rPr>
      </w:pPr>
    </w:p>
    <w:p>
      <w:pPr>
        <w:jc w:val="both"/>
        <w:ind w:left="440" w:hanging="445"/>
        <w:spacing w:after="0" w:line="261" w:lineRule="auto"/>
        <w:tabs>
          <w:tab w:leader="none" w:pos="420" w:val="left"/>
        </w:tabs>
        <w:rPr>
          <w:sz w:val="20"/>
          <w:szCs w:val="20"/>
          <w:color w:val="auto"/>
        </w:rPr>
      </w:pPr>
      <w:r>
        <w:rPr>
          <w:rFonts w:ascii="Times New Roman" w:cs="Times New Roman" w:eastAsia="Times New Roman" w:hAnsi="Times New Roman"/>
          <w:sz w:val="18"/>
          <w:szCs w:val="18"/>
          <w:color w:val="auto"/>
        </w:rPr>
        <w:t>6.4</w:t>
        <w:tab/>
        <w:t>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Stock Grants, Stock Rights or Option, which are expressly provided for in this Appendix or the respective Option Agreement with such Participant, or is (ii) necessary or desirable in the light of any change or replacement of Section 102 of the Ordinance.</w:t>
      </w:r>
    </w:p>
    <w:p>
      <w:pPr>
        <w:spacing w:after="0" w:line="180" w:lineRule="exact"/>
        <w:rPr>
          <w:sz w:val="20"/>
          <w:szCs w:val="20"/>
          <w:color w:val="auto"/>
        </w:rPr>
      </w:pPr>
    </w:p>
    <w:p>
      <w:pPr>
        <w:jc w:val="both"/>
        <w:ind w:left="440" w:hanging="445"/>
        <w:spacing w:after="0" w:line="255" w:lineRule="auto"/>
        <w:tabs>
          <w:tab w:leader="none" w:pos="420" w:val="left"/>
        </w:tabs>
        <w:rPr>
          <w:sz w:val="20"/>
          <w:szCs w:val="20"/>
          <w:color w:val="auto"/>
        </w:rPr>
      </w:pPr>
      <w:r>
        <w:rPr>
          <w:rFonts w:ascii="Times New Roman" w:cs="Times New Roman" w:eastAsia="Times New Roman" w:hAnsi="Times New Roman"/>
          <w:sz w:val="18"/>
          <w:szCs w:val="18"/>
          <w:color w:val="auto"/>
        </w:rPr>
        <w:t>6.5</w:t>
        <w:tab/>
        <w:t>Any and all Rights with respect to a 102(b) Stock Grants, Stock Rights or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Stock Grants, Stock Rights or Option hereunder. Notwithstanding the aforesaid, Shares issued pursuant to the exercise of 102(b) Stock Grants, Stock Rights or Options hereunder or Rights may be sold or transferred, and the Trustee may release such Shares issued pursuant to the exercise of 102(b) Stock Grants, Stock Rights or Options hereunder (or the applicable option award) or Rights from trust, prior to the lapse of the transferred until the lapse of the minimum period permitted by applicable law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both"/>
        <w:ind w:left="440" w:hanging="445"/>
        <w:spacing w:after="0" w:line="266" w:lineRule="auto"/>
        <w:tabs>
          <w:tab w:leader="none" w:pos="420" w:val="left"/>
        </w:tabs>
        <w:rPr>
          <w:sz w:val="20"/>
          <w:szCs w:val="20"/>
          <w:color w:val="auto"/>
        </w:rPr>
      </w:pPr>
      <w:r>
        <w:rPr>
          <w:rFonts w:ascii="Times New Roman" w:cs="Times New Roman" w:eastAsia="Times New Roman" w:hAnsi="Times New Roman"/>
          <w:sz w:val="18"/>
          <w:szCs w:val="18"/>
          <w:color w:val="auto"/>
        </w:rPr>
        <w:t>6.6</w:t>
        <w:tab/>
        <w:t>During the period in which Shares, issued to the Trustee on behalf of a Participant upon exercise of a 102(b) Stock Grants, Stock Rights or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29" w:name="page30"/>
    <w:bookmarkEnd w:id="29"/>
    <w:p>
      <w:pPr>
        <w:ind w:left="460" w:hanging="445"/>
        <w:spacing w:after="0" w:line="282" w:lineRule="auto"/>
        <w:tabs>
          <w:tab w:leader="none" w:pos="440" w:val="left"/>
        </w:tabs>
        <w:rPr>
          <w:sz w:val="20"/>
          <w:szCs w:val="20"/>
          <w:color w:val="auto"/>
        </w:rPr>
      </w:pPr>
      <w:r>
        <w:rPr>
          <w:rFonts w:ascii="Times New Roman" w:cs="Times New Roman" w:eastAsia="Times New Roman" w:hAnsi="Times New Roman"/>
          <w:sz w:val="18"/>
          <w:szCs w:val="18"/>
          <w:color w:val="auto"/>
        </w:rPr>
        <w:t>6.7</w:t>
        <w:tab/>
        <w:t>As long as Shares are held by the Trustee in favor of the Participant, then all rights the last possesses over the Shares are personal, cannot be transferred, assigned, pledged or mortgaged, other than by will or laws of descent and distribution.</w:t>
      </w:r>
    </w:p>
    <w:p>
      <w:pPr>
        <w:spacing w:after="0" w:line="162" w:lineRule="exact"/>
        <w:rPr>
          <w:sz w:val="20"/>
          <w:szCs w:val="20"/>
          <w:color w:val="auto"/>
        </w:rPr>
      </w:pPr>
    </w:p>
    <w:p>
      <w:pPr>
        <w:ind w:left="460" w:hanging="452"/>
        <w:spacing w:after="0"/>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RESERVED FOR THE PLAN; RESTRICTION THEREON</w:t>
      </w:r>
    </w:p>
    <w:p>
      <w:pPr>
        <w:spacing w:after="0" w:line="225" w:lineRule="exact"/>
        <w:rPr>
          <w:sz w:val="20"/>
          <w:szCs w:val="20"/>
          <w:color w:val="auto"/>
        </w:rPr>
      </w:pPr>
    </w:p>
    <w:p>
      <w:pPr>
        <w:jc w:val="both"/>
        <w:ind w:left="460" w:hanging="445"/>
        <w:spacing w:after="0" w:line="255" w:lineRule="auto"/>
        <w:tabs>
          <w:tab w:leader="none" w:pos="440" w:val="left"/>
        </w:tabs>
        <w:rPr>
          <w:sz w:val="20"/>
          <w:szCs w:val="20"/>
          <w:color w:val="auto"/>
        </w:rPr>
      </w:pPr>
      <w:r>
        <w:rPr>
          <w:rFonts w:ascii="Times New Roman" w:cs="Times New Roman" w:eastAsia="Times New Roman" w:hAnsi="Times New Roman"/>
          <w:sz w:val="18"/>
          <w:szCs w:val="18"/>
          <w:color w:val="auto"/>
        </w:rPr>
        <w:t>7.1</w:t>
        <w:tab/>
        <w:t>Each Stock Grant, Stock Right or Option granted pursuant to this Appendix, shall be evidenced by an Option Agreement between the Company and the Participant, in such form as the Board of Directors or the Administrator, as applicable, shall from time to time approve. Each Stock Grants, Stock Rights or Option Agreement shall state a number of the Shares to which the Option relates and the type of Stock Grants, Stock Rights or Option granted thereunder (whether a 102(b)(1) Stock Grants, Stock Rights or Option, 102(b)(2) Stock Grants, Stock Rights or Option, Other 102 Stock Grants, Stock Rights or Option, or a 3(i) Stock Grants, Stock Rights or Option, the purchase price per Share and the vesting schedule to which such Stock Grants, Stock Rights or Option shall become exercisable. Stock Grants, Stock Rights or Options may be granted at any time after this Appendix has been approved by the Company, subject to any further approval or consent required under Section 102 of the Ordinance or the Rules, in case of 102(b) Stock Grants, Stock Rights or Options, and other applicable law.</w:t>
      </w:r>
    </w:p>
    <w:p>
      <w:pPr>
        <w:spacing w:after="0" w:line="185" w:lineRule="exact"/>
        <w:rPr>
          <w:sz w:val="20"/>
          <w:szCs w:val="20"/>
          <w:color w:val="auto"/>
        </w:rPr>
      </w:pPr>
    </w:p>
    <w:p>
      <w:pPr>
        <w:jc w:val="both"/>
        <w:ind w:left="460" w:hanging="445"/>
        <w:spacing w:after="0" w:line="256" w:lineRule="auto"/>
        <w:tabs>
          <w:tab w:leader="none" w:pos="440" w:val="left"/>
        </w:tabs>
        <w:rPr>
          <w:sz w:val="20"/>
          <w:szCs w:val="20"/>
          <w:color w:val="auto"/>
        </w:rPr>
      </w:pPr>
      <w:r>
        <w:rPr>
          <w:rFonts w:ascii="Times New Roman" w:cs="Times New Roman" w:eastAsia="Times New Roman" w:hAnsi="Times New Roman"/>
          <w:sz w:val="18"/>
          <w:szCs w:val="18"/>
          <w:color w:val="auto"/>
        </w:rPr>
        <w:t>7.3</w:t>
        <w:tab/>
        <w:t>Each Stock Grants, Stock Rights or Option Agreement evidencing 102(b) Stock Grants, Stock Rights or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Stock Grants, Stock Rights or Options and/or the Shares issued pursuant to the exercise of Stock Grants, Stock Rights or Options prior to the lapse of the period in which the Stock Grants, Stock Rights or Options and/or such Shares are held in trust, unless the Participant pays all taxes, which may arise in connection with such sale and/or transfer (as provided in Section 6.5 above).</w:t>
      </w:r>
    </w:p>
    <w:p>
      <w:pPr>
        <w:spacing w:after="0" w:line="188"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OR TERMINATION</w:t>
      </w:r>
    </w:p>
    <w:p>
      <w:pPr>
        <w:spacing w:after="0" w:line="225" w:lineRule="exact"/>
        <w:rPr>
          <w:sz w:val="20"/>
          <w:szCs w:val="20"/>
          <w:color w:val="auto"/>
        </w:rPr>
      </w:pPr>
    </w:p>
    <w:p>
      <w:pPr>
        <w:jc w:val="both"/>
        <w:ind w:left="460" w:hanging="445"/>
        <w:spacing w:after="0" w:line="261" w:lineRule="auto"/>
        <w:tabs>
          <w:tab w:leader="none" w:pos="440" w:val="left"/>
        </w:tabs>
        <w:rPr>
          <w:sz w:val="20"/>
          <w:szCs w:val="20"/>
          <w:color w:val="auto"/>
        </w:rPr>
      </w:pPr>
      <w:r>
        <w:rPr>
          <w:rFonts w:ascii="Times New Roman" w:cs="Times New Roman" w:eastAsia="Times New Roman" w:hAnsi="Times New Roman"/>
          <w:sz w:val="18"/>
          <w:szCs w:val="18"/>
          <w:color w:val="auto"/>
        </w:rPr>
        <w:t>8.1</w:t>
        <w:tab/>
        <w:t>The Board of Directors or the Administrator, as required by law, may, at any time and from time to time, amend, alter or discontinue this Appendix, except that no amendment or alteration shall be made which would impair the rights of the holder of any share and/or Stock Grants, Stock Rights or Option granted, if and to the extent such rights are specifically set forth under the applicable Stock Grants, Stock Rights or Option Agreement, without such Participant's written consent.</w:t>
      </w:r>
    </w:p>
    <w:p>
      <w:pPr>
        <w:spacing w:after="0" w:line="180"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Appendix and the granting and exercise of Stock Grants, Stock Rights or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176"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CONTINUANCE OF EMPLOYMENT OR HIRED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Plan nor the Stock Grants, Stock Rights or Option Agreement with the Participant shall impose any obligation on the Company or an Affiliate thereof, to continue any Participant in its employ, or the hiring by the Company of the Participant’s services and nothing in the Plan or in any Stock Grants, Stock Rights or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460" w:hanging="452"/>
        <w:spacing w:after="0"/>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sz w:val="20"/>
          <w:szCs w:val="20"/>
          <w:color w:val="auto"/>
        </w:rPr>
      </w:pPr>
    </w:p>
    <w:p>
      <w:pPr>
        <w:jc w:val="both"/>
        <w:ind w:left="460" w:hanging="445"/>
        <w:spacing w:after="0" w:line="255" w:lineRule="auto"/>
        <w:rPr>
          <w:sz w:val="20"/>
          <w:szCs w:val="20"/>
          <w:color w:val="auto"/>
        </w:rPr>
      </w:pPr>
      <w:r>
        <w:rPr>
          <w:rFonts w:ascii="Times New Roman" w:cs="Times New Roman" w:eastAsia="Times New Roman" w:hAnsi="Times New Roman"/>
          <w:sz w:val="18"/>
          <w:szCs w:val="18"/>
          <w:color w:val="auto"/>
        </w:rPr>
        <w:t>11.1 To the extent permitted by applicable law, any tax consequences arising from the grant or exercise of any Stock Grants, Stock Rights or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89" w:lineRule="exact"/>
        <w:rPr>
          <w:sz w:val="20"/>
          <w:szCs w:val="20"/>
          <w:color w:val="auto"/>
        </w:rPr>
      </w:pPr>
    </w:p>
    <w:p>
      <w:pPr>
        <w:jc w:val="both"/>
        <w:ind w:left="460" w:hanging="445"/>
        <w:spacing w:after="0" w:line="282" w:lineRule="auto"/>
        <w:rPr>
          <w:sz w:val="20"/>
          <w:szCs w:val="20"/>
          <w:color w:val="auto"/>
        </w:rPr>
      </w:pPr>
      <w:r>
        <w:rPr>
          <w:rFonts w:ascii="Times New Roman" w:cs="Times New Roman" w:eastAsia="Times New Roman" w:hAnsi="Times New Roman"/>
          <w:sz w:val="18"/>
          <w:szCs w:val="18"/>
          <w:color w:val="auto"/>
        </w:rPr>
        <w:t>11.2 The Board of Directors, the Administrator and/or the Trustee shall not be required to release any Share certificate, issued upon exercise of Stock Grants, Stock Rights or Option, to a Participant, until all required payments have been fully made.</w:t>
      </w:r>
    </w:p>
    <w:p>
      <w:pPr>
        <w:spacing w:after="0" w:line="162" w:lineRule="exact"/>
        <w:rPr>
          <w:sz w:val="20"/>
          <w:szCs w:val="20"/>
          <w:color w:val="auto"/>
        </w:rPr>
      </w:pPr>
    </w:p>
    <w:p>
      <w:pPr>
        <w:jc w:val="both"/>
        <w:ind w:left="460" w:right="20" w:hanging="445"/>
        <w:spacing w:after="0" w:line="282" w:lineRule="auto"/>
        <w:rPr>
          <w:sz w:val="20"/>
          <w:szCs w:val="20"/>
          <w:color w:val="auto"/>
        </w:rPr>
      </w:pPr>
      <w:r>
        <w:rPr>
          <w:rFonts w:ascii="Times New Roman" w:cs="Times New Roman" w:eastAsia="Times New Roman" w:hAnsi="Times New Roman"/>
          <w:sz w:val="18"/>
          <w:szCs w:val="18"/>
          <w:color w:val="auto"/>
        </w:rPr>
        <w:t>11.3 Notwithstanding anything herein to the contrary, this Appendix shall be governed by the provisions of the Ordinance, the rules promulgated thereunder, and any other applicable Israeli laws.</w:t>
      </w:r>
    </w:p>
    <w:p>
      <w:pPr>
        <w:spacing w:after="0" w:line="162" w:lineRule="exact"/>
        <w:rPr>
          <w:sz w:val="20"/>
          <w:szCs w:val="20"/>
          <w:color w:val="auto"/>
        </w:rPr>
      </w:pPr>
    </w:p>
    <w:p>
      <w:pPr>
        <w:jc w:val="both"/>
        <w:ind w:left="460" w:hanging="445"/>
        <w:spacing w:after="0" w:line="261" w:lineRule="auto"/>
        <w:rPr>
          <w:sz w:val="20"/>
          <w:szCs w:val="20"/>
          <w:color w:val="auto"/>
        </w:rPr>
      </w:pPr>
      <w:r>
        <w:rPr>
          <w:rFonts w:ascii="Times New Roman" w:cs="Times New Roman" w:eastAsia="Times New Roman" w:hAnsi="Times New Roman"/>
          <w:sz w:val="18"/>
          <w:szCs w:val="18"/>
          <w:color w:val="auto"/>
        </w:rPr>
        <w:t>11.4 Following the grant of Stock Grants, Stock Rights or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lvl w:ilvl="1">
      <w:lvlJc w:val="left"/>
      <w:lvlText w:val="(%2)"/>
      <w:numFmt w:val="lowerRoman"/>
      <w:start w:val="1"/>
    </w:lvl>
  </w:abstractNum>
  <w:abstractNum w:abstractNumId="5">
    <w:nsid w:val="2463B9EA"/>
    <w:multiLevelType w:val="hybridMultilevel"/>
    <w:lvl w:ilvl="0">
      <w:lvlJc w:val="left"/>
      <w:lvlText w:val="[%1]"/>
      <w:numFmt w:val="decimal"/>
      <w:start w:val="1"/>
    </w:lvl>
    <w:lvl w:ilvl="1">
      <w:lvlJc w:val="left"/>
      <w:lvlText w:val="%2"/>
      <w:numFmt w:val="lowerRoman"/>
      <w:start w:val="1"/>
    </w:lvl>
  </w:abstractNum>
  <w:abstractNum w:abstractNumId="6">
    <w:nsid w:val="5E884ADC"/>
    <w:multiLevelType w:val="hybridMultilevel"/>
    <w:lvl w:ilvl="0">
      <w:lvlJc w:val="left"/>
      <w:lvlText w:val="%1"/>
      <w:numFmt w:val="decimal"/>
      <w:start w:val="1"/>
    </w:lvl>
    <w:lvl w:ilvl="1">
      <w:lvlJc w:val="left"/>
      <w:lvlText w:val="(%2)"/>
      <w:numFmt w:val="decimal"/>
      <w:start w:val="1"/>
    </w:lvl>
  </w:abstractNum>
  <w:abstractNum w:abstractNumId="7">
    <w:nsid w:val="51EAD36B"/>
    <w:multiLevelType w:val="hybridMultilevel"/>
    <w:lvl w:ilvl="0">
      <w:lvlJc w:val="left"/>
      <w:lvlText w:val="[%1]"/>
      <w:numFmt w:val="decimal"/>
      <w:start w:val="2"/>
    </w:lvl>
    <w:lvl w:ilvl="1">
      <w:lvlJc w:val="left"/>
      <w:lvlText w:val="%2"/>
      <w:numFmt w:val="decimal"/>
      <w:start w:val="1"/>
    </w:lvl>
  </w:abstractNum>
  <w:abstractNum w:abstractNumId="8">
    <w:nsid w:val="2D517796"/>
    <w:multiLevelType w:val="hybridMultilevel"/>
    <w:lvl w:ilvl="0">
      <w:lvlJc w:val="left"/>
      <w:lvlText w:val="%1."/>
      <w:numFmt w:val="decimal"/>
      <w:start w:val="2"/>
    </w:lvl>
  </w:abstractNum>
  <w:abstractNum w:abstractNumId="9">
    <w:nsid w:val="580BD78F"/>
    <w:multiLevelType w:val="hybridMultilevel"/>
    <w:lvl w:ilvl="0">
      <w:lvlJc w:val="left"/>
      <w:lvlText w:val="%1."/>
      <w:numFmt w:val="decimal"/>
      <w:start w:val="3"/>
    </w:lvl>
  </w:abstractNum>
  <w:abstractNum w:abstractNumId="10">
    <w:nsid w:val="153EA438"/>
    <w:multiLevelType w:val="hybridMultilevel"/>
    <w:lvl w:ilvl="0">
      <w:lvlJc w:val="left"/>
      <w:lvlText w:val="(%1)"/>
      <w:numFmt w:val="lowerLetter"/>
      <w:start w:val="1"/>
    </w:lvl>
  </w:abstractNum>
  <w:abstractNum w:abstractNumId="11">
    <w:nsid w:val="3855585C"/>
    <w:multiLevelType w:val="hybridMultilevel"/>
    <w:lvl w:ilvl="0">
      <w:lvlJc w:val="left"/>
      <w:lvlText w:val="%1."/>
      <w:numFmt w:val="decimal"/>
      <w:start w:val="4"/>
    </w:lvl>
  </w:abstractNum>
  <w:abstractNum w:abstractNumId="12">
    <w:nsid w:val="70A64E2A"/>
    <w:multiLevelType w:val="hybridMultilevel"/>
    <w:lvl w:ilvl="0">
      <w:lvlJc w:val="left"/>
      <w:lvlText w:val="(%1)"/>
      <w:numFmt w:val="lowerLetter"/>
      <w:start w:val="1"/>
    </w:lvl>
  </w:abstractNum>
  <w:abstractNum w:abstractNumId="13">
    <w:nsid w:val="6A2342EC"/>
    <w:multiLevelType w:val="hybridMultilevel"/>
    <w:lvl w:ilvl="0">
      <w:lvlJc w:val="left"/>
      <w:lvlText w:val="%1."/>
      <w:numFmt w:val="decimal"/>
      <w:start w:val="5"/>
    </w:lvl>
  </w:abstractNum>
  <w:abstractNum w:abstractNumId="14">
    <w:nsid w:val="2A487CB0"/>
    <w:multiLevelType w:val="hybridMultilevel"/>
    <w:lvl w:ilvl="0">
      <w:lvlJc w:val="left"/>
      <w:lvlText w:val="%1."/>
      <w:numFmt w:val="decimal"/>
      <w:start w:val="6"/>
    </w:lvl>
  </w:abstractNum>
  <w:abstractNum w:abstractNumId="15">
    <w:nsid w:val="1D4ED43B"/>
    <w:multiLevelType w:val="hybridMultilevel"/>
    <w:lvl w:ilvl="0">
      <w:lvlJc w:val="left"/>
      <w:lvlText w:val="(%1)"/>
      <w:numFmt w:val="lowerLetter"/>
      <w:start w:val="1"/>
    </w:lvl>
    <w:lvl w:ilvl="1">
      <w:lvlJc w:val="left"/>
      <w:lvlText w:val="(%2)"/>
      <w:numFmt w:val="lowerRoman"/>
      <w:start w:val="1"/>
    </w:lvl>
  </w:abstractNum>
  <w:abstractNum w:abstractNumId="16">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7">
    <w:nsid w:val="2CD89A32"/>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18">
    <w:nsid w:val="57E4CCAF"/>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9">
    <w:nsid w:val="7A6D8D3C"/>
    <w:multiLevelType w:val="hybridMultilevel"/>
    <w:lvl w:ilvl="0">
      <w:lvlJc w:val="left"/>
      <w:lvlText w:val="(%1)"/>
      <w:numFmt w:val="lowerRoman"/>
      <w:start w:val="2"/>
    </w:lvl>
    <w:lvl w:ilvl="1">
      <w:lvlJc w:val="left"/>
      <w:lvlText w:val="%2."/>
      <w:numFmt w:val="upperLetter"/>
      <w:start w:val="1"/>
    </w:lvl>
  </w:abstractNum>
  <w:abstractNum w:abstractNumId="20">
    <w:nsid w:val="4B588F54"/>
    <w:multiLevelType w:val="hybridMultilevel"/>
    <w:lvl w:ilvl="0">
      <w:lvlJc w:val="left"/>
      <w:lvlText w:val="%1."/>
      <w:numFmt w:val="decimal"/>
      <w:start w:val="7"/>
    </w:lvl>
  </w:abstractNum>
  <w:abstractNum w:abstractNumId="21">
    <w:nsid w:val="542289EC"/>
    <w:multiLevelType w:val="hybridMultilevel"/>
    <w:lvl w:ilvl="0">
      <w:lvlJc w:val="left"/>
      <w:lvlText w:val="(%1)"/>
      <w:numFmt w:val="lowerLetter"/>
      <w:start w:val="1"/>
    </w:lvl>
  </w:abstractNum>
  <w:abstractNum w:abstractNumId="22">
    <w:nsid w:val="6DE91B18"/>
    <w:multiLevelType w:val="hybridMultilevel"/>
    <w:lvl w:ilvl="0">
      <w:lvlJc w:val="left"/>
      <w:lvlText w:val="%1."/>
      <w:numFmt w:val="decimal"/>
      <w:start w:val="8"/>
    </w:lvl>
  </w:abstractNum>
  <w:abstractNum w:abstractNumId="23">
    <w:nsid w:val="38437FDB"/>
    <w:multiLevelType w:val="hybridMultilevel"/>
    <w:lvl w:ilvl="0">
      <w:lvlJc w:val="left"/>
      <w:lvlText w:val="%1."/>
      <w:numFmt w:val="decimal"/>
      <w:start w:val="9"/>
    </w:lvl>
  </w:abstractNum>
  <w:abstractNum w:abstractNumId="24">
    <w:nsid w:val="7644A45C"/>
    <w:multiLevelType w:val="hybridMultilevel"/>
    <w:lvl w:ilvl="0">
      <w:lvlJc w:val="left"/>
      <w:lvlText w:val="%1."/>
      <w:numFmt w:val="decimal"/>
      <w:start w:val="10"/>
    </w:lvl>
  </w:abstractNum>
  <w:abstractNum w:abstractNumId="25">
    <w:nsid w:val="32FFF902"/>
    <w:multiLevelType w:val="hybridMultilevel"/>
    <w:lvl w:ilvl="0">
      <w:lvlJc w:val="left"/>
      <w:lvlText w:val="%1."/>
      <w:numFmt w:val="decimal"/>
      <w:start w:val="11"/>
    </w:lvl>
  </w:abstractNum>
  <w:abstractNum w:abstractNumId="26">
    <w:nsid w:val="684A481A"/>
    <w:multiLevelType w:val="hybridMultilevel"/>
    <w:lvl w:ilvl="0">
      <w:lvlJc w:val="left"/>
      <w:lvlText w:val="%1."/>
      <w:numFmt w:val="decimal"/>
      <w:start w:val="12"/>
    </w:lvl>
  </w:abstractNum>
  <w:abstractNum w:abstractNumId="27">
    <w:nsid w:val="579478FE"/>
    <w:multiLevelType w:val="hybridMultilevel"/>
    <w:lvl w:ilvl="0">
      <w:lvlJc w:val="left"/>
      <w:lvlText w:val="[%1]"/>
      <w:numFmt w:val="decimal"/>
      <w:start w:val="3"/>
    </w:lvl>
  </w:abstractNum>
  <w:abstractNum w:abstractNumId="28">
    <w:nsid w:val="749ABB43"/>
    <w:multiLevelType w:val="hybridMultilevel"/>
    <w:lvl w:ilvl="0">
      <w:lvlJc w:val="left"/>
      <w:lvlText w:val="%1."/>
      <w:numFmt w:val="decimal"/>
      <w:start w:val="13"/>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lowerLetter"/>
      <w:start w:val="6"/>
    </w:lvl>
  </w:abstractNum>
  <w:abstractNum w:abstractNumId="31">
    <w:nsid w:val="79A1DEAA"/>
    <w:multiLevelType w:val="hybridMultilevel"/>
    <w:lvl w:ilvl="0">
      <w:lvlJc w:val="left"/>
      <w:lvlText w:val="%1."/>
      <w:numFmt w:val="decimal"/>
      <w:start w:val="14"/>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decimal"/>
      <w:start w:val="15"/>
    </w:lvl>
  </w:abstractNum>
  <w:abstractNum w:abstractNumId="34">
    <w:nsid w:val="70C6A529"/>
    <w:multiLevelType w:val="hybridMultilevel"/>
    <w:lvl w:ilvl="0">
      <w:lvlJc w:val="left"/>
      <w:lvlText w:val="(%1)"/>
      <w:numFmt w:val="lowerLetter"/>
      <w:start w:val="1"/>
    </w:lvl>
    <w:lvl w:ilvl="1">
      <w:lvlJc w:val="left"/>
      <w:lvlText w:val="(%2)"/>
      <w:numFmt w:val="lowerRoman"/>
      <w:start w:val="1"/>
    </w:lvl>
  </w:abstractNum>
  <w:abstractNum w:abstractNumId="35">
    <w:nsid w:val="520EEDD1"/>
    <w:multiLevelType w:val="hybridMultilevel"/>
    <w:lvl w:ilvl="0">
      <w:lvlJc w:val="left"/>
      <w:lvlText w:val="%1"/>
      <w:numFmt w:val="lowerLetter"/>
      <w:start w:val="1"/>
    </w:lvl>
    <w:lvl w:ilvl="1">
      <w:lvlJc w:val="left"/>
      <w:lvlText w:val="%2."/>
      <w:numFmt w:val="decimal"/>
      <w:start w:val="16"/>
    </w:lvl>
    <w:lvl w:ilvl="2">
      <w:lvlJc w:val="left"/>
      <w:lvlText w:val="%3"/>
      <w:numFmt w:val="lowerRoman"/>
      <w:start w:val="1"/>
    </w:lvl>
  </w:abstractNum>
  <w:abstractNum w:abstractNumId="36">
    <w:nsid w:val="374A3FE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7">
    <w:nsid w:val="4F4EF005"/>
    <w:multiLevelType w:val="hybridMultilevel"/>
    <w:lvl w:ilvl="0">
      <w:lvlJc w:val="left"/>
      <w:lvlText w:val="%1."/>
      <w:numFmt w:val="decimal"/>
      <w:start w:val="17"/>
    </w:lvl>
  </w:abstractNum>
  <w:abstractNum w:abstractNumId="38">
    <w:nsid w:val="23F9C13C"/>
    <w:multiLevelType w:val="hybridMultilevel"/>
    <w:lvl w:ilvl="0">
      <w:lvlJc w:val="left"/>
      <w:lvlText w:val="%1."/>
      <w:numFmt w:val="decimal"/>
      <w:start w:val="18"/>
    </w:lvl>
  </w:abstractNum>
  <w:abstractNum w:abstractNumId="39">
    <w:nsid w:val="649BB77C"/>
    <w:multiLevelType w:val="hybridMultilevel"/>
    <w:lvl w:ilvl="0">
      <w:lvlJc w:val="left"/>
      <w:lvlText w:val="%1."/>
      <w:numFmt w:val="decimal"/>
      <w:start w:val="19"/>
    </w:lvl>
  </w:abstractNum>
  <w:abstractNum w:abstractNumId="40">
    <w:nsid w:val="275AC794"/>
    <w:multiLevelType w:val="hybridMultilevel"/>
    <w:lvl w:ilvl="0">
      <w:lvlJc w:val="left"/>
      <w:lvlText w:val="(%1)"/>
      <w:numFmt w:val="lowerLetter"/>
      <w:start w:val="1"/>
    </w:lvl>
  </w:abstractNum>
  <w:abstractNum w:abstractNumId="41">
    <w:nsid w:val="39386575"/>
    <w:multiLevelType w:val="hybridMultilevel"/>
    <w:lvl w:ilvl="0">
      <w:lvlJc w:val="left"/>
      <w:lvlText w:val="%1."/>
      <w:numFmt w:val="decimal"/>
      <w:start w:val="20"/>
    </w:lvl>
  </w:abstractNum>
  <w:abstractNum w:abstractNumId="42">
    <w:nsid w:val="1CF10FD8"/>
    <w:multiLevelType w:val="hybridMultilevel"/>
    <w:lvl w:ilvl="0">
      <w:lvlJc w:val="left"/>
      <w:lvlText w:val="%1."/>
      <w:numFmt w:val="decimal"/>
      <w:start w:val="21"/>
    </w:lvl>
  </w:abstractNum>
  <w:abstractNum w:abstractNumId="43">
    <w:nsid w:val="180115BE"/>
    <w:multiLevelType w:val="hybridMultilevel"/>
    <w:lvl w:ilvl="0">
      <w:lvlJc w:val="left"/>
      <w:lvlText w:val="%1."/>
      <w:numFmt w:val="decimal"/>
      <w:start w:val="22"/>
    </w:lvl>
  </w:abstractNum>
  <w:abstractNum w:abstractNumId="44">
    <w:nsid w:val="235BA861"/>
    <w:multiLevelType w:val="hybridMultilevel"/>
    <w:lvl w:ilvl="0">
      <w:lvlJc w:val="left"/>
      <w:lvlText w:val="(%1)"/>
      <w:numFmt w:val="lowerLetter"/>
      <w:start w:val="1"/>
    </w:lvl>
  </w:abstractNum>
  <w:abstractNum w:abstractNumId="45">
    <w:nsid w:val="47398C89"/>
    <w:multiLevelType w:val="hybridMultilevel"/>
    <w:lvl w:ilvl="0">
      <w:lvlJc w:val="left"/>
      <w:lvlText w:val="(%1)"/>
      <w:numFmt w:val="lowerLetter"/>
      <w:start w:val="2"/>
    </w:lvl>
  </w:abstractNum>
  <w:abstractNum w:abstractNumId="46">
    <w:nsid w:val="354FE9F9"/>
    <w:multiLevelType w:val="hybridMultilevel"/>
    <w:lvl w:ilvl="0">
      <w:lvlJc w:val="left"/>
      <w:lvlText w:val="%1."/>
      <w:numFmt w:val="decimal"/>
      <w:start w:val="23"/>
    </w:lvl>
  </w:abstractNum>
  <w:abstractNum w:abstractNumId="47">
    <w:nsid w:val="15B5AF5C"/>
    <w:multiLevelType w:val="hybridMultilevel"/>
    <w:lvl w:ilvl="0">
      <w:lvlJc w:val="left"/>
      <w:lvlText w:val="%1."/>
      <w:numFmt w:val="decimal"/>
      <w:start w:val="24"/>
    </w:lvl>
  </w:abstractNum>
  <w:abstractNum w:abstractNumId="48">
    <w:nsid w:val="741226BB"/>
    <w:multiLevelType w:val="hybridMultilevel"/>
    <w:lvl w:ilvl="0">
      <w:lvlJc w:val="left"/>
      <w:lvlText w:val="(%1)"/>
      <w:numFmt w:val="lowerLetter"/>
      <w:start w:val="1"/>
    </w:lvl>
  </w:abstractNum>
  <w:abstractNum w:abstractNumId="49">
    <w:nsid w:val="D34B6A8"/>
    <w:multiLevelType w:val="hybridMultilevel"/>
    <w:lvl w:ilvl="0">
      <w:lvlJc w:val="left"/>
      <w:lvlText w:val="(%1)"/>
      <w:numFmt w:val="lowerLetter"/>
      <w:start w:val="3"/>
    </w:lvl>
  </w:abstractNum>
  <w:abstractNum w:abstractNumId="50">
    <w:nsid w:val="10233C99"/>
    <w:multiLevelType w:val="hybridMultilevel"/>
    <w:lvl w:ilvl="0">
      <w:lvlJc w:val="left"/>
      <w:lvlText w:val="%1."/>
      <w:numFmt w:val="decimal"/>
      <w:start w:val="25"/>
    </w:lvl>
  </w:abstractNum>
  <w:abstractNum w:abstractNumId="51">
    <w:nsid w:val="3F6AB60F"/>
    <w:multiLevelType w:val="hybridMultilevel"/>
    <w:lvl w:ilvl="0">
      <w:lvlJc w:val="left"/>
      <w:lvlText w:val="%1."/>
      <w:numFmt w:val="decimal"/>
      <w:start w:val="26"/>
    </w:lvl>
  </w:abstractNum>
  <w:abstractNum w:abstractNumId="52">
    <w:nsid w:val="61574095"/>
    <w:multiLevelType w:val="hybridMultilevel"/>
    <w:lvl w:ilvl="0">
      <w:lvlJc w:val="left"/>
      <w:lvlText w:val="%1."/>
      <w:numFmt w:val="decimal"/>
      <w:start w:val="27"/>
    </w:lvl>
  </w:abstractNum>
  <w:abstractNum w:abstractNumId="53">
    <w:nsid w:val="7E0C57B1"/>
    <w:multiLevelType w:val="hybridMultilevel"/>
    <w:lvl w:ilvl="0">
      <w:lvlJc w:val="left"/>
      <w:lvlText w:val="%1."/>
      <w:numFmt w:val="decimal"/>
      <w:start w:val="28"/>
    </w:lvl>
  </w:abstractNum>
  <w:abstractNum w:abstractNumId="54">
    <w:nsid w:val="77AE35EB"/>
    <w:multiLevelType w:val="hybridMultilevel"/>
    <w:lvl w:ilvl="0">
      <w:lvlJc w:val="left"/>
      <w:lvlText w:val="%1."/>
      <w:numFmt w:val="decimal"/>
      <w:start w:val="29"/>
    </w:lvl>
  </w:abstractNum>
  <w:abstractNum w:abstractNumId="55">
    <w:nsid w:val="579BE4F1"/>
    <w:multiLevelType w:val="hybridMultilevel"/>
    <w:lvl w:ilvl="0">
      <w:lvlJc w:val="left"/>
      <w:lvlText w:val="%1."/>
      <w:numFmt w:val="decimal"/>
      <w:start w:val="30"/>
    </w:lvl>
  </w:abstractNum>
  <w:abstractNum w:abstractNumId="56">
    <w:nsid w:val="310C50B3"/>
    <w:multiLevelType w:val="hybridMultilevel"/>
    <w:lvl w:ilvl="0">
      <w:lvlJc w:val="left"/>
      <w:lvlText w:val="%1."/>
      <w:numFmt w:val="decimal"/>
      <w:start w:val="31"/>
    </w:lvl>
  </w:abstractNum>
  <w:abstractNum w:abstractNumId="57">
    <w:nsid w:val="5FF87E05"/>
    <w:multiLevelType w:val="hybridMultilevel"/>
    <w:lvl w:ilvl="0">
      <w:lvlJc w:val="left"/>
      <w:lvlText w:val="%1."/>
      <w:numFmt w:val="decimal"/>
      <w:start w:val="32"/>
    </w:lvl>
  </w:abstractNum>
  <w:abstractNum w:abstractNumId="58">
    <w:nsid w:val="2F305DEF"/>
    <w:multiLevelType w:val="hybridMultilevel"/>
    <w:lvl w:ilvl="0">
      <w:lvlJc w:val="left"/>
      <w:lvlText w:val="%1."/>
      <w:numFmt w:val="decimal"/>
      <w:start w:val="33"/>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2"/>
    </w:lvl>
  </w:abstractNum>
  <w:abstractNum w:abstractNumId="61">
    <w:nsid w:val="4AD084E9"/>
    <w:multiLevelType w:val="hybridMultilevel"/>
    <w:lvl w:ilvl="0">
      <w:lvlJc w:val="left"/>
      <w:lvlText w:val="%1."/>
      <w:numFmt w:val="decimal"/>
      <w:start w:val="3"/>
    </w:lvl>
  </w:abstractNum>
  <w:abstractNum w:abstractNumId="62">
    <w:nsid w:val="1F48EAA1"/>
    <w:multiLevelType w:val="hybridMultilevel"/>
    <w:lvl w:ilvl="0">
      <w:lvlJc w:val="left"/>
      <w:lvlText w:val="(%1)"/>
      <w:numFmt w:val="lowerRoman"/>
      <w:start w:val="1"/>
    </w:lvl>
  </w:abstractNum>
  <w:abstractNum w:abstractNumId="63">
    <w:nsid w:val="1381823A"/>
    <w:multiLevelType w:val="hybridMultilevel"/>
    <w:lvl w:ilvl="0">
      <w:lvlJc w:val="left"/>
      <w:lvlText w:val="%1."/>
      <w:numFmt w:val="decimal"/>
      <w:start w:val="4"/>
    </w:lvl>
  </w:abstractNum>
  <w:abstractNum w:abstractNumId="64">
    <w:nsid w:val="5DB70AE5"/>
    <w:multiLevelType w:val="hybridMultilevel"/>
    <w:lvl w:ilvl="0">
      <w:lvlJc w:val="left"/>
      <w:lvlText w:val="%1."/>
      <w:numFmt w:val="decimal"/>
      <w:start w:val="5"/>
    </w:lvl>
  </w:abstractNum>
  <w:abstractNum w:abstractNumId="65">
    <w:nsid w:val="100F8FCA"/>
    <w:multiLevelType w:val="hybridMultilevel"/>
    <w:lvl w:ilvl="0">
      <w:lvlJc w:val="left"/>
      <w:lvlText w:val="%1."/>
      <w:numFmt w:val="decimal"/>
      <w:start w:val="6"/>
    </w:lvl>
  </w:abstractNum>
  <w:abstractNum w:abstractNumId="66">
    <w:nsid w:val="6590700B"/>
    <w:multiLevelType w:val="hybridMultilevel"/>
    <w:lvl w:ilvl="0">
      <w:lvlJc w:val="left"/>
      <w:lvlText w:val="%1."/>
      <w:numFmt w:val="decimal"/>
      <w:start w:val="7"/>
    </w:lvl>
  </w:abstractNum>
  <w:abstractNum w:abstractNumId="67">
    <w:nsid w:val="15014ACB"/>
    <w:multiLevelType w:val="hybridMultilevel"/>
    <w:lvl w:ilvl="0">
      <w:lvlJc w:val="left"/>
      <w:lvlText w:val="%1."/>
      <w:numFmt w:val="decimal"/>
      <w:start w:val="8"/>
    </w:lvl>
  </w:abstractNum>
  <w:abstractNum w:abstractNumId="68">
    <w:nsid w:val="5F5E7FD0"/>
    <w:multiLevelType w:val="hybridMultilevel"/>
    <w:lvl w:ilvl="0">
      <w:lvlJc w:val="left"/>
      <w:lvlText w:val="%1."/>
      <w:numFmt w:val="decimal"/>
      <w:start w:val="9"/>
    </w:lvl>
  </w:abstractNum>
  <w:abstractNum w:abstractNumId="69">
    <w:nsid w:val="98A3148"/>
    <w:multiLevelType w:val="hybridMultilevel"/>
    <w:lvl w:ilvl="0">
      <w:lvlJc w:val="left"/>
      <w:lvlText w:val="%1."/>
      <w:numFmt w:val="decimal"/>
      <w:start w:val="10"/>
    </w:lvl>
  </w:abstractNum>
  <w:abstractNum w:abstractNumId="70">
    <w:nsid w:val="799D0247"/>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2019-12-08T15:08:02Z</dcterms:created>
  <dcterms:modified xsi:type="dcterms:W3CDTF">2019-12-08T15:08:02Z</dcterms:modified>
</cp:coreProperties>
</file>