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42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42722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Nyrkovskaya Anastasia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VRINGO, INC.</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780 THIRD AVENUE, 15TH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Vringo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VRNG</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04/04/2016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51"/>
        <w:spacing w:after="0"/>
        <w:rPr>
          <w:sz w:val="20"/>
          <w:szCs w:val="20"/>
          <w:color w:val="auto"/>
        </w:rPr>
      </w:pPr>
      <w:r>
        <w:rPr>
          <w:rFonts w:ascii="Arial" w:cs="Arial" w:eastAsia="Arial" w:hAnsi="Arial"/>
          <w:sz w:val="17"/>
          <w:szCs w:val="17"/>
          <w:color w:val="0000FF"/>
        </w:rPr>
        <w:t>Chief Financial Officer</w:t>
      </w:r>
    </w:p>
    <w:p>
      <w:pPr>
        <w:spacing w:after="0" w:line="397"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800" w:type="dxa"/>
            <w:vAlign w:val="bottom"/>
            <w:gridSpan w:val="7"/>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NY</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10017</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2"/>
              </w:rPr>
              <w:t>Date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27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1.55</w:t>
            </w:r>
          </w:p>
        </w:tc>
        <w:tc>
          <w:tcPr>
            <w:tcW w:w="140" w:type="dxa"/>
            <w:vAlign w:val="bottom"/>
          </w:tcPr>
          <w:p>
            <w:pPr>
              <w:spacing w:after="0"/>
              <w:rPr>
                <w:sz w:val="21"/>
                <w:szCs w:val="21"/>
                <w:color w:val="auto"/>
              </w:rPr>
            </w:pPr>
          </w:p>
        </w:tc>
        <w:tc>
          <w:tcPr>
            <w:tcW w:w="1100" w:type="dxa"/>
            <w:vAlign w:val="bottom"/>
          </w:tcPr>
          <w:p>
            <w:pPr>
              <w:ind w:left="260"/>
              <w:spacing w:after="0"/>
              <w:rPr>
                <w:sz w:val="20"/>
                <w:szCs w:val="20"/>
                <w:color w:val="auto"/>
              </w:rPr>
            </w:pPr>
            <w:r>
              <w:rPr>
                <w:rFonts w:ascii="Arial" w:cs="Arial" w:eastAsia="Arial" w:hAnsi="Arial"/>
                <w:sz w:val="13"/>
                <w:szCs w:val="13"/>
                <w:color w:val="0000FF"/>
              </w:rPr>
              <w:t>04/04/2016</w:t>
            </w: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350,000</w:t>
            </w:r>
          </w:p>
        </w:tc>
        <w:tc>
          <w:tcPr>
            <w:tcW w:w="280" w:type="dxa"/>
            <w:vAlign w:val="bottom"/>
          </w:tcPr>
          <w:p>
            <w:pPr>
              <w:spacing w:after="0"/>
              <w:rPr>
                <w:sz w:val="21"/>
                <w:szCs w:val="21"/>
                <w:color w:val="auto"/>
              </w:rPr>
            </w:pP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tcPr>
          <w:p>
            <w:pPr>
              <w:ind w:left="60"/>
              <w:spacing w:after="0"/>
              <w:rPr>
                <w:sz w:val="20"/>
                <w:szCs w:val="20"/>
                <w:color w:val="auto"/>
              </w:rPr>
            </w:pPr>
            <w:r>
              <w:rPr>
                <w:rFonts w:ascii="Arial" w:cs="Arial" w:eastAsia="Arial" w:hAnsi="Arial"/>
                <w:sz w:val="13"/>
                <w:szCs w:val="13"/>
                <w:color w:val="0000FF"/>
              </w:rPr>
              <w:t>04/04/2026</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350,000</w:t>
            </w:r>
          </w:p>
        </w:tc>
        <w:tc>
          <w:tcPr>
            <w:tcW w:w="40" w:type="dxa"/>
            <w:vAlign w:val="bottom"/>
          </w:tcPr>
          <w:p>
            <w:pPr>
              <w:spacing w:after="0"/>
              <w:rPr>
                <w:sz w:val="21"/>
                <w:szCs w:val="21"/>
                <w:color w:val="auto"/>
              </w:rPr>
            </w:pPr>
          </w:p>
        </w:tc>
        <w:tc>
          <w:tcPr>
            <w:tcW w:w="72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350,000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00" w:firstLine="6"/>
        <w:spacing w:after="0" w:line="246"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 vests in equal quarterly installments over a three-year period, with the first vesting date on June 30, 2016. The option is subject to certain restrictions on exercise until the Issuer's stockholders have approved an increase in the number of shares of common stock authorized under the Issuer's 2012 Employee, Director and Consultant Equity Incentive Plan (or successor plan). If such stockholder approval is not obtained on or prior to December 31, 2016, the stock option will be cancelled and be of no further effect.</w:t>
      </w:r>
    </w:p>
    <w:p>
      <w:pPr>
        <w:spacing w:after="0" w:line="4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8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Anastasia Nyrkovskaya</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04/06/2016</w:t>
            </w:r>
          </w:p>
        </w:tc>
      </w:tr>
      <w:tr>
        <w:trPr>
          <w:trHeight w:val="230"/>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75397"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2019-12-08T14:26:41Z</dcterms:created>
  <dcterms:modified xsi:type="dcterms:W3CDTF">2019-12-08T14:26:41Z</dcterms:modified>
</cp:coreProperties>
</file>