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14, 2018</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(State or other jurisdiction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of incorporation)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200" w:type="dxa"/>
            <w:vAlign w:val="bottom"/>
          </w:tcPr>
          <w:p>
            <w:pPr>
              <w:spacing w:after="0"/>
              <w:rPr>
                <w:sz w:val="24"/>
                <w:szCs w:val="24"/>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70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70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0" w:hanging="32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53" w:right="25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Attached hereto as Exhibit 99.1 is a copy of a press release of XpresSpa Group, Inc., dated August 14, 2018, announcing certain operating and financial results for the three and six months ended June 30, 2018. The information in the press release is incorporated by reference into this Item 2.02 of this Current Report on Form 8-K.</w:t>
      </w:r>
    </w:p>
    <w:p>
      <w:pPr>
        <w:spacing w:after="0" w:line="18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information set forth under this Item 2.02 of this Current Report on Form 8-K,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2680" w:type="dxa"/>
            <w:vAlign w:val="bottom"/>
          </w:tcPr>
          <w:p>
            <w:pPr>
              <w:spacing w:after="0"/>
              <w:rPr>
                <w:sz w:val="24"/>
                <w:szCs w:val="24"/>
                <w:color w:val="auto"/>
              </w:rPr>
            </w:pPr>
          </w:p>
        </w:tc>
        <w:tc>
          <w:tcPr>
            <w:tcW w:w="7580" w:type="dxa"/>
            <w:vAlign w:val="bottom"/>
          </w:tcPr>
          <w:p>
            <w:pPr>
              <w:spacing w:after="0"/>
              <w:rPr>
                <w:sz w:val="24"/>
                <w:szCs w:val="24"/>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680" w:type="dxa"/>
            <w:vAlign w:val="bottom"/>
          </w:tcPr>
          <w:p>
            <w:pPr>
              <w:spacing w:after="0"/>
              <w:rPr>
                <w:sz w:val="24"/>
                <w:szCs w:val="24"/>
                <w:color w:val="auto"/>
              </w:rPr>
            </w:pPr>
          </w:p>
        </w:tc>
        <w:tc>
          <w:tcPr>
            <w:tcW w:w="7580" w:type="dxa"/>
            <w:vAlign w:val="bottom"/>
          </w:tcPr>
          <w:p>
            <w:pPr>
              <w:spacing w:after="0"/>
              <w:rPr>
                <w:sz w:val="24"/>
                <w:szCs w:val="24"/>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260" w:type="dxa"/>
            <w:vAlign w:val="bottom"/>
            <w:gridSpan w:val="2"/>
          </w:tcPr>
          <w:p>
            <w:pPr>
              <w:spacing w:after="0"/>
              <w:rPr>
                <w:sz w:val="20"/>
                <w:szCs w:val="20"/>
                <w:color w:val="auto"/>
              </w:rPr>
            </w:pPr>
            <w:r>
              <w:rPr>
                <w:rFonts w:ascii="Arial" w:cs="Arial" w:eastAsia="Arial" w:hAnsi="Arial"/>
                <w:sz w:val="18"/>
                <w:szCs w:val="18"/>
                <w:color w:val="auto"/>
              </w:rPr>
              <w:t>Description of Exhibits</w:t>
            </w:r>
          </w:p>
        </w:tc>
      </w:tr>
      <w:tr>
        <w:trPr>
          <w:trHeight w:val="392"/>
        </w:trPr>
        <w:tc>
          <w:tcPr>
            <w:tcW w:w="11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2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August 14, 2018.</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80" w:type="dxa"/>
            <w:vAlign w:val="bottom"/>
            <w:tcBorders>
              <w:top w:val="single" w:sz="8" w:color="0000EE"/>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00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Dated: August 14, 2018</w:t>
            </w:r>
          </w:p>
        </w:tc>
        <w:tc>
          <w:tcPr>
            <w:tcW w:w="7700" w:type="dxa"/>
            <w:vAlign w:val="bottom"/>
            <w:gridSpan w:val="2"/>
          </w:tcPr>
          <w:p>
            <w:pPr>
              <w:ind w:left="2000"/>
              <w:spacing w:after="0"/>
              <w:rPr>
                <w:sz w:val="20"/>
                <w:szCs w:val="20"/>
                <w:color w:val="auto"/>
              </w:rPr>
            </w:pPr>
            <w:r>
              <w:rPr>
                <w:rFonts w:ascii="Arial" w:cs="Arial" w:eastAsia="Arial" w:hAnsi="Arial"/>
                <w:sz w:val="18"/>
                <w:szCs w:val="18"/>
                <w:color w:val="auto"/>
              </w:rPr>
              <w:t>By:  /s/ Edward Jankowski</w:t>
            </w:r>
          </w:p>
        </w:tc>
      </w:tr>
      <w:tr>
        <w:trPr>
          <w:trHeight w:val="195"/>
        </w:trPr>
        <w:tc>
          <w:tcPr>
            <w:tcW w:w="3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Edward Jankowski</w:t>
            </w:r>
          </w:p>
        </w:tc>
      </w:tr>
      <w:tr>
        <w:trPr>
          <w:trHeight w:val="230"/>
        </w:trPr>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7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342265</wp:posOffset>
            </wp:positionV>
            <wp:extent cx="2101215"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121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Reports Second Quarter 2018 Results</w:t>
      </w:r>
    </w:p>
    <w:p>
      <w:pPr>
        <w:spacing w:after="0" w:line="229"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i w:val="1"/>
          <w:iCs w:val="1"/>
          <w:color w:val="auto"/>
        </w:rPr>
        <w:t>Continued Progress on Cost Reduction Initiatives in Transitional Quarter Products and Services Revenue Grew Slightly in Q2, Up 3.9% in First Half Net Loss and Adjusted EBITDA Loss Narrowed Quarter-over-Quarter and Year-over-Year Gross Margins Improved from 18% to 21% in Second Quarter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Increased Retail as a Percentage of Sales</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NEW YORK, August 14, 2018 </w:t>
      </w:r>
      <w:r>
        <w:rPr>
          <w:rFonts w:ascii="Arial" w:cs="Arial" w:eastAsia="Arial" w:hAnsi="Arial"/>
          <w:sz w:val="18"/>
          <w:szCs w:val="18"/>
          <w:color w:val="auto"/>
        </w:rPr>
        <w:t>- XpresSpa Group, Inc. (Nasdaq: XSPA), a health and wellness holding company, today announced financial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ended June 30, 2018.</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Ed Jankowski, XpresSpa Group CEO, stated, “Second quarter 2018 was a period of transition in which we took the next steps in our plan to reduce corporate overhead and store costs, refine our labor model and increase our process efficiencies to maximize both store-level and overall profitability. We generated general and administrative savings of $1.3 million on a sequential basis, excluding severance expense and other one-time costs totaling $0.6 million. Additionally, our cost reduction and operational improvement efforts at the store-level are producing immediate enhancements to store-level contribution margins, improving to 21% of sales in the second quarter, compared to 18% in the first quarter. Combined, these efforts have reduced our consolidated operating and adjusted EBITDA losses in the second quarter.”</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second quarter, we made refinements to our store remodel and new buildout process, and opened 2 spa locations, one in Houston’s George Bush Intercontinental Airport and one in New York’s LaGuardia Airport, while closing two underperforming locations. New store contributions supported modest overall growth in revenue despite challenges such as airline reassignments in three key XpresSpa airport terminals, two store closures for remodeling, and staffing turnovers in three other locations. Even so, our store-level gross margin improved through increased retail sales in our revenue mix and tremendous improvements in our staffing efficiencies. Our new point-of-sale system’s ability to provide real-time information is significantly enhancing our operational control, allowing us greater overall cost control of the variable components of our model. The actions we have taken to further improve our store model enhance XpresSpa’s ability to capitalize on our position as the leading on-the-go spa experience provider, creating shareholder value while satisfying airports’ need to offer travelers a compelling health and wellness solution and capture their discretionary dollars.”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Jankowski concluded, “Looking into the second half of the year, we will rigorously continue our cost reduction initiatives and further streamline our corporate processes and related costs. We continue to compete in RFPs, but have implemented a thoughtful and regimented capital allocation framework which is focused on high-priority new store openings to ensure we are maximizing return on investment. We have three new store openings planned for the second half of 2018 and are also making progress on the implementation of our franchising model and expect to finalize some of these plans later in the year. Additionally, due to the high store-level contribution margins achieved in our international locations, we are looking at opportunities to expand our international footprint including additional locations in Amsterdam and Dubai. Last, we continue to develop strategic partnerships with leading health and wellness brands to broaden and enhance the range of products and services offered by XpresSpa. XpresSpa remains in demand by airport and real estate partners because of our unique offering and value proposition. In the second quarter, we delivered on our objective to improve our profitability, and remain focused on driving incremental increases throughout the rest of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2018 Highlights</w:t>
      </w:r>
    </w:p>
    <w:p>
      <w:pPr>
        <w:spacing w:after="0" w:line="229" w:lineRule="exact"/>
        <w:rPr>
          <w:sz w:val="20"/>
          <w:szCs w:val="20"/>
          <w:color w:val="auto"/>
        </w:rPr>
      </w:pPr>
    </w:p>
    <w:p>
      <w:pPr>
        <w:ind w:left="660" w:right="14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products and services revenue from continuing operations, increased 0.9% to $13.0 million in second quarter 2018 compared to $12.9 million in second quarter 2017 and increased 10.5% from $11.8 million in first quarter 2018.</w:t>
      </w:r>
    </w:p>
    <w:p>
      <w:pPr>
        <w:spacing w:after="0" w:line="1" w:lineRule="exact"/>
        <w:rPr>
          <w:rFonts w:ascii="Arial" w:cs="Arial" w:eastAsia="Arial" w:hAnsi="Arial"/>
          <w:sz w:val="18"/>
          <w:szCs w:val="18"/>
          <w:color w:val="auto"/>
        </w:rPr>
      </w:pPr>
    </w:p>
    <w:p>
      <w:pPr>
        <w:ind w:left="900" w:hanging="243"/>
        <w:spacing w:after="0" w:line="250" w:lineRule="auto"/>
        <w:rPr>
          <w:rFonts w:ascii="Arial" w:cs="Arial" w:eastAsia="Arial" w:hAnsi="Arial"/>
          <w:sz w:val="18"/>
          <w:szCs w:val="18"/>
          <w:color w:val="auto"/>
        </w:rPr>
      </w:pPr>
      <w:r>
        <w:rPr>
          <w:rFonts w:ascii="Arial" w:cs="Arial" w:eastAsia="Arial" w:hAnsi="Arial"/>
          <w:sz w:val="18"/>
          <w:szCs w:val="18"/>
          <w:color w:val="auto"/>
        </w:rPr>
        <w:t>o Same store sales decreased 3.5% as XpresSpa was impacted by changes in airline assignments within key LaGuardia, John F. Kennedy, and Los Angeles terminals, and to a lesser extent management changes in other locations. Same store sales in Pittsburgh and Charlotte were affected by new store openings, though overall revenue and profitability improved in those airports.</w:t>
      </w:r>
    </w:p>
    <w:p>
      <w:pPr>
        <w:spacing w:after="0" w:line="1" w:lineRule="exact"/>
        <w:rPr>
          <w:rFonts w:ascii="Arial" w:cs="Arial" w:eastAsia="Arial" w:hAnsi="Arial"/>
          <w:sz w:val="18"/>
          <w:szCs w:val="18"/>
          <w:color w:val="auto"/>
        </w:rPr>
      </w:pPr>
    </w:p>
    <w:p>
      <w:pPr>
        <w:ind w:left="900" w:hanging="243"/>
        <w:spacing w:after="0" w:line="261" w:lineRule="auto"/>
        <w:rPr>
          <w:rFonts w:ascii="Arial" w:cs="Arial" w:eastAsia="Arial" w:hAnsi="Arial"/>
          <w:sz w:val="18"/>
          <w:szCs w:val="18"/>
          <w:color w:val="auto"/>
        </w:rPr>
      </w:pPr>
      <w:r>
        <w:rPr>
          <w:rFonts w:ascii="Arial" w:cs="Arial" w:eastAsia="Arial" w:hAnsi="Arial"/>
          <w:sz w:val="18"/>
          <w:szCs w:val="18"/>
          <w:color w:val="auto"/>
        </w:rPr>
        <w:t>o Closed 2 locations in the second quarter: Philadelphia Terminal D and the original Raleigh-Durham location, which was replaced by a larger, better located spa that opened in the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left="900" w:hanging="244"/>
        <w:spacing w:after="0" w:line="25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Opened 2 locations in the second quarter, including a location in Houston’s George Bush Intercontinental Airport, and a smaller location in LaGuardia Airport.</w:t>
      </w:r>
    </w:p>
    <w:p>
      <w:pPr>
        <w:spacing w:after="0" w:line="1" w:lineRule="exact"/>
        <w:rPr>
          <w:rFonts w:ascii="Arial" w:cs="Arial" w:eastAsia="Arial" w:hAnsi="Arial"/>
          <w:sz w:val="18"/>
          <w:szCs w:val="18"/>
          <w:color w:val="auto"/>
        </w:rPr>
      </w:pPr>
    </w:p>
    <w:p>
      <w:pPr>
        <w:ind w:left="900" w:hanging="244"/>
        <w:spacing w:after="0" w:line="250"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Revenue was also affected by temporary closures related to spa remodels at John F Kennedy Terminal 1, which was closed for 15 days, and Amsterdam Lounge 3, which was closed for 51 days.</w:t>
      </w:r>
    </w:p>
    <w:p>
      <w:pPr>
        <w:ind w:left="900" w:hanging="244"/>
        <w:spacing w:after="0"/>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Retail sales comprised 17% of revenue in second quarter 2018, compared to 19% in second quarter 2017 and 14% in first quarter 2018.</w:t>
      </w:r>
    </w:p>
    <w:p>
      <w:pPr>
        <w:spacing w:after="0" w:line="20" w:lineRule="exact"/>
        <w:rPr>
          <w:rFonts w:ascii="Arial" w:cs="Arial" w:eastAsia="Arial" w:hAnsi="Arial"/>
          <w:sz w:val="17"/>
          <w:szCs w:val="17"/>
          <w:color w:val="auto"/>
        </w:rPr>
      </w:pPr>
    </w:p>
    <w:p>
      <w:pPr>
        <w:ind w:left="660" w:right="4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and service gross profit of $2.7 million, or 20.5% margin, grew 12.5% from second quarter 2017 gross profit of $2.4 million, or 18.6% margin, and $2.1 million, or 17.7% margin, in first quarter 2018.</w:t>
      </w: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Labor costs decreased through greater efficiency in staffing and scheduling.</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Product and operating costs decreased due to cost control and the complete transition of product sourcing to the Company’s strategic partner.</w:t>
      </w:r>
    </w:p>
    <w:p>
      <w:pPr>
        <w:spacing w:after="0" w:line="32" w:lineRule="exact"/>
        <w:rPr>
          <w:rFonts w:ascii="Arial" w:cs="Arial" w:eastAsia="Arial" w:hAnsi="Arial"/>
          <w:sz w:val="16"/>
          <w:szCs w:val="16"/>
          <w:color w:val="auto"/>
        </w:rPr>
      </w:pPr>
    </w:p>
    <w:p>
      <w:pPr>
        <w:ind w:left="660" w:right="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and administrative expenses of $3.9 million were flat compared to $3.9 million in second quarter 2017 and decreased 15.2% from $4.6 million in first quarter 2018. Second quarter 2018 general and administrative included $0.4 million of severance expense associated with XpresSpa’s rightsizing of its corporate structure. Excluding severance, expenses decreased through the elimination of costs and overhead and the streamlining of processes, as well as lower stock compensation expense of $0.3 million in second quarter 2018 compared to $0.5 million in second quarter 2017.</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loss from continuing operations decreased to $2.8 million from $4.6 million in second quarter 2017.</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of $3.5 million improved from a loss of $7.0 million in second quarter 2017. Net loss decreased through increasing revenue and improvements in gross margin and reductions in general and administrative costs excluding severance as well as lower depreciation compared to last year.</w:t>
      </w:r>
    </w:p>
    <w:p>
      <w:pPr>
        <w:spacing w:after="0" w:line="1"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loss of $0.4 million improved from $0.6 million in second quarter 2017 and $1.5 million in first quarter 2018 through improved gross margin and reduced general and administrative expenses.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*EBITDA and Adjusted EBITDA are non-GAAP financial measures; see "Use of Non-GAAP Financial Measures" below. See tables below for abbreviated financial results for the three and six months ended June 30, 2018 and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&amp;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the Company had:</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assets of $6.2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cash equivalents of $4.5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assets of $3.7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liabilities of $8.1 million, excluding current portion of convertible notes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Convertible notes payable of $2.3 million ($4.4 million face value)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Long term debt of $6.5 million, to a related party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total current liabilities is approximately $1,762 which relates to obligations that will not settle in cash, and an additional $465 of liabilities that are not expected to settle in the next 12 months.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XpresSpa believes its current cash balance, cash to be provided by future operating activities, and cash proceeds from the anticipated liquidation of certain investments, will be sufficient to fund its planned operations and pay its liabilities as they become due, including scheduled convertible note principal repayments, for at least the next twelve months. At the Company’s election, principal repayments of the convertible notes may be made in cash or, subject to certain conditions, in registered shares of the Company’s common stock. In addition, the Company has access to additional sources of financing and may attempt to renegotiate terms of various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XpresSpa Group, Inc. (Nasdaq: XSPA) is a health and wellness holding company. XpresSpa Group’s core asset, XpresSpa, is the world’s largest airport spa company, with 57 locations in 23 airports globally (as of June 30, 2018), and one off-airport spa at Westfield World Trade Center in New York City. XpresSpa offers services that are tailored specifically to the busy customer. XpresSpa is committed to providing exceptional customer experiences with its innovative premium spa services, as well as exclusive luxury travel products and accessories. XpresSpa serves almost one million customers per year at its locations in the United States, Netherlands, and the United Arab Emirates. XpresSpa Group’s non-core assets include investments in InfoMedia and intellectual property assets. To learn more about XpresSpa Group, visit: www.XpresSpaGroup.com. To learn more about XpresSpa, visit www.XpresSpa.com.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Jody Burfening/Carolyn Capaccio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212.838.3777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xspa@lhai.com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(Unaudited)</w:t>
            </w: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4,458</w:t>
            </w: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Other current 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disposal</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Restricted cash</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15,576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Intangible assets, net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10,407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3,658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8,079</w:t>
            </w: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net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Liabilities held for disposal</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Convertible notes, net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Other liabilities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Commitments and contingencies (see Note 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Series A Convertible Preferred stock, $0.01 par value per share; 500,000 shares authorized; 6,968 issued and none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tcPr>
          <w:p>
            <w:pPr>
              <w:spacing w:after="0" w:line="201" w:lineRule="exact"/>
              <w:rPr>
                <w:sz w:val="20"/>
                <w:szCs w:val="20"/>
                <w:color w:val="auto"/>
              </w:rPr>
            </w:pPr>
            <w:r>
              <w:rPr>
                <w:rFonts w:ascii="Arial" w:cs="Arial" w:eastAsia="Arial" w:hAnsi="Arial"/>
                <w:sz w:val="18"/>
                <w:szCs w:val="18"/>
                <w:color w:val="auto"/>
                <w:w w:val="89"/>
              </w:rPr>
              <w:t>Series B Convertible Preferred stock, $0.01 par value per share; 5,000,000 shares authorized; 1,666,667 issued 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none outstanding</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w w:val="89"/>
              </w:rPr>
              <w:t>Series C Junior Preferred stock, $0.01 par value per share; 300,000 shares authorized; none issued and outstanding</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tcPr>
          <w:p>
            <w:pPr>
              <w:spacing w:after="0" w:line="201" w:lineRule="exact"/>
              <w:rPr>
                <w:sz w:val="20"/>
                <w:szCs w:val="20"/>
                <w:color w:val="auto"/>
              </w:rPr>
            </w:pPr>
            <w:r>
              <w:rPr>
                <w:rFonts w:ascii="Arial" w:cs="Arial" w:eastAsia="Arial" w:hAnsi="Arial"/>
                <w:sz w:val="18"/>
                <w:szCs w:val="18"/>
                <w:color w:val="auto"/>
                <w:w w:val="89"/>
              </w:rPr>
              <w:t>Series D Convertible Preferred Stock, $0.01 par value per share; 500,000 shares authorized; 475,208 shares issued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and 420,541 shares outstanding with a liquidation value of $20,186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$0.01 par value per share; 150,000,000 shares authorized; 27,114,662 and 26,545,690 issued and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2018 and December 31, 2017, respectively</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291,025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290,396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(277,164)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(249,708)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attributable to the Company</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4,152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4,956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2"/>
              </w:rPr>
              <w:t>Three months ended June 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Products and services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13,038</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12,927</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24,838</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23,911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Labor</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Occupancy</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4,220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other operating costs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3,216</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Total cost of sales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19,630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51,762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(588)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non-operating income (expense), net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(26,213)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 (expense)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discontinued operations before income taxes*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discontinued operations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Consolidated net loss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attributable to the Company</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(2,836)</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(4,613)</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(26,081)</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loss from continuing operations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Comprehensive loss from continuing operations</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(2,972</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discontinued operations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comprehensive loss from discontinued operations</w:t>
            </w: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 from discontinued operations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Comprehensive loss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(3,482</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Loss per share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 from continuing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(0.11)</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Loss per share from discontinued operations</w:t>
            </w:r>
          </w:p>
        </w:tc>
        <w:tc>
          <w:tcPr>
            <w:tcW w:w="1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basic and diluted net loss per share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Weighted-average number of shares outstanding during the period:</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26,841,975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19,310,994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26,718,066</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19,178,769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26,841,975</w:t>
            </w:r>
          </w:p>
        </w:tc>
        <w:tc>
          <w:tcPr>
            <w:tcW w:w="1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19,310,994</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26,718,066</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19,178,769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*Includes stock-based compensation expense, as follows: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1"/>
              </w:rPr>
              <w:t>Three months ended June 30,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Products and services revenue</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13,038,000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12,927,000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24,838,000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Labor</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(6,490,000)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(5,783,000)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(12,700,000)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(11,092,000)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(2,160,000)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(1,983,000)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(4,220,000)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Products and other operating costs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(1,709,000)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(2,635,000)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(3,216,000)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(4,390,000)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(10,359,000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(10,401,000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(20,136,000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(19,236,000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2,679,000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2,526,000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4,702,000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Gross profit as a % of total revenue</w:t>
            </w: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Depreciation, amortization and impairment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(1,232,000)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(2,334,000)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(2,279,000)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(611,000)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(597,000)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(1,217,000)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(1,189,000)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(19,630,000)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Total depreciation, amortization and impairment</w:t>
            </w:r>
          </w:p>
        </w:tc>
        <w:tc>
          <w:tcPr>
            <w:tcW w:w="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(1,843,000)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(2,931,000)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(23,126,000)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(4,657,000)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(3,904,000)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(3,864,000)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(8,500,000)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(8,857,000)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Other operating revenue and expense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revenue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Other operating expense</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(118,000)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(64,000)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operating revenue, net</w:t>
            </w: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(3,068,000)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(4,387,000)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(26,188,000)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1,843,000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2,931,000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3,496,000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4,657,000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19,630,000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Merger and acquisition, integration, and one-time costs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605,000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310,000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605,000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836,000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loss</w:t>
            </w:r>
          </w:p>
        </w:tc>
        <w:tc>
          <w:tcPr>
            <w:tcW w:w="8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(361,000)</w:t>
            </w:r>
          </w:p>
        </w:tc>
        <w:tc>
          <w:tcPr>
            <w:tcW w:w="2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(603,000)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(1,886,000)</w:t>
            </w:r>
          </w:p>
        </w:tc>
        <w:tc>
          <w:tcPr>
            <w:tcW w:w="2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Wellness Segment Same Store Sales Growth for Second Quarter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88"/>
              </w:rPr>
              <w:t>June 30, 2018</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0"/>
              </w:rPr>
              <w:t>June 30, 2017</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191"/>
        </w:trPr>
        <w:tc>
          <w:tcPr>
            <w:tcW w:w="2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3"/>
              </w:rPr>
              <w:t>Non-Comp</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Non-Comp</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760" w:type="dxa"/>
            <w:vAlign w:val="bottom"/>
          </w:tcPr>
          <w:p>
            <w:pPr>
              <w:spacing w:after="0"/>
              <w:rPr>
                <w:sz w:val="20"/>
                <w:szCs w:val="20"/>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rPr>
              <w:t>Comp Store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Store</w:t>
            </w:r>
          </w:p>
        </w:tc>
        <w:tc>
          <w:tcPr>
            <w:tcW w:w="22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Comp Store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Store</w:t>
            </w:r>
          </w:p>
        </w:tc>
        <w:tc>
          <w:tcPr>
            <w:tcW w:w="18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13,038</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12,927</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r>
      <w:tr>
        <w:trPr>
          <w:trHeight w:val="669"/>
        </w:trPr>
        <w:tc>
          <w:tcPr>
            <w:tcW w:w="2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o"/>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2019-12-28T19:50:09Z</dcterms:created>
  <dcterms:modified xsi:type="dcterms:W3CDTF">2019-12-28T19:50:09Z</dcterms:modified>
</cp:coreProperties>
</file>