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Filing pursuant to Registration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Statement No. 333-182823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T-1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ELIGIBILITY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TRUST INDENTURE ACT OF 1939 OF 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IF AN APPLICATION TO DETERMINE ELIGIBILITY OF 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TRUSTEE PURSUANT TO SECTION 305(b)(2) [___]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Computershare Trust Company, National Association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trustee as specified in its charter)</w:t>
      </w:r>
    </w:p>
    <w:p>
      <w:pPr>
        <w:sectPr>
          <w:pgSz w:w="11900" w:h="16838" w:orient="portrait"/>
          <w:cols w:equalWidth="0" w:num="1">
            <w:col w:w="11420"/>
          </w:cols>
          <w:pgMar w:left="240" w:top="449" w:right="239" w:bottom="1440" w:gutter="0" w:footer="0" w:header="0"/>
        </w:sectPr>
      </w:pPr>
    </w:p>
    <w:p>
      <w:pPr>
        <w:spacing w:after="0" w:line="207" w:lineRule="exact"/>
        <w:rPr>
          <w:sz w:val="24"/>
          <w:szCs w:val="24"/>
          <w:color w:val="auto"/>
        </w:rPr>
      </w:pPr>
    </w:p>
    <w:p>
      <w:pPr>
        <w:ind w:left="780" w:right="1780" w:firstLine="855"/>
        <w:spacing w:after="0" w:line="266" w:lineRule="auto"/>
        <w:rPr>
          <w:sz w:val="20"/>
          <w:szCs w:val="20"/>
          <w:color w:val="auto"/>
        </w:rPr>
      </w:pPr>
      <w:r>
        <w:rPr>
          <w:rFonts w:ascii="Arial" w:cs="Arial" w:eastAsia="Arial" w:hAnsi="Arial"/>
          <w:sz w:val="18"/>
          <w:szCs w:val="18"/>
          <w:b w:val="1"/>
          <w:bCs w:val="1"/>
          <w:color w:val="auto"/>
        </w:rPr>
        <w:t xml:space="preserve">A National Banking Association </w:t>
      </w:r>
      <w:r>
        <w:rPr>
          <w:rFonts w:ascii="Arial" w:cs="Arial" w:eastAsia="Arial" w:hAnsi="Arial"/>
          <w:sz w:val="18"/>
          <w:szCs w:val="18"/>
          <w:color w:val="auto"/>
        </w:rPr>
        <w:t>(Jurisdiction of incorporation or organization if not a U.S. national bank)</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04-3401714</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Number)</w:t>
      </w:r>
    </w:p>
    <w:p>
      <w:pPr>
        <w:spacing w:after="0" w:line="206" w:lineRule="exact"/>
        <w:rPr>
          <w:sz w:val="24"/>
          <w:szCs w:val="24"/>
          <w:color w:val="auto"/>
        </w:rPr>
      </w:pPr>
    </w:p>
    <w:p>
      <w:pPr>
        <w:sectPr>
          <w:pgSz w:w="11900" w:h="16838" w:orient="portrait"/>
          <w:cols w:equalWidth="0" w:num="2">
            <w:col w:w="6720" w:space="720"/>
            <w:col w:w="3980"/>
          </w:cols>
          <w:pgMar w:left="240" w:top="449" w:right="239" w:bottom="1440" w:gutter="0" w:footer="0" w:header="0"/>
          <w:type w:val="continuous"/>
        </w:sectPr>
      </w:pPr>
    </w:p>
    <w:p>
      <w:pPr>
        <w:jc w:val="center"/>
        <w:ind w:right="440"/>
        <w:spacing w:after="0"/>
        <w:rPr>
          <w:sz w:val="20"/>
          <w:szCs w:val="20"/>
          <w:color w:val="auto"/>
        </w:rPr>
      </w:pPr>
      <w:r>
        <w:rPr>
          <w:rFonts w:ascii="Arial" w:cs="Arial" w:eastAsia="Arial" w:hAnsi="Arial"/>
          <w:sz w:val="18"/>
          <w:szCs w:val="18"/>
          <w:b w:val="1"/>
          <w:bCs w:val="1"/>
          <w:color w:val="auto"/>
        </w:rPr>
        <w:t>250 Royall Street, Canton, MA</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80"/>
        <w:spacing w:after="0"/>
        <w:rPr>
          <w:sz w:val="20"/>
          <w:szCs w:val="20"/>
          <w:color w:val="auto"/>
        </w:rPr>
      </w:pPr>
      <w:r>
        <w:rPr>
          <w:rFonts w:ascii="Arial" w:cs="Arial" w:eastAsia="Arial" w:hAnsi="Arial"/>
          <w:sz w:val="18"/>
          <w:szCs w:val="18"/>
          <w:b w:val="1"/>
          <w:bCs w:val="1"/>
          <w:color w:val="auto"/>
        </w:rPr>
        <w:t>02021</w:t>
      </w:r>
    </w:p>
    <w:p>
      <w:pPr>
        <w:spacing w:after="0" w:line="27" w:lineRule="exact"/>
        <w:rPr>
          <w:sz w:val="24"/>
          <w:szCs w:val="24"/>
          <w:color w:val="auto"/>
        </w:rPr>
      </w:pPr>
    </w:p>
    <w:p>
      <w:pPr>
        <w:jc w:val="center"/>
        <w:ind w:right="2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020" w:space="720"/>
            <w:col w:w="3680"/>
          </w:cols>
          <w:pgMar w:left="240" w:top="44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Wahl, Trust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8742 Lucent Boulevard, Suite 225, Highlands Ranch, CO 80129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262-0707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obligor as specified in its charter)</w:t>
      </w:r>
    </w:p>
    <w:p>
      <w:pPr>
        <w:sectPr>
          <w:pgSz w:w="11900" w:h="16838" w:orient="portrait"/>
          <w:cols w:equalWidth="0" w:num="1">
            <w:col w:w="11420"/>
          </w:cols>
          <w:pgMar w:left="240" w:top="449" w:right="239" w:bottom="1440" w:gutter="0" w:footer="0" w:header="0"/>
          <w:type w:val="continuous"/>
        </w:sectPr>
      </w:pP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3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2">
            <w:col w:w="6160" w:space="720"/>
            <w:col w:w="4540"/>
          </w:cols>
          <w:pgMar w:left="240" w:top="449" w:right="2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780 Third Avenue, 12th Floor</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10017</w:t>
      </w:r>
    </w:p>
    <w:p>
      <w:pPr>
        <w:spacing w:after="0" w:line="252" w:lineRule="exact"/>
        <w:rPr>
          <w:sz w:val="24"/>
          <w:szCs w:val="24"/>
          <w:color w:val="auto"/>
        </w:rPr>
      </w:pPr>
    </w:p>
    <w:p>
      <w:pPr>
        <w:sectPr>
          <w:pgSz w:w="11900" w:h="16838" w:orient="portrait"/>
          <w:cols w:equalWidth="0" w:num="2">
            <w:col w:w="8420" w:space="720"/>
            <w:col w:w="2280"/>
          </w:cols>
          <w:pgMar w:left="240" w:top="44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20" w:space="720"/>
            <w:col w:w="2280"/>
          </w:cols>
          <w:pgMar w:left="240" w:top="449"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Debt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the indenture securities, under the Senior Debt Indenture)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Subordinated Debt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the indenture securities, under the Subordinated Debt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 xml:space="preserve">General Information. </w:t>
            </w:r>
            <w:r>
              <w:rPr>
                <w:rFonts w:ascii="Arial" w:cs="Arial" w:eastAsia="Arial" w:hAnsi="Arial"/>
                <w:sz w:val="18"/>
                <w:szCs w:val="18"/>
                <w:color w:val="auto"/>
              </w:rPr>
              <w:t>Furnish the following information as to the trustee:</w:t>
            </w:r>
          </w:p>
        </w:tc>
      </w:tr>
      <w:tr>
        <w:trPr>
          <w:trHeight w:val="432"/>
        </w:trPr>
        <w:tc>
          <w:tcPr>
            <w:tcW w:w="98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(a)</w:t>
            </w:r>
          </w:p>
        </w:tc>
        <w:tc>
          <w:tcPr>
            <w:tcW w:w="6440" w:type="dxa"/>
            <w:vAlign w:val="bottom"/>
          </w:tcPr>
          <w:p>
            <w:pPr>
              <w:ind w:left="120"/>
              <w:spacing w:after="0"/>
              <w:rPr>
                <w:sz w:val="20"/>
                <w:szCs w:val="20"/>
                <w:color w:val="auto"/>
              </w:rPr>
            </w:pPr>
            <w:r>
              <w:rPr>
                <w:rFonts w:ascii="Arial" w:cs="Arial" w:eastAsia="Arial" w:hAnsi="Arial"/>
                <w:sz w:val="18"/>
                <w:szCs w:val="18"/>
                <w:color w:val="auto"/>
                <w:w w:val="94"/>
              </w:rPr>
              <w:t>Name and address of each examining or supervising authority to which it is subject.</w:t>
            </w:r>
          </w:p>
        </w:tc>
      </w:tr>
      <w:tr>
        <w:trPr>
          <w:trHeight w:val="422"/>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Comptroller of the Currency</w:t>
            </w:r>
          </w:p>
        </w:tc>
      </w:tr>
      <w:tr>
        <w:trPr>
          <w:trHeight w:val="253"/>
        </w:trPr>
        <w:tc>
          <w:tcPr>
            <w:tcW w:w="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440" w:type="dxa"/>
            <w:vAlign w:val="bottom"/>
          </w:tcPr>
          <w:p>
            <w:pPr>
              <w:ind w:left="120"/>
              <w:spacing w:after="0" w:line="253" w:lineRule="exact"/>
              <w:rPr>
                <w:sz w:val="20"/>
                <w:szCs w:val="20"/>
                <w:color w:val="auto"/>
              </w:rPr>
            </w:pPr>
            <w:r>
              <w:rPr>
                <w:rFonts w:ascii="Arial" w:cs="Arial" w:eastAsia="Arial" w:hAnsi="Arial"/>
                <w:sz w:val="18"/>
                <w:szCs w:val="18"/>
                <w:color w:val="auto"/>
              </w:rPr>
              <w:t>340 Madison Avenue,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0"/>
        </w:trPr>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New York, NY 10017-2613</w:t>
            </w:r>
          </w:p>
        </w:tc>
      </w:tr>
      <w:tr>
        <w:trPr>
          <w:trHeight w:val="432"/>
        </w:trPr>
        <w:tc>
          <w:tcPr>
            <w:tcW w:w="98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(b)</w:t>
            </w:r>
          </w:p>
        </w:tc>
        <w:tc>
          <w:tcPr>
            <w:tcW w:w="6440" w:type="dxa"/>
            <w:vAlign w:val="bottom"/>
          </w:tcPr>
          <w:p>
            <w:pPr>
              <w:ind w:left="120"/>
              <w:spacing w:after="0"/>
              <w:rPr>
                <w:sz w:val="20"/>
                <w:szCs w:val="20"/>
                <w:color w:val="auto"/>
              </w:rPr>
            </w:pPr>
            <w:r>
              <w:rPr>
                <w:rFonts w:ascii="Arial" w:cs="Arial" w:eastAsia="Arial" w:hAnsi="Arial"/>
                <w:sz w:val="18"/>
                <w:szCs w:val="18"/>
                <w:color w:val="auto"/>
              </w:rPr>
              <w:t>Whether it is authorized to exercise corporate trust powers.</w:t>
            </w:r>
          </w:p>
        </w:tc>
      </w:tr>
      <w:tr>
        <w:trPr>
          <w:trHeight w:val="432"/>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tcPr>
          <w:p>
            <w:pPr>
              <w:ind w:left="14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w w:val="91"/>
              </w:rPr>
              <w:t xml:space="preserve">Affiliations with the obligor. </w:t>
            </w:r>
            <w:r>
              <w:rPr>
                <w:rFonts w:ascii="Arial" w:cs="Arial" w:eastAsia="Arial" w:hAnsi="Arial"/>
                <w:sz w:val="18"/>
                <w:szCs w:val="18"/>
                <w:color w:val="auto"/>
                <w:w w:val="91"/>
              </w:rPr>
              <w:t>If the obligor is an affiliate of the trustee, describe such affiliation.</w:t>
            </w:r>
          </w:p>
        </w:tc>
      </w:tr>
      <w:tr>
        <w:trPr>
          <w:trHeight w:val="432"/>
        </w:trPr>
        <w:tc>
          <w:tcPr>
            <w:tcW w:w="98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None.</w:t>
            </w:r>
          </w:p>
        </w:tc>
        <w:tc>
          <w:tcPr>
            <w:tcW w:w="64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List of exhibits.</w:t>
            </w:r>
          </w:p>
        </w:tc>
      </w:tr>
    </w:tbl>
    <w:p>
      <w:pPr>
        <w:spacing w:after="0" w:line="198" w:lineRule="exact"/>
        <w:rPr>
          <w:sz w:val="20"/>
          <w:szCs w:val="20"/>
          <w:color w:val="auto"/>
        </w:rPr>
      </w:pPr>
    </w:p>
    <w:p>
      <w:pPr>
        <w:ind w:left="128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66" w:lineRule="exact"/>
        <w:rPr>
          <w:sz w:val="20"/>
          <w:szCs w:val="20"/>
          <w:color w:val="auto"/>
        </w:rPr>
      </w:pPr>
    </w:p>
    <w:p>
      <w:pPr>
        <w:ind w:left="1820" w:hanging="494"/>
        <w:spacing w:after="0"/>
        <w:tabs>
          <w:tab w:leader="none" w:pos="18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copy of the articles of association of the trustee. (See Exhibit 1 to Form T-1 filed with Registration Statement No. 333-179383)</w:t>
      </w:r>
    </w:p>
    <w:p>
      <w:pPr>
        <w:spacing w:after="0" w:line="248" w:lineRule="exact"/>
        <w:rPr>
          <w:rFonts w:ascii="Arial" w:cs="Arial" w:eastAsia="Arial" w:hAnsi="Arial"/>
          <w:sz w:val="16"/>
          <w:szCs w:val="16"/>
          <w:color w:val="auto"/>
        </w:rPr>
      </w:pPr>
    </w:p>
    <w:p>
      <w:pPr>
        <w:ind w:left="1320" w:right="620" w:firstLine="6"/>
        <w:spacing w:after="0" w:line="277" w:lineRule="auto"/>
        <w:tabs>
          <w:tab w:leader="none" w:pos="180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(See Exhibit 2 to Form T-1 filed with Registration Statement No. 333-179383)</w:t>
      </w:r>
    </w:p>
    <w:p>
      <w:pPr>
        <w:spacing w:after="0" w:line="170" w:lineRule="exact"/>
        <w:rPr>
          <w:rFonts w:ascii="Arial" w:cs="Arial" w:eastAsia="Arial" w:hAnsi="Arial"/>
          <w:sz w:val="18"/>
          <w:szCs w:val="18"/>
          <w:color w:val="auto"/>
        </w:rPr>
      </w:pPr>
    </w:p>
    <w:p>
      <w:pPr>
        <w:ind w:left="1820" w:hanging="494"/>
        <w:spacing w:after="0"/>
        <w:tabs>
          <w:tab w:leader="none" w:pos="1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Exhibits 1 and 2 above.</w:t>
      </w:r>
    </w:p>
    <w:p>
      <w:pPr>
        <w:spacing w:after="0" w:line="225" w:lineRule="exact"/>
        <w:rPr>
          <w:rFonts w:ascii="Arial" w:cs="Arial" w:eastAsia="Arial" w:hAnsi="Arial"/>
          <w:sz w:val="18"/>
          <w:szCs w:val="18"/>
          <w:color w:val="auto"/>
        </w:rPr>
      </w:pPr>
    </w:p>
    <w:p>
      <w:pPr>
        <w:ind w:left="1320" w:right="40" w:firstLine="6"/>
        <w:spacing w:after="0" w:line="277" w:lineRule="auto"/>
        <w:tabs>
          <w:tab w:leader="none" w:pos="180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existing by-laws of the trustee, as now in effect. (See Exhibit 4 to Form T-1 filed with Registration Statement No. 333-179383)</w:t>
      </w:r>
    </w:p>
    <w:p>
      <w:pPr>
        <w:spacing w:after="0" w:line="170" w:lineRule="exact"/>
        <w:rPr>
          <w:sz w:val="20"/>
          <w:szCs w:val="20"/>
          <w:color w:val="auto"/>
        </w:rPr>
      </w:pPr>
    </w:p>
    <w:p>
      <w:pPr>
        <w:ind w:left="1320" w:right="440" w:firstLine="6"/>
        <w:spacing w:after="0" w:line="277" w:lineRule="auto"/>
        <w:tabs>
          <w:tab w:leader="none" w:pos="1812"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consents of United States institutional trustees required by Section 321(b) of the Act. (See Exhibit 6 to Form T-1 filed with Registration Statement No. 333-179383)</w:t>
      </w:r>
    </w:p>
    <w:p>
      <w:pPr>
        <w:spacing w:after="0" w:line="170" w:lineRule="exact"/>
        <w:rPr>
          <w:rFonts w:ascii="Arial" w:cs="Arial" w:eastAsia="Arial" w:hAnsi="Arial"/>
          <w:sz w:val="18"/>
          <w:szCs w:val="18"/>
          <w:color w:val="auto"/>
        </w:rPr>
      </w:pPr>
    </w:p>
    <w:p>
      <w:pPr>
        <w:ind w:left="1280" w:right="220" w:firstLine="24"/>
        <w:spacing w:after="0" w:line="277" w:lineRule="auto"/>
        <w:tabs>
          <w:tab w:leader="none" w:pos="1787"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the requirements of its supervising or examining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Pursuant to the requirements of the Trust Indenture Act of 1939 the trustee, Computershare Trust Company, National Association, a national banking association, organized and existing under the laws of the United States, has duly caused this statement of eligibility to be signed on its behalf by the undersigned, thereunto duly authorized, all in the City of Highlands Ranch, and State of Colorado, on the 4th day of May,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National Association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Wahl</w:t>
            </w:r>
          </w:p>
        </w:tc>
        <w:tc>
          <w:tcPr>
            <w:tcW w:w="6260" w:type="dxa"/>
            <w:vAlign w:val="bottom"/>
          </w:tcPr>
          <w:p>
            <w:pPr>
              <w:spacing w:after="0"/>
              <w:rPr>
                <w:sz w:val="20"/>
                <w:szCs w:val="20"/>
                <w:color w:val="auto"/>
              </w:rPr>
            </w:pPr>
          </w:p>
        </w:tc>
      </w:tr>
      <w:tr>
        <w:trPr>
          <w:trHeight w:val="195"/>
        </w:trPr>
        <w:tc>
          <w:tcPr>
            <w:tcW w:w="580" w:type="dxa"/>
            <w:vAlign w:val="bottom"/>
          </w:tcPr>
          <w:p>
            <w:pPr>
              <w:spacing w:after="0"/>
              <w:rPr>
                <w:sz w:val="16"/>
                <w:szCs w:val="16"/>
                <w:color w:val="auto"/>
              </w:rPr>
            </w:pPr>
          </w:p>
        </w:tc>
        <w:tc>
          <w:tcPr>
            <w:tcW w:w="4580" w:type="dxa"/>
            <w:vAlign w:val="bottom"/>
          </w:tcPr>
          <w:p>
            <w:pPr>
              <w:ind w:left="240"/>
              <w:spacing w:after="0" w:line="195" w:lineRule="exact"/>
              <w:rPr>
                <w:sz w:val="20"/>
                <w:szCs w:val="20"/>
                <w:color w:val="auto"/>
              </w:rPr>
            </w:pPr>
            <w:r>
              <w:rPr>
                <w:rFonts w:ascii="Arial" w:cs="Arial" w:eastAsia="Arial" w:hAnsi="Arial"/>
                <w:sz w:val="18"/>
                <w:szCs w:val="18"/>
                <w:color w:val="auto"/>
              </w:rPr>
              <w:t>John Wahl</w:t>
            </w:r>
          </w:p>
        </w:tc>
        <w:tc>
          <w:tcPr>
            <w:tcW w:w="62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Trust Officer</w:t>
            </w:r>
          </w:p>
        </w:tc>
        <w:tc>
          <w:tcPr>
            <w:tcW w:w="6260" w:type="dxa"/>
            <w:vAlign w:val="bottom"/>
          </w:tcPr>
          <w:p>
            <w:pPr>
              <w:spacing w:after="0"/>
              <w:rPr>
                <w:sz w:val="20"/>
                <w:szCs w:val="20"/>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80" w:type="dxa"/>
            <w:vAlign w:val="bottom"/>
            <w:gridSpan w:val="2"/>
          </w:tcPr>
          <w:p>
            <w:pPr>
              <w:jc w:val="center"/>
              <w:ind w:right="2980"/>
              <w:spacing w:after="0"/>
              <w:rPr>
                <w:sz w:val="20"/>
                <w:szCs w:val="20"/>
                <w:color w:val="auto"/>
              </w:rPr>
            </w:pPr>
            <w:r>
              <w:rPr>
                <w:rFonts w:ascii="Arial" w:cs="Arial" w:eastAsia="Arial" w:hAnsi="Arial"/>
                <w:sz w:val="18"/>
                <w:szCs w:val="18"/>
                <w:b w:val="1"/>
                <w:bCs w:val="1"/>
                <w:color w:val="auto"/>
              </w:rPr>
              <w:t>EXHIBIT 7</w:t>
            </w: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gridSpan w:val="3"/>
          </w:tcPr>
          <w:p>
            <w:pPr>
              <w:jc w:val="center"/>
              <w:ind w:left="2190"/>
              <w:spacing w:after="0"/>
              <w:rPr>
                <w:sz w:val="20"/>
                <w:szCs w:val="20"/>
                <w:color w:val="auto"/>
              </w:rPr>
            </w:pPr>
            <w:r>
              <w:rPr>
                <w:rFonts w:ascii="Arial" w:cs="Arial" w:eastAsia="Arial" w:hAnsi="Arial"/>
                <w:sz w:val="18"/>
                <w:szCs w:val="18"/>
                <w:color w:val="auto"/>
                <w:w w:val="92"/>
              </w:rPr>
              <w:t>Consolidated Report of Condition of</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9120" w:type="dxa"/>
            <w:vAlign w:val="bottom"/>
            <w:gridSpan w:val="3"/>
          </w:tcPr>
          <w:p>
            <w:pPr>
              <w:jc w:val="center"/>
              <w:ind w:left="2190"/>
              <w:spacing w:after="0"/>
              <w:rPr>
                <w:sz w:val="20"/>
                <w:szCs w:val="20"/>
                <w:color w:val="auto"/>
              </w:rPr>
            </w:pPr>
            <w:r>
              <w:rPr>
                <w:rFonts w:ascii="Arial" w:cs="Arial" w:eastAsia="Arial" w:hAnsi="Arial"/>
                <w:sz w:val="18"/>
                <w:szCs w:val="18"/>
                <w:color w:val="auto"/>
                <w:w w:val="96"/>
              </w:rPr>
              <w:t>COMPUTERSHARE TRUST COMPANY, NATIONAL ASSOCIATION</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9120" w:type="dxa"/>
            <w:vAlign w:val="bottom"/>
            <w:gridSpan w:val="3"/>
          </w:tcPr>
          <w:p>
            <w:pPr>
              <w:jc w:val="center"/>
              <w:ind w:left="2170"/>
              <w:spacing w:after="0"/>
              <w:rPr>
                <w:sz w:val="20"/>
                <w:szCs w:val="20"/>
                <w:color w:val="auto"/>
              </w:rPr>
            </w:pPr>
            <w:r>
              <w:rPr>
                <w:rFonts w:ascii="Arial" w:cs="Arial" w:eastAsia="Arial" w:hAnsi="Arial"/>
                <w:sz w:val="18"/>
                <w:szCs w:val="18"/>
                <w:color w:val="auto"/>
                <w:w w:val="91"/>
              </w:rPr>
              <w:t>250 Royall Street, Canton, MA 02021</w:t>
            </w: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3"/>
          </w:tcPr>
          <w:p>
            <w:pPr>
              <w:jc w:val="center"/>
              <w:ind w:left="2190"/>
              <w:spacing w:after="0"/>
              <w:rPr>
                <w:sz w:val="20"/>
                <w:szCs w:val="20"/>
                <w:color w:val="auto"/>
              </w:rPr>
            </w:pPr>
            <w:r>
              <w:rPr>
                <w:rFonts w:ascii="Arial" w:cs="Arial" w:eastAsia="Arial" w:hAnsi="Arial"/>
                <w:sz w:val="18"/>
                <w:szCs w:val="18"/>
                <w:color w:val="auto"/>
                <w:w w:val="88"/>
              </w:rPr>
              <w:t>at the close of business December 31, 2014.</w:t>
            </w: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140" w:type="dxa"/>
            <w:vAlign w:val="bottom"/>
            <w:gridSpan w:val="4"/>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gridSpan w:val="3"/>
          </w:tcPr>
          <w:p>
            <w:pPr>
              <w:spacing w:after="0"/>
              <w:rPr>
                <w:sz w:val="20"/>
                <w:szCs w:val="20"/>
                <w:color w:val="auto"/>
              </w:rPr>
            </w:pPr>
            <w:r>
              <w:rPr>
                <w:rFonts w:ascii="Arial" w:cs="Arial" w:eastAsia="Arial" w:hAnsi="Arial"/>
                <w:sz w:val="18"/>
                <w:szCs w:val="18"/>
                <w:color w:val="auto"/>
                <w:w w:val="95"/>
              </w:rPr>
              <w:t>Dollar Amounts 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balances due from depository institutions:</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Interest-bearing balances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Held-to-maturity securities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Available-for-sale securities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13,152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Loans and lease financing receivables: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Loans and leases held for sale</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160"/>
              <w:spacing w:after="0"/>
              <w:rPr>
                <w:sz w:val="20"/>
                <w:szCs w:val="20"/>
                <w:color w:val="auto"/>
              </w:rPr>
            </w:pPr>
            <w:r>
              <w:rPr>
                <w:rFonts w:ascii="Arial" w:cs="Arial" w:eastAsia="Arial" w:hAnsi="Arial"/>
                <w:sz w:val="18"/>
                <w:szCs w:val="18"/>
                <w:color w:val="auto"/>
              </w:rPr>
              <w:t>Other intangible assets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Deposits: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Noninterest-bearing</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Other borrowed money: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Not applicable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bank equity capital</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equity capital</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 Robert G. Marshall, Assistant Controller of the above named bank do hereby declare that this Report of Condition is true and correct to the best of my knowledge and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117475</wp:posOffset>
            </wp:positionV>
            <wp:extent cx="1440815"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Robert G. Marshall</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Assistant Controller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decimal"/>
      <w:start w:val="6"/>
    </w:lvl>
  </w:abstractNum>
  <w:abstractNum w:abstractNumId="2">
    <w:nsid w:val="19495CFF"/>
    <w:multiLevelType w:val="hybridMultilevel"/>
    <w:lvl w:ilvl="0">
      <w:lvlJc w:val="left"/>
      <w:lvlText w:val="%1."/>
      <w:numFmt w:val="decimal"/>
      <w:start w:val="7"/>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2019-12-08T20:49:59Z</dcterms:created>
  <dcterms:modified xsi:type="dcterms:W3CDTF">2019-12-08T20:49:59Z</dcterms:modified>
</cp:coreProperties>
</file>