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Stout Donald E.</w:t>
              </w:r>
            </w:hyperlink>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120" w:type="dxa"/>
            <w:vAlign w:val="bottom"/>
          </w:tcPr>
          <w:p>
            <w:pPr>
              <w:ind w:left="560"/>
              <w:spacing w:after="0"/>
              <w:rPr>
                <w:sz w:val="20"/>
                <w:szCs w:val="20"/>
                <w:color w:val="auto"/>
              </w:rPr>
            </w:pPr>
            <w:r>
              <w:rPr>
                <w:rFonts w:ascii="Arial" w:cs="Arial" w:eastAsia="Arial" w:hAnsi="Arial"/>
                <w:sz w:val="14"/>
                <w:szCs w:val="14"/>
                <w:color w:val="auto"/>
              </w:rPr>
              <w:t>(Middle)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8"/>
                <w:szCs w:val="18"/>
                <w:color w:val="0000FF"/>
              </w:rPr>
              <w:t>C/O VRINGO, INC.,</w:t>
            </w:r>
          </w:p>
        </w:tc>
        <w:tc>
          <w:tcPr>
            <w:tcW w:w="1120" w:type="dxa"/>
            <w:vAlign w:val="bottom"/>
          </w:tcPr>
          <w:p>
            <w:pPr>
              <w:spacing w:after="0"/>
              <w:rPr>
                <w:sz w:val="19"/>
                <w:szCs w:val="19"/>
                <w:color w:val="auto"/>
              </w:rPr>
            </w:pPr>
          </w:p>
        </w:tc>
        <w:tc>
          <w:tcPr>
            <w:tcW w:w="1780" w:type="dxa"/>
            <w:vAlign w:val="bottom"/>
            <w:gridSpan w:val="5"/>
          </w:tcPr>
          <w:p>
            <w:pPr>
              <w:ind w:left="860"/>
              <w:spacing w:after="0"/>
              <w:rPr>
                <w:sz w:val="20"/>
                <w:szCs w:val="20"/>
                <w:color w:val="auto"/>
              </w:rPr>
            </w:pPr>
            <w:r>
              <w:rPr>
                <w:rFonts w:ascii="Arial" w:cs="Arial" w:eastAsia="Arial" w:hAnsi="Arial"/>
                <w:sz w:val="18"/>
                <w:szCs w:val="18"/>
                <w:color w:val="0000FF"/>
                <w:w w:val="99"/>
              </w:rPr>
              <w:t>03/31/2014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4"/>
            <w:vMerge w:val="restart"/>
          </w:tcPr>
          <w:p>
            <w:pPr>
              <w:spacing w:after="0"/>
              <w:rPr>
                <w:sz w:val="20"/>
                <w:szCs w:val="20"/>
                <w:color w:val="auto"/>
              </w:rPr>
            </w:pPr>
            <w:r>
              <w:rPr>
                <w:rFonts w:ascii="Arial" w:cs="Arial" w:eastAsia="Arial" w:hAnsi="Arial"/>
                <w:sz w:val="18"/>
                <w:szCs w:val="18"/>
                <w:color w:val="0000FF"/>
              </w:rPr>
              <w:t>780 THIRD AVENUE, 15TH FLOOR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continue"/>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rPr>
              <w:t>NY</w:t>
            </w:r>
          </w:p>
        </w:tc>
        <w:tc>
          <w:tcPr>
            <w:tcW w:w="1120" w:type="dxa"/>
            <w:vAlign w:val="bottom"/>
          </w:tcPr>
          <w:p>
            <w:pPr>
              <w:ind w:left="560"/>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ind w:left="14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120" w:type="dxa"/>
            <w:vAlign w:val="bottom"/>
          </w:tcPr>
          <w:p>
            <w:pPr>
              <w:ind w:left="560"/>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40" w:type="dxa"/>
            <w:vAlign w:val="bottom"/>
            <w:tcBorders>
              <w:bottom w:val="single" w:sz="8" w:color="2C2C2C"/>
            </w:tcBorders>
            <w:gridSpan w:val="4"/>
          </w:tcPr>
          <w:p>
            <w:pPr>
              <w:jc w:val="right"/>
              <w:ind w:right="115"/>
              <w:spacing w:after="0"/>
              <w:rPr>
                <w:sz w:val="20"/>
                <w:szCs w:val="20"/>
                <w:color w:val="auto"/>
              </w:rPr>
            </w:pPr>
            <w:r>
              <w:rPr>
                <w:rFonts w:ascii="Arial" w:cs="Arial" w:eastAsia="Arial" w:hAnsi="Arial"/>
                <w:sz w:val="18"/>
                <w:szCs w:val="18"/>
                <w:color w:val="0000FF"/>
              </w:rPr>
              <w:t>03/31/2014</w:t>
            </w:r>
          </w:p>
        </w:tc>
        <w:tc>
          <w:tcPr>
            <w:tcW w:w="6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9,375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3.4843</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center"/>
              <w:ind w:right="133"/>
              <w:spacing w:after="0"/>
              <w:rPr>
                <w:sz w:val="20"/>
                <w:szCs w:val="20"/>
                <w:color w:val="auto"/>
              </w:rPr>
            </w:pPr>
            <w:r>
              <w:rPr>
                <w:rFonts w:ascii="Arial" w:cs="Arial" w:eastAsia="Arial" w:hAnsi="Arial"/>
                <w:sz w:val="18"/>
                <w:szCs w:val="18"/>
                <w:color w:val="0000FF"/>
              </w:rPr>
              <w:t>168,750</w:t>
            </w:r>
            <w:r>
              <w:rPr>
                <w:rFonts w:ascii="Arial" w:cs="Arial" w:eastAsia="Arial" w:hAnsi="Arial"/>
                <w:sz w:val="22"/>
                <w:szCs w:val="22"/>
                <w:color w:val="008000"/>
                <w:vertAlign w:val="superscript"/>
              </w:rPr>
              <w:t>(2)</w:t>
            </w:r>
          </w:p>
        </w:tc>
        <w:tc>
          <w:tcPr>
            <w:tcW w:w="10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Donald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8"/>
                <w:szCs w:val="18"/>
                <w:color w:val="0000FF"/>
              </w:rPr>
              <w:t>733,815</w:t>
            </w:r>
          </w:p>
        </w:tc>
        <w:tc>
          <w:tcPr>
            <w:tcW w:w="102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Mary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Stout</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112,500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22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366,178 vested and unvested options and 112,500 vested and unvested restricted stock units. In addition, the reporting person owns (either directly or indirectly) 790,065 shares of common stock and 302,203 warrants. The total number of securities listed is 1,570,946.</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Donald E. Stout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0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2019-12-17T07:15:42Z</dcterms:created>
  <dcterms:modified xsi:type="dcterms:W3CDTF">2019-12-17T07:15:42Z</dcterms:modified>
</cp:coreProperties>
</file>