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26, 2015</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S-3</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rPr>
          <w:sz w:val="20"/>
          <w:szCs w:val="20"/>
          <w:color w:val="auto"/>
        </w:rPr>
      </w:pPr>
      <w:r>
        <w:rPr>
          <w:rFonts w:ascii="Arial" w:cs="Arial" w:eastAsia="Arial" w:hAnsi="Arial"/>
          <w:sz w:val="18"/>
          <w:szCs w:val="18"/>
          <w:b w:val="1"/>
          <w:b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VRINGO,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780" w:type="dxa"/>
        <w:tblCellMar>
          <w:top w:w="0" w:type="dxa"/>
          <w:left w:w="0" w:type="dxa"/>
          <w:bottom w:w="0" w:type="dxa"/>
          <w:right w:w="0" w:type="dxa"/>
        </w:tblCellMar>
      </w:tblPr>
      <w:tr>
        <w:trPr>
          <w:trHeight w:val="220"/>
        </w:trPr>
        <w:tc>
          <w:tcPr>
            <w:tcW w:w="4180" w:type="dxa"/>
            <w:vAlign w:val="bottom"/>
          </w:tcPr>
          <w:p>
            <w:pPr>
              <w:jc w:val="center"/>
              <w:ind w:right="1930"/>
              <w:spacing w:after="0"/>
              <w:rPr>
                <w:sz w:val="20"/>
                <w:szCs w:val="20"/>
                <w:color w:val="auto"/>
              </w:rPr>
            </w:pPr>
            <w:r>
              <w:rPr>
                <w:rFonts w:ascii="Arial" w:cs="Arial" w:eastAsia="Arial" w:hAnsi="Arial"/>
                <w:sz w:val="18"/>
                <w:szCs w:val="18"/>
                <w:b w:val="1"/>
                <w:bCs w:val="1"/>
                <w:color w:val="auto"/>
                <w:w w:val="91"/>
              </w:rPr>
              <w:t>Delaware</w:t>
            </w:r>
          </w:p>
        </w:tc>
        <w:tc>
          <w:tcPr>
            <w:tcW w:w="3340" w:type="dxa"/>
            <w:vAlign w:val="bottom"/>
          </w:tcPr>
          <w:p>
            <w:pPr>
              <w:jc w:val="center"/>
              <w:ind w:left="189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4180" w:type="dxa"/>
            <w:vAlign w:val="bottom"/>
          </w:tcPr>
          <w:p>
            <w:pPr>
              <w:jc w:val="center"/>
              <w:ind w:right="1930"/>
              <w:spacing w:after="0"/>
              <w:rPr>
                <w:sz w:val="20"/>
                <w:szCs w:val="20"/>
                <w:color w:val="auto"/>
              </w:rPr>
            </w:pPr>
            <w:r>
              <w:rPr>
                <w:rFonts w:ascii="Arial" w:cs="Arial" w:eastAsia="Arial" w:hAnsi="Arial"/>
                <w:sz w:val="18"/>
                <w:szCs w:val="18"/>
                <w:color w:val="auto"/>
                <w:w w:val="92"/>
              </w:rPr>
              <w:t>(State or other jurisdiction of</w:t>
            </w:r>
          </w:p>
        </w:tc>
        <w:tc>
          <w:tcPr>
            <w:tcW w:w="3340" w:type="dxa"/>
            <w:vAlign w:val="bottom"/>
          </w:tcPr>
          <w:p>
            <w:pPr>
              <w:jc w:val="center"/>
              <w:ind w:left="1890"/>
              <w:spacing w:after="0"/>
              <w:rPr>
                <w:sz w:val="20"/>
                <w:szCs w:val="20"/>
                <w:color w:val="auto"/>
              </w:rPr>
            </w:pPr>
            <w:r>
              <w:rPr>
                <w:rFonts w:ascii="Arial" w:cs="Arial" w:eastAsia="Arial" w:hAnsi="Arial"/>
                <w:sz w:val="18"/>
                <w:szCs w:val="18"/>
                <w:color w:val="auto"/>
                <w:w w:val="93"/>
              </w:rPr>
              <w:t>(I.R.S. Employer</w:t>
            </w:r>
          </w:p>
        </w:tc>
      </w:tr>
      <w:tr>
        <w:trPr>
          <w:trHeight w:val="230"/>
        </w:trPr>
        <w:tc>
          <w:tcPr>
            <w:tcW w:w="4180" w:type="dxa"/>
            <w:vAlign w:val="bottom"/>
          </w:tcPr>
          <w:p>
            <w:pPr>
              <w:jc w:val="center"/>
              <w:ind w:right="1930"/>
              <w:spacing w:after="0"/>
              <w:rPr>
                <w:sz w:val="20"/>
                <w:szCs w:val="20"/>
                <w:color w:val="auto"/>
              </w:rPr>
            </w:pPr>
            <w:r>
              <w:rPr>
                <w:rFonts w:ascii="Arial" w:cs="Arial" w:eastAsia="Arial" w:hAnsi="Arial"/>
                <w:sz w:val="18"/>
                <w:szCs w:val="18"/>
                <w:color w:val="auto"/>
                <w:w w:val="92"/>
              </w:rPr>
              <w:t>incorporation or organization)</w:t>
            </w:r>
          </w:p>
        </w:tc>
        <w:tc>
          <w:tcPr>
            <w:tcW w:w="3340" w:type="dxa"/>
            <w:vAlign w:val="bottom"/>
          </w:tcPr>
          <w:p>
            <w:pPr>
              <w:jc w:val="center"/>
              <w:ind w:left="1910"/>
              <w:spacing w:after="0"/>
              <w:rPr>
                <w:sz w:val="20"/>
                <w:szCs w:val="20"/>
                <w:color w:val="auto"/>
              </w:rPr>
            </w:pPr>
            <w:r>
              <w:rPr>
                <w:rFonts w:ascii="Arial" w:cs="Arial" w:eastAsia="Arial" w:hAnsi="Arial"/>
                <w:sz w:val="18"/>
                <w:szCs w:val="18"/>
                <w:color w:val="auto"/>
                <w:w w:val="95"/>
              </w:rPr>
              <w:t>Identification No.)</w:t>
            </w:r>
          </w:p>
        </w:tc>
      </w:tr>
    </w:tbl>
    <w:p>
      <w:pPr>
        <w:spacing w:after="0" w:line="1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Andrew D. Perlman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jc w:val="center"/>
        <w:spacing w:after="0" w:line="186" w:lineRule="auto"/>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code, of agent for service)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Kenneth R. Koch,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Jeffrey P. Schultz,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Merav Gershtenman,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666 Third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935-3000</w:t>
      </w:r>
    </w:p>
    <w:p>
      <w:pPr>
        <w:spacing w:after="0" w:line="207" w:lineRule="exact"/>
        <w:rPr>
          <w:sz w:val="24"/>
          <w:szCs w:val="24"/>
          <w:color w:val="auto"/>
        </w:rPr>
      </w:pPr>
    </w:p>
    <w:p>
      <w:pPr>
        <w:ind w:right="180" w:firstLine="405"/>
        <w:spacing w:after="0" w:line="282" w:lineRule="auto"/>
        <w:rPr>
          <w:sz w:val="20"/>
          <w:szCs w:val="20"/>
          <w:color w:val="auto"/>
        </w:rPr>
      </w:pPr>
      <w:r>
        <w:rPr>
          <w:rFonts w:ascii="Arial" w:cs="Arial" w:eastAsia="Arial" w:hAnsi="Arial"/>
          <w:sz w:val="18"/>
          <w:szCs w:val="18"/>
          <w:b w:val="1"/>
          <w:bCs w:val="1"/>
          <w:color w:val="auto"/>
        </w:rPr>
        <w:t>Approximate date of commencement of proposed sale to the public: From time to time after the effective date of this registration statement as determined by the registrant.</w:t>
      </w:r>
    </w:p>
    <w:p>
      <w:pPr>
        <w:spacing w:after="0" w:line="166" w:lineRule="exact"/>
        <w:rPr>
          <w:sz w:val="24"/>
          <w:szCs w:val="24"/>
          <w:color w:val="auto"/>
        </w:rPr>
      </w:pPr>
    </w:p>
    <w:p>
      <w:pPr>
        <w:ind w:left="260"/>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w:t>
      </w:r>
    </w:p>
    <w:p>
      <w:pPr>
        <w:spacing w:after="0" w:line="41"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43" w:lineRule="exact"/>
        <w:rPr>
          <w:sz w:val="24"/>
          <w:szCs w:val="24"/>
          <w:color w:val="auto"/>
        </w:rPr>
      </w:pPr>
    </w:p>
    <w:p>
      <w:pPr>
        <w:ind w:right="240" w:firstLine="252"/>
        <w:spacing w:after="0" w:line="233" w:lineRule="exact"/>
        <w:rPr>
          <w:sz w:val="20"/>
          <w:szCs w:val="20"/>
          <w:color w:val="auto"/>
        </w:rPr>
      </w:pPr>
      <w:r>
        <w:rPr>
          <w:rFonts w:ascii="Arial" w:cs="Arial" w:eastAsia="Arial" w:hAnsi="Arial"/>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ind w:right="240" w:firstLine="252"/>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0"/>
          <w:szCs w:val="20"/>
          <w:color w:val="auto"/>
        </w:rPr>
      </w:pPr>
    </w:p>
    <w:p>
      <w:pPr>
        <w:ind w:right="460" w:firstLine="252"/>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0"/>
          <w:szCs w:val="20"/>
          <w:color w:val="auto"/>
        </w:rPr>
      </w:pPr>
    </w:p>
    <w:p>
      <w:pPr>
        <w:ind w:right="200" w:firstLine="252"/>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right="360" w:firstLine="252"/>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1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gridSpan w:val="4"/>
          </w:tcPr>
          <w:p>
            <w:pPr>
              <w:jc w:val="right"/>
              <w:ind w:right="350"/>
              <w:spacing w:after="0"/>
              <w:rPr>
                <w:sz w:val="20"/>
                <w:szCs w:val="20"/>
                <w:color w:val="auto"/>
              </w:rPr>
            </w:pPr>
            <w:r>
              <w:rPr>
                <w:rFonts w:ascii="Arial" w:cs="Arial" w:eastAsia="Arial" w:hAnsi="Arial"/>
                <w:sz w:val="18"/>
                <w:szCs w:val="18"/>
                <w:color w:val="auto"/>
              </w:rPr>
              <w:t>Accelerated filer x</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382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15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20" w:type="dxa"/>
            <w:vAlign w:val="bottom"/>
            <w:gridSpan w:val="4"/>
          </w:tcPr>
          <w:p>
            <w:pPr>
              <w:jc w:val="right"/>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(Do not check if a smaller reporting company)</w:t>
            </w:r>
          </w:p>
        </w:tc>
        <w:tc>
          <w:tcPr>
            <w:tcW w:w="1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820" w:type="dxa"/>
            <w:vAlign w:val="bottom"/>
          </w:tcPr>
          <w:p>
            <w:pPr>
              <w:spacing w:after="0"/>
              <w:rPr>
                <w:sz w:val="24"/>
                <w:szCs w:val="24"/>
                <w:color w:val="auto"/>
              </w:rPr>
            </w:pPr>
          </w:p>
        </w:tc>
        <w:tc>
          <w:tcPr>
            <w:tcW w:w="4700" w:type="dxa"/>
            <w:vAlign w:val="bottom"/>
            <w:gridSpan w:val="6"/>
          </w:tcPr>
          <w:p>
            <w:pPr>
              <w:jc w:val="right"/>
              <w:ind w:right="1080"/>
              <w:spacing w:after="0"/>
              <w:rPr>
                <w:sz w:val="20"/>
                <w:szCs w:val="20"/>
                <w:color w:val="auto"/>
              </w:rPr>
            </w:pPr>
            <w:r>
              <w:rPr>
                <w:rFonts w:ascii="Arial" w:cs="Arial" w:eastAsia="Arial" w:hAnsi="Arial"/>
                <w:sz w:val="18"/>
                <w:szCs w:val="18"/>
                <w:b w:val="1"/>
                <w:bCs w:val="1"/>
                <w:color w:val="auto"/>
              </w:rPr>
              <w:t>CALCULATION OF REGISTRATION FEE</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Proposed</w:t>
            </w:r>
          </w:p>
        </w:tc>
        <w:tc>
          <w:tcPr>
            <w:tcW w:w="140" w:type="dxa"/>
            <w:vAlign w:val="bottom"/>
          </w:tcPr>
          <w:p>
            <w:pPr>
              <w:spacing w:after="0"/>
              <w:rPr>
                <w:sz w:val="24"/>
                <w:szCs w:val="24"/>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4"/>
              </w:rPr>
              <w:t>Proposed</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6"/>
              </w:rPr>
              <w:t>Maximum</w:t>
            </w:r>
          </w:p>
        </w:tc>
        <w:tc>
          <w:tcPr>
            <w:tcW w:w="140" w:type="dxa"/>
            <w:vAlign w:val="bottom"/>
          </w:tcPr>
          <w:p>
            <w:pPr>
              <w:spacing w:after="0"/>
              <w:rPr>
                <w:sz w:val="18"/>
                <w:szCs w:val="18"/>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Maximum</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4"/>
              </w:rPr>
              <w:t>Offering</w:t>
            </w:r>
          </w:p>
        </w:tc>
        <w:tc>
          <w:tcPr>
            <w:tcW w:w="140" w:type="dxa"/>
            <w:vAlign w:val="bottom"/>
          </w:tcPr>
          <w:p>
            <w:pPr>
              <w:spacing w:after="0"/>
              <w:rPr>
                <w:sz w:val="18"/>
                <w:szCs w:val="18"/>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Aggregate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3820" w:type="dxa"/>
            <w:vAlign w:val="bottom"/>
          </w:tcPr>
          <w:p>
            <w:pPr>
              <w:ind w:left="1840"/>
              <w:spacing w:after="0"/>
              <w:rPr>
                <w:sz w:val="20"/>
                <w:szCs w:val="20"/>
                <w:color w:val="auto"/>
              </w:rPr>
            </w:pPr>
            <w:r>
              <w:rPr>
                <w:rFonts w:ascii="Arial" w:cs="Arial" w:eastAsia="Arial" w:hAnsi="Arial"/>
                <w:sz w:val="18"/>
                <w:szCs w:val="18"/>
                <w:b w:val="1"/>
                <w:bCs w:val="1"/>
                <w:color w:val="auto"/>
              </w:rPr>
              <w:t>Title of Each Class of</w:t>
            </w:r>
          </w:p>
        </w:tc>
        <w:tc>
          <w:tcPr>
            <w:tcW w:w="1580" w:type="dxa"/>
            <w:vAlign w:val="bottom"/>
          </w:tcPr>
          <w:p>
            <w:pPr>
              <w:spacing w:after="0"/>
              <w:rPr>
                <w:sz w:val="18"/>
                <w:szCs w:val="18"/>
                <w:color w:val="auto"/>
              </w:rPr>
            </w:pPr>
          </w:p>
        </w:tc>
        <w:tc>
          <w:tcPr>
            <w:tcW w:w="172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3"/>
              </w:rPr>
              <w:t>Amount to</w:t>
            </w: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Price</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Offering</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Registration</w:t>
            </w:r>
          </w:p>
        </w:tc>
      </w:tr>
      <w:tr>
        <w:trPr>
          <w:trHeight w:val="234"/>
        </w:trPr>
        <w:tc>
          <w:tcPr>
            <w:tcW w:w="3820" w:type="dxa"/>
            <w:vAlign w:val="bottom"/>
          </w:tcPr>
          <w:p>
            <w:pPr>
              <w:ind w:left="1640"/>
              <w:spacing w:after="0"/>
              <w:rPr>
                <w:sz w:val="20"/>
                <w:szCs w:val="20"/>
                <w:color w:val="auto"/>
              </w:rPr>
            </w:pPr>
            <w:r>
              <w:rPr>
                <w:rFonts w:ascii="Arial" w:cs="Arial" w:eastAsia="Arial" w:hAnsi="Arial"/>
                <w:sz w:val="18"/>
                <w:szCs w:val="18"/>
                <w:b w:val="1"/>
                <w:bCs w:val="1"/>
                <w:color w:val="auto"/>
                <w:w w:val="93"/>
              </w:rPr>
              <w:t>Securities to be Registered</w:t>
            </w:r>
          </w:p>
        </w:tc>
        <w:tc>
          <w:tcPr>
            <w:tcW w:w="1580" w:type="dxa"/>
            <w:vAlign w:val="bottom"/>
          </w:tcPr>
          <w:p>
            <w:pPr>
              <w:spacing w:after="0"/>
              <w:rPr>
                <w:sz w:val="20"/>
                <w:szCs w:val="20"/>
                <w:color w:val="auto"/>
              </w:rPr>
            </w:pPr>
          </w:p>
        </w:tc>
        <w:tc>
          <w:tcPr>
            <w:tcW w:w="172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87"/>
              </w:rPr>
              <w:t>be Registered</w:t>
            </w:r>
          </w:p>
        </w:tc>
        <w:tc>
          <w:tcPr>
            <w:tcW w:w="14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4"/>
              </w:rPr>
              <w:t>per Unit</w:t>
            </w:r>
          </w:p>
        </w:tc>
        <w:tc>
          <w:tcPr>
            <w:tcW w:w="140" w:type="dxa"/>
            <w:vAlign w:val="bottom"/>
          </w:tcPr>
          <w:p>
            <w:pPr>
              <w:spacing w:after="0"/>
              <w:rPr>
                <w:sz w:val="20"/>
                <w:szCs w:val="20"/>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Price</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Fee</w:t>
            </w:r>
          </w:p>
        </w:tc>
      </w:tr>
      <w:tr>
        <w:trPr>
          <w:trHeight w:val="202"/>
        </w:trPr>
        <w:tc>
          <w:tcPr>
            <w:tcW w:w="712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rPr>
              <w:t>Common Stock, par value $0.01 per share, issuable upon exercise of</w:t>
            </w: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warrants</w:t>
            </w:r>
          </w:p>
        </w:tc>
        <w:tc>
          <w:tcPr>
            <w:tcW w:w="33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$ 5,375,000(1)  $</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5,375,000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624.58</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Common Stock, par value $0.01 per share</w:t>
            </w:r>
          </w:p>
        </w:tc>
        <w:tc>
          <w:tcPr>
            <w:tcW w:w="3140" w:type="dxa"/>
            <w:vAlign w:val="bottom"/>
            <w:gridSpan w:val="3"/>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(3)</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par value $0.01 per share</w:t>
            </w:r>
          </w:p>
        </w:tc>
        <w:tc>
          <w:tcPr>
            <w:tcW w:w="31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Debt Securities</w:t>
            </w:r>
          </w:p>
        </w:tc>
        <w:tc>
          <w:tcPr>
            <w:tcW w:w="3140" w:type="dxa"/>
            <w:vAlign w:val="bottom"/>
            <w:gridSpan w:val="3"/>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(3)</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31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Rights</w:t>
            </w:r>
          </w:p>
        </w:tc>
        <w:tc>
          <w:tcPr>
            <w:tcW w:w="3140" w:type="dxa"/>
            <w:vAlign w:val="bottom"/>
            <w:gridSpan w:val="3"/>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(3)</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Purchase Contracts</w:t>
            </w:r>
          </w:p>
        </w:tc>
        <w:tc>
          <w:tcPr>
            <w:tcW w:w="314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Units</w:t>
            </w:r>
          </w:p>
        </w:tc>
        <w:tc>
          <w:tcPr>
            <w:tcW w:w="3140" w:type="dxa"/>
            <w:vAlign w:val="bottom"/>
            <w:gridSpan w:val="3"/>
          </w:tcPr>
          <w:p>
            <w:pPr>
              <w:jc w:val="right"/>
              <w:ind w:right="3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(3)</w:t>
            </w: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8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1"/>
              </w:rPr>
              <w:t>(2)</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55,375,000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6,434.58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80" w:hanging="318"/>
        <w:spacing w:after="0" w:line="279" w:lineRule="auto"/>
        <w:tabs>
          <w:tab w:leader="none" w:pos="38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415(a)(6) under the Securities Act of 1933, as amended, or the Securities Act, the securities registered pursuant to this Registration Statement include 5,375,000 shares of common stock issuable upon the exercise of warrants (the “Warrant Shares”) issued and sold and previously registered by the Registrant on the Registrant’s Registration Statement (File No. 333-182823) filed on July 24, 2012 and declared effective on August 2, 2012 (the “Prior Registration Statement”) and pursuant to a prospectus supplement dated May 4, 2015.</w:t>
      </w:r>
    </w:p>
    <w:p>
      <w:pPr>
        <w:spacing w:after="0" w:line="171" w:lineRule="exact"/>
        <w:rPr>
          <w:rFonts w:ascii="Arial" w:cs="Arial" w:eastAsia="Arial" w:hAnsi="Arial"/>
          <w:sz w:val="17"/>
          <w:szCs w:val="17"/>
          <w:color w:val="auto"/>
        </w:rPr>
      </w:pPr>
    </w:p>
    <w:p>
      <w:pPr>
        <w:jc w:val="both"/>
        <w:ind w:left="380" w:hanging="318"/>
        <w:spacing w:after="0" w:line="286" w:lineRule="auto"/>
        <w:tabs>
          <w:tab w:leader="none" w:pos="38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 addition to the Warrant Shares, there are being registered hereunder such indeterminate amount of shares of common stock and preferred stock, such indeterminate principal amount of debt securities, such indeterminate number of warrants, rights and purchase contracts to purchase common stock, preferred stock or debt securities, and such indeterminate number of units as may be sold by the Registrant from time to time, which together shall have an aggregate initial offering price not to exceed $50,000,000 (the “Shelf Securities”). If any debt securities are issued at an original issue discount, then the offering price of such debt securities shall be in such greater principal amount as shall result in an aggregate initial offering price not to exceed $50,000,000, less the aggregate dollar amount of all securities previously issued hereunder. Any securities registered hereunder may be sold separately or as units with other securities registered hereunder. The proposed maximum initial offering price per unit will be determined, from time to time, by the registrant in connection with the issuance by the registrant of the securities registered hereunder. The securities registered also include such indeterminate number of shares of common stock and preferred stock and amount of debt securities as may be issued upon conversion of or exchange for preferred stock or debt securities that provide for conversion or exchange, upon exercise of warrants or rights or performance of purchase contracts or pursuant to the anti-dilution provisions of any such securities. In addition, pursuant to Rule 416 under the Securities Act of 1933, as amended, the shares being registered hereunder include such indeterminate number of shares of common stock and preferred stock as may be issuable with respect to the shares being registered hereunder as a result of stock splits, stock dividends or similar transactions.</w:t>
      </w:r>
    </w:p>
    <w:p>
      <w:pPr>
        <w:spacing w:after="0" w:line="174" w:lineRule="exact"/>
        <w:rPr>
          <w:rFonts w:ascii="Arial" w:cs="Arial" w:eastAsia="Arial" w:hAnsi="Arial"/>
          <w:sz w:val="16"/>
          <w:szCs w:val="16"/>
          <w:color w:val="auto"/>
        </w:rPr>
      </w:pPr>
    </w:p>
    <w:p>
      <w:pPr>
        <w:jc w:val="both"/>
        <w:ind w:left="380" w:hanging="318"/>
        <w:spacing w:after="0" w:line="264" w:lineRule="auto"/>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General Instruction II.D. of Form S-3 under the Securities Act.</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registration statement contains two prospectuses:</w:t>
      </w:r>
    </w:p>
    <w:p>
      <w:pPr>
        <w:spacing w:after="0" w:line="225" w:lineRule="exact"/>
        <w:rPr>
          <w:sz w:val="20"/>
          <w:szCs w:val="20"/>
          <w:color w:val="auto"/>
        </w:rPr>
      </w:pPr>
    </w:p>
    <w:p>
      <w:pPr>
        <w:jc w:val="both"/>
        <w:ind w:left="1620" w:hanging="640"/>
        <w:spacing w:after="0" w:line="259"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base prospectus which covers the offering, issuance and sale from time to time of such indeterminate number of shares common stock and preferred stock, various series of debt securities and/or warrants, rights or purchase contracts to purchase any of such securities, either individually or in units, in one or more offerings, which together shall have an aggregate initial offering price not to exceed $50,000,000; and</w:t>
      </w:r>
    </w:p>
    <w:p>
      <w:pPr>
        <w:spacing w:after="0" w:line="186" w:lineRule="exact"/>
        <w:rPr>
          <w:rFonts w:ascii="Arial" w:cs="Arial" w:eastAsia="Arial" w:hAnsi="Arial"/>
          <w:sz w:val="18"/>
          <w:szCs w:val="18"/>
          <w:color w:val="auto"/>
        </w:rPr>
      </w:pPr>
    </w:p>
    <w:p>
      <w:pPr>
        <w:ind w:left="1620" w:hanging="640"/>
        <w:spacing w:after="0" w:line="277" w:lineRule="auto"/>
        <w:tabs>
          <w:tab w:leader="none" w:pos="1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warrant exercise prospectus for the offering, issuance and sale of up to 5,375,000 shares of the Registrant’s common stock pursuant to the exercise of warrants to purchase the Registrant’s common stock outstanding on June 26, 2015.</w:t>
      </w:r>
    </w:p>
    <w:p>
      <w:pPr>
        <w:spacing w:after="0" w:line="170"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The base prospectus immediately follows this explanatory note. The specific terms of any securities to be offered pursuant to the base prospectus will be specified in a prospectus supplement to the base prospectus. The warrant exercise prospectus immediately follows the base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both"/>
        <w:spacing w:after="0" w:line="261" w:lineRule="auto"/>
        <w:rPr>
          <w:sz w:val="20"/>
          <w:szCs w:val="20"/>
          <w:color w:val="auto"/>
        </w:rPr>
      </w:pPr>
      <w:r>
        <w:rPr>
          <w:rFonts w:ascii="Arial" w:cs="Arial" w:eastAsia="Arial" w:hAnsi="Arial"/>
          <w:sz w:val="18"/>
          <w:szCs w:val="18"/>
          <w:b w:val="1"/>
          <w:bCs w:val="1"/>
          <w:color w:val="FF404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040"/>
        </w:rPr>
        <w:t>SUBJECT TO COMPLETION, DATED JUNE 26,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CONTRACTS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jc w:val="both"/>
        <w:ind w:firstLine="661"/>
        <w:spacing w:after="0" w:line="257" w:lineRule="auto"/>
        <w:rPr>
          <w:sz w:val="20"/>
          <w:szCs w:val="20"/>
          <w:color w:val="auto"/>
        </w:rPr>
      </w:pPr>
      <w:r>
        <w:rPr>
          <w:rFonts w:ascii="Arial" w:cs="Arial" w:eastAsia="Arial" w:hAnsi="Arial"/>
          <w:sz w:val="18"/>
          <w:szCs w:val="18"/>
          <w:color w:val="auto"/>
        </w:rPr>
        <w:t>This prospectus will allow us to issue, from time to time at prices and on terms to be determined at or prior to the time of the offering, up to $50,000,000 of any combination of the securities described in this prospectus, either individually or in units. We may also offer common stock or preferred stock upon conversion of or exchange for the debt securities; common stock upon conversion of or exchange for the preferred stock; common stock, preferred stock or debt securities upon the exercise of warrants, rights or performance of purchase contracts; or any combination of these securities upon the performance of purchase contracts.</w:t>
      </w:r>
    </w:p>
    <w:p>
      <w:pPr>
        <w:spacing w:after="0" w:line="188" w:lineRule="exact"/>
        <w:rPr>
          <w:sz w:val="20"/>
          <w:szCs w:val="20"/>
          <w:color w:val="auto"/>
        </w:rPr>
      </w:pPr>
    </w:p>
    <w:p>
      <w:pPr>
        <w:jc w:val="both"/>
        <w:ind w:firstLine="661"/>
        <w:spacing w:after="0" w:line="257" w:lineRule="auto"/>
        <w:rPr>
          <w:sz w:val="20"/>
          <w:szCs w:val="20"/>
          <w:color w:val="auto"/>
        </w:rPr>
      </w:pPr>
      <w:r>
        <w:rPr>
          <w:rFonts w:ascii="Arial" w:cs="Arial" w:eastAsia="Arial" w:hAnsi="Arial"/>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8" w:lineRule="exact"/>
        <w:rPr>
          <w:sz w:val="20"/>
          <w:szCs w:val="20"/>
          <w:color w:val="auto"/>
        </w:rPr>
      </w:pPr>
    </w:p>
    <w:p>
      <w:pPr>
        <w:jc w:val="both"/>
        <w:ind w:firstLine="661"/>
        <w:spacing w:after="0" w:line="297" w:lineRule="auto"/>
        <w:rPr>
          <w:sz w:val="20"/>
          <w:szCs w:val="20"/>
          <w:color w:val="auto"/>
        </w:rPr>
      </w:pPr>
      <w:r>
        <w:rPr>
          <w:rFonts w:ascii="Arial" w:cs="Arial" w:eastAsia="Arial" w:hAnsi="Arial"/>
          <w:sz w:val="16"/>
          <w:szCs w:val="16"/>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158" w:lineRule="exact"/>
        <w:rPr>
          <w:sz w:val="20"/>
          <w:szCs w:val="20"/>
          <w:color w:val="auto"/>
        </w:rPr>
      </w:pPr>
    </w:p>
    <w:p>
      <w:pPr>
        <w:jc w:val="both"/>
        <w:ind w:firstLine="661"/>
        <w:spacing w:after="0" w:line="279" w:lineRule="auto"/>
        <w:rPr>
          <w:sz w:val="20"/>
          <w:szCs w:val="20"/>
          <w:color w:val="auto"/>
        </w:rPr>
      </w:pPr>
      <w:r>
        <w:rPr>
          <w:rFonts w:ascii="Arial" w:cs="Arial" w:eastAsia="Arial" w:hAnsi="Arial"/>
          <w:sz w:val="17"/>
          <w:szCs w:val="17"/>
          <w:color w:val="auto"/>
        </w:rPr>
        <w:t>Our common stock is listed on the NASDAQ Capital Market under the symbol “VRNG.” On June 24, 2015, the last reported sale price of our common stock was $0.59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67" w:lineRule="exact"/>
        <w:rPr>
          <w:sz w:val="20"/>
          <w:szCs w:val="20"/>
          <w:color w:val="auto"/>
        </w:rPr>
      </w:pPr>
    </w:p>
    <w:p>
      <w:pPr>
        <w:jc w:val="both"/>
        <w:ind w:firstLine="661"/>
        <w:spacing w:after="0" w:line="261" w:lineRule="auto"/>
        <w:rPr>
          <w:sz w:val="20"/>
          <w:szCs w:val="20"/>
          <w:color w:val="auto"/>
        </w:rPr>
      </w:pPr>
      <w:r>
        <w:rPr>
          <w:rFonts w:ascii="Arial" w:cs="Arial" w:eastAsia="Arial" w:hAnsi="Arial"/>
          <w:sz w:val="18"/>
          <w:szCs w:val="18"/>
          <w:b w:val="1"/>
          <w:bCs w:val="1"/>
          <w:color w:val="auto"/>
        </w:rPr>
        <w:t>Investing in our securities involves a high degree of risk. Before deciding whether to invest in our securities, you should consider carefully the risks that we have described on page 10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ind w:right="320" w:firstLine="667"/>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ind w:left="4140"/>
              <w:spacing w:after="0"/>
              <w:rPr>
                <w:sz w:val="20"/>
                <w:szCs w:val="20"/>
                <w:color w:val="auto"/>
              </w:rPr>
            </w:pPr>
            <w:r>
              <w:rPr>
                <w:rFonts w:ascii="Arial" w:cs="Arial" w:eastAsia="Arial" w:hAnsi="Arial"/>
                <w:sz w:val="18"/>
                <w:szCs w:val="18"/>
                <w:color w:val="auto"/>
              </w:rPr>
              <w:t>The date of this prospectus is</w:t>
            </w:r>
          </w:p>
        </w:tc>
        <w:tc>
          <w:tcPr>
            <w:tcW w:w="4900" w:type="dxa"/>
            <w:vAlign w:val="bottom"/>
          </w:tcPr>
          <w:p>
            <w:pPr>
              <w:jc w:val="right"/>
              <w:ind w:right="4050"/>
              <w:spacing w:after="0"/>
              <w:rPr>
                <w:sz w:val="20"/>
                <w:szCs w:val="20"/>
                <w:color w:val="auto"/>
              </w:rPr>
            </w:pPr>
            <w:r>
              <w:rPr>
                <w:rFonts w:ascii="Arial" w:cs="Arial" w:eastAsia="Arial" w:hAnsi="Arial"/>
                <w:sz w:val="18"/>
                <w:szCs w:val="18"/>
                <w:color w:val="auto"/>
              </w:rPr>
              <w:t>, 2015.</w:t>
            </w:r>
          </w:p>
        </w:tc>
      </w:tr>
      <w:tr>
        <w:trPr>
          <w:trHeight w:val="648"/>
        </w:trPr>
        <w:tc>
          <w:tcPr>
            <w:tcW w:w="65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80" w:type="dxa"/>
            <w:vAlign w:val="bottom"/>
            <w:gridSpan w:val="4"/>
          </w:tcPr>
          <w:p>
            <w:pPr>
              <w:ind w:left="38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418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ABOUT THIS PROSPECTUS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PROSPECTUS SUMMARY</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SPECIAL NOTE REGARDING FORWARD-LOOKING STATEMENTS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RATIO OF EARNINGS TO FIXED CHARGES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USE OF PROCEEDS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PLAN OF DISTRIBUTION</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DESCRIPTION OF CAPITAL STOCK</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DESCRIPTION OF DEBT SECURITIES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DESCRIPTION OF WARRANTS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DESCRIPTION OF RIGHTS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DESCRIPTION OF PURCHASE CONTRACTS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DESCRIPTION OF UNITS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LEGAL MATTERS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EXPERTS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WHERE YOU CAN FIND MORE INFORMATION</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20"/>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INCORPORATION OF INFORMATION BY REFERENCE</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661"/>
        <w:spacing w:after="0" w:line="276"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SEC, utilizing a “shelf” registration process. Under this shelf registration process, we may offer shares of our common stock and preferred stock, various series of debt securities and/or warrants, rights or purchase contracts to purchase any of such securities, either individually or in units, in one or more offerings, with a total value of up to $50,000,000.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173" w:lineRule="exact"/>
        <w:rPr>
          <w:sz w:val="20"/>
          <w:szCs w:val="20"/>
          <w:color w:val="auto"/>
        </w:rPr>
      </w:pPr>
    </w:p>
    <w:p>
      <w:pPr>
        <w:jc w:val="both"/>
        <w:ind w:firstLine="661"/>
        <w:spacing w:after="0" w:line="272" w:lineRule="auto"/>
        <w:rPr>
          <w:sz w:val="20"/>
          <w:szCs w:val="20"/>
          <w:color w:val="auto"/>
        </w:rPr>
      </w:pPr>
      <w:r>
        <w:rPr>
          <w:rFonts w:ascii="Arial" w:cs="Arial" w:eastAsia="Arial" w:hAnsi="Arial"/>
          <w:sz w:val="17"/>
          <w:szCs w:val="17"/>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spacing w:after="0" w:line="178" w:lineRule="exact"/>
        <w:rPr>
          <w:sz w:val="20"/>
          <w:szCs w:val="20"/>
          <w:color w:val="auto"/>
        </w:rPr>
      </w:pPr>
    </w:p>
    <w:p>
      <w:pPr>
        <w:jc w:val="both"/>
        <w:ind w:firstLine="661"/>
        <w:spacing w:after="0" w:line="272" w:lineRule="auto"/>
        <w:rPr>
          <w:sz w:val="20"/>
          <w:szCs w:val="20"/>
          <w:color w:val="auto"/>
        </w:rPr>
      </w:pPr>
      <w:r>
        <w:rPr>
          <w:rFonts w:ascii="Arial" w:cs="Arial" w:eastAsia="Arial" w:hAnsi="Arial"/>
          <w:sz w:val="17"/>
          <w:szCs w:val="17"/>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78" w:lineRule="exact"/>
        <w:rPr>
          <w:sz w:val="20"/>
          <w:szCs w:val="20"/>
          <w:color w:val="auto"/>
        </w:rPr>
      </w:pPr>
    </w:p>
    <w:p>
      <w:pPr>
        <w:jc w:val="both"/>
        <w:ind w:firstLine="661"/>
        <w:spacing w:after="0" w:line="276"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3"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Unless the context otherwise requires, “Vringo,” “the Company,” “we,” “us,” “our” and similar terms refer to Vringo, Inc. and its subsidiaries.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5355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5355590"/>
                    </a:xfrm>
                    <a:prstGeom prst="rect">
                      <a:avLst/>
                    </a:prstGeom>
                    <a:noFill/>
                  </pic:spPr>
                </pic:pic>
              </a:graphicData>
            </a:graphic>
          </wp:anchor>
        </w:drawing>
        <w:t>PROSPECTUS SUMMARY</w:t>
      </w:r>
    </w:p>
    <w:p>
      <w:pPr>
        <w:spacing w:after="0" w:line="229" w:lineRule="exact"/>
        <w:rPr>
          <w:sz w:val="20"/>
          <w:szCs w:val="20"/>
          <w:color w:val="auto"/>
        </w:rPr>
      </w:pPr>
    </w:p>
    <w:p>
      <w:pPr>
        <w:jc w:val="both"/>
        <w:ind w:firstLine="661"/>
        <w:spacing w:after="0" w:line="272" w:lineRule="auto"/>
        <w:rPr>
          <w:sz w:val="20"/>
          <w:szCs w:val="20"/>
          <w:color w:val="auto"/>
        </w:rPr>
      </w:pPr>
      <w:r>
        <w:rPr>
          <w:rFonts w:ascii="Arial" w:cs="Arial" w:eastAsia="Arial" w:hAnsi="Arial"/>
          <w:sz w:val="17"/>
          <w:szCs w:val="17"/>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Vringo, Inc. (“Vringo”) strives to develop, acquire, license and protect innovation worldwide. We are currently focused on identifying, generating, acquiring, and deriving economic benefits from intellectual property assets. We plan to continue to expand our portfolio of intellectual property assets through acquiring and internally developing new technologies. We intend to monetize our technology portfolio through a variety of value enhancing initiatives, including, but not limited to:</w:t>
      </w:r>
    </w:p>
    <w:p>
      <w:pPr>
        <w:spacing w:after="0" w:line="187" w:lineRule="exact"/>
        <w:rPr>
          <w:sz w:val="20"/>
          <w:szCs w:val="20"/>
          <w:color w:val="auto"/>
        </w:rPr>
      </w:pPr>
    </w:p>
    <w:p>
      <w:pPr>
        <w:ind w:left="960" w:hanging="316"/>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licensing;</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We manage an intellectual property portfolio consisting of over 600 patents and patent applications, covering telecom infrastructure, internet search and mobile technologies. These patents and patent applications have been developed internally or acquired from third parties. We strive to develop, acquire, license and protect innovation worldwide. We seek to expand our portfolio of intellectual property through acquisition and development both internally and with the assistance of third parties. Our goal is to partner with innovators of compelling technologies.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potential acquisitions, we seek to purchase all of, or interests in, technology and intellectual property in exchange for cash, our securities and/or interests in the monetization of those assets. Our revenue from this aspect of our business can be generated through licensing and litigation efforts. We engage in robust due diligence and a principled risk underwriting process to evaluate the merits and potential value of any acquisition or partnership. We seek to structure the terms of our acquisitions and partnerships in a manner that will achieve the highest risk-adjusted returns possible. We believe that our capital resources and potential access to capital, together with the experience of our management team and board of directors, will allow us to assemble a portfolio of quality assets with short and long-term revenue opportunities.</w:t>
      </w:r>
    </w:p>
    <w:p>
      <w:pPr>
        <w:spacing w:after="0" w:line="200" w:lineRule="exact"/>
        <w:rPr>
          <w:sz w:val="20"/>
          <w:szCs w:val="20"/>
          <w:color w:val="auto"/>
        </w:rPr>
      </w:pPr>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360" w:top="985"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65906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6590665"/>
                    </a:xfrm>
                    <a:prstGeom prst="rect">
                      <a:avLst/>
                    </a:prstGeom>
                    <a:noFill/>
                  </pic:spPr>
                </pic:pic>
              </a:graphicData>
            </a:graphic>
          </wp:anchor>
        </w:drawing>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Infrastructure Patents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one of the means of realizing the value of the patents on telecom infrastructure, our wholly-owned subsidiaries, Vringo Infrastructure, Inc. (“Vringo Infrastructure”), Vringo, Inc. and Vringo Germany GmbH (“Vringo Germany”) have filed a number of suits against ZTE Corporation (“ZTE”), ASUSTeK Computer Inc. (“ASUS”), and certain of their subsidiaries, affiliates and other companies in the United States, European jurisdictions, India, Australia, Brazil, and Malaysia alleging infringement of certain U.S., European, Indian, Australian, Brazilian, and Malaysian patents.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October 5, 2012, Vringo Infrastructure filed a suit in the UK High Court of Justice, Chancery Division, Patents Court, alleging infringement of three European patents. Subsequently, ZTE responded to the complaint with a counterclaim for invalidity of the patents-in-suit. Vringo Infrastructure filed a second UK suit on December 3, 2012, alleging infringement of three additional European patents.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March 2014, Vringo Infrastructure withdrew its claim to one of the patents included in the first suit, and ZTE withdrew its invalidity counterclaim. Another patent included in the first suit was heard in a trial that commenced on October 28, 2014.</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28, 2014, the Court found the patent valid as amended and infringed by ZTE. Following the Court’s ruling, ZTE applied to introduce new prior art and re-argue the validity of the patent; the application was rejected on January 30, 2015. There was no appeal by ZTE of the substantive decision and therefore the decision is final. Trial on the remedies phase is currently scheduled to occur in the first half of 2016 and will focus on the appropriate royalty rate to be awarded.</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181818"/>
        </w:rPr>
        <w:t>On February 17, 2015, Vringo withdrew its infringement claims against ZTE on three of the four remaining European Patents in suit in the second litigation in the UK. ZTE subsequently withdrew its invalidity counterclaims in respect of these three patents.</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181818"/>
        </w:rPr>
        <w:t>On April 10, 2015, Vringo and ZTE reached an agreement in relation to the remaining European Patent in issue (EP (UK) 1 330 933) in the second patent case in the UK as a result of which the parties withdrew their respective claims and counterclaims.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On November 15, 2012, Vringo Germany filed a suit in the Mannheim Regional Court in Germany, alleging infringement of a European patent. The litigation was expanded to include a second European patent on February 21, 2013. On November 4, 2013, Vringo Germany filed a further brief with respect to the proceedings of the first European patent suit, asserting infringement by ZTE eNode B infrastructure equipment used in 4G networks. Vringo Germany re-filed the first European patent case in the Regional Court of Düsseldorf on December 5, 2014.</w:t>
      </w:r>
    </w:p>
    <w:p>
      <w:pPr>
        <w:spacing w:after="0" w:line="171"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7"/>
          <w:szCs w:val="17"/>
          <w:color w:val="auto"/>
        </w:rPr>
        <w:t>On December 17, 2013, the Court issued its judgment in the second European patent case, finding that ZTE infringed that patent and ordering an accounting and an injunction upon payment of the appropriate bonds. On February 19, 2014, Vringo Germany filed suit in the Mannheim Regional Court seeking enforcement of the accounting ordered and a further order that non-compliance be subject to civil and criminal penalties. On May 5, 2014, we paid a bond of €1,000,000 (approximately $1,085,000 as of March 31, 2015) to the Court in order to enforce the injunction against ZTE. On December 27, 2013, ZTE filed a notice of appeal of the Mannheim Regional Court’s judgment in the second European patent case, and on January 24, 2014, ZTE filed an emergency motion with the Court of Appeals seeking a stay of the judge’s order pending appeal. On February 24, 2014, ZTE’s motion was denied. A hearing in the appeal is scheduled for the third quarter of 2015.</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85" w:right="339" w:bottom="1440" w:gutter="0" w:footer="0" w:header="0"/>
        </w:sectPr>
      </w:pPr>
    </w:p>
    <w:bookmarkStart w:id="9" w:name="page10"/>
    <w:bookmarkEnd w:id="9"/>
    <w:p>
      <w:pPr>
        <w:jc w:val="both"/>
        <w:ind w:firstLine="64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62045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6204585"/>
                    </a:xfrm>
                    <a:prstGeom prst="rect">
                      <a:avLst/>
                    </a:prstGeom>
                    <a:noFill/>
                  </pic:spPr>
                </pic:pic>
              </a:graphicData>
            </a:graphic>
          </wp:anchor>
        </w:drawing>
        <w:t>On September 13, 2013 and January 28, 2014, Vringo Germany filed two suits in the Regional Court of Düsseldorf, alleging infringement of two additional European patents. Those cases were heard by the Court on November 27, 2014. On January 22, 2015, the Court issued its judgment, finding that ZTE does not infringe either patent. On February 17, 2015, Vringo filed notices of appeal for each patent. The appeal process is anticipated to take at least one year.</w:t>
      </w:r>
    </w:p>
    <w:p>
      <w:pPr>
        <w:spacing w:after="0" w:line="18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ZTE filed nullity suits with respect to the first and second European patents in the Federal Patents Court in Munich, Germany during the second and fourth quarters, respectively, of 2013. Trial in the nullity suit with respect to the first European patent took place on March 4, 2015. The Court indicated that it will present its findings in a written decision, which is likely to be released in the second quarter of 2015. Trial in the nullity suit with respect to the second European patent has been scheduled for the fourth quarter of 2015.</w:t>
      </w:r>
    </w:p>
    <w:p>
      <w:pPr>
        <w:spacing w:after="0" w:line="18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ZTE filed a nullity suit with respect to the third European patent in the Federal Patents Court in Munich, Germany, in the fourth quarter of 2013. A schedule has not yet been set and the trial is not anticipated before the third quarter of 2015. In addition, ZTE filed a nullity suit with respect to the fourth European patent in the Federal Patents Court in Munich, Germany in the second quarter of 2014. A schedule has not yet been set and the trial is not anticipated before the third quarter of 2015.</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ZTE filed nullity suits against three Vringo patents not currently being asserted against ZTE. Vringo believes these claims are meritless and will vigorously defend the validity of its patents. No schedule has currently been set in these cases.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ZTE has filed 33 reexamination requests of Vringo’s Chinese patents with the Patent Re-Examination Board (“PRB”) of the State Intellectual Property Office of the People’s Republic of China. To date, the PRB has upheld the validity of 17 of Vringo’s patents, partially upheld the validity of two of Vringo’s patents, and has held that 12 of Vringo’s patents are invalid. Vringo has filed appeals on the PRB’s decision on the nine patents that are held invalid. The appeal process is expected to take at least one year. The remaining reexamination requests remain pending, with decisions expected to be rendered on a rolling basis.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181818"/>
        </w:rPr>
        <w:t>On February 21, 2014, ZTE filed a civil complaint against Vringo and Vringo Infrastructure in the Shenzhen Intermediate Court alleging that Vringo violated China’s antimonopoly laws. Vringo received notice of the action on June 26, 2014. Vringo intends to vigorously contest all aspects of this action in the appropriate manner. On July 28, 2014, Vringo filed a motion to have this complaint dismissed due to lack of jurisdiction. On August 6, 2014, the Court dismissed this motion. Vringo filed an appeal of the dismissal, which was denied by the Court. The Court conducted hearing on May 29, 2015 for the parties to submit any evidence on which they intend to rely and during which ZTE amended its complaint to increase its damages demand. As a result Vringo filed a motion contesting the jurisdiction of the court which was denied. Vringo’s appeal of the jurisdictional question is pending. The trial court scheduled hearings starting on June 9, 2015 for the parties to argue their positions. The trial has been stayed pending the appeal. The appellate process is expected to take at least two months.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March 29, 2013, Vringo Infrastructure filed a patent infringement lawsuit in France in the Tribunal de Grande Instance de Paris, alleging infringement of the French part of two European patents. Vringo Infrastructure filed the lawsuit based on particular information uncovered during a seizure to obtain evidence of infringement, known as a saisie-contrefaçon, which was executed at two of ZTE's facilities in France. The oral hearing in relation to</w:t>
      </w:r>
    </w:p>
    <w:p>
      <w:pPr>
        <w:jc w:val="both"/>
        <w:ind w:right="20"/>
        <w:spacing w:after="0" w:line="205" w:lineRule="auto"/>
        <w:rPr>
          <w:sz w:val="20"/>
          <w:szCs w:val="20"/>
          <w:color w:val="auto"/>
        </w:rPr>
      </w:pPr>
      <w:r>
        <w:rPr>
          <w:rFonts w:ascii="Arial" w:cs="Arial" w:eastAsia="Arial" w:hAnsi="Arial"/>
          <w:sz w:val="18"/>
          <w:szCs w:val="18"/>
          <w:color w:val="auto"/>
        </w:rPr>
        <w:t>liability and injunctive relief for these patents was held on April 13, 2015 before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division of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chamber of the Tribunal de Grande Instance de Paris (specializing in IP matters). We anticipate that the Court will render a decision in the third quarter of 2015.</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8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63157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6315710"/>
                    </a:xfrm>
                    <a:prstGeom prst="rect">
                      <a:avLst/>
                    </a:prstGeom>
                    <a:noFill/>
                  </pic:spPr>
                </pic:pic>
              </a:graphicData>
            </a:graphic>
          </wp:anchor>
        </w:drawing>
        <w:t>Australia</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June 11, 2013, Vringo Infrastructure filed a patent infringement lawsuit in the Federal Court of Australia in the New South Wales registry, alleging infringement by ZTE of two Australian patents. In March 2015, the Court granted Vringo’s request to join ZTE as a party to the action. We currently anticipate that the Court will set a trial date in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September 6, 2013, Vringo Infrastructure filed a preliminary inquiry order against ZTE in the Commercial Court of Madrid, Spain, requiring ZTE to provide discovery relating to alleged infringement of a patent which is the Spanish counter-part of the second European patent filed in Germany. In light of ZTE’s non-responsiveness to the order, on March 24, 2014 the Court granted our request to seek discovery of four of ZTE’s Spanish customers. We have received responses from all four customers. On July 31, 2014, ZTE filed a nullity suit in the Commercial Court of Madrid seeking to invalidate two of the Spanish counter-parts of Vringo’s European patents, including the patent found valid as amended and infringed in the UK.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India</w:t>
      </w:r>
    </w:p>
    <w:p>
      <w:pPr>
        <w:spacing w:after="0" w:line="225"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auto"/>
        </w:rPr>
        <w:t>On November 7, 2013, we and our subsidiary, Vringo Infrastructure, filed a patent infringement lawsuit in the High Court of Delhi at New Delhi, India, alleging infringement of an Indian patent related to CDMA. On November 8, 2013, the Court granted an ex-parte preliminary injunction and appointed commissioners to inspect ZTE’s facilities and collect evidence. ZTE appealed the preliminary injunction and, on December 12, 2013, the Court instituted an interim arrangement. On February 3, 2014, we filed a motion for contempt for ZTE’s failure to comply with the Court’s order, and requested that the Court order ZTE to pay an increased bond. A ruling on this motion is pending.</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31, 2014, we and our subsidiary, Vringo Infrastructure, filed a patent infringement lawsuit in the High Court of Delhi at New Delhi, alleging infringement of a second Indian patent related to GSM Infrastructure. The Court granted an ex-parte preliminary injunction and appointed commissioners to inspect ZTE’s facilities and collect evidence. ZTE appealed the preliminary injunction and, on August 13, 2014, the Court instituted an interim arrangement. On August 30, 2014, we filed a motion for contempt for ZTE’s failure to comply with the Court’s order, and requested that the Court order ZTE to pay an increased bond. A ruling on this motion is pending.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Brazil</w:t>
      </w:r>
    </w:p>
    <w:p>
      <w:pPr>
        <w:spacing w:after="0" w:line="225"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On April 14, 2014, Vringo Infrastructure filed a patent infringement lawsuit assigned to the 5th Trial Court of Rio de Janeiro State Court in Brazil, alleging infringement of a Brazilian patent related to 3G/4G/LTE infrastructure. This is the Brazilian counterpart to the patent found to be valid as amended and infringed in the UK. On April 15, 2014, the court granted an ex-parte preliminary injunction restraining ZTE from manufacturing, using, offering for sale, selling, installing, testing, or importing such infrastructure equipment, subject to a fine. The Company posted a bond of approximately R$ 2,020,000 (approximately $621,000 as of March 31, 2015) with the court on April 17, 2014 as a surety against the truth of the allegations contained in the complaint. ZTE has filed numerous appeals against the injunction since, all of which have been rejected.</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July 17, 2014, ZTE filed a nullity suit in the Federal district court in Rio de Janiero, Brazil, against both Vringo and the Brazilian patent office, seeking to invalidate Vringo’s Brazilian patent. The Brazilian patent office answered the complaint, supporting the validity of the patent and requesting the dismissal of the complaint. A schedule for the remainder of this matter has not yet been set.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April 2015, ZTE filed a second suit in the Federal district court in Rio de Janeiro, against Vringo and the Brazilian patent office, seeking to prevent Vringo from enforcing the injunction issued in the state court. A schedule for this matter has not yet been set.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9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7002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7002145"/>
                    </a:xfrm>
                    <a:prstGeom prst="rect">
                      <a:avLst/>
                    </a:prstGeom>
                    <a:noFill/>
                  </pic:spPr>
                </pic:pic>
              </a:graphicData>
            </a:graphic>
          </wp:anchor>
        </w:drawing>
        <w:t>Malaysia</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June 23, 2014, Vringo Infrastructure filed a patent infringement lawsuit against ZTE in the High Court of Malaya at Kuala Lumpur. The Court is expected to hear the case in the fourth quarter of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Romania</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June 23, 2014, Vringo Infrastructure filed a patent infringement lawsuit against ZTE in the Bucharest Tribunal Civil Section. On July 1, 2014, the court granted an ex-parte preliminary injunction, ordering ZTE to cease any importation, exportation, introduction on the market, offer for sale, storage, sale, trade, distribution, promotion, or any other business activity regarding the infringing product. ZTE appealed the injunction and, on October 10, 2014, the Bucharest Court of Appeal suspended enforcement of the injunction in light of ZTE’s allegations that it was immediately subject to approximately €31,500,000 in contract losses, pending the outcome of the appeal. On January 8, 2015, the Court rejected ZTE’s appeal, and reinstated the injunction with immediate effect. The Court ordered Vringo to pay a bond of approximately €243,000 in order to continue to enforce the injunction. On February 4, 2015, the Court rejected ZTE’s request for the Court to order Vringo to pay an increased bond of €40,000,000, in a final decision that may not be appealed. Vringo paid the €243,000 bond on February 11, 2015 (approximately $264,000 as of March 31, 2015). ZTE has filed numerous appeals against the injunction since, all of which have been rejected.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Netherlands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 May 28, 2014, Vringo Infrastructure commenced legal proceedings, pursuant to European Anti-Piracy Regulations, Number 1383/2003, Article 11 against ZTE in the District Court of The Hague. ZTE has filed an invalidity lawsuit for the patent-in-suit. On August 19, 2014, Vringo Infrastructure filed another suit at the District Court of The Hague, which subsumed the May 18, 2014 lawsuit. A schedule has not yet been set in this matter.</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June 4, 2014, ZTE filed suit in the District Court of Rotterdam against Vringo and Vringo Infrastructure for the alleged wrongful detention of goods under the relevant anti-piracy regulations. A schedule has not yet been set in this matter.</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July 24, 2014, ZTE filed a request with the District Court of The Hague to seek the release of ZTE UMTS products being held by Dutch customs officials and to order Vringo to ask the Dutch customs authorities to stop their actions against ZTE’s products based on the Anti-Piracy Regulations of the European Union. On October 24, 2014, the President of the Court denied ZTE’s requests, and upheld the detention of ZTE’s goods, finding, prima facie, that ZTE has infringed one of Vringo’s European patents, upholding the validity of that patent, and rejecting ZTE’s argument that Vringo has violated European competition law by enforcing that patent. ZTE was also ordered to pay Vringo’s legal costs of approximately $250,000. ZTE retains the right to appeal this decision.</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October 23, 2014, ZTE filed suit in the District Court of The Hague seeking the invalidity of Vringo’s European Patent that is the subject of the other proceedings taking place in the same Court. A hearing in this matter has not yet been scheduled.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July 2, 2014, Vringo filed suit in the United States District Court for the Southern District of New York seeking a temporary restraining order and preliminary and permanent injunctions against ZTE, enjoining ZTE’s use of prohibited materials captured under a non-disclosure agreement (“NDA”) between the parties, including but not limited to ZTE’s use of such materials in its antitrust lawsuit in China against Vringo and Vringo Infrastructure. On July 7, 2014, the court granted a temporary restraining order against ZTE’s use of such material. On July 23, 2014, ZTE filed a counterclaim against Vringo. On July 24, 2014, the Court held a hearing on Vringo’s motion for a preliminary injunction against ZTE. On October 2, 2014, Vringo filed a motion for judgment on the pleadings, similar to a motion for summary judgment, asking the court to render a judgment on Vringo’s cause of action based solely on the pleadings of the parties. On April 6, 2015, the Court granted Vringo’s motion in part, holding that ZTE breached the NDA. On June 3, 2015, the Court granted, in part, Vringo’s request for a preliminary injunction, effectively converting the previously-granted temporary restraining order into a preliminary injunction.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89" w:right="339" w:bottom="1440" w:gutter="0" w:footer="0" w:header="0"/>
        </w:sectPr>
      </w:pPr>
    </w:p>
    <w:bookmarkStart w:id="12" w:name="page13"/>
    <w:bookmarkEnd w:id="12"/>
    <w:p>
      <w:pPr>
        <w:jc w:val="both"/>
        <w:ind w:firstLine="648"/>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7002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7002145"/>
                    </a:xfrm>
                    <a:prstGeom prst="rect">
                      <a:avLst/>
                    </a:prstGeom>
                    <a:noFill/>
                  </pic:spPr>
                </pic:pic>
              </a:graphicData>
            </a:graphic>
          </wp:anchor>
        </w:drawing>
        <w:t xml:space="preserve">On February 5, 2015, ZTE filed suit in the United States District Court for the District of Delaware alleging that Vringo breached its contractual obligations to ETSI, which it assumed from Nokia when it purchased its infrastructure patent portfolio. On February 6, 2015, the Court granted a temporary restraining order and preliminary injunction against Vringo. </w:t>
      </w:r>
      <w:r>
        <w:rPr>
          <w:rFonts w:ascii="Arial" w:cs="Arial" w:eastAsia="Arial" w:hAnsi="Arial"/>
          <w:sz w:val="16"/>
          <w:szCs w:val="16"/>
          <w:color w:val="181818"/>
        </w:rPr>
        <w:t>On February 10, 2015, the Court dissolved the temporary restraining order and</w:t>
      </w:r>
      <w:r>
        <w:rPr>
          <w:rFonts w:ascii="Arial" w:cs="Arial" w:eastAsia="Arial" w:hAnsi="Arial"/>
          <w:sz w:val="16"/>
          <w:szCs w:val="16"/>
          <w:color w:val="auto"/>
        </w:rPr>
        <w:t xml:space="preserve"> </w:t>
      </w:r>
      <w:r>
        <w:rPr>
          <w:rFonts w:ascii="Arial" w:cs="Arial" w:eastAsia="Arial" w:hAnsi="Arial"/>
          <w:sz w:val="16"/>
          <w:szCs w:val="16"/>
          <w:color w:val="181818"/>
        </w:rPr>
        <w:t>preliminary injunction and granted Vringo’s request to transfer the case to the United States District Court for the Southern District of New York.</w:t>
      </w:r>
    </w:p>
    <w:p>
      <w:pPr>
        <w:spacing w:after="0" w:line="154"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181818"/>
        </w:rPr>
        <w:t xml:space="preserve">On February 5, 2015, ZTE filed </w:t>
      </w:r>
      <w:r>
        <w:rPr>
          <w:rFonts w:ascii="Arial" w:cs="Arial" w:eastAsia="Arial" w:hAnsi="Arial"/>
          <w:sz w:val="18"/>
          <w:szCs w:val="18"/>
          <w:i w:val="1"/>
          <w:iCs w:val="1"/>
          <w:color w:val="181818"/>
        </w:rPr>
        <w:t>inter partes</w:t>
      </w:r>
      <w:r>
        <w:rPr>
          <w:rFonts w:ascii="Arial" w:cs="Arial" w:eastAsia="Arial" w:hAnsi="Arial"/>
          <w:sz w:val="18"/>
          <w:szCs w:val="18"/>
          <w:color w:val="181818"/>
        </w:rPr>
        <w:t xml:space="preserve"> review (“IPR”) requests for five of Vringo’s United States Patents. The requests, filed with the Patent Trial and Appeal Board (“PTAB”) of the United States Patent and Trademark Office will remain pending until the PTAB makes a decision on whether to grant the requests and, thus, review the patents. While these patents have counterparts being litigated by Vringo in other parts of the world, none of these United States Patents are currently in litigation. On June 5, 2015, ZTE withdrew their requests for IPR for procedural reasons. Vringo anticipates that ZTE will re-file them in the near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Commission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April 10, 2014, ZTE filed a complaint with the European Commission. We believe that the accusations are not accurate. The European Commission has not yet set the schedule for this matter.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Patent Office</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On May 14, 2015, ZTE filed an opposition to one of Vringo’s newly issued patents at the European Patent Office. Vringo believes that ZTE’s request has no merit and plans to vigorously defend the validity of its patent. A schedule has not yet been set.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Development and Reform Commission (China)</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13, 2015, Vringo Infrastructure received a Request for Assistance in Investigation from the National Development and Reform Commission of the People’s Republic of China (NDRC). This request was based on a complaint filed by ZTE against Vringo. The NDRC has demanded that Vringo consent to mediation with ZTE overseen by the NDRC or face severe criminal and civil penalties. Vringo is actively responding to the NDRC’s concerns and working to convince them that ZTE’s claims have no merit. Vringo is additionally working to ensure that the NDRC respects the various relevant treaties to which the United States and China are signatories.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4, 2013 and January 29, 2014, Vringo Germany filed two patent infringement lawsuits against ASUS in the Düsseldorf Regional Court, alleging infringement of two European patents. Those cases were heard by the Court on November 27, 2014. On January 22, 2015, the Court issued its judgment, finding that ASUS does not infringe either patent. On February 17, 2015, Vringo filed notices of appeal for each patent. The appeal process is anticipated to take at least one year.</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ASUS filed nullity suits with respect to the first and second European patents in the Federal Patents Court in Munich, Germany, during the second quarter of 2014. Trials in the nullity suits have not been scheduled but are not anticipated before the second quarter of 2016 for the first patent and the second quarter of 2015 for the second patent.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7, 2014, Vringo Infrastructure filed suit in the Commercial Court of Barcelona alleging infringement of a patent which is the Spanish counter-part of the first European patent filed in Germany. The oral hearing for this case was heard before the Commercial Court of Barcelona on November 25, 2014. Judgment is pending. On December 19, 2014, ASUS filed a nullity suit with respect to the same patent. A schedule for the case has not yet been set.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9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63157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6315710"/>
                    </a:xfrm>
                    <a:prstGeom prst="rect">
                      <a:avLst/>
                    </a:prstGeom>
                    <a:noFill/>
                  </pic:spPr>
                </pic:pic>
              </a:graphicData>
            </a:graphic>
          </wp:anchor>
        </w:drawing>
        <w:t>India</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April 15, 2014, Vringo Infrastructure filed suit in the High Court of Delhi, New Delhi alleging infringement of a patent related to use of dictionaries in search engines preloaded on certain ASUS devices. Google has successfully petitioned to intervene as an interested party and, by right, has filed responsive pleadings. A schedule for the remainder of case has not yet been set.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Search Patents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September 15, 2011, our wholly-owned subsidiary, I/P Engine, Inc. (“I/P Engine”) initiated litigation in the United States District Court, for the Eastern District of Virginia, against AOL Inc., Google, Inc., IAC Search &amp; Media, Inc., Gannett Company, Inc., and Target Corporation (collectively, the “Defendants”) for infringement of claims of U.S. Patent Nos. 6,314,420 and 6,775,664, which I/P Engine acquired from Lycos, Inc.</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Trial commenced on October 16, 2012, and the case was submitted to the jury on November 1, 2012. On November 6, 2012, the jury ruled in favor of I/P Engine and against the Defendants. After upholding the validity of the patents-in-suit, and determining that the asserted claims of the patents were infringed by the defendants, the jury found that reasonable royalty damages should be based on a “running royalty,” and that the running royalty rate should be 3.5%. The jury also awarded I/P Engine a total of approximately $30.5 million. On November 20, 2012, the clerk entered the District Court's final judgment.</w:t>
      </w:r>
    </w:p>
    <w:p>
      <w:pPr>
        <w:spacing w:after="0" w:line="188"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On January 3, 2014, the District Court ordered that I/P Engine recover an additional sum of $17.32 million from Defendants for supplemental damages and prejudgment interest. On January 21, 2014, the District Court ruled that Defendants' alleged design-around is “nothing more than a colorable variation of the system adjudged to infringe," and accordingly I/P Engine "is entitled to ongoing royalties as long as Defendants continue to use the modified system.” On January 28, 2014, the District Court ruled that the appropriate ongoing royalty rate for Defendants' continued infringement of the patents-in-suit that “would reasonably compensate [I/P Engine] for giving up [its] right to exclude yet allow an ongoing willful infringer to make a reasonable profit” is a rate of 6.5% of the 20.9% royalty base previously set by the District Court. The Defendants also filed a separate appeal related to these matters.</w:t>
      </w:r>
    </w:p>
    <w:p>
      <w:pPr>
        <w:spacing w:after="0" w:line="18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August 15, 2014, the Court of Appeals for the Federal Circuit (“Federal Circuit”) held that the claims of the patents-in-suit asserted by the Company against the Defendants are invalid for obviousness. On August 20, 2014, Vringo announced that I/P Engine would seek en banc review of the Federal Circuit's decision.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15, 2014, I/P Engine filed a petition for rehearing en banc, in which it argued that the majority's opinion in this case presents important questions of law and is at odds with a series of Supreme Court and Federal Circuit decisions which do not allow appellate judges to disregard a jury's detailed findings under these circumstances. I/P Engine argued that review is particularly appropriate here, where the panel majority not only failed to adopt the proper legal standard, but explicitly rejected it.</w:t>
      </w:r>
    </w:p>
    <w:p>
      <w:pPr>
        <w:spacing w:after="0" w:line="187"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181818"/>
        </w:rPr>
        <w:t xml:space="preserve">On December 15, 2014, </w:t>
      </w:r>
      <w:r>
        <w:rPr>
          <w:rFonts w:ascii="Arial" w:cs="Arial" w:eastAsia="Arial" w:hAnsi="Arial"/>
          <w:sz w:val="17"/>
          <w:szCs w:val="17"/>
          <w:color w:val="000000"/>
        </w:rPr>
        <w:t>the Federal Circuit denied I/P Engine's petition for rehearing of the case en banc and consequently, we announced that</w:t>
      </w:r>
      <w:r>
        <w:rPr>
          <w:rFonts w:ascii="Arial" w:cs="Arial" w:eastAsia="Arial" w:hAnsi="Arial"/>
          <w:sz w:val="17"/>
          <w:szCs w:val="17"/>
          <w:color w:val="181818"/>
        </w:rPr>
        <w:t xml:space="preserve"> I/P Engine will seek review by the Supreme Court of the United States (“Supreme Court”) of the Federal Circuit's decision. On May 14, 2015, I/P </w:t>
      </w:r>
      <w:r>
        <w:rPr>
          <w:rFonts w:ascii="Arial" w:cs="Arial" w:eastAsia="Arial" w:hAnsi="Arial"/>
          <w:sz w:val="17"/>
          <w:szCs w:val="17"/>
          <w:color w:val="000000"/>
        </w:rPr>
        <w:t>Engine filed</w:t>
      </w:r>
      <w:r>
        <w:rPr>
          <w:rFonts w:ascii="Arial" w:cs="Arial" w:eastAsia="Arial" w:hAnsi="Arial"/>
          <w:sz w:val="17"/>
          <w:szCs w:val="17"/>
          <w:color w:val="181818"/>
        </w:rPr>
        <w:t xml:space="preserve"> </w:t>
      </w:r>
      <w:r>
        <w:rPr>
          <w:rFonts w:ascii="Arial" w:cs="Arial" w:eastAsia="Arial" w:hAnsi="Arial"/>
          <w:sz w:val="17"/>
          <w:szCs w:val="17"/>
          <w:color w:val="000000"/>
        </w:rPr>
        <w:t>a petition for writ of certiorari with the Supreme Court of the United States. The petition asks the Court to review and overturn a divided opinion of the U.S. Court of Appeals for the Federal Circuit, issued on August 15, 2014, which reversed a jury verdict entered in favor of I/P Engine against Google and certain of Google's customers in the United States District Court for the Eastern District of Virginia.</w:t>
      </w:r>
    </w:p>
    <w:p>
      <w:pPr>
        <w:spacing w:after="0" w:line="173"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court dockets for the foregoing cases are publicly available on the Public Access to Court Electronic Records website, www.pacer.gov, which is operated by the Administrative Office of the U.S. Courts and the website for the Supreme Court of the United States, www.supremecourt.gov.</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9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7164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7164705"/>
                    </a:xfrm>
                    <a:prstGeom prst="rect">
                      <a:avLst/>
                    </a:prstGeom>
                    <a:noFill/>
                  </pic:spPr>
                </pic:pic>
              </a:graphicData>
            </a:graphic>
          </wp:anchor>
        </w:drawing>
        <w:t>Risks Associated with our Business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business is subject to numerous risks, as described under the heading “Risk Factors” contained in the applicable prospectus supplement and in any free writing prospectuses we have authorized for use in connection with a specific offering, and under similar headings in the documents that are incorporated by reference into this prospectus.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33"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We were incorporated in Delaware in 2006. Our principal executive offices are located at 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and our telephone number is (212) 309-7549. Our principal website is </w:t>
      </w:r>
      <w:r>
        <w:rPr>
          <w:rFonts w:ascii="Arial" w:cs="Arial" w:eastAsia="Arial" w:hAnsi="Arial"/>
          <w:sz w:val="18"/>
          <w:szCs w:val="18"/>
          <w:i w:val="1"/>
          <w:iCs w:val="1"/>
          <w:color w:val="auto"/>
        </w:rPr>
        <w:t>www.vringoip.com</w:t>
      </w:r>
      <w:r>
        <w:rPr>
          <w:rFonts w:ascii="Arial" w:cs="Arial" w:eastAsia="Arial" w:hAnsi="Arial"/>
          <w:sz w:val="18"/>
          <w:szCs w:val="18"/>
          <w:color w:val="auto"/>
        </w:rPr>
        <w:t>. Information found on, or accessible through, our website is not a part of, and is not incorporated into, this prospectus, and you should not consider it part of this prospectus or part of any prospectus supplement. Our website address is included in this document as an inactive textual reference only. Our common stock is listed on the NASDAQ Capital Market and trades under the symbol “VRNG.”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Securities We May Offer</w:t>
      </w:r>
    </w:p>
    <w:p>
      <w:pPr>
        <w:spacing w:after="0" w:line="229" w:lineRule="exact"/>
        <w:rPr>
          <w:sz w:val="20"/>
          <w:szCs w:val="20"/>
          <w:color w:val="auto"/>
        </w:rPr>
      </w:pPr>
    </w:p>
    <w:p>
      <w:pPr>
        <w:jc w:val="both"/>
        <w:ind w:firstLine="661"/>
        <w:spacing w:after="0" w:line="276" w:lineRule="auto"/>
        <w:rPr>
          <w:sz w:val="20"/>
          <w:szCs w:val="20"/>
          <w:color w:val="auto"/>
        </w:rPr>
      </w:pPr>
      <w:r>
        <w:rPr>
          <w:rFonts w:ascii="Arial" w:cs="Arial" w:eastAsia="Arial" w:hAnsi="Arial"/>
          <w:sz w:val="17"/>
          <w:szCs w:val="17"/>
          <w:color w:val="auto"/>
        </w:rPr>
        <w:t>Under this prospectus, we may offer shares of our common stock and preferred stock, various series of debt securities and/or warrants, rights or purchase contracts to purchase any of such securities, either individually or in units, with a total value of up to $50,000,000,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73" w:lineRule="exact"/>
        <w:rPr>
          <w:sz w:val="20"/>
          <w:szCs w:val="20"/>
          <w:color w:val="auto"/>
        </w:rPr>
      </w:pPr>
    </w:p>
    <w:p>
      <w:pPr>
        <w:ind w:left="960" w:hanging="316"/>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maturity, if applicable;</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redemption, conversion or sinking fund terms, if any;</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conversion or exercise prices, if any.</w:t>
      </w:r>
    </w:p>
    <w:p>
      <w:pPr>
        <w:spacing w:after="0" w:line="225"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81"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81" w:lineRule="exact"/>
        <w:rPr>
          <w:sz w:val="20"/>
          <w:szCs w:val="20"/>
          <w:color w:val="auto"/>
        </w:rPr>
      </w:pPr>
    </w:p>
    <w:p>
      <w:pPr>
        <w:ind w:left="960" w:hanging="316"/>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360" w:top="986" w:right="459" w:bottom="1440" w:gutter="0" w:footer="0" w:header="0"/>
        </w:sectPr>
      </w:pPr>
    </w:p>
    <w:bookmarkStart w:id="15" w:name="page16"/>
    <w:bookmarkEnd w:id="15"/>
    <w:p>
      <w:pPr>
        <w:ind w:left="320" w:hanging="316"/>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8274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827405"/>
                    </a:xfrm>
                    <a:prstGeom prst="rect">
                      <a:avLst/>
                    </a:prstGeom>
                    <a:noFill/>
                  </pic:spPr>
                </pic:pic>
              </a:graphicData>
            </a:graphic>
          </wp:anchor>
        </w:drawing>
        <w:t>the net proceeds to us.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This prospectus may not be used to consummate a sale of any securities unless it is accompanied by a prospectus supplement.</w:t>
      </w:r>
    </w:p>
    <w:p>
      <w:pPr>
        <w:spacing w:after="0" w:line="200" w:lineRule="exact"/>
        <w:rPr>
          <w:sz w:val="20"/>
          <w:szCs w:val="20"/>
          <w:color w:val="auto"/>
        </w:rPr>
      </w:pPr>
    </w:p>
    <w:p>
      <w:pPr>
        <w:spacing w:after="0" w:line="38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80"/>
          </w:cols>
          <w:pgMar w:left="1000" w:top="990" w:right="131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495"/>
        <w:spacing w:after="0" w:line="269" w:lineRule="auto"/>
        <w:rPr>
          <w:sz w:val="20"/>
          <w:szCs w:val="20"/>
          <w:color w:val="auto"/>
        </w:rPr>
      </w:pPr>
      <w:r>
        <w:rPr>
          <w:rFonts w:ascii="Arial" w:cs="Arial" w:eastAsia="Arial" w:hAnsi="Arial"/>
          <w:sz w:val="17"/>
          <w:szCs w:val="17"/>
          <w:color w:val="auto"/>
        </w:rPr>
        <w:t>Investing in our securities involves a high degree of risk. Before deciding whether to invest in our securities, you should consider carefully the risks and uncertainties described under the heading “Risk Factors” contained in the applicable prospectus supplement and any related free writing prospectus, and discussed under the section entitled “Risk Factors” contained in our most recent Annual Report on Form 10-K and in our most recent Quarterly Report on Form 10-Q, as well as any amendments thereto reflected in subsequent filings with the SEC, which are incorporated by reference into this prospectus in their entirety, together with other information in this prospectus, the documents incorporated by reference and any free writing prospectus that we may authorize for use in connection with this offering.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common stock to decline, resulting in a loss of all or part of your investment. Please also read carefully the section below entitled “Special Note Regarding Forward-Looking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SEC encourages companies to disclose forward-looking information so that investors can better understand a company’s future prospects and make informed investment decisions. This prospectus and the documents we have filed with the SEC that are incorporated herein by reference contain such “forward-looking statements” within the meaning of the Private Securities Litigation Reform Act of 1995.</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Such statements in connection with any discussion of future operations or financial performance are identified by the use of words such as “may,” “anticipate,” “estimate,” “expect,” “project,” “intend,” “plan,” “believe,” and other words and terms of similar meaning. Forward-looking statements include, but are not limited to, statements about: our business, operations, financial performance and condition, earnings, our prospects, our ability to raise capital to fund our operations and business plan, the continued listing of our securities on the NASDAQ Capital Market, our ability to protect intellectual property rights as well as regarding our industry generally. Forward–looking statements are not guarantees of performance. Such statements are based on management’s expectations and are subject to certain factors, risks and uncertainties that may cause actual results, outcome of events, timing and performance to differ materially from those expressed or implied by such statements. For a summary of such factors, please refer to the section entitled “Risk Factors” in this prospectus, as updated and supplemented by the discussion of risks and uncertainties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Any time debt securities are offered pursuant to this prospectus, we will provide a table setting forth our ratio of earnings to fixed charges on a historical basis in the applicable prospectus supplement, if required.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cannot assure you that we will receive any proceeds in connection with securities which may be offered pursuant to this prospectus. Unless otherwise indicated in the applicable prospectus supplement, we intend to use any net proceeds from the sale of securities under this prospectus for general corporate purposes, including, but not limited to, repayment of existing indebtedness, working capital, intellectual property protection and enforcement, capital expenditures, investments and acquisitions, including acquisitions of patent portfolios.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interest-bearing securities or apply them to the reduction of short-term indebtedness.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Plan of Distribution</w:t>
      </w:r>
    </w:p>
    <w:p>
      <w:pPr>
        <w:spacing w:after="0" w:line="229" w:lineRule="exact"/>
        <w:rPr>
          <w:sz w:val="20"/>
          <w:szCs w:val="20"/>
          <w:color w:val="auto"/>
        </w:rPr>
      </w:pPr>
    </w:p>
    <w:p>
      <w:pPr>
        <w:jc w:val="both"/>
        <w:ind w:right="20" w:firstLine="441"/>
        <w:spacing w:after="0" w:line="286" w:lineRule="auto"/>
        <w:rPr>
          <w:sz w:val="20"/>
          <w:szCs w:val="20"/>
          <w:color w:val="auto"/>
        </w:rPr>
      </w:pPr>
      <w:r>
        <w:rPr>
          <w:rFonts w:ascii="Arial" w:cs="Arial" w:eastAsia="Arial" w:hAnsi="Arial"/>
          <w:sz w:val="17"/>
          <w:szCs w:val="17"/>
          <w:color w:val="auto"/>
        </w:rPr>
        <w:t>We may offer securities under this prospectus from time to time pursuant to underwritten public offerings, negotiated transactions, block trades or a combination of these methods. We may sell the securities (i) through underwriters or dealers, (ii) through agents or (iii) directly to one or more purchasers, or through a combination of such methods. We may distribute the securities from time to time in one or more transactions at:</w:t>
      </w:r>
    </w:p>
    <w:p>
      <w:pPr>
        <w:spacing w:after="0" w:line="166"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fixed price or prices, which may be changed from time to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prices related to the prevailing market prices;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jc w:val="both"/>
        <w:ind w:firstLine="661"/>
        <w:spacing w:after="0" w:line="342" w:lineRule="auto"/>
        <w:rPr>
          <w:sz w:val="20"/>
          <w:szCs w:val="20"/>
          <w:color w:val="auto"/>
        </w:rPr>
      </w:pPr>
      <w:r>
        <w:rPr>
          <w:rFonts w:ascii="Arial" w:cs="Arial" w:eastAsia="Arial" w:hAnsi="Arial"/>
          <w:sz w:val="16"/>
          <w:szCs w:val="16"/>
          <w:color w:val="auto"/>
        </w:rPr>
        <w:t>We may directly solicit offers to purchase the securities being offered by this prospectus. We may also designate agents to solicit offers to purchase the securities from time to time. We will name in a prospectus supplement any underwriter or agent involved in the offer or sale of the securities.</w:t>
      </w:r>
    </w:p>
    <w:p>
      <w:pPr>
        <w:spacing w:after="0" w:line="124" w:lineRule="exact"/>
        <w:rPr>
          <w:sz w:val="20"/>
          <w:szCs w:val="20"/>
          <w:color w:val="auto"/>
        </w:rPr>
      </w:pPr>
    </w:p>
    <w:p>
      <w:pPr>
        <w:jc w:val="both"/>
        <w:ind w:firstLine="661"/>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jc w:val="both"/>
        <w:ind w:firstLine="661"/>
        <w:spacing w:after="0" w:line="257" w:lineRule="auto"/>
        <w:rPr>
          <w:sz w:val="20"/>
          <w:szCs w:val="20"/>
          <w:color w:val="auto"/>
        </w:rPr>
      </w:pPr>
      <w:r>
        <w:rPr>
          <w:rFonts w:ascii="Arial" w:cs="Arial" w:eastAsia="Arial" w:hAnsi="Arial"/>
          <w:sz w:val="18"/>
          <w:szCs w:val="18"/>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88" w:lineRule="exact"/>
        <w:rPr>
          <w:sz w:val="20"/>
          <w:szCs w:val="20"/>
          <w:color w:val="auto"/>
        </w:rPr>
      </w:pPr>
    </w:p>
    <w:p>
      <w:pPr>
        <w:jc w:val="both"/>
        <w:ind w:firstLine="661"/>
        <w:spacing w:after="0" w:line="255" w:lineRule="auto"/>
        <w:rPr>
          <w:sz w:val="20"/>
          <w:szCs w:val="20"/>
          <w:color w:val="auto"/>
        </w:rPr>
      </w:pPr>
      <w:r>
        <w:rPr>
          <w:rFonts w:ascii="Arial" w:cs="Arial" w:eastAsia="Arial" w:hAnsi="Arial"/>
          <w:sz w:val="18"/>
          <w:szCs w:val="18"/>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of 1933, as amended, or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78" w:lineRule="exact"/>
        <w:rPr>
          <w:sz w:val="20"/>
          <w:szCs w:val="20"/>
          <w:color w:val="auto"/>
        </w:rPr>
      </w:pPr>
    </w:p>
    <w:p>
      <w:pPr>
        <w:ind w:left="9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0" w:name="page21"/>
    <w:bookmarkEnd w:id="20"/>
    <w:p>
      <w:pPr>
        <w:jc w:val="both"/>
        <w:ind w:left="9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73" w:lineRule="exact"/>
        <w:rPr>
          <w:sz w:val="20"/>
          <w:szCs w:val="20"/>
          <w:color w:val="auto"/>
        </w:rPr>
      </w:pPr>
    </w:p>
    <w:p>
      <w:pPr>
        <w:jc w:val="both"/>
        <w:ind w:firstLine="661"/>
        <w:spacing w:after="0" w:line="259" w:lineRule="auto"/>
        <w:rPr>
          <w:sz w:val="20"/>
          <w:szCs w:val="20"/>
          <w:color w:val="auto"/>
        </w:rPr>
      </w:pPr>
      <w:r>
        <w:rPr>
          <w:rFonts w:ascii="Arial" w:cs="Arial" w:eastAsia="Arial" w:hAnsi="Arial"/>
          <w:sz w:val="18"/>
          <w:szCs w:val="18"/>
          <w:color w:val="auto"/>
        </w:rPr>
        <w:t>Shares of our common stock sold pursuant to the registration statement of which this prospectus is a part will be authorized for quotation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We can make no assurance as to the liquidity of or the existence of trading markets for any of the securities.</w:t>
      </w:r>
    </w:p>
    <w:p>
      <w:pPr>
        <w:spacing w:after="0" w:line="187" w:lineRule="exact"/>
        <w:rPr>
          <w:sz w:val="20"/>
          <w:szCs w:val="20"/>
          <w:color w:val="auto"/>
        </w:rPr>
      </w:pPr>
    </w:p>
    <w:p>
      <w:pPr>
        <w:jc w:val="both"/>
        <w:ind w:firstLine="661"/>
        <w:spacing w:after="0" w:line="254" w:lineRule="auto"/>
        <w:rPr>
          <w:sz w:val="20"/>
          <w:szCs w:val="20"/>
          <w:color w:val="auto"/>
        </w:rPr>
      </w:pPr>
      <w:r>
        <w:rPr>
          <w:rFonts w:ascii="Arial" w:cs="Arial" w:eastAsia="Arial" w:hAnsi="Arial"/>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underwriters, dealers and agents may engage in other transactions with us, or perform other services for us, in the ordinary course of their business.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firstLine="661"/>
        <w:spacing w:after="0" w:line="286" w:lineRule="auto"/>
        <w:rPr>
          <w:sz w:val="20"/>
          <w:szCs w:val="20"/>
          <w:color w:val="auto"/>
        </w:rPr>
      </w:pPr>
      <w:r>
        <w:rPr>
          <w:rFonts w:ascii="Arial" w:cs="Arial" w:eastAsia="Arial" w:hAnsi="Arial"/>
          <w:sz w:val="17"/>
          <w:szCs w:val="17"/>
          <w:color w:val="auto"/>
        </w:rPr>
        <w:t>The following is a summary of our capital stock and provisions of our restated certificate of incorporation and restated by-laws, as they are in effect as of the date of this prospectus. For more detailed information, please see our restated certificate of incorporation and restated bylaws, which are filed with the Securities and Exchange Commission as exhibits to the registration statement of which this prospectus forms a part.</w:t>
      </w:r>
    </w:p>
    <w:p>
      <w:pPr>
        <w:spacing w:after="0" w:line="166"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We are authorized to issue 150,000,000 shares of common stock, par value $0.01 per share, and 5,000,000 shares of preferred stock, par value $0.01 per share. As of June 15, 2015, we had 95,880,006 shares of common stock outstanding held of record by 11 stockholders, which does not include stockholders who hold their shares in “street name.” There are no outstanding shares of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Holders of common stock are entitled to one vote for each share held of record on all matters submitted to a vote of the stockholders, and do not have cumulative voting rights. Subject to preferences that may be applicable to any outstanding shares of preferred stock, holders of common stock are entitled to receive ratably such dividends, if any, as may be declared from time to time by our board of directors out of funds legally available for dividend payments. All shares of common stock outstanding as of the date of this prospectus are fully paid and nonassessable. The holders of common stock have no preferences or rights of conversion, exchange, pre-emption or other subscription rights. There are no redemption or sinking fund provisions applicable to the common stock. In the event of any liquidation, dissolution or winding-up of our affairs, holders of common stock will be entitled to share ratably in our assets that are remaining after payment or provision for payment of all of our debts and obligations and after liquidation payments to holders of outstanding shares of preferred stock, if 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441"/>
        <w:spacing w:after="0" w:line="291" w:lineRule="auto"/>
        <w:rPr>
          <w:sz w:val="20"/>
          <w:szCs w:val="20"/>
          <w:color w:val="auto"/>
        </w:rPr>
      </w:pPr>
      <w:r>
        <w:rPr>
          <w:rFonts w:ascii="Arial" w:cs="Arial" w:eastAsia="Arial" w:hAnsi="Arial"/>
          <w:sz w:val="16"/>
          <w:szCs w:val="16"/>
          <w:color w:val="auto"/>
        </w:rPr>
        <w:t>Our board of directors has the authority, without action by our stockholders, to designate and issue up to 5,000,000 shares of preferred stock in one or more series and to designate the rights, preferences, and limitations of all such series, any or all of which may be superior to the rights of our common stock. It is not possible to state the actual effect of the issuance of any shares of preferred stock upon the rights of the holders of common stock until our board of directors determines the specific rights of the holders of preferred stock. However, effects of the issuance of preferred stock include restricting dividends on our common stock, diluting the voting power of our common stock, impairing the liquidation rights of our common stock, and making it more difficult for a third party to acquire us, which could have the effect of discouraging a third party from acquiring, or deterring a third party from paying a premium to acquire, a majority of our outstanding voting stock. We have no present plans to issue any shares of our preferred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for our common stock is American Stock Transfer &amp; Trust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Our board of directors may, without further action by our stockholders, from time to time, direct the issuance of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2" w:name="page23"/>
    <w:bookmarkEnd w:id="22"/>
    <w:p>
      <w:pPr>
        <w:jc w:val="both"/>
        <w:ind w:firstLine="441"/>
        <w:spacing w:after="0" w:line="264" w:lineRule="auto"/>
        <w:rPr>
          <w:sz w:val="20"/>
          <w:szCs w:val="20"/>
          <w:color w:val="auto"/>
        </w:rPr>
      </w:pPr>
      <w:r>
        <w:rPr>
          <w:rFonts w:ascii="Arial" w:cs="Arial" w:eastAsia="Arial" w:hAnsi="Arial"/>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181" w:lineRule="exact"/>
        <w:rPr>
          <w:sz w:val="20"/>
          <w:szCs w:val="20"/>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shares offered, the liquidation preference, if any, per share and the purchase price;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for such dividends;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provisions for redemption, if applicable;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conversion period;</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exchange period;</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discussion of any material and/or special U.S. federal income tax considerations applicable to the preferred stock;</w:t>
      </w:r>
    </w:p>
    <w:p>
      <w:pPr>
        <w:spacing w:after="0" w:line="225" w:lineRule="exact"/>
        <w:rPr>
          <w:rFonts w:ascii="Arial" w:cs="Arial" w:eastAsia="Arial" w:hAnsi="Arial"/>
          <w:sz w:val="18"/>
          <w:szCs w:val="18"/>
          <w:color w:val="auto"/>
        </w:rPr>
      </w:pPr>
    </w:p>
    <w:p>
      <w:pPr>
        <w:ind w:left="760" w:right="20" w:hanging="320"/>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upon liquidation, dissolution or winding up of the affairs of the Company; and</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material limitations on issuance of any class or series of preferred stock ranking pari passu with or senior to the series of preferred stock as to dividend rights and rights upon liquidation, dissolution or winding up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any preferred stock we offer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May 4, 2015, we entered into a securities purchase agreement with certain institutional investors in a registered direct offering of $12,500,000 of senior secured convertible notes and certain warrants to purchase shares of our common stock. On May 4, 2015, we issued the notes, which are convertible into shares of our common stock at $1.00 per share, bear 8% interest and mature in 21 months from the date of issuance, or February 4, 2017, unless earlier converted. In addition, we issued approximately 5.4 million warrants to purchase shares of our common stock, which are exercisable at $1.00 per share and are exercisable for a period of five years. In connection with the issuance of the notes and warrants, we received net cash proceeds of $12,425,000 on May 5, 2015. Our obligations under the outstanding notes are secured by a first priority perfected security interest in substantially all of our U.S. assets. In addition, stock of certain of our subsidiaries has been pledged. The outstanding notes contain customary events of default, as well as covenants, which include restrictions on the assumption of new debt by Vringo.</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principal amount of the outstanding notes will be repaid monthly, and we may make such payments and related interest payments in cash or, subject to certain conditions, in registered shares of our common stock, at our election. If we choose to repay the notes in shares of its common stock, the shares will be issued at a 15% discount, based on the then-current market price data of our common stock. We may also repay the notes in advance of the maturity schedule subject to early repayment penalties. Once the notes are repaid and no longer outstanding, we will have the ability to offer and sell new senior debt securities, in accordance with the general terms and conditions described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93"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89" w:lineRule="exact"/>
        <w:rPr>
          <w:sz w:val="20"/>
          <w:szCs w:val="20"/>
          <w:color w:val="auto"/>
        </w:rPr>
      </w:pPr>
    </w:p>
    <w:p>
      <w:pPr>
        <w:jc w:val="both"/>
        <w:ind w:right="20" w:firstLine="441"/>
        <w:spacing w:after="0" w:line="277" w:lineRule="auto"/>
        <w:rPr>
          <w:sz w:val="20"/>
          <w:szCs w:val="20"/>
          <w:color w:val="auto"/>
        </w:rPr>
      </w:pPr>
      <w:r>
        <w:rPr>
          <w:rFonts w:ascii="Arial" w:cs="Arial" w:eastAsia="Arial" w:hAnsi="Arial"/>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70"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title or designation;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4" w:name="page25"/>
    <w:bookmarkEnd w:id="24"/>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aggregate principal amount and any limit on the amount that may be issued;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we will issue the series of debt securities in global form, the terms of any global securities and who the depositary will be;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maturity date and the date or dates on which principal will be payable;</w:t>
      </w:r>
    </w:p>
    <w:p>
      <w:pPr>
        <w:spacing w:after="0" w:line="225"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place or places where payments will be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indenture will restrict our ability to pay dividends, or will require us to maintain any asset ratios or reserves;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we will be restricted from incurring any additional indebtedness;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discussion on any material or special U.S. federal income tax considerations applicable to a series of debt securities;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denominations in which we will issue the series of debt securities, if other than denominations of $1,000 and any integral multiple thereof;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8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pay interest when due and our failure continues for 90 days and the time for payment has not been extended or deferred;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the time for payment has not been extended or delayed;</w:t>
      </w:r>
    </w:p>
    <w:p>
      <w:pPr>
        <w:spacing w:after="0" w:line="225" w:lineRule="exact"/>
        <w:rPr>
          <w:rFonts w:ascii="Arial" w:cs="Arial" w:eastAsia="Arial" w:hAnsi="Arial"/>
          <w:sz w:val="18"/>
          <w:szCs w:val="18"/>
          <w:color w:val="auto"/>
        </w:rPr>
      </w:pPr>
    </w:p>
    <w:p>
      <w:pPr>
        <w:jc w:val="both"/>
        <w:ind w:left="760" w:hanging="320"/>
        <w:spacing w:after="0" w:line="259"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86" w:lineRule="exact"/>
        <w:rPr>
          <w:rFonts w:ascii="Arial" w:cs="Arial" w:eastAsia="Arial" w:hAnsi="Arial"/>
          <w:sz w:val="18"/>
          <w:szCs w:val="18"/>
          <w:color w:val="auto"/>
        </w:rPr>
      </w:pPr>
    </w:p>
    <w:p>
      <w:pPr>
        <w:ind w:left="760" w:hanging="320"/>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 as to us.</w:t>
      </w:r>
    </w:p>
    <w:p>
      <w:pPr>
        <w:spacing w:after="0" w:line="225"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171" w:lineRule="exact"/>
        <w:rPr>
          <w:sz w:val="20"/>
          <w:szCs w:val="20"/>
          <w:color w:val="auto"/>
        </w:rPr>
      </w:pPr>
    </w:p>
    <w:p>
      <w:pPr>
        <w:jc w:val="both"/>
        <w:ind w:firstLine="441"/>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6" w:name="page27"/>
    <w:bookmarkEnd w:id="26"/>
    <w:p>
      <w:pPr>
        <w:jc w:val="both"/>
        <w:ind w:firstLine="441"/>
        <w:spacing w:after="0" w:line="297" w:lineRule="auto"/>
        <w:rPr>
          <w:sz w:val="20"/>
          <w:szCs w:val="20"/>
          <w:color w:val="auto"/>
        </w:rPr>
      </w:pPr>
      <w:r>
        <w:rPr>
          <w:rFonts w:ascii="Arial" w:cs="Arial" w:eastAsia="Arial" w:hAnsi="Arial"/>
          <w:sz w:val="16"/>
          <w:szCs w:val="16"/>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58" w:lineRule="exact"/>
        <w:rPr>
          <w:sz w:val="20"/>
          <w:szCs w:val="20"/>
          <w:color w:val="auto"/>
        </w:rPr>
      </w:pPr>
    </w:p>
    <w:p>
      <w:pPr>
        <w:ind w:left="760" w:hanging="320"/>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indentures or to appoint a receiver or trustee, or to seek other remedies if:</w:t>
      </w:r>
    </w:p>
    <w:p>
      <w:pPr>
        <w:spacing w:after="0" w:line="170" w:lineRule="exact"/>
        <w:rPr>
          <w:sz w:val="20"/>
          <w:szCs w:val="20"/>
          <w:color w:val="auto"/>
        </w:rPr>
      </w:pPr>
    </w:p>
    <w:p>
      <w:pPr>
        <w:ind w:left="760" w:hanging="320"/>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holder previously has given written notice to the debenture trustee of a continuing event of default with respect to that series;</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70" w:lineRule="exact"/>
        <w:rPr>
          <w:rFonts w:ascii="Arial" w:cs="Arial" w:eastAsia="Arial" w:hAnsi="Arial"/>
          <w:sz w:val="18"/>
          <w:szCs w:val="18"/>
          <w:color w:val="auto"/>
        </w:rPr>
      </w:pPr>
    </w:p>
    <w:p>
      <w:pPr>
        <w:jc w:val="both"/>
        <w:ind w:left="760" w:hanging="320"/>
        <w:spacing w:after="0" w:line="259"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We will periodically file statements with the applicable debenture trustee regarding our compliance with specified covenants in the applicable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debenture trustee and we may change the applicable indenture without the consent of any holders with respect to specific matters, including:</w:t>
      </w:r>
    </w:p>
    <w:p>
      <w:pPr>
        <w:spacing w:after="0" w:line="237"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 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 issued pursuant to such indenture.</w:t>
      </w:r>
    </w:p>
    <w:p>
      <w:pPr>
        <w:spacing w:after="0" w:line="170"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8"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any premium payable upon the redemption of any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reducing the principal amount of discount securities payable upon acceleration of maturity;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making the principal of or premium or interest on any debt security payable in currency other than that stated in the debt security; or</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obligations to:</w:t>
      </w:r>
    </w:p>
    <w:p>
      <w:pPr>
        <w:spacing w:after="0" w:line="170"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8" w:name="page29"/>
    <w:bookmarkEnd w:id="28"/>
    <w:p>
      <w:pPr>
        <w:jc w:val="both"/>
        <w:ind w:firstLine="441"/>
        <w:spacing w:after="0" w:line="264"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1"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73"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jc w:val="both"/>
        <w:ind w:left="760" w:hanging="320"/>
        <w:spacing w:after="0" w:line="264"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81"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Debenture Trustee</w:t>
      </w:r>
    </w:p>
    <w:p>
      <w:pPr>
        <w:spacing w:after="0" w:line="229" w:lineRule="exact"/>
        <w:rPr>
          <w:sz w:val="20"/>
          <w:szCs w:val="20"/>
          <w:color w:val="auto"/>
        </w:rPr>
      </w:pPr>
    </w:p>
    <w:p>
      <w:pPr>
        <w:jc w:val="both"/>
        <w:ind w:firstLine="441"/>
        <w:spacing w:after="0" w:line="276" w:lineRule="auto"/>
        <w:rPr>
          <w:sz w:val="20"/>
          <w:szCs w:val="20"/>
          <w:color w:val="auto"/>
        </w:rPr>
      </w:pPr>
      <w:r>
        <w:rPr>
          <w:rFonts w:ascii="Arial" w:cs="Arial" w:eastAsia="Arial" w:hAnsi="Arial"/>
          <w:sz w:val="17"/>
          <w:szCs w:val="17"/>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1"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3"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firstLine="247"/>
        <w:spacing w:after="0" w:line="293" w:lineRule="auto"/>
        <w:rPr>
          <w:sz w:val="20"/>
          <w:szCs w:val="20"/>
          <w:color w:val="auto"/>
        </w:rPr>
      </w:pPr>
      <w:r>
        <w:rPr>
          <w:rFonts w:ascii="Arial" w:cs="Arial" w:eastAsia="Arial" w:hAnsi="Arial"/>
          <w:sz w:val="16"/>
          <w:szCs w:val="16"/>
          <w:color w:val="auto"/>
        </w:rPr>
        <w:t>As of June 26, 2015, there were warrants to purchase 9,566,796 shares of Vringo common stock outstanding at a weighted-average exercise price of $1.33 per share. This amount is comprised of warrants to purchase 758,023 shares of common stock exercisable until February 6, 2017 at an exercise price of $1.76, warrants to purchase 3,433,773 shares of common stock exercisable until July 19, 2017 at an exercise price of $1.76, and warrants to purchase 5,375,000 shares of common stock exercisable until May 4, 2020 at an exercise price of $1.00. Prior to June 21, 2015, we also had public warrants to purchase 4,784,000 shares of common stock at an exercise price of $5.06, which were listed on the NASDAQ Capital Market under the symbol “VRNGW,” and additional warrants which were privately held to purchase 8,426,858 shares of common stock, both of which expired on June 21, 2015.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6"/>
          <w:szCs w:val="16"/>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applicable prospectus supplement will contain, where applicable, the following terms of and other information relating to the warrants:</w:t>
      </w:r>
    </w:p>
    <w:p>
      <w:pPr>
        <w:spacing w:after="0" w:line="225" w:lineRule="exact"/>
        <w:rPr>
          <w:sz w:val="20"/>
          <w:szCs w:val="20"/>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price at which we will issue, the warrants;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the warrants;</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spacing w:after="0" w:line="170" w:lineRule="exact"/>
        <w:rPr>
          <w:rFonts w:ascii="Arial" w:cs="Arial" w:eastAsia="Arial" w:hAnsi="Arial"/>
          <w:sz w:val="18"/>
          <w:szCs w:val="18"/>
          <w:color w:val="auto"/>
        </w:rPr>
      </w:pPr>
    </w:p>
    <w:p>
      <w:pPr>
        <w:ind w:left="760" w:right="20" w:hanging="320"/>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spacing w:after="0" w:line="170"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70" w:lineRule="exact"/>
        <w:rPr>
          <w:rFonts w:ascii="Arial" w:cs="Arial" w:eastAsia="Arial" w:hAnsi="Arial"/>
          <w:sz w:val="18"/>
          <w:szCs w:val="18"/>
          <w:color w:val="auto"/>
        </w:rPr>
      </w:pPr>
    </w:p>
    <w:p>
      <w:pPr>
        <w:ind w:left="760" w:hanging="320"/>
        <w:spacing w:after="0" w:line="308" w:lineRule="auto"/>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46" w:lineRule="exact"/>
        <w:rPr>
          <w:rFonts w:ascii="Arial" w:cs="Arial" w:eastAsia="Arial" w:hAnsi="Arial"/>
          <w:sz w:val="17"/>
          <w:szCs w:val="17"/>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the common stock, preferred stock and/or debt securities will be separately transferable;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1" w:name="page32"/>
    <w:bookmarkEnd w:id="31"/>
    <w:p>
      <w:pPr>
        <w:ind w:left="760" w:hanging="320"/>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redemption or call provisions;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the warrants may be sold separately or with other securities as parts of units;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and exercise of the warrants.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any warrants we offer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460"/>
          </w:cols>
          <w:pgMar w:left="240" w:top="881" w:right="119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441"/>
        <w:spacing w:after="0" w:line="287" w:lineRule="auto"/>
        <w:rPr>
          <w:sz w:val="20"/>
          <w:szCs w:val="20"/>
          <w:color w:val="auto"/>
        </w:rPr>
      </w:pPr>
      <w:r>
        <w:rPr>
          <w:rFonts w:ascii="Arial" w:cs="Arial" w:eastAsia="Arial" w:hAnsi="Arial"/>
          <w:sz w:val="16"/>
          <w:szCs w:val="16"/>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warrants or purchase contracts,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will provide in a prospectus supplement the following terms of the rights being issued:</w:t>
      </w:r>
    </w:p>
    <w:p>
      <w:pPr>
        <w:spacing w:after="0" w:line="225" w:lineRule="exact"/>
        <w:rPr>
          <w:sz w:val="20"/>
          <w:szCs w:val="20"/>
          <w:color w:val="auto"/>
        </w:rPr>
      </w:pPr>
    </w:p>
    <w:p>
      <w:pPr>
        <w:ind w:left="760" w:hanging="320"/>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rights distribution;</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number of shares of common stock, preferred stock or other securities purchasable upon exercise of the rights;</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 rights are transferrable and the date, if any, on and after which the rights may be separately transferred;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to exercise the rights will expire;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method by which holders of rights will be entitled to exercise;</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conditions to the completion of the offering, if 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withdrawal, termination and cancellation rights, if 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there are any backstop or standby purchaser or purchasers and the terms of their commitment, if 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stockholders are entitled to oversubscription rights, if any;</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applicable U.S. federal income tax considerations; and</w:t>
      </w:r>
    </w:p>
    <w:p>
      <w:pPr>
        <w:spacing w:after="0" w:line="225" w:lineRule="exact"/>
        <w:rPr>
          <w:rFonts w:ascii="Arial" w:cs="Arial" w:eastAsia="Arial" w:hAnsi="Arial"/>
          <w:sz w:val="18"/>
          <w:szCs w:val="18"/>
          <w:color w:val="auto"/>
        </w:rPr>
      </w:pPr>
    </w:p>
    <w:p>
      <w:pPr>
        <w:ind w:left="760" w:hanging="320"/>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distribution, exchange and exercise of the rights, as applicable.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3" w:name="page34"/>
    <w:bookmarkEnd w:id="33"/>
    <w:p>
      <w:pPr>
        <w:jc w:val="both"/>
        <w:ind w:firstLine="441"/>
        <w:spacing w:after="0" w:line="264" w:lineRule="auto"/>
        <w:rPr>
          <w:sz w:val="20"/>
          <w:szCs w:val="20"/>
          <w:color w:val="auto"/>
        </w:rPr>
      </w:pPr>
      <w:r>
        <w:rPr>
          <w:rFonts w:ascii="Arial" w:cs="Arial" w:eastAsia="Arial" w:hAnsi="Arial"/>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81"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rights agent for any rights we offer will be set forth in the applicable prospectus supplement.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jc w:val="both"/>
        <w:ind w:firstLine="441"/>
        <w:spacing w:after="0" w:line="270" w:lineRule="auto"/>
        <w:rPr>
          <w:sz w:val="20"/>
          <w:szCs w:val="20"/>
          <w:color w:val="auto"/>
        </w:rPr>
      </w:pPr>
      <w:r>
        <w:rPr>
          <w:rFonts w:ascii="Arial" w:cs="Arial" w:eastAsia="Arial" w:hAnsi="Arial"/>
          <w:sz w:val="17"/>
          <w:szCs w:val="17"/>
          <w:color w:val="auto"/>
        </w:rPr>
        <w:t>We may issue purchase contracts, including contracts obligating holders to purchase from us, and for us to sell to holders, a specific or variable number of our debt securities, shares of common stock, preferred stock, warrants or rights, or securities of an entity unaffiliated with us, or any combination of the above, at a future date or dates. Alternatively, the purchase contracts may obligate us to purchase from holders, and obligate holders to sell to us, a specific or variable number of our debt securities, shares of common stock, preferred stock, warrants, rights or other property, or any combination of the above. The price of the securities or other property subject to the purchase contracts may be fixed at the time the purchase contracts are issued or may be determined by reference to a specific formula described in the purchase contracts. We may issue purchase contracts separately or as a part of units each consisting of a purchase contract and one or more of our other securities described in this prospectus or securities of third parties, including U.S. Treasury securities, securing the holder’s obligations under the purchase contract. The purchase contracts may require us to make periodic payments to holders or vice versa and the payments may be unsecured or pre-funded on some basis. The purchase contracts may require holders to secure the holder’s obligations in a manner specified in the applicable prospectus supplement.</w:t>
      </w:r>
    </w:p>
    <w:p>
      <w:pPr>
        <w:spacing w:after="0" w:line="178"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applicable prospectus supplement will describe the terms of any purchase contracts in respect of which this prospectus is being delivered, including, to the extent applicable, the following:</w:t>
      </w:r>
    </w:p>
    <w:p>
      <w:pPr>
        <w:spacing w:after="0" w:line="170" w:lineRule="exact"/>
        <w:rPr>
          <w:sz w:val="20"/>
          <w:szCs w:val="20"/>
          <w:color w:val="auto"/>
        </w:rPr>
      </w:pPr>
    </w:p>
    <w:p>
      <w:pPr>
        <w:ind w:left="980" w:hanging="324"/>
        <w:spacing w:after="0" w:line="308"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purchase contracts are to be prepaid;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purchase contracts are to be settled by delivery, or by reference or linkage to the value, performance or level of the securities subject to purchase under the purchase contract;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purchase contracts;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applicable U.S. federal income tax considerations;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purchase contracts will be issued in fully registered or global form.</w:t>
      </w:r>
    </w:p>
    <w:p>
      <w:pPr>
        <w:spacing w:after="0" w:line="225"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The preceding description sets forth certain general terms and provisions of the purchase contracts to which any prospectus supplement may relate. The particular terms of the purchase contracts to which any prospectus supplement may relate and the extent, if any, to which the general provisions may apply to the purchase contracts so offered will be described in the applicable prospectus supplement. To the extent that any particular terms of the purchase contracts described in a prospectus supplement differ from any of the terms described above, then the terms described above will be deemed to have been superseded by that prospectus supplement. We encourage you to read the applicable purchase contract for additional information before you decide whether to purchase any of our purchase contracts.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87"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We may issue units consisting of common stock, preferred stock, one or more debt securities, warrants, rights or purchase contacts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760" w:right="20" w:hanging="320"/>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760" w:hanging="320"/>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225" w:lineRule="exact"/>
        <w:rPr>
          <w:rFonts w:ascii="Arial" w:cs="Arial" w:eastAsia="Arial" w:hAnsi="Arial"/>
          <w:sz w:val="18"/>
          <w:szCs w:val="18"/>
          <w:color w:val="auto"/>
        </w:rPr>
      </w:pPr>
    </w:p>
    <w:p>
      <w:pPr>
        <w:ind w:left="760" w:hanging="320"/>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provisions described in this section, as well as those set forth in any prospectus supplement or as described under “Description of Common Stock,” “Description of Preferred Stock,” “Description of Debt Securities,” “Description of Warrants,” “Description of Rights” and “Description of Purchase Contracts” will apply to each unit, as applicable, and to any common stock, preferred stock, debt security, warrant, right or purchase contract included in each unit, as applicable.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6" w:name="page37"/>
    <w:bookmarkEnd w:id="36"/>
    <w:p>
      <w:pPr>
        <w:ind w:left="340"/>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Delaware Law Governing Business Combinations</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We are subject to the “business combination” provisions of Section 203 of the Delaware General Corporation Law. In general, such provisions prohibit a publicly held Delaware corporation from engaging in any “business combination” transactions with any “interested stockholder” for a period of three years after the date on which the person became an “interested stockholder,” unless:</w:t>
      </w:r>
    </w:p>
    <w:p>
      <w:pPr>
        <w:spacing w:after="0" w:line="181" w:lineRule="exact"/>
        <w:rPr>
          <w:sz w:val="20"/>
          <w:szCs w:val="20"/>
          <w:color w:val="auto"/>
        </w:rPr>
      </w:pPr>
    </w:p>
    <w:p>
      <w:pPr>
        <w:ind w:left="980" w:right="2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prior to such date, the board of directors approved either the “business combination” or the transaction which resulted in the “interested stockholder” obtaining such status; or</w:t>
      </w:r>
    </w:p>
    <w:p>
      <w:pPr>
        <w:spacing w:after="0" w:line="170" w:lineRule="exact"/>
        <w:rPr>
          <w:rFonts w:ascii="Arial" w:cs="Arial" w:eastAsia="Arial" w:hAnsi="Arial"/>
          <w:sz w:val="18"/>
          <w:szCs w:val="18"/>
          <w:color w:val="auto"/>
        </w:rPr>
      </w:pPr>
    </w:p>
    <w:p>
      <w:pPr>
        <w:jc w:val="both"/>
        <w:ind w:left="980" w:hanging="324"/>
        <w:spacing w:after="0" w:line="276" w:lineRule="auto"/>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17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18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15% or more of a corporation’s voting stock or within three years did own 15% or more of a corporation’s voting stock. The statute could prohibit or delay mergers or other takeover or change in control attempts with respect to us and, accordingly, may discourage attempts to acquire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Our restated certificate of incorporation limits the liability of our officers and directors to the fullest extent permitted by the Delaware General Corporation Law, and our restated certificate of incorporation and restated bylaws provide that we will indemnify our officers and directors to the fullest extent permitted by such law.</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Mintz, Levin, Cohn, Ferris, Glovsky and Popeo, P.C., New York, New York, will pass upon the validity of the issuance of the securities offered by this prospectus.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The consolidated financial statements of Vringo, Inc. and subsidiaries as of December 31, 2014 and for the year then ended and management’s assessment of the effectiveness of internal control over financial reporting as of December 31, 2014 have been incorporated by reference herein and in the registration statement in reliance upon the reports of KPMG LLP, independent registered public accounting firm, incorporated by reference herein, and upon the authority of said firm as experts in accounting and auditing. The audit report dated March 16, 2015 covering the consolidated financial statements as of December 31, 2014 and for the year then ended contains an explanatory paragraph that the Company has suffered recurring losses from operations and negative cash flows from operating activities and may not have sufficient cash or available sources of liquidity to support operating requirements that raises substantial doubt about its ability to continue as a going concern. The consolidated financial statements do not include any adjustments that might result from the outcome of this uncertainty.</w:t>
      </w:r>
    </w:p>
    <w:p>
      <w:pPr>
        <w:spacing w:after="0" w:line="192"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consolidated financial statements of Vringo, Inc. and subsidiaries as of December 31, 2013 and for each of the years in the two-year period ended December 31, 2013 have been incorporated by reference herein and in the registration statement in reliance upon the report of Somekh Chaikin, a member firm of KPMG International, independent registered public accounting firm, incorporated by reference herein, and upon the authority of said firm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 xml:space="preserve">We are subject to the reporting requirements of the Securities Exchange Act of 1934, as amended,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 site at </w:t>
      </w:r>
      <w:r>
        <w:rPr>
          <w:rFonts w:ascii="Arial" w:cs="Arial" w:eastAsia="Arial" w:hAnsi="Arial"/>
          <w:sz w:val="18"/>
          <w:szCs w:val="18"/>
          <w:u w:val="single" w:color="auto"/>
          <w:color w:val="auto"/>
        </w:rPr>
        <w:t>http://www.sec.gov</w:t>
      </w:r>
      <w:r>
        <w:rPr>
          <w:rFonts w:ascii="Arial" w:cs="Arial" w:eastAsia="Arial" w:hAnsi="Arial"/>
          <w:sz w:val="18"/>
          <w:szCs w:val="18"/>
          <w:i w:val="1"/>
          <w:iCs w:val="1"/>
          <w:color w:val="auto"/>
        </w:rPr>
        <w:t>.</w:t>
      </w:r>
    </w:p>
    <w:p>
      <w:pPr>
        <w:spacing w:after="0" w:line="188"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88"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 xml:space="preserve">We also maintain a website at </w:t>
      </w:r>
      <w:r>
        <w:rPr>
          <w:rFonts w:ascii="Arial" w:cs="Arial" w:eastAsia="Arial" w:hAnsi="Arial"/>
          <w:sz w:val="18"/>
          <w:szCs w:val="18"/>
          <w:i w:val="1"/>
          <w:iCs w:val="1"/>
          <w:color w:val="auto"/>
        </w:rPr>
        <w:t>www.vringoip.com</w:t>
      </w:r>
      <w:r>
        <w:rPr>
          <w:rFonts w:ascii="Arial" w:cs="Arial" w:eastAsia="Arial" w:hAnsi="Arial"/>
          <w:sz w:val="18"/>
          <w:szCs w:val="18"/>
          <w:color w:val="auto"/>
        </w:rPr>
        <w:t>, through which you can access our SEC filings. The information set forth on, or accessible from, our website is not part of this prospectus.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INCORPORATION OF INFORMATION BY REFERENCE</w:t>
      </w:r>
    </w:p>
    <w:p>
      <w:pPr>
        <w:spacing w:after="0" w:line="229"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of 1933, as amended,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195"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Annual Report on Form 10-K for the fiscal year ended December 31, 2014, filed on March 16, 2015, as amended on April 30, 2015;</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Quarterly Report on Form 10-Q, filed on May 5, 2015;</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Current Reports on Form 8-K, filed on June 24, 2015, June 18, 2015, May 4, 2015 and January 23, 2015 (other than the portions of those reports not deemed to be filed);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description of our common stock and public warrants contained in our Registration Statement on Form 8-A, filed on April 29, 2013 (File No. 001-34785); and</w:t>
      </w:r>
    </w:p>
    <w:p>
      <w:pPr>
        <w:spacing w:after="0" w:line="170" w:lineRule="exact"/>
        <w:rPr>
          <w:rFonts w:ascii="Arial" w:cs="Arial" w:eastAsia="Arial" w:hAnsi="Arial"/>
          <w:sz w:val="18"/>
          <w:szCs w:val="18"/>
          <w:color w:val="auto"/>
        </w:rPr>
      </w:pPr>
    </w:p>
    <w:p>
      <w:pPr>
        <w:ind w:left="980" w:right="160" w:hanging="324"/>
        <w:spacing w:after="0" w:line="286"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noted, the SEC file number for each of the documents listed above is 001-34785.</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70"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7"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You may request, orally or in writing, a copy of any or all of the documents incorporated herein by reference. These documents will be provided to you at no cost, by contacting: Investor Relations, Vringo, Inc., 780 Third Avenue,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10017 or call (212) 309-7549.</w:t>
      </w:r>
    </w:p>
    <w:p>
      <w:pPr>
        <w:spacing w:after="0" w:line="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9" w:name="page40"/>
    <w:bookmarkEnd w:id="39"/>
    <w:p>
      <w:pPr>
        <w:jc w:val="both"/>
        <w:spacing w:after="0" w:line="261" w:lineRule="auto"/>
        <w:rPr>
          <w:sz w:val="20"/>
          <w:szCs w:val="20"/>
          <w:color w:val="auto"/>
        </w:rPr>
      </w:pPr>
      <w:r>
        <w:rPr>
          <w:rFonts w:ascii="Arial" w:cs="Arial" w:eastAsia="Arial" w:hAnsi="Arial"/>
          <w:sz w:val="18"/>
          <w:szCs w:val="18"/>
          <w:b w:val="1"/>
          <w:bCs w:val="1"/>
          <w:color w:val="FF404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040"/>
        </w:rPr>
        <w:t>SUBJECT TO COMPLETION, DATED JUNE 26,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5,375,000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COMMON STOCK</w:t>
      </w:r>
    </w:p>
    <w:p>
      <w:pPr>
        <w:spacing w:after="0" w:line="229" w:lineRule="exact"/>
        <w:rPr>
          <w:sz w:val="20"/>
          <w:szCs w:val="20"/>
          <w:color w:val="auto"/>
        </w:rPr>
      </w:pPr>
    </w:p>
    <w:p>
      <w:pPr>
        <w:jc w:val="both"/>
        <w:ind w:firstLine="416"/>
        <w:spacing w:after="0" w:line="302" w:lineRule="auto"/>
        <w:rPr>
          <w:sz w:val="20"/>
          <w:szCs w:val="20"/>
          <w:color w:val="auto"/>
        </w:rPr>
      </w:pPr>
      <w:r>
        <w:rPr>
          <w:rFonts w:ascii="Arial" w:cs="Arial" w:eastAsia="Arial" w:hAnsi="Arial"/>
          <w:sz w:val="16"/>
          <w:szCs w:val="16"/>
          <w:color w:val="auto"/>
        </w:rPr>
        <w:t>This prospectus relates to the offer and sale by us of up to 5,375,000 shares of common stock, par value $0.01 per share, that are issuable from time to time upon the exercise of warrants at an exercise price of $1.00 per share. The warrants were originally issued by us on May 4, 2015, pursuant to a prospectus supplement dated May 4, 2015 and an accompanying prospectus dated August 2, 2012. We will receive the proceeds from any cash exercises of the warrants. Each warrant is exercisable at any time until its expiration date, which date is five years from the initial exercisability date of the warrant.</w:t>
      </w:r>
    </w:p>
    <w:p>
      <w:pPr>
        <w:spacing w:after="0" w:line="154" w:lineRule="exact"/>
        <w:rPr>
          <w:sz w:val="20"/>
          <w:szCs w:val="20"/>
          <w:color w:val="auto"/>
        </w:rPr>
      </w:pPr>
    </w:p>
    <w:p>
      <w:pPr>
        <w:jc w:val="both"/>
        <w:ind w:firstLine="416"/>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“VRNG.” On June 24, 2015, the last reported sale price of our common stock on the NASDAQ Capital Market was $0.59 per share.</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Investing in our common stock involves a high degree of risk. Please read the information contained in and incorporated by reference under the heading “Risk Factors” on page S-10 of this prospectus, and under similar headings in the documents that are incorporated by reference into this prospectus.</w:t>
      </w:r>
    </w:p>
    <w:p>
      <w:pPr>
        <w:spacing w:after="0" w:line="176" w:lineRule="exact"/>
        <w:rPr>
          <w:sz w:val="20"/>
          <w:szCs w:val="20"/>
          <w:color w:val="auto"/>
        </w:rPr>
      </w:pPr>
    </w:p>
    <w:p>
      <w:pPr>
        <w:jc w:val="both"/>
        <w:ind w:firstLine="416"/>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ind w:left="4080"/>
              <w:spacing w:after="0"/>
              <w:rPr>
                <w:sz w:val="20"/>
                <w:szCs w:val="20"/>
                <w:color w:val="auto"/>
              </w:rPr>
            </w:pPr>
            <w:r>
              <w:rPr>
                <w:rFonts w:ascii="Arial" w:cs="Arial" w:eastAsia="Arial" w:hAnsi="Arial"/>
                <w:sz w:val="18"/>
                <w:szCs w:val="18"/>
                <w:b w:val="1"/>
                <w:bCs w:val="1"/>
                <w:color w:val="auto"/>
              </w:rPr>
              <w:t>The date of this prospectus is</w:t>
            </w:r>
          </w:p>
        </w:tc>
        <w:tc>
          <w:tcPr>
            <w:tcW w:w="4620" w:type="dxa"/>
            <w:vAlign w:val="bottom"/>
          </w:tcPr>
          <w:p>
            <w:pPr>
              <w:jc w:val="right"/>
              <w:ind w:right="3570"/>
              <w:spacing w:after="0"/>
              <w:rPr>
                <w:sz w:val="20"/>
                <w:szCs w:val="20"/>
                <w:color w:val="auto"/>
              </w:rPr>
            </w:pPr>
            <w:r>
              <w:rPr>
                <w:rFonts w:ascii="Arial" w:cs="Arial" w:eastAsia="Arial" w:hAnsi="Arial"/>
                <w:sz w:val="18"/>
                <w:szCs w:val="18"/>
                <w:b w:val="1"/>
                <w:bCs w:val="1"/>
                <w:color w:val="auto"/>
              </w:rPr>
              <w:t>, 2015.</w:t>
            </w:r>
          </w:p>
        </w:tc>
      </w:tr>
      <w:tr>
        <w:trPr>
          <w:trHeight w:val="648"/>
        </w:trPr>
        <w:tc>
          <w:tcPr>
            <w:tcW w:w="68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120" w:type="dxa"/>
            <w:vAlign w:val="bottom"/>
            <w:gridSpan w:val="3"/>
          </w:tcPr>
          <w:p>
            <w:pPr>
              <w:jc w:val="right"/>
              <w:ind w:right="47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00" w:type="dxa"/>
            <w:vAlign w:val="bottom"/>
            <w:gridSpan w:val="12"/>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About this Prospectus</w:t>
              </w:r>
            </w:hyperlink>
          </w:p>
        </w:tc>
        <w:tc>
          <w:tcPr>
            <w:tcW w:w="65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ii</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00" w:type="dxa"/>
            <w:vAlign w:val="bottom"/>
            <w:gridSpan w:val="12"/>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Prospectus Summary</w:t>
              </w:r>
            </w:hyperlink>
          </w:p>
        </w:tc>
        <w:tc>
          <w:tcPr>
            <w:tcW w:w="65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00" w:type="dxa"/>
            <w:vAlign w:val="bottom"/>
            <w:gridSpan w:val="12"/>
            <w:shd w:val="clear" w:color="auto" w:fill="CCEEFF"/>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Risk Factors</w:t>
              </w:r>
            </w:hyperlink>
          </w:p>
        </w:tc>
        <w:tc>
          <w:tcPr>
            <w:tcW w:w="65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00" w:type="dxa"/>
            <w:vAlign w:val="bottom"/>
            <w:gridSpan w:val="12"/>
            <w:shd w:val="clear" w:color="auto" w:fill="CCEEFF"/>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Special Note Regarding Forward-Looking Statements</w:t>
              </w:r>
            </w:hyperlink>
          </w:p>
        </w:tc>
        <w:tc>
          <w:tcPr>
            <w:tcW w:w="65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00" w:type="dxa"/>
            <w:vAlign w:val="bottom"/>
            <w:gridSpan w:val="12"/>
            <w:shd w:val="clear" w:color="auto" w:fill="CCEEFF"/>
          </w:tcPr>
          <w:p>
            <w:pPr>
              <w:spacing w:after="0" w:line="176" w:lineRule="exact"/>
              <w:rPr>
                <w:rFonts w:ascii="Arial" w:cs="Arial" w:eastAsia="Arial" w:hAnsi="Arial"/>
                <w:sz w:val="18"/>
                <w:szCs w:val="18"/>
                <w:color w:val="0000EE"/>
              </w:rPr>
            </w:pPr>
            <w:hyperlink w:anchor="page54">
              <w:r>
                <w:rPr>
                  <w:rFonts w:ascii="Arial" w:cs="Arial" w:eastAsia="Arial" w:hAnsi="Arial"/>
                  <w:sz w:val="18"/>
                  <w:szCs w:val="18"/>
                  <w:color w:val="0000EE"/>
                </w:rPr>
                <w:t>Use of Proceeds</w:t>
              </w:r>
            </w:hyperlink>
          </w:p>
        </w:tc>
        <w:tc>
          <w:tcPr>
            <w:tcW w:w="65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00" w:type="dxa"/>
            <w:vAlign w:val="bottom"/>
            <w:gridSpan w:val="12"/>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Description of Capital Stock</w:t>
              </w:r>
            </w:hyperlink>
          </w:p>
        </w:tc>
        <w:tc>
          <w:tcPr>
            <w:tcW w:w="65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00" w:type="dxa"/>
            <w:vAlign w:val="bottom"/>
            <w:gridSpan w:val="12"/>
            <w:shd w:val="clear" w:color="auto" w:fill="CCEEFF"/>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Plan of Distribution</w:t>
              </w:r>
            </w:hyperlink>
          </w:p>
        </w:tc>
        <w:tc>
          <w:tcPr>
            <w:tcW w:w="65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00" w:type="dxa"/>
            <w:vAlign w:val="bottom"/>
            <w:gridSpan w:val="12"/>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Legal Matters</w:t>
              </w:r>
            </w:hyperlink>
          </w:p>
        </w:tc>
        <w:tc>
          <w:tcPr>
            <w:tcW w:w="65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00" w:type="dxa"/>
            <w:vAlign w:val="bottom"/>
            <w:gridSpan w:val="12"/>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Experts</w:t>
              </w:r>
            </w:hyperlink>
          </w:p>
        </w:tc>
        <w:tc>
          <w:tcPr>
            <w:tcW w:w="65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00" w:type="dxa"/>
            <w:vAlign w:val="bottom"/>
            <w:gridSpan w:val="12"/>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Where You Can Find More Information</w:t>
              </w:r>
            </w:hyperlink>
          </w:p>
        </w:tc>
        <w:tc>
          <w:tcPr>
            <w:tcW w:w="65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300" w:type="dxa"/>
            <w:vAlign w:val="bottom"/>
            <w:gridSpan w:val="12"/>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Incorporation of Information by Reference</w:t>
              </w:r>
            </w:hyperlink>
          </w:p>
        </w:tc>
        <w:tc>
          <w:tcPr>
            <w:tcW w:w="65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S-17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firstLine="416"/>
        <w:spacing w:after="0" w:line="259" w:lineRule="auto"/>
        <w:rPr>
          <w:sz w:val="20"/>
          <w:szCs w:val="20"/>
          <w:color w:val="auto"/>
        </w:rPr>
      </w:pPr>
      <w:r>
        <w:rPr>
          <w:rFonts w:ascii="Arial" w:cs="Arial" w:eastAsia="Arial" w:hAnsi="Arial"/>
          <w:sz w:val="18"/>
          <w:szCs w:val="18"/>
          <w:color w:val="auto"/>
        </w:rPr>
        <w:t>This prospectus relates to the offering of our common stock. Before buying any of the common stock that we are offering, we urge you to carefully read this prospectus, together with the information incorporated by reference as described under the headings “Where You Can Find More Information” and “Incorporation of Information by Reference” in this prospectus. These documents contain important information that you should consider when making your investment decision.</w:t>
      </w:r>
    </w:p>
    <w:p>
      <w:pPr>
        <w:spacing w:after="0" w:line="187" w:lineRule="exact"/>
        <w:rPr>
          <w:sz w:val="20"/>
          <w:szCs w:val="20"/>
          <w:color w:val="auto"/>
        </w:rPr>
      </w:pPr>
    </w:p>
    <w:p>
      <w:pPr>
        <w:jc w:val="both"/>
        <w:ind w:firstLine="416"/>
        <w:spacing w:after="0" w:line="273" w:lineRule="auto"/>
        <w:rPr>
          <w:sz w:val="20"/>
          <w:szCs w:val="20"/>
          <w:color w:val="auto"/>
        </w:rPr>
      </w:pPr>
      <w:r>
        <w:rPr>
          <w:rFonts w:ascii="Arial" w:cs="Arial" w:eastAsia="Arial" w:hAnsi="Arial"/>
          <w:sz w:val="17"/>
          <w:szCs w:val="17"/>
          <w:color w:val="auto"/>
        </w:rPr>
        <w:t>This prospectus describes the specific terms of the common stock we are offering and also adds to, and updates information contained in the documents incorporated by reference into this prospectus. To the extent there is a conflict between the information contained in this prospectus, on the one hand, and the information contained in any document incorporated by reference into this prospectus that was filed with the Securities and Exchange Commission, or SEC, before the date of this prospectus, on the other hand, you should rely on the information in this prospectus. If any statement in one of these documents is inconsistent with a statement in another document having a later date — for example, a document incorporated by reference into this prospectus — the statement in the document having the later date modifies or supersedes the earlier statement.</w:t>
      </w:r>
    </w:p>
    <w:p>
      <w:pPr>
        <w:spacing w:after="0" w:line="178" w:lineRule="exact"/>
        <w:rPr>
          <w:sz w:val="20"/>
          <w:szCs w:val="20"/>
          <w:color w:val="auto"/>
        </w:rPr>
      </w:pPr>
    </w:p>
    <w:p>
      <w:pPr>
        <w:jc w:val="both"/>
        <w:ind w:firstLine="416"/>
        <w:spacing w:after="0" w:line="288" w:lineRule="auto"/>
        <w:rPr>
          <w:sz w:val="20"/>
          <w:szCs w:val="20"/>
          <w:color w:val="auto"/>
        </w:rPr>
      </w:pPr>
      <w:r>
        <w:rPr>
          <w:rFonts w:ascii="Arial" w:cs="Arial" w:eastAsia="Arial" w:hAnsi="Arial"/>
          <w:sz w:val="16"/>
          <w:szCs w:val="16"/>
          <w:color w:val="auto"/>
        </w:rPr>
        <w:t>You should rely only on the information contained in, or incorporated by reference into, this prospectus and in any free writing prospectus that we may authorize for use in connection with this offering. We have not authorized any other person to provide you with different information. If anyone provides you with different or inconsistent information, you should not rely on it. We are not making an offer to sell or soliciting an offer to buy our securities in any jurisdiction in which an offer or solicitation is not authorized or in which the person making that offer or solicitation is not qualified to do so or to anyone to whom it is unlawful to make an offer or solicitation. You should assume that the information appearing in this prospectus, the documents incorporated by reference into this prospectus,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the documents incorporated by reference into this prospectus,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entitled “Where You Can Find More Information” and “Incorporation of Information by Reference.”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312025" cy="49441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12025" cy="4944110"/>
                    </a:xfrm>
                    <a:prstGeom prst="rect">
                      <a:avLst/>
                    </a:prstGeom>
                    <a:noFill/>
                  </pic:spPr>
                </pic:pic>
              </a:graphicData>
            </a:graphic>
          </wp:anchor>
        </w:drawing>
        <w:t>PROSPECTUS SUMMARY</w:t>
      </w:r>
    </w:p>
    <w:p>
      <w:pPr>
        <w:spacing w:after="0" w:line="229" w:lineRule="exact"/>
        <w:rPr>
          <w:sz w:val="20"/>
          <w:szCs w:val="20"/>
          <w:color w:val="auto"/>
        </w:rPr>
      </w:pPr>
    </w:p>
    <w:p>
      <w:pPr>
        <w:jc w:val="both"/>
        <w:ind w:firstLine="661"/>
        <w:spacing w:after="0" w:line="302" w:lineRule="auto"/>
        <w:rPr>
          <w:sz w:val="20"/>
          <w:szCs w:val="20"/>
          <w:color w:val="auto"/>
        </w:rPr>
      </w:pPr>
      <w:r>
        <w:rPr>
          <w:rFonts w:ascii="Arial" w:cs="Arial" w:eastAsia="Arial" w:hAnsi="Arial"/>
          <w:sz w:val="16"/>
          <w:szCs w:val="16"/>
          <w:i w:val="1"/>
          <w:iCs w:val="1"/>
          <w:color w:val="auto"/>
        </w:rPr>
        <w:t>The following summary highlights information contained elsewhere in this prospectus or incorporated by reference herein and does not contain all the information that may be important to purchasers of our securities. Prospective purchasers of our securities should review this entire prospectus carefully, including the risks of investing discussed under “Risk Factors” on page S-10, the financial statements and related notes, and the information to which we refer you and the information incorporated into this prospectus by reference, for a complete understanding of our business and this offering.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Vringo, Inc. (“Vringo”) strives to develop, acquire, license and protect innovation worldwide. We are currently focused on identifying, generating, acquiring, and deriving economic benefits from intellectual property assets. We plan to continue to expand our portfolio of intellectual property assets through acquiring and internally developing new technologies. We intend to monetize our technology portfolio through a variety of value enhancing initiatives, including, but not limited to:</w:t>
      </w:r>
    </w:p>
    <w:p>
      <w:pPr>
        <w:spacing w:after="0" w:line="187" w:lineRule="exact"/>
        <w:rPr>
          <w:sz w:val="20"/>
          <w:szCs w:val="20"/>
          <w:color w:val="auto"/>
        </w:rPr>
      </w:pPr>
    </w:p>
    <w:p>
      <w:pPr>
        <w:ind w:left="960" w:hanging="316"/>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licensing;</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225" w:lineRule="exact"/>
        <w:rPr>
          <w:rFonts w:ascii="Arial" w:cs="Arial" w:eastAsia="Arial" w:hAnsi="Arial"/>
          <w:sz w:val="18"/>
          <w:szCs w:val="18"/>
          <w:color w:val="auto"/>
        </w:rPr>
      </w:pPr>
    </w:p>
    <w:p>
      <w:pPr>
        <w:ind w:left="960" w:hanging="316"/>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manage an intellectual property portfolio consisting of over 600 patents and patent applications, covering telecom infrastructure, internet search and mobile technologies. These patents and patent applications have been developed internally or acquired from third parties. We strive to develop, acquire, license and protect innovation worldwide. We seek to expand our portfolio of intellectual property through acquisition and development both internally and with the assistance of third parties. Our goal is to partner with innovators of compelling technologies.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potential acquisitions, we seek to purchase all of, or interests in, technology and intellectual property in exchange for cash, our securities and/or interests in the monetization of those assets. Our revenue from this aspect of our business can be generated through licensing and litigation efforts. We engage in robust due diligence and a principled risk underwriting process to evaluate the merits and potential value of any acquisition or partnership. We seek to structure the terms of our acquisitions and partnerships in a manner that will achieve the highest risk-adjusted returns possible. We believe that our capital resources and potential access to capital, together with the experience of our management team and board of directors, will allow us to assemble a portfolio of quality assets with short and long-term revenue opportunities.</w:t>
      </w:r>
    </w:p>
    <w:p>
      <w:pPr>
        <w:spacing w:after="0" w:line="200" w:lineRule="exact"/>
        <w:rPr>
          <w:sz w:val="20"/>
          <w:szCs w:val="20"/>
          <w:color w:val="auto"/>
        </w:rPr>
      </w:pPr>
    </w:p>
    <w:p>
      <w:pPr>
        <w:spacing w:after="0" w:line="30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360" w:top="986"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67278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6727825"/>
                    </a:xfrm>
                    <a:prstGeom prst="rect">
                      <a:avLst/>
                    </a:prstGeom>
                    <a:noFill/>
                  </pic:spPr>
                </pic:pic>
              </a:graphicData>
            </a:graphic>
          </wp:anchor>
        </w:drawing>
        <w:t>May 2015 Financing Transaction</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May 4, 2015, we entered into a securities purchase agreement with certain institutional investors in a registered direct offering of $12,500,000 of senior secured convertible notes, or the notes, and certain warrants to purchase shares of our common stock. Pursuant to the securities purchase agreement, on May 5, 2015, we issued the notes, which are convertible into shares of our common stock at $1.00 per share, bear 8% interest and mature in 21 months from the date of issuance, unless earlier converted. In addition, we issued 5,375,000 warrants to purchase shares of our common stock, which are exercisable at $1.00 per share and are exercisable for a period of five years. In connection with the issuance of the notes and warrants, we received net cash proceeds of $12,425,000 on May 5, 2015. Our obligations under the outstanding Notes are secured by a first priority perfected security interest in substantially all of our U.S. assets. In addition, stock of certain of our subsidiaries has been pledged. The outstanding notes contain customary events of default, as well as covenants, which include restrictions on the assumption of new debt by Vringo. This transaction will be accounted for in the second quarter of fiscal 2015. As a result of this transaction, our cash balance as of May 5, 2015 is approximately $23,000,000.</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principal amount of the outstanding notes will be repaid monthly, and we may make such payments and related interest payments in cash or, subject to certain conditions, in registered shares of our common stock, at our election. If we choose to repay the notes in shares of our common stock, the shares will be issued at a 15% discount, based on the then-current market price data of our common stock. We may also repay the notes in advance of the maturity schedule subject to early repayment penalties. We are registering the shares of common stock underlying the warrants under this prospectus. For additional information of our May 2015 Financing Transaction, please refer to the section entitled “Description of Capital Stock — May 2015 Financing Transaction.”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Infrastructure Patents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one of the means of realizing the value of the patents on telecom infrastructure, our wholly-owned subsidiaries, Vringo Infrastructure, Inc. (“Vringo Infrastructure”), Vringo, Inc. and Vringo Germany GmbH (“Vringo Germany”) have filed a number of suits against ZTE Corporation (“ZTE”), ASUSTeK Computer Inc. (“ASUS”), and certain of their subsidiaries, affiliates and other companies in the United States, European jurisdictions, India, Australia, Brazil, and Malaysia alleging infringement of certain U.S., European, Indian, Australian, Brazilian, and Malaysian patents.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October 5, 2012, Vringo Infrastructure filed a suit in the UK High Court of Justice, Chancery Division, Patents Court, alleging infringement of three European patents. Subsequently, ZTE responded to the complaint with a counterclaim for invalidity of the patents-in-suit. Vringo Infrastructure filed a second UK suit on December 3, 2012, alleging infringement of three additional European patents.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March 2014, Vringo Infrastructure withdrew its claim to one of the patents included in the first suit, and ZTE withdrew its invalidity counterclaim. Another patent included in the first suit was heard in a trial that commenced on October 28, 2014.</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28, 2014, the Court found the patent valid as amended and infringed by ZTE. Following the Court’s ruling, ZTE applied to introduce new prior art and re-argue the validity of the patent; the application was rejected on January 30, 2015. There was no appeal by ZTE of the substantive decision and therefore the decision is final. Trial on the remedies phase is currently scheduled to occur in the first half of 2016 and will focus on the appropriate royalty rate to be awarded.</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181818"/>
        </w:rPr>
        <w:t>On February 17, 2015, Vringo withdrew its infringement claims against ZTE on three of the four remaining European Patents in suit in the second litigation in the UK. ZTE subsequently withdrew its invalidity counterclaims in respect of these three patents.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86" w:right="339" w:bottom="1440" w:gutter="0" w:footer="0" w:header="0"/>
        </w:sectPr>
      </w:pPr>
    </w:p>
    <w:bookmarkStart w:id="44" w:name="page45"/>
    <w:bookmarkEnd w:id="44"/>
    <w:p>
      <w:pPr>
        <w:ind w:right="520" w:firstLine="648"/>
        <w:spacing w:after="0" w:line="277" w:lineRule="auto"/>
        <w:rPr>
          <w:sz w:val="20"/>
          <w:szCs w:val="20"/>
          <w:color w:val="auto"/>
        </w:rPr>
      </w:pPr>
      <w:r>
        <w:rPr>
          <w:rFonts w:ascii="Arial" w:cs="Arial" w:eastAsia="Arial" w:hAnsi="Arial"/>
          <w:sz w:val="18"/>
          <w:szCs w:val="18"/>
          <w:color w:val="181818"/>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63157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6315710"/>
                    </a:xfrm>
                    <a:prstGeom prst="rect">
                      <a:avLst/>
                    </a:prstGeom>
                    <a:noFill/>
                  </pic:spPr>
                </pic:pic>
              </a:graphicData>
            </a:graphic>
          </wp:anchor>
        </w:drawing>
        <w:t>On April 10, 2015, Vringo and ZTE reached an agreement in relation to the remaining European Patent in issue (EP (UK) 1 330 933) in the second patent case in the UK as a result of which the parties withdrew their respective claims and counterclaims.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On November 15, 2012, Vringo Germany filed a suit in the Mannheim Regional Court in Germany, alleging infringement of a European patent. The litigation was expanded to include a second European patent on February 21, 2013. On November 4, 2013, Vringo Germany filed a further brief with respect to the proceedings of the first European patent suit, asserting infringement by ZTE eNode B infrastructure equipment used in 4G networks. Vringo Germany re-filed the first European patent case in the Regional Court of Düsseldorf on December 5, 2014.</w:t>
      </w:r>
    </w:p>
    <w:p>
      <w:pPr>
        <w:spacing w:after="0" w:line="171"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7"/>
          <w:szCs w:val="17"/>
          <w:color w:val="auto"/>
        </w:rPr>
        <w:t>On December 17, 2013, the Court issued its judgment in the second European patent case, finding that ZTE infringed that patent and ordering an accounting and an injunction upon payment of the appropriate bonds. On February 19, 2014, Vringo Germany filed suit in the Mannheim Regional Court seeking enforcement of the accounting ordered and a further order that non-compliance be subject to civil and criminal penalties. On May 5, 2014, we paid a bond of €1,000,000 (approximately $1,085,000 as of March 31, 2015) to the Court in order to enforce the injunction against ZTE. On December 27, 2013, ZTE filed a notice of appeal of the Mannheim Regional Court’s judgment in the second European patent case, and on January 24, 2014, ZTE filed an emergency motion with the Court of Appeals seeking a stay of the judge’s order pending appeal. On February 24, 2014, ZTE’s motion was denied. A hearing in the appeal is scheduled for the third quarter of 2015.</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13, 2013 and January 28, 2014, Vringo Germany filed two suits in the Regional Court of Düsseldorf, alleging infringement of two additional European patents. Those cases were heard by the Court on November 27, 2014. On January 22, 2015, the Court issued its judgment, finding that ZTE does not infringe either patent. On February 17, 2015, Vringo filed notices of appeal for each patent. The appeal process is anticipated to take at least one year.</w:t>
      </w:r>
    </w:p>
    <w:p>
      <w:pPr>
        <w:spacing w:after="0" w:line="18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ZTE filed nullity suits with respect to the first and second European patents in the Federal Patents Court in Munich, Germany during the second and fourth quarters, respectively, of 2013. Trial in the nullity suit with respect to the first European patent took place on March 4, 2015. The Court indicated that it will present its findings in a written decision, which is likely to be released in the second quarter of 2015. Trial in the nullity suit with respect to the second European patent has been scheduled for the fourth quarter of 2015.</w:t>
      </w:r>
    </w:p>
    <w:p>
      <w:pPr>
        <w:spacing w:after="0" w:line="18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ZTE filed a nullity suit with respect to the third European patent in the Federal Patents Court in Munich, Germany, in the fourth quarter of 2013. A schedule has not yet been set and the trial is not anticipated before the third quarter of 2015. In addition, ZTE filed a nullity suit with respect to the fourth European patent in the Federal Patents Court in Munich, Germany in the second quarter of 2014. A schedule has not yet been set and the trial is not anticipated before the third quarter of 2015.</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ZTE filed nullity suits against three Vringo patents not currently being asserted against ZTE. Vringo believes these claims are meritless and will vigorously defend the validity of its patents. No schedule has currently been set in these cases.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ZTE has filed 33 reexamination requests of Vringo’s Chinese patents with the Patent Re-Examination Board (“PRB”) of the State Intellectual Property Office of the People’s Republic of China. To date, the PRB has upheld the validity of 17 of Vringo’s patents, partially upheld the validity of two of Vringo’s patents, and has held that 12 of Vringo’s patents are invalid. Vringo has filed appeals on the PRB’s decision on the nine patents that are held invalid. The appeal process is expected to take at least one year. The remaining reexamination requests remain pending, with decisions expected to be rendered on a rolling basis.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89" w:right="339" w:bottom="1440" w:gutter="0" w:footer="0" w:header="0"/>
        </w:sectPr>
      </w:pPr>
    </w:p>
    <w:bookmarkStart w:id="45" w:name="page46"/>
    <w:bookmarkEnd w:id="45"/>
    <w:p>
      <w:pPr>
        <w:jc w:val="both"/>
        <w:ind w:firstLine="648"/>
        <w:spacing w:after="0" w:line="254" w:lineRule="auto"/>
        <w:rPr>
          <w:sz w:val="20"/>
          <w:szCs w:val="20"/>
          <w:color w:val="auto"/>
        </w:rPr>
      </w:pPr>
      <w:r>
        <w:rPr>
          <w:rFonts w:ascii="Arial" w:cs="Arial" w:eastAsia="Arial" w:hAnsi="Arial"/>
          <w:sz w:val="18"/>
          <w:szCs w:val="18"/>
          <w:color w:val="181818"/>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647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6478905"/>
                    </a:xfrm>
                    <a:prstGeom prst="rect">
                      <a:avLst/>
                    </a:prstGeom>
                    <a:noFill/>
                  </pic:spPr>
                </pic:pic>
              </a:graphicData>
            </a:graphic>
          </wp:anchor>
        </w:drawing>
        <w:t>On February 21, 2014, ZTE filed a civil complaint against Vringo and Vringo Infrastructure in the Shenzhen Intermediate Court alleging that Vringo violated China’s antimonopoly laws. Vringo received notice of the action on June 26, 2014. Vringo intends to vigorously contest all aspects of this action in the appropriate manner. On July 28, 2014, Vringo filed a motion to have this complaint dismissed due to lack of jurisdiction. On August 6, 2014, the Court dismissed this motion. Vringo filed an appeal of the dismissal, which was denied by the Court. The Court conducted hearing on May 29, 2015 for the parties to submit any evidence on which they intend to rely and during which ZTE amended its complaint to increase its damages demand. As a result Vringo filed a motion contesting the jurisdiction of the court which was denied. Vringo’s appeal of the jurisdictional question is pending. The trial court scheduled hearings starting on June 9, 2015 for the parties to argue their positions. The trial has been stayed pending the appeal. The appellate process is expected to take at least two months.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March 29, 2013, Vringo Infrastructure filed a patent infringement lawsuit in France in the Tribunal de Grande Instance de Paris, alleging infringement of the French part of two European patents. Vringo Infrastructure filed the lawsuit based on particular information uncovered during a seizure to obtain evidence of infringement, known as a saisie-contrefaçon, which was executed at two of ZTE's facilities in France. The oral hearing in relation to</w:t>
      </w:r>
    </w:p>
    <w:p>
      <w:pPr>
        <w:jc w:val="both"/>
        <w:ind w:right="20"/>
        <w:spacing w:after="0" w:line="205" w:lineRule="auto"/>
        <w:rPr>
          <w:sz w:val="20"/>
          <w:szCs w:val="20"/>
          <w:color w:val="auto"/>
        </w:rPr>
      </w:pPr>
      <w:r>
        <w:rPr>
          <w:rFonts w:ascii="Arial" w:cs="Arial" w:eastAsia="Arial" w:hAnsi="Arial"/>
          <w:sz w:val="18"/>
          <w:szCs w:val="18"/>
          <w:color w:val="auto"/>
        </w:rPr>
        <w:t>liability and injunctive relief for these patents was held on April 13, 2015 before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division of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chamber of the Tribunal de Grande Instance de Paris (specializing in IP matters). We anticipate that the Court will render a decision in the third quarter of 2015.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June 11, 2013, Vringo Infrastructure filed a patent infringement lawsuit in the Federal Court of Australia in the New South Wales registry, alleging infringement by ZTE of two Australian patents. In March 2015, the Court granted Vringo’s request to join ZTE as a party to the action. We currently anticipate that the Court will set a trial date in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September 6, 2013, Vringo Infrastructure filed a preliminary inquiry order against ZTE in the Commercial Court of Madrid, Spain, requiring ZTE to provide discovery relating to alleged infringement of a patent which is the Spanish counter-part of the second European patent filed in Germany. In light of ZTE’s non-responsiveness to the order, on March 24, 2014 the Court granted our request to seek discovery of four of ZTE’s Spanish customers. We have received responses from all four customers. On July 31, 2014, ZTE filed a nullity suit in the Commercial Court of Madrid seeking to invalidate two of the Spanish counter-parts of Vringo’s European patents, including the patent found valid as amended and infringed in the UK.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India</w:t>
      </w:r>
    </w:p>
    <w:p>
      <w:pPr>
        <w:spacing w:after="0" w:line="225"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auto"/>
        </w:rPr>
        <w:t>On November 7, 2013, we and our subsidiary, Vringo Infrastructure, filed a patent infringement lawsuit in the High Court of Delhi at New Delhi, India, alleging infringement of an Indian patent related to CDMA. On November 8, 2013, the Court granted an ex-parte preliminary injunction and appointed commissioners to inspect ZTE’s facilities and collect evidence. ZTE appealed the preliminary injunction and, on December 12, 2013, the Court instituted an interim arrangement. On February 3, 2014, we filed a motion for contempt for ZTE’s failure to comply with the Court’s order, and requested that the Court order ZTE to pay an increased bond. A ruling on this motion is pending.</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31, 2014, we and our subsidiary, Vringo Infrastructure, filed a patent infringement lawsuit in the High Court of Delhi at New Delhi, alleging infringement of a second Indian patent related to GSM Infrastructure. The Court granted an ex-parte preliminary injunction and appointed commissioners to inspect ZTE’s facilities and collect evidence. ZTE appealed the preliminary injunction and, on August 13, 2014, the Court instituted an interim arrangement. On August 30, 2014, we filed a motion for contempt for ZTE’s failure to comply with the Court’s order, and requested that the Court order ZTE to pay an increased bond. A ruling on this motion is pending.</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9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61785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6178550"/>
                    </a:xfrm>
                    <a:prstGeom prst="rect">
                      <a:avLst/>
                    </a:prstGeom>
                    <a:noFill/>
                  </pic:spPr>
                </pic:pic>
              </a:graphicData>
            </a:graphic>
          </wp:anchor>
        </w:drawing>
        <w:t>Brazil</w:t>
      </w:r>
    </w:p>
    <w:p>
      <w:pPr>
        <w:spacing w:after="0" w:line="225"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On April 14, 2014, Vringo Infrastructure filed a patent infringement lawsuit assigned to the 5th Trial Court of Rio de Janeiro State Court in Brazil, alleging infringement of a Brazilian patent related to 3G/4G/LTE infrastructure. This is the Brazilian counterpart to the patent found to be valid as amended and infringed in the UK. On April 15, 2014, the court granted an ex-parte preliminary injunction restraining ZTE from manufacturing, using, offering for sale, selling, installing, testing, or importing such infrastructure equipment, subject to a fine. The Company posted a bond of approximately R$ 2,020,000 (approximately $621,000 as of March 31, 2015) with the court on April 17, 2014 as a surety against the truth of the allegations contained in the complaint. ZTE has filed numerous appeals against the injunction since, all of which have been rejected.</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July 17, 2014, ZTE filed a nullity suit in the Federal district court in Rio de Janiero, Brazil, against both Vringo and the Brazilian patent office, seeking to invalidate Vringo’s Brazilian patent. The Brazilian patent office answered the complaint, supporting the validity of the patent and requesting the dismissal of the complaint. A schedule for the remainder of this matter has not yet been set.</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April 2015, ZTE filed a second suit in the Federal district court in Rio de Janeiro, against Vringo and the Brazilian patent office, seeking to prevent Vringo from enforcing the injunction issued in the state court. A schedule for this matter has not yet been set.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Malaysia</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June 23, 2014, Vringo Infrastructure filed a patent infringement lawsuit against ZTE in the High Court of Malaya at Kuala Lumpur. The Court is expected to hear the case in the fourth quarter of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Romania</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June 23, 2014, Vringo Infrastructure filed a patent infringement lawsuit against ZTE in the Bucharest Tribunal Civil Section. On July 1, 2014, the court granted an ex-parte preliminary injunction, ordering ZTE to cease any importation, exportation, introduction on the market, offer for sale, storage, sale, trade, distribution, promotion, or any other business activity regarding the infringing product. ZTE appealed the injunction and, on October 10, 2014, the Bucharest Court of Appeal suspended enforcement of the injunction in light of ZTE’s allegations that it was immediately subject to approximately €31,500,000 in contract losses, pending the outcome of the appeal. On January 8, 2015, the Court rejected ZTE’s appeal, and reinstated the injunction with immediate effect. The Court ordered Vringo to pay a bond of approximately €243,000 in order to continue to enforce the injunction. On February 4, 2015, the Court rejected ZTE’s request for the Court to order Vringo to pay an increased bond of €40,000,000, in a final decision that may not be appealed. Vringo paid the €243,000 bond on February 11, 2015 (approximately $264,000 as of March 31, 2015). ZTE has filed numerous appeals against the injunction since, all of which have been rejected.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Netherlands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 May 28, 2014, Vringo Infrastructure commenced legal proceedings, pursuant to European Anti-Piracy Regulations, Number 1383/2003, Article 11 against ZTE in the District Court of The Hague. ZTE has filed an invalidity lawsuit for the patent-in-suit. On August 19, 2014, Vringo Infrastructure filed another suit at the District Court of The Hague, which subsumed the May 18, 2014 lawsuit. A schedule has not yet been set in this matter.</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June 4, 2014, ZTE filed suit in the District Court of Rotterdam against Vringo and Vringo Infrastructure for the alleged wrongful detention of goods under the relevant anti-piracy regulations. A schedule has not yet been set in this matter.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90" w:right="339" w:bottom="1440" w:gutter="0" w:footer="0" w:header="0"/>
        </w:sectPr>
      </w:pPr>
    </w:p>
    <w:bookmarkStart w:id="47" w:name="page48"/>
    <w:bookmarkEnd w:id="47"/>
    <w:p>
      <w:pPr>
        <w:jc w:val="both"/>
        <w:ind w:firstLine="648"/>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7276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7276465"/>
                    </a:xfrm>
                    <a:prstGeom prst="rect">
                      <a:avLst/>
                    </a:prstGeom>
                    <a:noFill/>
                  </pic:spPr>
                </pic:pic>
              </a:graphicData>
            </a:graphic>
          </wp:anchor>
        </w:drawing>
        <w:t>On July 24, 2014, ZTE filed a request with the District Court of The Hague to seek the release of ZTE UMTS products being held by Dutch customs officials and to order Vringo to ask the Dutch customs authorities to stop their actions against ZTE’s products based on the Anti-Piracy Regulations of the European Union. On October 24, 2014, the President of the Court denied ZTE’s requests, and upheld the detention of ZTE’s goods, finding, prima facie, that ZTE has infringed one of Vringo’s European patents, upholding the validity of that patent, and rejecting ZTE’s argument that Vringo has violated European competition law by enforcing that patent. ZTE was also ordered to pay Vringo’s legal costs of approximately $250,000. ZTE retains the right to appeal this decision.</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October 23, 2014, ZTE filed suit in the District Court of The Hague seeking the invalidity of Vringo’s European Patent that is the subject of the other proceedings taking place in the same Court. A hearing in this matter has not yet been scheduled.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July 2, 2014, Vringo filed suit in the United States District Court for the Southern District of New York seeking a temporary restraining order and preliminary and permanent injunctions against ZTE, enjoining ZTE’s use of prohibited materials captured under a non-disclosure agreement (“NDA”) between the parties, including but not limited to ZTE’s use of such materials in its antitrust lawsuit in China against Vringo and Vringo Infrastructure. On July 7, 2014, the court granted a temporary restraining order against ZTE’s use of such material. On July 23, 2014, ZTE filed a counterclaim against Vringo. On July 24, 2014, the Court held a hearing on Vringo’s motion for a preliminary injunction against ZTE. On October 2, 2014, Vringo filed a motion for judgment on the pleadings, similar to a motion for summary judgment, asking the court to render a judgment on Vringo’s cause of action based solely on the pleadings of the parties. On April 6, 2015, the Court granted Vringo’s motion in part, holding that ZTE breached the NDA. On June 3, 2015, the Court granted, in part, Vringo’s request for a preliminary injunction, effectively converting the previously-granted temporary restraining order into a preliminary injunction.</w:t>
      </w:r>
    </w:p>
    <w:p>
      <w:pPr>
        <w:spacing w:after="0" w:line="1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On February 5, 2015, ZTE filed suit in the United States District Court for the District of Delaware alleging that Vringo breached its contractual obligations to ETSI, which it assumed from Nokia when it purchased its infrastructure patent portfolio. On February 6, 2015, the Court granted a temporary restraining order and preliminary injunction against Vringo. </w:t>
      </w:r>
      <w:r>
        <w:rPr>
          <w:rFonts w:ascii="Arial" w:cs="Arial" w:eastAsia="Arial" w:hAnsi="Arial"/>
          <w:sz w:val="16"/>
          <w:szCs w:val="16"/>
          <w:color w:val="181818"/>
        </w:rPr>
        <w:t>On February 10, 2015, the Court dissolved the temporary restraining order and</w:t>
      </w:r>
      <w:r>
        <w:rPr>
          <w:rFonts w:ascii="Arial" w:cs="Arial" w:eastAsia="Arial" w:hAnsi="Arial"/>
          <w:sz w:val="16"/>
          <w:szCs w:val="16"/>
          <w:color w:val="auto"/>
        </w:rPr>
        <w:t xml:space="preserve"> </w:t>
      </w:r>
      <w:r>
        <w:rPr>
          <w:rFonts w:ascii="Arial" w:cs="Arial" w:eastAsia="Arial" w:hAnsi="Arial"/>
          <w:sz w:val="16"/>
          <w:szCs w:val="16"/>
          <w:color w:val="181818"/>
        </w:rPr>
        <w:t>preliminary injunction and granted Vringo’s request to transfer the case to the United States District Court for the Southern District of New York.</w:t>
      </w:r>
    </w:p>
    <w:p>
      <w:pPr>
        <w:spacing w:after="0" w:line="154"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181818"/>
        </w:rPr>
        <w:t xml:space="preserve">On February 5, 2015, ZTE filed </w:t>
      </w:r>
      <w:r>
        <w:rPr>
          <w:rFonts w:ascii="Arial" w:cs="Arial" w:eastAsia="Arial" w:hAnsi="Arial"/>
          <w:sz w:val="18"/>
          <w:szCs w:val="18"/>
          <w:i w:val="1"/>
          <w:iCs w:val="1"/>
          <w:color w:val="181818"/>
        </w:rPr>
        <w:t>inter partes</w:t>
      </w:r>
      <w:r>
        <w:rPr>
          <w:rFonts w:ascii="Arial" w:cs="Arial" w:eastAsia="Arial" w:hAnsi="Arial"/>
          <w:sz w:val="18"/>
          <w:szCs w:val="18"/>
          <w:color w:val="181818"/>
        </w:rPr>
        <w:t xml:space="preserve"> review (“IPR”) requests for five of Vringo’s United States Patents. The requests, filed with the Patent Trial and Appeal Board (“PTAB”) of the United States Patent and Trademark Office will remain pending until the PTAB makes a decision on whether to grant the requests and, thus, review the patents. While these patents have counterparts being litigated by Vringo in other parts of the world, none of these United States Patents are currently in litigation. On June 5, 2015, ZTE withdrew their requests for IPR for procedural reasons. Vringo anticipates that ZTE will re-file them in the near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Commission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April 10, 2014, ZTE filed a complaint with the European Commission. We believe that the accusations are not accurate. The European Commission has not yet set the schedule for this matter.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Patent Office</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On May 14, 2015, ZTE filed an opposition to one of Vringo’s newly issued patents at the European Patent Office. Vringo believes that ZTE’s request has no merit and plans to vigorously defend the validity of its patent. A schedule has not yet been set.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Development and Reform Commission (China)</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13, 2015, Vringo Infrastructure received a Request for Assistance in Investigation from the National Development and Reform Commission of the People’s Republic of China (NDRC). This request was based on a complaint filed by ZTE against Vringo. The NDRC has demanded that Vringo consent to mediation with ZTE overseen by the NDRC or face severe criminal and civil penalties. Vringo is actively responding to the NDRC’s concerns and working to convince them that ZTE’s claims have no merit. Vringo is additionally working to ensure that the NDRC respects the various relevant treaties to which the United States and China are signatories.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90"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65906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6590665"/>
                    </a:xfrm>
                    <a:prstGeom prst="rect">
                      <a:avLst/>
                    </a:prstGeom>
                    <a:noFill/>
                  </pic:spPr>
                </pic:pic>
              </a:graphicData>
            </a:graphic>
          </wp:anchor>
        </w:drawing>
        <w:t>ASUS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Germany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4, 2013 and January 29, 2014, Vringo Germany filed two patent infringement lawsuits against ASUS in the Düsseldorf Regional Court, alleging infringement of two European patents. Those cases were heard by the Court on November 27, 2014. On January 22, 2015, the Court issued its judgment, finding that ASUS does not infringe either patent. On February 17, 2015, Vringo filed notices of appeal for each patent. The appeal process is anticipated to take at least one year.</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ASUS filed nullity suits with respect to the first and second European patents in the Federal Patents Court in Munich, Germany, during the second quarter of 2014. Trials in the nullity suits have not been scheduled but are not anticipated before the second quarter of 2016 for the first patent and the second quarter of 2015 for the second patent.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Spain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7, 2014, Vringo Infrastructure filed suit in the Commercial Court of Barcelona alleging infringement of a patent which is the Spanish counter-part of the first European patent filed in Germany. The oral hearing for this case was heard before the Commercial Court of Barcelona on November 25, 2014. Judgment is pending. On December 19, 2014, ASUS filed a nullity suit with respect to the same patent. A schedule for the case has not yet been set.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India</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April 15, 2014, Vringo Infrastructure filed suit in the High Court of Delhi, New Delhi alleging infringement of a patent related to use of dictionaries in search engines preloaded on certain ASUS devices. Google has successfully petitioned to intervene as an interested party and, by right, has filed responsive pleadings. A schedule for the remainder of case has not yet been set.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Search Patents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September 15, 2011, our wholly-owned subsidiary, I/P Engine, Inc. (“I/P Engine”) initiated litigation in the United States District Court, for the Eastern District of Virginia, against AOL Inc., Google, Inc., IAC Search &amp; Media, Inc., Gannett Company, Inc., and Target Corporation (collectively, the “Defendants”) for infringement of claims of U.S. Patent Nos. 6,314,420 and 6,775,664, which I/P Engine acquired from Lycos, Inc.</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Trial commenced on October 16, 2012, and the case was submitted to the jury on November 1, 2012. On November 6, 2012, the jury ruled in favor of I/P Engine and against the Defendants. After upholding the validity of the patents-in-suit, and determining that the asserted claims of the patents were infringed by the defendants, the jury found that reasonable royalty damages should be based on a “running royalty,” and that the running royalty rate should be 3.5%. The jury also awarded I/P Engine a total of approximately $30.5 million. On November 20, 2012, the clerk entered the District Court's final judgment.</w:t>
      </w:r>
    </w:p>
    <w:p>
      <w:pPr>
        <w:spacing w:after="0" w:line="188"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On January 3, 2014, the District Court ordered that I/P Engine recover an additional sum of $17.32 million from Defendants for supplemental damages and prejudgment interest. On January 21, 2014, the District Court ruled that Defendants' alleged design-around is “nothing more than a colorable variation of the system adjudged to infringe," and accordingly I/P Engine "is entitled to ongoing royalties as long as Defendants continue to use the modified system.” On January 28, 2014, the District Court ruled that the appropriate ongoing royalty rate for Defendants' continued infringement of the patents-in-suit that “would reasonably compensate [I/P Engine] for giving up [its] right to exclude yet allow an ongoing willful infringer to make a reasonable profit” is a rate of 6.5% of the 20.9% royalty base previously set by the District Court. The Defendants also filed a separate appeal related to these matters.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86" w:right="339" w:bottom="1440" w:gutter="0" w:footer="0" w:header="0"/>
        </w:sectPr>
      </w:pPr>
    </w:p>
    <w:bookmarkStart w:id="49" w:name="page50"/>
    <w:bookmarkEnd w:id="49"/>
    <w:p>
      <w:pPr>
        <w:jc w:val="both"/>
        <w:ind w:right="20" w:firstLine="648"/>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27482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748280"/>
                    </a:xfrm>
                    <a:prstGeom prst="rect">
                      <a:avLst/>
                    </a:prstGeom>
                    <a:noFill/>
                  </pic:spPr>
                </pic:pic>
              </a:graphicData>
            </a:graphic>
          </wp:anchor>
        </w:drawing>
        <w:t>On August 15, 2014, the Court of Appeals for the Federal Circuit (“Federal Circuit”) held that the claims of the patents-in-suit asserted by the Company against the Defendants are invalid for obviousness. On August 20, 2014, Vringo announced that I/P Engine would seek en banc review of the Federal Circuit's decision.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15, 2014, I/P Engine filed a petition for rehearing en banc, in which it argued that the majority's opinion in this case presents important questions of law and is at odds with a series of Supreme Court and Federal Circuit decisions which do not allow appellate judges to disregard a jury's detailed findings under these circumstances. I/P Engine argued that review is particularly appropriate here, where the panel majority not only failed to adopt the proper legal standard, but explicitly rejected it.</w:t>
      </w:r>
    </w:p>
    <w:p>
      <w:pPr>
        <w:spacing w:after="0" w:line="187"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181818"/>
        </w:rPr>
        <w:t xml:space="preserve">On December 15, 2014, </w:t>
      </w:r>
      <w:r>
        <w:rPr>
          <w:rFonts w:ascii="Arial" w:cs="Arial" w:eastAsia="Arial" w:hAnsi="Arial"/>
          <w:sz w:val="17"/>
          <w:szCs w:val="17"/>
          <w:color w:val="000000"/>
        </w:rPr>
        <w:t>the Federal Circuit denied I/P Engine's petition for rehearing of the case en banc and consequently, we announced that</w:t>
      </w:r>
      <w:r>
        <w:rPr>
          <w:rFonts w:ascii="Arial" w:cs="Arial" w:eastAsia="Arial" w:hAnsi="Arial"/>
          <w:sz w:val="17"/>
          <w:szCs w:val="17"/>
          <w:color w:val="181818"/>
        </w:rPr>
        <w:t xml:space="preserve"> I/P Engine will seek review by the Supreme Court of the United States (“Supreme Court”) of the Federal Circuit's decision. On May 14, 2015, I/P </w:t>
      </w:r>
      <w:r>
        <w:rPr>
          <w:rFonts w:ascii="Arial" w:cs="Arial" w:eastAsia="Arial" w:hAnsi="Arial"/>
          <w:sz w:val="17"/>
          <w:szCs w:val="17"/>
          <w:color w:val="000000"/>
        </w:rPr>
        <w:t>Engine filed</w:t>
      </w:r>
      <w:r>
        <w:rPr>
          <w:rFonts w:ascii="Arial" w:cs="Arial" w:eastAsia="Arial" w:hAnsi="Arial"/>
          <w:sz w:val="17"/>
          <w:szCs w:val="17"/>
          <w:color w:val="181818"/>
        </w:rPr>
        <w:t xml:space="preserve"> </w:t>
      </w:r>
      <w:r>
        <w:rPr>
          <w:rFonts w:ascii="Arial" w:cs="Arial" w:eastAsia="Arial" w:hAnsi="Arial"/>
          <w:sz w:val="17"/>
          <w:szCs w:val="17"/>
          <w:color w:val="000000"/>
        </w:rPr>
        <w:t>a petition for writ of certiorari with the Supreme Court of the United States. The petition asks the Court to review and overturn a divided opinion of the U.S. Court of Appeals for the Federal Circuit, issued on August 15, 2014, which reversed a jury verdict entered in favor of I/P Engine against Google and certain of Google's customers in the United States District Court for the Eastern District of Virginia.</w:t>
      </w:r>
    </w:p>
    <w:p>
      <w:pPr>
        <w:spacing w:after="0" w:line="173"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court dockets for the foregoing cases are publicly available on the Public Access to Court Electronic Records website, www.pacer.gov, which is operated by the Administrative Office of the U.S. Courts and the website for the Supreme Court of the United States, www.supremecourt.gov.</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8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429895</wp:posOffset>
            </wp:positionV>
            <wp:extent cx="7250430" cy="44208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4420870"/>
                    </a:xfrm>
                    <a:prstGeom prst="rect">
                      <a:avLst/>
                    </a:prstGeom>
                    <a:noFill/>
                  </pic:spPr>
                </pic:pic>
              </a:graphicData>
            </a:graphic>
          </wp:anchor>
        </w:drawing>
        <w:t>Corporate Information</w:t>
      </w:r>
    </w:p>
    <w:p>
      <w:pPr>
        <w:spacing w:after="0" w:line="233" w:lineRule="exact"/>
        <w:rPr>
          <w:sz w:val="20"/>
          <w:szCs w:val="20"/>
          <w:color w:val="auto"/>
        </w:rPr>
      </w:pPr>
    </w:p>
    <w:p>
      <w:pPr>
        <w:jc w:val="both"/>
        <w:ind w:right="20" w:firstLine="648"/>
        <w:spacing w:after="0" w:line="231" w:lineRule="auto"/>
        <w:rPr>
          <w:sz w:val="20"/>
          <w:szCs w:val="20"/>
          <w:color w:val="auto"/>
        </w:rPr>
      </w:pPr>
      <w:r>
        <w:rPr>
          <w:rFonts w:ascii="Arial" w:cs="Arial" w:eastAsia="Arial" w:hAnsi="Arial"/>
          <w:sz w:val="18"/>
          <w:szCs w:val="18"/>
          <w:color w:val="auto"/>
        </w:rPr>
        <w:t>We were incorporated in Delaware in 2006. Our principal executive offices are located at 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10017, and our telephone number is (212) 309-7549. Our principal website is </w:t>
      </w:r>
      <w:r>
        <w:rPr>
          <w:rFonts w:ascii="Arial" w:cs="Arial" w:eastAsia="Arial" w:hAnsi="Arial"/>
          <w:sz w:val="18"/>
          <w:szCs w:val="18"/>
          <w:i w:val="1"/>
          <w:iCs w:val="1"/>
          <w:color w:val="auto"/>
        </w:rPr>
        <w:t>www.vringoip.com</w:t>
      </w:r>
      <w:r>
        <w:rPr>
          <w:rFonts w:ascii="Arial" w:cs="Arial" w:eastAsia="Arial" w:hAnsi="Arial"/>
          <w:sz w:val="18"/>
          <w:szCs w:val="18"/>
          <w:color w:val="auto"/>
        </w:rPr>
        <w:t>. Information found on, or accessible through, our website is not a part of, and is not incorporated into, this prospectus, and you should not consider it part of this prospectus or part of any prospectus supplement. Our website address is included in this document as an inactive textual reference only. Our common stock is listed on the NASDAQ Capital Market and trades under the symbol “VRNG.”</w:t>
      </w:r>
    </w:p>
    <w:p>
      <w:pPr>
        <w:spacing w:after="0" w:line="2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jc w:val="both"/>
        <w:ind w:left="20" w:firstLine="396"/>
        <w:spacing w:after="0" w:line="276" w:lineRule="auto"/>
        <w:rPr>
          <w:sz w:val="20"/>
          <w:szCs w:val="20"/>
          <w:color w:val="auto"/>
        </w:rPr>
      </w:pPr>
      <w:r>
        <w:rPr>
          <w:rFonts w:ascii="Arial" w:cs="Arial" w:eastAsia="Arial" w:hAnsi="Arial"/>
          <w:sz w:val="17"/>
          <w:szCs w:val="17"/>
          <w:color w:val="auto"/>
        </w:rPr>
        <w:t>This offering involves the offer and sale by us of 5,375,000 shares of our common stock issuable upon the exercise of warrants that are exercisable at an exercise price of $1.00 per share and that were originally issued by us on May 4, 2015. Each warrant will be exercisable upon the six month and one day anniversary of the date of their issuance, or November 5, 2015, and will expire five years from their initial exercisability date. Upon the cash exercise of the warrants, the holders of the warrants would pay us the exercise price per share of common stock of $1.00, subject to certain adjustments, or an aggregate of approximately $5,375,000, subject to certain adjustments, if the warrants are exercised in full.</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intend to use the net proceeds from this offering, if any, for working capital purposes. See “Use of Proceeds” on page S-12 of this prospectus.</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20" w:right="20" w:firstLine="396"/>
        <w:spacing w:after="0" w:line="264" w:lineRule="auto"/>
        <w:rPr>
          <w:sz w:val="20"/>
          <w:szCs w:val="20"/>
          <w:color w:val="auto"/>
        </w:rPr>
      </w:pPr>
      <w:r>
        <w:rPr>
          <w:rFonts w:ascii="Arial" w:cs="Arial" w:eastAsia="Arial" w:hAnsi="Arial"/>
          <w:sz w:val="18"/>
          <w:szCs w:val="18"/>
          <w:color w:val="auto"/>
        </w:rPr>
        <w:t>Investing in our common stock involves a high degree of risk. Please read the information contained in and incorporated by reference under the heading “Risk Factors” on page S-10 of this prospectus, and under similar headings in the other documents that are incorporated by reference into this prospectus.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NASDAQ Capital Market Listing</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common stock is listed on the NASDAQ Capital Market under the symbol “VRNG.”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60" w:top="986"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441"/>
        <w:spacing w:after="0" w:line="255" w:lineRule="auto"/>
        <w:rPr>
          <w:sz w:val="20"/>
          <w:szCs w:val="20"/>
          <w:color w:val="auto"/>
        </w:rPr>
      </w:pPr>
      <w:r>
        <w:rPr>
          <w:rFonts w:ascii="Arial" w:cs="Arial" w:eastAsia="Arial" w:hAnsi="Arial"/>
          <w:sz w:val="18"/>
          <w:szCs w:val="18"/>
          <w:i w:val="1"/>
          <w:iCs w:val="1"/>
          <w:color w:val="auto"/>
        </w:rPr>
        <w:t>Investing in our securities involves significant risk. Prior to making a decision about investing in our securities, you should carefully consider the specific factors set forth below, together with all of the other information contained or incorporated by reference in this prospectus. You should also consider the risks, uncertainties and assumptions discussed under the heading “Risk Factors” included in our most recent annual report on Form 10-K, as revised or supplemented by our subsequent quarterly reports on Form 10-Q or our current reports on Form 8-K on file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Related to this Offering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Management will have broad discretion as to the use of the proceeds from this offering, and may not use the proceeds effectively.</w:t>
      </w:r>
    </w:p>
    <w:p>
      <w:pPr>
        <w:spacing w:after="0" w:line="23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Because we have not designated the amount of net proceeds from this offering to be used for any particular purpose, our management will have broad discretion as to the application of the net proceeds from this offering and could use them for purposes other than those contemplated at the time of the offering. Our management may use the net proceeds for corporate purposes that may not improve our financial condition or market value.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You may experience immediate and substantial dilution.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offering price per share in this offering exceeds the net tangible book value per share of our common stock outstanding prior to this offering, and therefore, you will experience immediate dilution upon the exercise of the warrants sold in this offering for cash. The exercise of outstanding stock options and warrants may result in further dilution of your investment.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You may experience future dilution as a result of future equity offerings.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do not intend to pay dividends in the foreseeable future.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never paid cash dividends on our common stock and currently do not plan to pay any cash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prospectus, including the documents that we incorporate by reference herein, contains, and any applicable prospectus supplement or free writing prospectus including the documents we incorporate by reference therein may contain, forward-looking statements, including statements related to the anticipated size of clinical trials, the anticipated timing of initiation of clinical trials, the expected availability of clinical trial results, the sufficiency of our cash resources, the estimated costs of clinical trials and the amounts of certain revenues and certain costs in comparison to prior years, or that otherwise relate to future periods, are forward-looking statements within the meaning of Section 27A of the Securities Act and Section 21E of the Securities Exchange Act of 1934, as amended (the “Exchange Act”). The words “believe,” “may,” “estimate,” “continue,” “anticipate,” “intend,” “expect,” “predict,” “potential” and similar expressions are intended to identify forward-looking statements. These statements are based on assumptions that may not prove accurate. Actual results could differ materially from those anticipated due to certain risks inherent in the biotechnology industry and for companies engaged in the development of new products in a regulated market. Among other things: our business, operations, financial performance and condition, earnings, our prospects, our ability to raise capital to fund our operations and business plan, the continued listing of our securities on the NASDAQ Capital Market, our ability to protect intellectual property rights as well as regarding our industry generally. These and other risks, including those related to current economic and financial market conditions, are described in more detail in “Risk Factors” above and the additional risk factors contained in our most recent Annual Report on Form 10-K and Quarterly Reports on Form 10-Q. We undertake no obligation to publicly update any forward-looking statements, regardless of any new information, future events or other occurrences. We advise you, however, to consult any additional disclosures we make in our reports to the SEC on Forms 10-K, 10-Q and 8-K.</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currently intend to use the net proceeds from this offering, if any, for working capital purposes.</w:t>
      </w:r>
    </w:p>
    <w:p>
      <w:pPr>
        <w:spacing w:after="0" w:line="225" w:lineRule="exact"/>
        <w:rPr>
          <w:sz w:val="20"/>
          <w:szCs w:val="20"/>
          <w:color w:val="auto"/>
        </w:rPr>
      </w:pPr>
    </w:p>
    <w:p>
      <w:pPr>
        <w:jc w:val="both"/>
        <w:ind w:firstLine="416"/>
        <w:spacing w:after="0" w:line="259" w:lineRule="auto"/>
        <w:rPr>
          <w:sz w:val="20"/>
          <w:szCs w:val="20"/>
          <w:color w:val="auto"/>
        </w:rPr>
      </w:pPr>
      <w:r>
        <w:rPr>
          <w:rFonts w:ascii="Arial" w:cs="Arial" w:eastAsia="Arial" w:hAnsi="Arial"/>
          <w:sz w:val="18"/>
          <w:szCs w:val="18"/>
          <w:color w:val="auto"/>
        </w:rPr>
        <w:t>The amounts and timing of our use of the net proceeds from this offering will depend on a number of factors. As of the date of this prospectus, we cannot specify with certainty all of the particular uses for the net proceeds to us from the sale of the securities offered by us hereunder. Accordingly, our management will have broad discretion in the timing and application of these proceeds. Pending application of the net proceeds as described above, we intend to temporarily invest the proceeds in short-term, interest-bearing instruments.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61"/>
        <w:spacing w:after="0" w:line="264" w:lineRule="auto"/>
        <w:rPr>
          <w:sz w:val="20"/>
          <w:szCs w:val="20"/>
          <w:color w:val="auto"/>
        </w:rPr>
      </w:pPr>
      <w:r>
        <w:rPr>
          <w:rFonts w:ascii="Arial" w:cs="Arial" w:eastAsia="Arial" w:hAnsi="Arial"/>
          <w:sz w:val="18"/>
          <w:szCs w:val="18"/>
          <w:color w:val="auto"/>
        </w:rPr>
        <w:t>We are authorized to issue 150,000,000 shares of common stock, par value $0.01 per share, and 5,000,000 shares of preferred stock, par value $0.01 per share. As of June 15, 2015, we had 95,880,006 shares of common stock outstanding held of record by 11 stockholders, which does not include stockholders who hold their shares in “street name.” There are no outstanding shares of preferred stock.</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description of our common stock does not purport to be complete and should be reviewed in conjunction with our certificate of incorporation and our bylaws.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Holders of common stock are entitled to one vote for each share held of record on all matters submitted to a vote of the stockholders, and do not have cumulative voting rights. Subject to preferences that may be applicable to any outstanding shares of preferred stock, holders of common stock are entitled to receive ratably such dividends, if any, as may be declared from time to time by our board of directors out of funds legally available for dividend payments. All shares of common stock outstanding as of the date of this prospectus are fully paid and non-assessable. The holders of common stock have no preferences or rights of conversion, exchange, pre-emption or other subscription rights. There are no redemption or sinking fund provisions applicable to the common stock. In the event of any liquidation, dissolution or winding-up of our affairs, holders of common stock will be entitled to share ratably in our assets that are remaining after payment or provision for payment of all of our debts and obligations and after liquidation payments to holders of outstanding shares of preferred stock, if 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firstLine="247"/>
        <w:spacing w:after="0" w:line="293" w:lineRule="auto"/>
        <w:rPr>
          <w:sz w:val="20"/>
          <w:szCs w:val="20"/>
          <w:color w:val="auto"/>
        </w:rPr>
      </w:pPr>
      <w:r>
        <w:rPr>
          <w:rFonts w:ascii="Arial" w:cs="Arial" w:eastAsia="Arial" w:hAnsi="Arial"/>
          <w:sz w:val="16"/>
          <w:szCs w:val="16"/>
          <w:color w:val="auto"/>
        </w:rPr>
        <w:t>As of June 26, 2015, there were warrants to purchase 9,566,796 shares of Vringo common stock outstanding at a weighted-average exercise price of $1.33 per share. This amount is comprised of warrants to purchase 758,023 shares of common stock exercisable until February 6, 2017 at an exercise price of $1.76, warrants to purchase 3,433,773 shares of common stock exercisable until July 19, 2017 at an exercise price of $1.76, and the warrants to purchase 5,375,000 shares of common stock issuable hereunder which are exercisable until May 4, 2020 at an exercise price of $1.00. Prior to June 21, 2015, we also had public warrants to purchase 4,784,000 shares of common stock at an exercise price of $5.06, which were listed on the NASDAQ Capital Market under the symbol “VRNGW,” and additional warrants which were privately held to purchase 8,426,858 shares of common stock, both of which expired on June 21, 2015.</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May 2015 Warrants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warrants we issued in May 2015 will entitle their holders to purchase, in aggregate, up to 5,375,000 shares of our common stock. The warrants will not be exercisable until the six month and one day anniversary of the date of their issuance and will expire five years from the initial exercisability date. The warrants will initially be exercisable at an exercise price equal to $1.00, subject to certain adjustments.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warrants may be exercised for cash, provided that, if there is no effective registration statement available registering the exercise of the warrants, the warrants may be exercised on a cashless basis. This prospectus covers the shares of common stock issuable from time to time upon exercise of the warrants.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exercise price of the warrants is subject to adjustment for stock splits, combinations or similar events. If we sell or issue any securities with “floating” conversion prices based on the market price of our common stock, a holder of a warrant will have the right thereafter to substitute the “floating” conversion price for the exercise price upon exercise of all or part the warrant.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warrants require “buy-in” payments to be made by us for failure to deliver the shares of common stock issuable upon exercise.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5" w:name="page56"/>
    <w:bookmarkEnd w:id="55"/>
    <w:p>
      <w:pPr>
        <w:ind w:left="660"/>
        <w:spacing w:after="0"/>
        <w:rPr>
          <w:sz w:val="20"/>
          <w:szCs w:val="20"/>
          <w:color w:val="auto"/>
        </w:rPr>
      </w:pPr>
      <w:r>
        <w:rPr>
          <w:rFonts w:ascii="Arial" w:cs="Arial" w:eastAsia="Arial" w:hAnsi="Arial"/>
          <w:sz w:val="18"/>
          <w:szCs w:val="18"/>
          <w:b w:val="1"/>
          <w:bCs w:val="1"/>
          <w:i w:val="1"/>
          <w:iCs w:val="1"/>
          <w:color w:val="auto"/>
        </w:rPr>
        <w:t>Limitations on Exercise</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warrants may not be exercised if, after giving effect to the exercise, the holder of the warrant together with its affiliates would beneficially own in excess of 9.99% of our outstanding shares of common stock, or Warrant Blocker. The Warrant Blocker applicable to the exercise of the warrants may be raised or lowered to any other percentage not in excess of 9.99%, except that any increase will only be effective upon 61-days’ prior notice to us.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Participation Rights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holders of the warrants are entitled to receive any dividends paid or distributions made to the holders of our common stock on an “as if converted to common stock” basis.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Purchase Rights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issue options, convertible securities, warrants, stock, or similar securities to holders of our common stock, each holder of a warrant has the right to acquire the same as if the holder had exercised its warrant.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Fundamental Transactions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warrants prohibit us from entering into specified transactions involving a change of control, unless the successor entity assumes all of our obligations under the warrants under a written agreement before the transaction is completed. When there is a transaction involving a permitted change of control, a holder of a warrant a will have the right to force us to repurchase the holder’s warrant for a purchase price in cash equal to the Black Scholes value (as calculated under the warrants) of the then unexercised portion of the warrant.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Charter Documents and Some Provisions of Delaware Law</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certificate of incorporation and bylaws contains provisions that may discourage, delay or prevent a merger, acquisition or other change in control that stockholders may consider favorable, including transactions in which stockholders might otherwise receive a premium for their shares. These provisions could limit the price that investors might be willing to pay in the future for shares of our common stock.</w:t>
      </w:r>
    </w:p>
    <w:p>
      <w:pPr>
        <w:spacing w:after="0" w:line="181"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We are subject to the “business combination” provisions of Section 203 of the Delaware General Corporation Law. In general, such provisions prohibit a publicly held Delaware corporation from engaging in any “business combination” transactions with any “interested stockholder” for a period of three years after the date on which the person became an “interested stockholder,” unless:</w:t>
      </w:r>
    </w:p>
    <w:p>
      <w:pPr>
        <w:spacing w:after="0" w:line="181" w:lineRule="exact"/>
        <w:rPr>
          <w:sz w:val="20"/>
          <w:szCs w:val="20"/>
          <w:color w:val="auto"/>
        </w:rPr>
      </w:pPr>
    </w:p>
    <w:p>
      <w:pPr>
        <w:ind w:left="1620" w:right="40" w:hanging="315"/>
        <w:spacing w:after="0" w:line="258"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prior to such date, the board of directors approved either the “business combination” or the transaction which resulted in the “interested stockholder” obtaining such status; or</w:t>
      </w:r>
    </w:p>
    <w:p>
      <w:pPr>
        <w:spacing w:after="0" w:line="1" w:lineRule="exact"/>
        <w:rPr>
          <w:rFonts w:ascii="Arial" w:cs="Arial" w:eastAsia="Arial" w:hAnsi="Arial"/>
          <w:sz w:val="18"/>
          <w:szCs w:val="18"/>
          <w:color w:val="auto"/>
        </w:rPr>
      </w:pPr>
    </w:p>
    <w:p>
      <w:pPr>
        <w:ind w:left="1620" w:right="120" w:hanging="315"/>
        <w:spacing w:after="0" w:line="281" w:lineRule="auto"/>
        <w:tabs>
          <w:tab w:leader="none" w:pos="1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3" w:lineRule="exact"/>
        <w:rPr>
          <w:rFonts w:ascii="Arial" w:cs="Arial" w:eastAsia="Arial" w:hAnsi="Arial"/>
          <w:sz w:val="16"/>
          <w:szCs w:val="16"/>
          <w:color w:val="auto"/>
        </w:rPr>
      </w:pPr>
    </w:p>
    <w:p>
      <w:pPr>
        <w:ind w:left="1620" w:right="20" w:hanging="315"/>
        <w:spacing w:after="0" w:line="255"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19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15% or more of a corporation’s voting stock or within three years did own 15% or more of a corporation’s voting stock. The statute could prohibit or delay mergers or other takeover or change in control attempts with respect to us and, accordingly, may discourage attempts to acquire us.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transfer agent and registrar for our common stock is American Stock Transfer &amp; Trust Company.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on the NASDAQ Capital Market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common stock is listed on the NASDAQ Capital Market under the symbol “VRNG.”</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77" w:right="1440"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416"/>
        <w:spacing w:after="0" w:line="257" w:lineRule="auto"/>
        <w:rPr>
          <w:sz w:val="20"/>
          <w:szCs w:val="20"/>
          <w:color w:val="auto"/>
        </w:rPr>
      </w:pPr>
      <w:r>
        <w:rPr>
          <w:rFonts w:ascii="Arial" w:cs="Arial" w:eastAsia="Arial" w:hAnsi="Arial"/>
          <w:sz w:val="18"/>
          <w:szCs w:val="18"/>
          <w:color w:val="auto"/>
        </w:rPr>
        <w:t>The common stock referenced on the cover page of this prospectus will be offered solely by us and will be issued and sold upon the exercise of the warrants described herein. For the holders of warrants to exercise the warrants, the shares issuable upon exercise must either be registered under the Securities Act of 1933, as amended, or exempt from registration. No fractional shares of common stock will be issued in connection with the exercise of a warrant. In lieu of fractional shares, we will pay the holder an amount in cash equal to the fractional amount multiplied by the fair market value of a share of common stock.</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Mintz, Levin, Cohn, Ferris, Glovsky and Popeo, P.C., New York, New York, has passed upon the validity of the issuance of the securities offered by this prospectus.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441"/>
        <w:spacing w:after="0" w:line="254" w:lineRule="auto"/>
        <w:rPr>
          <w:sz w:val="20"/>
          <w:szCs w:val="20"/>
          <w:color w:val="auto"/>
        </w:rPr>
      </w:pPr>
      <w:r>
        <w:rPr>
          <w:rFonts w:ascii="Arial" w:cs="Arial" w:eastAsia="Arial" w:hAnsi="Arial"/>
          <w:sz w:val="18"/>
          <w:szCs w:val="18"/>
          <w:color w:val="auto"/>
        </w:rPr>
        <w:t>The consolidated financial statements of Vringo, Inc. and subsidiaries as of December 31, 2014 and for the year then ended and management’s assessment of the effectiveness of internal control over financial reporting as of December 31, 2014 have been incorporated by reference herein and in the registration statement in reliance upon the reports of KPMG LLP, independent registered public accounting firm, incorporated by reference herein, and upon the authority of said firm as experts in accounting and auditing. The audit report dated March 16, 2015 covering the consolidated financial statements as of December 31, 2014 and for the year then ended contains an explanatory paragraph that the Company has suffered recurring losses from operations and negative cash flows from operating activities and may not have sufficient cash or available sources of liquidity to support operating requirements that raises substantial doubt about its ability to continue as a going concern. The consolidated financial statements do not include any adjustments that might result from the outcome of this uncertainty.</w:t>
      </w:r>
    </w:p>
    <w:p>
      <w:pPr>
        <w:spacing w:after="0" w:line="192"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consolidated financial statements of Vringo, Inc. and subsidiaries as of December 31, 2013 and for each of the years in the two-year period ended December 31, 2013 have been incorporated by reference herein and in the registration statement in reliance upon the report of Somekh Chaikin, a member firm of KPMG International, independent registered public accounting firm, incorporated by reference herein, and upon the authority of said firm as experts in accounting and auditing.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 xml:space="preserve">We are subject to the reporting requirements of the Securities Exchange Act of 1934, as amended,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 site at </w:t>
      </w:r>
      <w:r>
        <w:rPr>
          <w:rFonts w:ascii="Arial" w:cs="Arial" w:eastAsia="Arial" w:hAnsi="Arial"/>
          <w:sz w:val="18"/>
          <w:szCs w:val="18"/>
          <w:u w:val="single" w:color="auto"/>
          <w:color w:val="auto"/>
        </w:rPr>
        <w:t>http://www.sec.gov</w:t>
      </w:r>
      <w:r>
        <w:rPr>
          <w:rFonts w:ascii="Arial" w:cs="Arial" w:eastAsia="Arial" w:hAnsi="Arial"/>
          <w:sz w:val="18"/>
          <w:szCs w:val="18"/>
          <w:i w:val="1"/>
          <w:iCs w:val="1"/>
          <w:color w:val="auto"/>
        </w:rPr>
        <w:t>.</w:t>
      </w:r>
    </w:p>
    <w:p>
      <w:pPr>
        <w:spacing w:after="0" w:line="188" w:lineRule="exact"/>
        <w:rPr>
          <w:sz w:val="20"/>
          <w:szCs w:val="20"/>
          <w:color w:val="auto"/>
        </w:rPr>
      </w:pPr>
    </w:p>
    <w:p>
      <w:pPr>
        <w:jc w:val="both"/>
        <w:ind w:firstLine="441"/>
        <w:spacing w:after="0" w:line="257"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88"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 xml:space="preserve">We also maintain a website at </w:t>
      </w:r>
      <w:r>
        <w:rPr>
          <w:rFonts w:ascii="Arial" w:cs="Arial" w:eastAsia="Arial" w:hAnsi="Arial"/>
          <w:sz w:val="18"/>
          <w:szCs w:val="18"/>
          <w:i w:val="1"/>
          <w:iCs w:val="1"/>
          <w:color w:val="auto"/>
        </w:rPr>
        <w:t>www.vringoip.com</w:t>
      </w:r>
      <w:r>
        <w:rPr>
          <w:rFonts w:ascii="Arial" w:cs="Arial" w:eastAsia="Arial" w:hAnsi="Arial"/>
          <w:sz w:val="18"/>
          <w:szCs w:val="18"/>
          <w:color w:val="auto"/>
        </w:rPr>
        <w:t>, through which you can access our SEC filings. The information set forth on, or accessible from, our website is not part of this prospectus.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INFORMATION BY REFERENCE</w:t>
      </w:r>
    </w:p>
    <w:p>
      <w:pPr>
        <w:spacing w:after="0" w:line="229"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of 1933, as amended,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9" w:name="page60"/>
    <w:bookmarkEnd w:id="59"/>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Annual Report on Form 10-K for the fiscal year ended December 31, 2014, filed on March 16, 2015, as amended on April 30, 2015;</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Quarterly Report on Form 10-Q, filed on May 5, 2015;</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Current Reports on Form 8-K, filed on June 24, 2015, June 18, 2015, May 4, 2015 and January 23, 2015 (other than the portions of those reports not deemed to be filed);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description of our common stock and public warrants contained in our Registration Statement on Form 8-A, filed on April 29, 2013 (File No. 001-34785); and</w:t>
      </w:r>
    </w:p>
    <w:p>
      <w:pPr>
        <w:spacing w:after="0" w:line="170"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noted, the SEC file number for each of the documents listed above is 001-34785.</w:t>
      </w:r>
    </w:p>
    <w:p>
      <w:pPr>
        <w:spacing w:after="0" w:line="225"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70"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7"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You may request, orally or in writing, a copy of any or all of the documents incorporated herein by reference. These documents will be provided to you at no cost, by contacting: Investor Relations, Vringo, Inc., 780 Third Avenue,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10017 or call (212) 309-7549.</w:t>
      </w:r>
    </w:p>
    <w:p>
      <w:pPr>
        <w:spacing w:after="0" w:line="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an itemization of the various expenses, all of which we will pay, in connection with the issuance and distribution of the securities being registered. All of the amounts shown are estimated except the SEC Registration Fee.</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6,435</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4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Transfer Agent and Registrar Fees</w:t>
            </w:r>
          </w:p>
        </w:tc>
        <w:tc>
          <w:tcPr>
            <w:tcW w:w="4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Printing Expenses</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Miscellaneous</w:t>
            </w:r>
          </w:p>
        </w:tc>
        <w:tc>
          <w:tcPr>
            <w:tcW w:w="4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78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Fees depend on the number of issuances and amount of securities sold and accordingly cannot be estimates at this time.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amended and restated certificate of incorporation of the Company provides that all directors, officers, employees and agents of the registrant shall be entitled to be indemnified by the Company to the fullest extent permitted by Section 145 of the Delaware General Corporation Law (“DGCL”).</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EIGHTH of the Company’s amended and restated certificate of incorporation provides: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Corporation shall, to the fullest extent permitted by the provisions of Section 145 of the DGCL, as the same may be amended and supplemented from time to time, indemnify any and all persons whom it shall have power to indemnify under said section from and against any and all of the expenses, liabilities or other matters referred to in or covered by said section as amended or supplemented (or any successor),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Pursuant to the Company’s bylaws, the directors and officers of the Company shall, to the fullest extent permitted by the DGCL, also have the right to receive from the Company an advancement of expenses incurred in defending any proceeding in advance of its final disposition. To the extent required under the DGCL, an advancement of expenses incurred by a director or officer in his or her capacity as a director or officer (and not in any other capacity in which service was or is rendered by such individual, including, without limitation, service to an employee benefit plan) shall be made only upon delivery to the Company of an undertaking, by or on behalf of such director or officer, to repay all amounts so advanced if it shall ultimately be determined that such director or officer is not entitled to be indemnified for such expenses. The Company is not required to provide indemnification or advance expenses in connection with (i) any proceeding initiated by a director or officer of the Company unless such proceeding was authorized by the Board of Directors or otherwise required by law; (ii) any proceeding providing for disgorgement of profits pursuant to Section 16(b) of the Securities Exchange Act of 1934, as amended; (iii) and for amounts for which payment is actually made to or on behalf of such person under any statute, insurance policy or indemnity provisions or law; or (iv) any prohibition by applicable law.</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1" w:name="page62"/>
    <w:bookmarkEnd w:id="61"/>
    <w:p>
      <w:pPr>
        <w:jc w:val="both"/>
        <w:ind w:firstLine="648"/>
        <w:spacing w:after="0" w:line="264" w:lineRule="auto"/>
        <w:rPr>
          <w:sz w:val="20"/>
          <w:szCs w:val="20"/>
          <w:color w:val="auto"/>
        </w:rPr>
      </w:pPr>
      <w:r>
        <w:rPr>
          <w:rFonts w:ascii="Arial" w:cs="Arial" w:eastAsia="Arial" w:hAnsi="Arial"/>
          <w:sz w:val="18"/>
          <w:szCs w:val="18"/>
          <w:color w:val="auto"/>
        </w:rPr>
        <w:t>Pursuant to the Company’s certificate of incorporation, the Company may also maintain a directors’ and officers’ insurance policy which insures the Company and any of its directors, officers, employees, agents or other entities, against expense, liability or loss asserted against such persons in such capacity whether or not the Company would have the power to indemnify such person under the DGCL.</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may be permitted to the Company’s directors, officers, and controlling persons pursuant to the foregoing provisions, or otherwise, the Company has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the court of appropriate jurisdiction the question whether such indemnification by the Company is against public policy as expressed in the Securities Act and will be governed by the final adjudication of such issue.</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an insurance policy covering our officers and directors with respect to certain liabilities, including liabilities arising under the Securities Act of 1933, as amended, or the Securities Act, or otherwise.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carry insurance policies insuring our directors and officers against certain liabilities that they may incur in their capacity as directors and officers.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have entered into indemnification agreements with our directors and officers.</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Any underwriting agreements that we may enter into will likely provide for the indemnification of us, our controlling persons, our directors and certain of our officers by the underwriters against certain liabilities, including liabilities under the Securities Act of 1933, as amended.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exhibits to this registration statement are listed in the Exhibit Index to this registration statement, which Exhibit Index is hereby incorporated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900" w:hanging="244"/>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100" w:hanging="211"/>
        <w:spacing w:after="0"/>
        <w:tabs>
          <w:tab w:leader="none" w:pos="11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right="20" w:firstLine="889"/>
        <w:spacing w:after="0" w:line="293" w:lineRule="auto"/>
        <w:tabs>
          <w:tab w:leader="none" w:pos="1146" w:val="left"/>
        </w:tabs>
        <w:numPr>
          <w:ilvl w:val="1"/>
          <w:numId w:val="31"/>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right="520" w:firstLine="889"/>
        <w:spacing w:after="0" w:line="277" w:lineRule="auto"/>
        <w:tabs>
          <w:tab w:leader="none" w:pos="1196"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2" w:name="page63"/>
    <w:bookmarkEnd w:id="62"/>
    <w:p>
      <w:pPr>
        <w:ind w:right="180" w:firstLine="881"/>
        <w:spacing w:after="0" w:line="279" w:lineRule="auto"/>
        <w:rPr>
          <w:sz w:val="20"/>
          <w:szCs w:val="20"/>
          <w:color w:val="auto"/>
        </w:rPr>
      </w:pPr>
      <w:r>
        <w:rPr>
          <w:rFonts w:ascii="Arial" w:cs="Arial" w:eastAsia="Arial" w:hAnsi="Arial"/>
          <w:sz w:val="17"/>
          <w:szCs w:val="17"/>
          <w:color w:val="auto"/>
        </w:rPr>
        <w:t>provided, however, that paragraphs (i), (ii) and (iii) above do not apply if the registration statement is on Form S-3 or Form F-3 and the information required to be included in a post-effective amendment by those paragraphs is contained in reports filed with or furnished to the Commission by such registrants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71" w:lineRule="exact"/>
        <w:rPr>
          <w:sz w:val="20"/>
          <w:szCs w:val="20"/>
          <w:color w:val="auto"/>
        </w:rPr>
      </w:pPr>
    </w:p>
    <w:p>
      <w:pPr>
        <w:jc w:val="both"/>
        <w:ind w:right="120" w:firstLine="656"/>
        <w:spacing w:after="0" w:line="264" w:lineRule="auto"/>
        <w:tabs>
          <w:tab w:leader="none" w:pos="90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800" w:firstLine="656"/>
        <w:spacing w:after="0" w:line="277" w:lineRule="auto"/>
        <w:tabs>
          <w:tab w:leader="none" w:pos="893"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right="60" w:firstLine="889"/>
        <w:spacing w:after="0" w:line="277" w:lineRule="auto"/>
        <w:tabs>
          <w:tab w:leader="none" w:pos="1096" w:val="left"/>
        </w:tabs>
        <w:numPr>
          <w:ilvl w:val="1"/>
          <w:numId w:val="32"/>
        </w:numPr>
        <w:rPr>
          <w:rFonts w:ascii="Arial" w:cs="Arial" w:eastAsia="Arial" w:hAnsi="Arial"/>
          <w:sz w:val="18"/>
          <w:szCs w:val="18"/>
          <w:color w:val="auto"/>
        </w:rPr>
      </w:pPr>
      <w:r>
        <w:rPr>
          <w:rFonts w:ascii="Arial" w:cs="Arial" w:eastAsia="Arial" w:hAnsi="Arial"/>
          <w:sz w:val="18"/>
          <w:szCs w:val="18"/>
          <w:color w:val="auto"/>
        </w:rPr>
        <w:t>Each prospectus filed by a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firstLine="889"/>
        <w:spacing w:after="0" w:line="288" w:lineRule="auto"/>
        <w:tabs>
          <w:tab w:leader="none" w:pos="1146" w:val="left"/>
        </w:tabs>
        <w:numPr>
          <w:ilvl w:val="1"/>
          <w:numId w:val="32"/>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69" w:lineRule="exact"/>
        <w:rPr>
          <w:rFonts w:ascii="Arial" w:cs="Arial" w:eastAsia="Arial" w:hAnsi="Arial"/>
          <w:sz w:val="16"/>
          <w:szCs w:val="16"/>
          <w:color w:val="auto"/>
        </w:rPr>
      </w:pPr>
    </w:p>
    <w:p>
      <w:pPr>
        <w:jc w:val="both"/>
        <w:ind w:firstLine="656"/>
        <w:spacing w:after="0" w:line="302" w:lineRule="auto"/>
        <w:tabs>
          <w:tab w:leader="none" w:pos="893"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4" w:lineRule="exact"/>
        <w:rPr>
          <w:rFonts w:ascii="Arial" w:cs="Arial" w:eastAsia="Arial" w:hAnsi="Arial"/>
          <w:sz w:val="16"/>
          <w:szCs w:val="16"/>
          <w:color w:val="auto"/>
        </w:rPr>
      </w:pPr>
    </w:p>
    <w:p>
      <w:pPr>
        <w:ind w:left="1100" w:hanging="211"/>
        <w:spacing w:after="0"/>
        <w:tabs>
          <w:tab w:leader="none" w:pos="11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right="560" w:firstLine="889"/>
        <w:spacing w:after="0" w:line="277" w:lineRule="auto"/>
        <w:tabs>
          <w:tab w:leader="none" w:pos="1146"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right="160" w:firstLine="889"/>
        <w:spacing w:after="0" w:line="277" w:lineRule="auto"/>
        <w:tabs>
          <w:tab w:leader="none" w:pos="1196"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200" w:hanging="311"/>
        <w:spacing w:after="0"/>
        <w:tabs>
          <w:tab w:leader="none" w:pos="12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63" w:name="page64"/>
    <w:bookmarkEnd w:id="63"/>
    <w:p>
      <w:pPr>
        <w:ind w:left="-100" w:right="100" w:firstLine="656"/>
        <w:spacing w:after="0" w:line="257" w:lineRule="auto"/>
        <w:tabs>
          <w:tab w:leader="none" w:pos="77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Arial" w:cs="Arial" w:eastAsia="Arial" w:hAnsi="Arial"/>
          <w:sz w:val="18"/>
          <w:szCs w:val="18"/>
          <w:color w:val="auto"/>
        </w:rPr>
      </w:pPr>
    </w:p>
    <w:p>
      <w:pPr>
        <w:ind w:left="-100" w:right="20" w:firstLine="656"/>
        <w:spacing w:after="0" w:line="276" w:lineRule="auto"/>
        <w:tabs>
          <w:tab w:leader="none" w:pos="803"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That, for purposes of determining any liability under the Securities Act, (i) the information omitted from the form of prospectus filed as part of the registration statement in reliance upon Rule 430A and contained in the form of prospectus filed by the registrant pursuant to Rule 424(b)(l) or (4) or 497(h) under the Securities Act shall be deemed to be a part of the registration statement as of the time it was declared effective; and (ii)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2" w:lineRule="exact"/>
        <w:rPr>
          <w:rFonts w:ascii="Arial" w:cs="Arial" w:eastAsia="Arial" w:hAnsi="Arial"/>
          <w:sz w:val="17"/>
          <w:szCs w:val="17"/>
          <w:color w:val="auto"/>
        </w:rPr>
      </w:pPr>
    </w:p>
    <w:p>
      <w:pPr>
        <w:ind w:left="-100" w:firstLine="656"/>
        <w:spacing w:after="0" w:line="308" w:lineRule="auto"/>
        <w:tabs>
          <w:tab w:leader="none" w:pos="803" w:val="left"/>
        </w:tabs>
        <w:numPr>
          <w:ilvl w:val="0"/>
          <w:numId w:val="33"/>
        </w:numPr>
        <w:rPr>
          <w:rFonts w:ascii="Arial" w:cs="Arial" w:eastAsia="Arial" w:hAnsi="Arial"/>
          <w:sz w:val="17"/>
          <w:szCs w:val="17"/>
          <w:color w:val="auto"/>
        </w:rPr>
      </w:pPr>
      <w:r>
        <w:rPr>
          <w:rFonts w:ascii="Arial" w:cs="Arial" w:eastAsia="Arial" w:hAnsi="Arial"/>
          <w:sz w:val="17"/>
          <w:szCs w:val="17"/>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146" w:lineRule="exact"/>
        <w:rPr>
          <w:rFonts w:ascii="Arial" w:cs="Arial" w:eastAsia="Arial" w:hAnsi="Arial"/>
          <w:sz w:val="17"/>
          <w:szCs w:val="17"/>
          <w:color w:val="auto"/>
        </w:rPr>
      </w:pPr>
    </w:p>
    <w:p>
      <w:pPr>
        <w:ind w:left="-100" w:firstLine="656"/>
        <w:spacing w:after="0" w:line="291" w:lineRule="auto"/>
        <w:tabs>
          <w:tab w:leader="none" w:pos="763"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or persons controlling the registrant pursuant to the foregoing provisions, the registrant has been informed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340" w:top="882" w:right="31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New York, New York, on June 26, 2015.</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Andrew D. Perlman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We, the undersigned officers and directors of Vringo, Inc., hereby severally constitute and appoint Andrew D. Perlman and Anastasia Nyrkovskaya, and each of them singly (with full power to each of them to act alone), our true and lawful attorneys-in-fact and agents, with full power of substitution and resubstitution in each of them for him or her and in his or her name, place and stead, and in any and all capacities, to sign any and all amendments (including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97"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240" w:type="dxa"/>
            <w:vAlign w:val="bottom"/>
          </w:tcPr>
          <w:p>
            <w:pPr>
              <w:spacing w:after="0"/>
              <w:rPr>
                <w:sz w:val="20"/>
                <w:szCs w:val="20"/>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00" w:type="dxa"/>
            <w:vAlign w:val="bottom"/>
          </w:tcPr>
          <w:p>
            <w:pPr>
              <w:spacing w:after="0"/>
              <w:rPr>
                <w:sz w:val="20"/>
                <w:szCs w:val="20"/>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26"/>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 Andrew D. Perlman</w:t>
            </w:r>
          </w:p>
        </w:tc>
        <w:tc>
          <w:tcPr>
            <w:tcW w:w="240" w:type="dxa"/>
            <w:vAlign w:val="bottom"/>
          </w:tcPr>
          <w:p>
            <w:pPr>
              <w:spacing w:after="0"/>
              <w:rPr>
                <w:sz w:val="24"/>
                <w:szCs w:val="24"/>
                <w:color w:val="auto"/>
              </w:rPr>
            </w:pPr>
          </w:p>
        </w:tc>
        <w:tc>
          <w:tcPr>
            <w:tcW w:w="47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Chief Executive Officer and 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87"/>
              </w:rPr>
              <w:t>June 26, 2015</w:t>
            </w:r>
          </w:p>
        </w:tc>
        <w:tc>
          <w:tcPr>
            <w:tcW w:w="0" w:type="dxa"/>
            <w:vAlign w:val="bottom"/>
          </w:tcPr>
          <w:p>
            <w:pPr>
              <w:spacing w:after="0"/>
              <w:rPr>
                <w:sz w:val="1"/>
                <w:szCs w:val="1"/>
                <w:color w:val="auto"/>
              </w:rPr>
            </w:pPr>
          </w:p>
        </w:tc>
      </w:tr>
      <w:tr>
        <w:trPr>
          <w:trHeight w:val="210"/>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Andrew D. Perlman</w:t>
            </w:r>
          </w:p>
        </w:tc>
        <w:tc>
          <w:tcPr>
            <w:tcW w:w="240" w:type="dxa"/>
            <w:vAlign w:val="bottom"/>
          </w:tcPr>
          <w:p>
            <w:pPr>
              <w:spacing w:after="0"/>
              <w:rPr>
                <w:sz w:val="18"/>
                <w:szCs w:val="18"/>
                <w:color w:val="auto"/>
              </w:rPr>
            </w:pPr>
          </w:p>
        </w:tc>
        <w:tc>
          <w:tcPr>
            <w:tcW w:w="47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(principal executive officer)</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 Anastasia Nyrkovskaya</w:t>
            </w:r>
          </w:p>
        </w:tc>
        <w:tc>
          <w:tcPr>
            <w:tcW w:w="240" w:type="dxa"/>
            <w:vAlign w:val="bottom"/>
          </w:tcPr>
          <w:p>
            <w:pPr>
              <w:spacing w:after="0"/>
              <w:rPr>
                <w:sz w:val="24"/>
                <w:szCs w:val="24"/>
                <w:color w:val="auto"/>
              </w:rPr>
            </w:pPr>
          </w:p>
        </w:tc>
        <w:tc>
          <w:tcPr>
            <w:tcW w:w="47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Chief Financial Officer (principal</w:t>
            </w:r>
          </w:p>
        </w:tc>
        <w:tc>
          <w:tcPr>
            <w:tcW w:w="2400" w:type="dxa"/>
            <w:vAlign w:val="bottom"/>
          </w:tcPr>
          <w:p>
            <w:pPr>
              <w:jc w:val="center"/>
              <w:spacing w:after="0"/>
              <w:rPr>
                <w:sz w:val="20"/>
                <w:szCs w:val="20"/>
                <w:color w:val="auto"/>
              </w:rPr>
            </w:pPr>
            <w:r>
              <w:rPr>
                <w:rFonts w:ascii="Arial" w:cs="Arial" w:eastAsia="Arial" w:hAnsi="Arial"/>
                <w:sz w:val="18"/>
                <w:szCs w:val="18"/>
                <w:color w:val="auto"/>
                <w:w w:val="87"/>
              </w:rPr>
              <w:t>June 26, 2015</w:t>
            </w:r>
          </w:p>
        </w:tc>
        <w:tc>
          <w:tcPr>
            <w:tcW w:w="0" w:type="dxa"/>
            <w:vAlign w:val="bottom"/>
          </w:tcPr>
          <w:p>
            <w:pPr>
              <w:spacing w:after="0"/>
              <w:rPr>
                <w:sz w:val="1"/>
                <w:szCs w:val="1"/>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Anastasia Nyrkovskaya</w:t>
            </w:r>
          </w:p>
        </w:tc>
        <w:tc>
          <w:tcPr>
            <w:tcW w:w="240" w:type="dxa"/>
            <w:vAlign w:val="bottom"/>
          </w:tcPr>
          <w:p>
            <w:pPr>
              <w:spacing w:after="0"/>
              <w:rPr>
                <w:sz w:val="19"/>
                <w:szCs w:val="19"/>
                <w:color w:val="auto"/>
              </w:rPr>
            </w:pPr>
          </w:p>
        </w:tc>
        <w:tc>
          <w:tcPr>
            <w:tcW w:w="47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financial and accounting officer)</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 John Engelman</w:t>
            </w:r>
          </w:p>
        </w:tc>
        <w:tc>
          <w:tcPr>
            <w:tcW w:w="240" w:type="dxa"/>
            <w:vAlign w:val="bottom"/>
          </w:tcPr>
          <w:p>
            <w:pPr>
              <w:spacing w:after="0"/>
              <w:rPr>
                <w:sz w:val="24"/>
                <w:szCs w:val="24"/>
                <w:color w:val="auto"/>
              </w:rPr>
            </w:pPr>
          </w:p>
        </w:tc>
        <w:tc>
          <w:tcPr>
            <w:tcW w:w="47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87"/>
              </w:rPr>
              <w:t>June 26, 2015</w:t>
            </w:r>
          </w:p>
        </w:tc>
        <w:tc>
          <w:tcPr>
            <w:tcW w:w="0" w:type="dxa"/>
            <w:vAlign w:val="bottom"/>
          </w:tcPr>
          <w:p>
            <w:pPr>
              <w:spacing w:after="0"/>
              <w:rPr>
                <w:sz w:val="1"/>
                <w:szCs w:val="1"/>
                <w:color w:val="auto"/>
              </w:rPr>
            </w:pPr>
          </w:p>
        </w:tc>
      </w:tr>
      <w:tr>
        <w:trPr>
          <w:trHeight w:val="210"/>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John Engelman</w:t>
            </w:r>
          </w:p>
        </w:tc>
        <w:tc>
          <w:tcPr>
            <w:tcW w:w="2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 Donald E. Stout</w:t>
            </w:r>
          </w:p>
        </w:tc>
        <w:tc>
          <w:tcPr>
            <w:tcW w:w="240" w:type="dxa"/>
            <w:vAlign w:val="bottom"/>
          </w:tcPr>
          <w:p>
            <w:pPr>
              <w:spacing w:after="0"/>
              <w:rPr>
                <w:sz w:val="24"/>
                <w:szCs w:val="24"/>
                <w:color w:val="auto"/>
              </w:rPr>
            </w:pPr>
          </w:p>
        </w:tc>
        <w:tc>
          <w:tcPr>
            <w:tcW w:w="47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87"/>
              </w:rPr>
              <w:t>June 26, 2015</w:t>
            </w:r>
          </w:p>
        </w:tc>
        <w:tc>
          <w:tcPr>
            <w:tcW w:w="0" w:type="dxa"/>
            <w:vAlign w:val="bottom"/>
          </w:tcPr>
          <w:p>
            <w:pPr>
              <w:spacing w:after="0"/>
              <w:rPr>
                <w:sz w:val="1"/>
                <w:szCs w:val="1"/>
                <w:color w:val="auto"/>
              </w:rPr>
            </w:pPr>
          </w:p>
        </w:tc>
      </w:tr>
      <w:tr>
        <w:trPr>
          <w:trHeight w:val="224"/>
        </w:trPr>
        <w:tc>
          <w:tcPr>
            <w:tcW w:w="4000" w:type="dxa"/>
            <w:vAlign w:val="bottom"/>
          </w:tcPr>
          <w:p>
            <w:pPr>
              <w:spacing w:after="0"/>
              <w:rPr>
                <w:sz w:val="20"/>
                <w:szCs w:val="20"/>
                <w:color w:val="auto"/>
              </w:rPr>
            </w:pPr>
            <w:r>
              <w:rPr>
                <w:rFonts w:ascii="Arial" w:cs="Arial" w:eastAsia="Arial" w:hAnsi="Arial"/>
                <w:sz w:val="18"/>
                <w:szCs w:val="18"/>
                <w:color w:val="auto"/>
              </w:rPr>
              <w:t>Donald E. Stout</w:t>
            </w:r>
          </w:p>
        </w:tc>
        <w:tc>
          <w:tcPr>
            <w:tcW w:w="24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00" w:type="dxa"/>
            <w:vAlign w:val="bottom"/>
            <w:tcBorders>
              <w:bottom w:val="single" w:sz="8" w:color="auto"/>
            </w:tcBorders>
          </w:tcPr>
          <w:p>
            <w:pPr>
              <w:spacing w:after="0"/>
              <w:rPr>
                <w:sz w:val="18"/>
                <w:szCs w:val="18"/>
                <w:color w:val="auto"/>
              </w:rPr>
            </w:pPr>
          </w:p>
        </w:tc>
        <w:tc>
          <w:tcPr>
            <w:tcW w:w="240" w:type="dxa"/>
            <w:vAlign w:val="bottom"/>
            <w:vMerge w:val="restart"/>
          </w:tcPr>
          <w:p>
            <w:pPr>
              <w:spacing w:after="0"/>
              <w:rPr>
                <w:sz w:val="18"/>
                <w:szCs w:val="18"/>
                <w:color w:val="auto"/>
              </w:rPr>
            </w:pPr>
          </w:p>
        </w:tc>
        <w:tc>
          <w:tcPr>
            <w:tcW w:w="478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5"/>
              </w:rPr>
              <w:t>Director</w:t>
            </w:r>
          </w:p>
        </w:tc>
        <w:tc>
          <w:tcPr>
            <w:tcW w:w="2400" w:type="dxa"/>
            <w:vAlign w:val="bottom"/>
            <w:vMerge w:val="restart"/>
          </w:tcPr>
          <w:p>
            <w:pPr>
              <w:jc w:val="center"/>
              <w:spacing w:after="0"/>
              <w:rPr>
                <w:sz w:val="20"/>
                <w:szCs w:val="20"/>
                <w:color w:val="auto"/>
              </w:rPr>
            </w:pPr>
            <w:r>
              <w:rPr>
                <w:rFonts w:ascii="Arial" w:cs="Arial" w:eastAsia="Arial" w:hAnsi="Arial"/>
                <w:sz w:val="18"/>
                <w:szCs w:val="18"/>
                <w:color w:val="auto"/>
                <w:w w:val="87"/>
              </w:rPr>
              <w:t>June 26, 2015</w:t>
            </w:r>
          </w:p>
        </w:tc>
        <w:tc>
          <w:tcPr>
            <w:tcW w:w="0" w:type="dxa"/>
            <w:vAlign w:val="bottom"/>
          </w:tcPr>
          <w:p>
            <w:pPr>
              <w:spacing w:after="0"/>
              <w:rPr>
                <w:sz w:val="1"/>
                <w:szCs w:val="1"/>
                <w:color w:val="auto"/>
              </w:rPr>
            </w:pPr>
          </w:p>
        </w:tc>
      </w:tr>
      <w:tr>
        <w:trPr>
          <w:trHeight w:val="210"/>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 H. Van Sinclair</w:t>
            </w:r>
          </w:p>
        </w:tc>
        <w:tc>
          <w:tcPr>
            <w:tcW w:w="240" w:type="dxa"/>
            <w:vAlign w:val="bottom"/>
            <w:vMerge w:val="continue"/>
          </w:tcPr>
          <w:p>
            <w:pPr>
              <w:spacing w:after="0"/>
              <w:rPr>
                <w:sz w:val="18"/>
                <w:szCs w:val="18"/>
                <w:color w:val="auto"/>
              </w:rPr>
            </w:pPr>
          </w:p>
        </w:tc>
        <w:tc>
          <w:tcPr>
            <w:tcW w:w="4780" w:type="dxa"/>
            <w:vAlign w:val="bottom"/>
            <w:gridSpan w:val="2"/>
            <w:vMerge w:val="continue"/>
          </w:tcPr>
          <w:p>
            <w:pPr>
              <w:spacing w:after="0"/>
              <w:rPr>
                <w:sz w:val="18"/>
                <w:szCs w:val="18"/>
                <w:color w:val="auto"/>
              </w:rPr>
            </w:pPr>
          </w:p>
        </w:tc>
        <w:tc>
          <w:tcPr>
            <w:tcW w:w="2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 Van Sinclair</w:t>
            </w:r>
          </w:p>
        </w:tc>
        <w:tc>
          <w:tcPr>
            <w:tcW w:w="2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/s/ Ashley C. Keller</w:t>
            </w:r>
          </w:p>
        </w:tc>
        <w:tc>
          <w:tcPr>
            <w:tcW w:w="240" w:type="dxa"/>
            <w:vAlign w:val="bottom"/>
          </w:tcPr>
          <w:p>
            <w:pPr>
              <w:spacing w:after="0"/>
              <w:rPr>
                <w:sz w:val="24"/>
                <w:szCs w:val="24"/>
                <w:color w:val="auto"/>
              </w:rPr>
            </w:pPr>
          </w:p>
        </w:tc>
        <w:tc>
          <w:tcPr>
            <w:tcW w:w="47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87"/>
              </w:rPr>
              <w:t>June 26, 2015</w:t>
            </w:r>
          </w:p>
        </w:tc>
        <w:tc>
          <w:tcPr>
            <w:tcW w:w="0" w:type="dxa"/>
            <w:vAlign w:val="bottom"/>
          </w:tcPr>
          <w:p>
            <w:pPr>
              <w:spacing w:after="0"/>
              <w:rPr>
                <w:sz w:val="1"/>
                <w:szCs w:val="1"/>
                <w:color w:val="auto"/>
              </w:rPr>
            </w:pPr>
          </w:p>
        </w:tc>
      </w:tr>
      <w:tr>
        <w:trPr>
          <w:trHeight w:val="210"/>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Ashley C. Keller</w:t>
            </w:r>
          </w:p>
        </w:tc>
        <w:tc>
          <w:tcPr>
            <w:tcW w:w="2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i w:val="1"/>
                <w:iCs w:val="1"/>
                <w:color w:val="auto"/>
              </w:rPr>
              <w:t xml:space="preserve">/s/ </w:t>
            </w:r>
            <w:r>
              <w:rPr>
                <w:rFonts w:ascii="Arial" w:cs="Arial" w:eastAsia="Arial" w:hAnsi="Arial"/>
                <w:sz w:val="18"/>
                <w:szCs w:val="18"/>
                <w:b w:val="1"/>
                <w:bCs w:val="1"/>
                <w:color w:val="auto"/>
              </w:rPr>
              <w:t>Noel J. Spiegel</w:t>
            </w:r>
          </w:p>
        </w:tc>
        <w:tc>
          <w:tcPr>
            <w:tcW w:w="240" w:type="dxa"/>
            <w:vAlign w:val="bottom"/>
          </w:tcPr>
          <w:p>
            <w:pPr>
              <w:spacing w:after="0"/>
              <w:rPr>
                <w:sz w:val="24"/>
                <w:szCs w:val="24"/>
                <w:color w:val="auto"/>
              </w:rPr>
            </w:pPr>
          </w:p>
        </w:tc>
        <w:tc>
          <w:tcPr>
            <w:tcW w:w="47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2400" w:type="dxa"/>
            <w:vAlign w:val="bottom"/>
          </w:tcPr>
          <w:p>
            <w:pPr>
              <w:jc w:val="center"/>
              <w:spacing w:after="0"/>
              <w:rPr>
                <w:sz w:val="20"/>
                <w:szCs w:val="20"/>
                <w:color w:val="auto"/>
              </w:rPr>
            </w:pPr>
            <w:r>
              <w:rPr>
                <w:rFonts w:ascii="Arial" w:cs="Arial" w:eastAsia="Arial" w:hAnsi="Arial"/>
                <w:sz w:val="18"/>
                <w:szCs w:val="18"/>
                <w:color w:val="auto"/>
                <w:w w:val="87"/>
              </w:rPr>
              <w:t>June 26, 2015</w:t>
            </w:r>
          </w:p>
        </w:tc>
        <w:tc>
          <w:tcPr>
            <w:tcW w:w="0" w:type="dxa"/>
            <w:vAlign w:val="bottom"/>
          </w:tcPr>
          <w:p>
            <w:pPr>
              <w:spacing w:after="0"/>
              <w:rPr>
                <w:sz w:val="1"/>
                <w:szCs w:val="1"/>
                <w:color w:val="auto"/>
              </w:rPr>
            </w:pPr>
          </w:p>
        </w:tc>
      </w:tr>
      <w:tr>
        <w:trPr>
          <w:trHeight w:val="210"/>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Noel J. Spiegel</w:t>
            </w:r>
          </w:p>
        </w:tc>
        <w:tc>
          <w:tcPr>
            <w:tcW w:w="2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4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60" w:type="dxa"/>
            <w:vAlign w:val="bottom"/>
          </w:tcPr>
          <w:p>
            <w:pPr>
              <w:ind w:left="376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0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4"/>
                <w:szCs w:val="24"/>
                <w:color w:val="auto"/>
              </w:rPr>
            </w:pPr>
          </w:p>
        </w:tc>
        <w:tc>
          <w:tcPr>
            <w:tcW w:w="10160" w:type="dxa"/>
            <w:vAlign w:val="bottom"/>
          </w:tcPr>
          <w:p>
            <w:pPr>
              <w:spacing w:after="0"/>
              <w:rPr>
                <w:sz w:val="24"/>
                <w:szCs w:val="24"/>
                <w:color w:val="auto"/>
              </w:rPr>
            </w:pPr>
          </w:p>
        </w:tc>
      </w:tr>
      <w:tr>
        <w:trPr>
          <w:trHeight w:val="234"/>
        </w:trPr>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10160" w:type="dxa"/>
            <w:vAlign w:val="bottom"/>
            <w:tcBorders>
              <w:bottom w:val="single" w:sz="8" w:color="auto"/>
            </w:tcBorders>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1040" w:type="dxa"/>
            <w:vAlign w:val="bottom"/>
          </w:tcPr>
          <w:p>
            <w:pPr>
              <w:spacing w:after="0"/>
              <w:rPr>
                <w:sz w:val="20"/>
                <w:szCs w:val="20"/>
                <w:color w:val="auto"/>
              </w:rPr>
            </w:pPr>
            <w:r>
              <w:rPr>
                <w:rFonts w:ascii="Arial" w:cs="Arial" w:eastAsia="Arial" w:hAnsi="Arial"/>
                <w:sz w:val="18"/>
                <w:szCs w:val="18"/>
                <w:color w:val="auto"/>
              </w:rPr>
              <w:t>1.1*</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Form of Underwriting Agreement.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3.1</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3"/>
              </w:rPr>
              <w:t>Amended and Restated Certificate of Incorporation (incorporated by reference from our Registration Statement on Form S-1 filed on May</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18, 2010).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3.2</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Certificate of Amendment to Amended and Restated Certificate of Incorporation (Incorporated by reference to Exhibit 3.1 to the</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Registrant’s Current Report on Form 8-K, filed with the SEC on July 20, 2012).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3.3</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1"/>
              </w:rPr>
              <w:t>Certificate of Designations, Preferences and Rights of Series A Convertible Preferred Stock (Incorporated by reference to Exhibit 3.2 to the</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Registrant’s Current Report on Form 8-K, filed with the SEC on July 20, 2012).</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3.4</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6"/>
              </w:rPr>
              <w:t>Amended and Restated Bylaws (incorporated by reference from our Registration Statement on Form S-1 filed on January 29, 2010).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4.1</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7"/>
              </w:rPr>
              <w:t>Specimen Common Stock Certificate (Incorporated by reference to Exhibit 4.2 of Amendment No. 3 to the Registrant’s Registration</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Statement on Form S-1, filed with the SEC on May 18, 2010).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4.2</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7"/>
              </w:rPr>
              <w:t>Specimen Public Warrant Certificate (Incorporated by reference to Exhibit 4.3 of Amendment No. 3 to the Registrant’s Registration</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Statement on Form S-1, filed with the SEC on May 18, 2010).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4.3</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3"/>
              </w:rPr>
              <w:t>Form of Warrant Agreement (Incorporated by reference to Exhibit 4.4 of Amendment No. 1 to the Registrant’s Registration Statement on</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Form S-1, filed with the SEC on March 29, 2010).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4.4*</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Form of Certificate of Amendment or Designation with respect to Preferred Stock.</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4.5*</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Form of Senior Debt Security.</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4.6*</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Form of Subordinated Debt Security.</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4.7</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Form of Senior Indenture.</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4.8</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Form of Subordinated Indenture.</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4.9*</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Form of Warrant Agreement and Warrant Certificate.</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4.10*</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Form of Rights Agreement and Right Certificate.</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4.11*</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Form of Purchase Contract.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4.12*</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Form of Unit Agreement and Unit.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5.1</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Opinion of Mintz, Levin, Cohn, Ferris, Glovsky and Popeo, P.C. with respect to the legality of the securities being registered.</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7"/>
              </w:rPr>
              <w:t>Form of Warrants (incorporated by reference to Exhibit 10.3 to our Current Report on Form 8-K filed with the SEC on May 4, 2015).</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12.1*</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Computation of Ratio of Earnings to Fixed Charges.</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Consent of KPMG LLC, Independent Registered Public Accounting Firm.</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23.2</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Consent of Somekh Chaikin, Certified Public Accountants (Isr.), a member firm of KPMG International.</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23.3</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Consent of Mintz, Levin, Cohn, Ferris, Glovsky and Popeo, P.C. (included in the opinion filed as Exhibit 5.1).</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24.1</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Powers of Attorney (included on the signature page of this registration statement).</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25.1*</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The Statement of Eligibility on Form T-1 under the Trust Indenture Act of 1939, as amended, of the Trustee under the Senior Indenture will</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5"/>
              </w:rPr>
              <w:t>be incorporated herein by reference from a subsequent filing in accordance with Section 305(b)(2) of the Trust Indenture Act of 1939.</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25.2*</w:t>
            </w: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7"/>
              </w:rPr>
              <w:t>The Statement of Eligibility on Form T-1 under the Trust Indenture Act of 1939, as amended, of the Trustee under the Subordinated</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w w:val="92"/>
              </w:rPr>
              <w:t>Indenture will be incorporated herein by reference from a subsequent filing in accordance with Section 305(b)(2) of the Trust Indenture Act</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220"/>
              <w:spacing w:after="0"/>
              <w:rPr>
                <w:sz w:val="20"/>
                <w:szCs w:val="20"/>
                <w:color w:val="auto"/>
              </w:rPr>
            </w:pPr>
            <w:r>
              <w:rPr>
                <w:rFonts w:ascii="Arial" w:cs="Arial" w:eastAsia="Arial" w:hAnsi="Arial"/>
                <w:sz w:val="18"/>
                <w:szCs w:val="18"/>
                <w:color w:val="auto"/>
              </w:rPr>
              <w:t>of 1939.</w:t>
            </w:r>
          </w:p>
        </w:tc>
      </w:tr>
    </w:tbl>
    <w:p>
      <w:pPr>
        <w:spacing w:after="0" w:line="202" w:lineRule="exact"/>
        <w:rPr>
          <w:sz w:val="20"/>
          <w:szCs w:val="20"/>
          <w:color w:val="auto"/>
        </w:rPr>
      </w:pPr>
    </w:p>
    <w:p>
      <w:pPr>
        <w:ind w:left="1040" w:hanging="910"/>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be subsequently filed, if applicable, by an amendment to this registration statement or by a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4.7</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Issuer</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960" w:hanging="956"/>
        <w:spacing w:after="0"/>
        <w:tabs>
          <w:tab w:leader="none" w:pos="4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Trustee</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580"/>
        <w:spacing w:after="0"/>
        <w:tabs>
          <w:tab w:leader="none" w:pos="5380" w:val="left"/>
        </w:tabs>
        <w:rPr>
          <w:sz w:val="20"/>
          <w:szCs w:val="20"/>
          <w:color w:val="auto"/>
        </w:rPr>
      </w:pPr>
      <w:r>
        <w:rPr>
          <w:rFonts w:ascii="Arial" w:cs="Arial" w:eastAsia="Arial" w:hAnsi="Arial"/>
          <w:sz w:val="18"/>
          <w:szCs w:val="18"/>
          <w:color w:val="auto"/>
        </w:rPr>
        <w:t>Dated as of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Senior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426720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7240" w:type="dxa"/>
            <w:vAlign w:val="bottom"/>
            <w:gridSpan w:val="3"/>
          </w:tcPr>
          <w:p>
            <w:pPr>
              <w:ind w:left="200"/>
              <w:spacing w:after="0"/>
              <w:rPr>
                <w:sz w:val="20"/>
                <w:szCs w:val="20"/>
                <w:color w:val="auto"/>
              </w:rPr>
            </w:pPr>
            <w:r>
              <w:rPr>
                <w:rFonts w:ascii="Arial" w:cs="Arial" w:eastAsia="Arial" w:hAnsi="Arial"/>
                <w:sz w:val="18"/>
                <w:szCs w:val="18"/>
                <w:b w:val="1"/>
                <w:bCs w:val="1"/>
                <w:color w:val="auto"/>
              </w:rPr>
              <w:t>CROSS-REFERENCE TABLE (1)</w:t>
            </w:r>
          </w:p>
        </w:tc>
      </w:tr>
      <w:tr>
        <w:trPr>
          <w:trHeight w:val="414"/>
        </w:trPr>
        <w:tc>
          <w:tcPr>
            <w:tcW w:w="418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ind w:left="300"/>
              <w:spacing w:after="0"/>
              <w:rPr>
                <w:sz w:val="20"/>
                <w:szCs w:val="20"/>
                <w:color w:val="auto"/>
              </w:rPr>
            </w:pPr>
            <w:r>
              <w:rPr>
                <w:rFonts w:ascii="Arial" w:cs="Arial" w:eastAsia="Arial" w:hAnsi="Arial"/>
                <w:sz w:val="18"/>
                <w:szCs w:val="18"/>
                <w:b w:val="1"/>
                <w:bCs w:val="1"/>
                <w:color w:val="auto"/>
              </w:rPr>
              <w:t>Section of</w:t>
            </w:r>
          </w:p>
        </w:tc>
      </w:tr>
      <w:tr>
        <w:trPr>
          <w:trHeight w:val="234"/>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Section of Trust Indenture Act of 1939, as Amended</w:t>
            </w:r>
          </w:p>
        </w:tc>
        <w:tc>
          <w:tcPr>
            <w:tcW w:w="56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Indenture</w:t>
            </w:r>
          </w:p>
        </w:tc>
      </w:tr>
    </w:tbl>
    <w:p>
      <w:pPr>
        <w:ind w:left="300"/>
        <w:spacing w:after="0"/>
        <w:rPr>
          <w:sz w:val="20"/>
          <w:szCs w:val="20"/>
          <w:color w:val="auto"/>
        </w:rPr>
        <w:sectPr>
          <w:pgSz w:w="11900" w:h="16838" w:orient="portrait"/>
          <w:cols w:equalWidth="0" w:num="1">
            <w:col w:w="11420"/>
          </w:cols>
          <w:pgMar w:left="240" w:top="1256" w:right="239" w:bottom="1440" w:gutter="0" w:footer="0" w:header="0"/>
        </w:sect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310(a).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310(b).</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310(c).</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311(a).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311(b).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311(c).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312(a)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312(b).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312(c).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313(a).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313(b).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313(c).</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313(d).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314(a).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314(b).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314(c).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314(d).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314(e).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314(f).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315(a).</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315(b).</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315(c).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315(d).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315(e).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316(a).</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316(b).</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316(c).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317(a).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317(b).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10890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Inapplicable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7.13(a)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7.13(b)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Inapplicable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5.02(a)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5.02(b)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5.02(c)</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5.04(a)</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5.04(a)</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5.04(a)</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5.04(b)</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5.04(b)</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Inapplicable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13.06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Inapplicable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13.06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Inapplicable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7.01(a)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7.01(b)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7.01(c)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13.08</w:t>
      </w:r>
    </w:p>
    <w:p>
      <w:pPr>
        <w:spacing w:after="0" w:line="200" w:lineRule="exact"/>
        <w:rPr>
          <w:sz w:val="20"/>
          <w:szCs w:val="20"/>
          <w:color w:val="auto"/>
        </w:rPr>
      </w:pPr>
    </w:p>
    <w:p>
      <w:pPr>
        <w:sectPr>
          <w:pgSz w:w="11900" w:h="16838" w:orient="portrait"/>
          <w:cols w:equalWidth="0" w:num="2">
            <w:col w:w="9820" w:space="720"/>
            <w:col w:w="880"/>
          </w:cols>
          <w:pgMar w:left="240" w:top="1256" w:right="239" w:bottom="1440" w:gutter="0" w:footer="0" w:header="0"/>
          <w:type w:val="continuous"/>
        </w:sectPr>
      </w:pPr>
    </w:p>
    <w:p>
      <w:pPr>
        <w:spacing w:after="0" w:line="146" w:lineRule="exact"/>
        <w:rPr>
          <w:sz w:val="20"/>
          <w:szCs w:val="20"/>
          <w:color w:val="auto"/>
        </w:rPr>
      </w:pPr>
    </w:p>
    <w:p>
      <w:pPr>
        <w:ind w:left="460" w:right="740" w:hanging="452"/>
        <w:spacing w:after="0" w:line="27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860" w:type="dxa"/>
            <w:vAlign w:val="bottom"/>
          </w:tcPr>
          <w:p>
            <w:pPr>
              <w:ind w:left="2800"/>
              <w:spacing w:after="0"/>
              <w:rPr>
                <w:sz w:val="20"/>
                <w:szCs w:val="20"/>
                <w:color w:val="auto"/>
              </w:rPr>
            </w:pPr>
            <w:r>
              <w:rPr>
                <w:rFonts w:ascii="Arial" w:cs="Arial" w:eastAsia="Arial" w:hAnsi="Arial"/>
                <w:sz w:val="18"/>
                <w:szCs w:val="18"/>
                <w:color w:val="auto"/>
              </w:rPr>
              <w:t>TABLE OF CONTENTS (2)</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ARTICLE I</w:t>
            </w: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DEFINITIONS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1.01</w:t>
            </w: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Definitions of Terms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ARTICLE II</w:t>
            </w: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ISSUE, DESCRIPTION, TERMS, EXECUTION, REGISTRATION AND EXCHANGE OF SECURITIES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2.01</w:t>
            </w: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Designation and Terms of Securities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Arial" w:cs="Arial" w:eastAsia="Arial" w:hAnsi="Arial"/>
                <w:sz w:val="18"/>
                <w:szCs w:val="18"/>
                <w:color w:val="auto"/>
              </w:rPr>
              <w:t>SECTION 2.02</w:t>
            </w:r>
          </w:p>
        </w:tc>
        <w:tc>
          <w:tcPr>
            <w:tcW w:w="8860" w:type="dxa"/>
            <w:vAlign w:val="bottom"/>
          </w:tcPr>
          <w:p>
            <w:pPr>
              <w:ind w:left="420"/>
              <w:spacing w:after="0"/>
              <w:rPr>
                <w:sz w:val="20"/>
                <w:szCs w:val="20"/>
                <w:color w:val="auto"/>
              </w:rPr>
            </w:pPr>
            <w:r>
              <w:rPr>
                <w:rFonts w:ascii="Arial" w:cs="Arial" w:eastAsia="Arial" w:hAnsi="Arial"/>
                <w:sz w:val="18"/>
                <w:szCs w:val="18"/>
                <w:color w:val="auto"/>
              </w:rPr>
              <w:t>Form of Securities and Trustee’s Certificate</w:t>
            </w: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2.03</w:t>
            </w: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Denominations: Provisions for Payment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Arial" w:cs="Arial" w:eastAsia="Arial" w:hAnsi="Arial"/>
                <w:sz w:val="18"/>
                <w:szCs w:val="18"/>
                <w:color w:val="auto"/>
              </w:rPr>
              <w:t>SECTION 2.04</w:t>
            </w:r>
          </w:p>
        </w:tc>
        <w:tc>
          <w:tcPr>
            <w:tcW w:w="8860" w:type="dxa"/>
            <w:vAlign w:val="bottom"/>
          </w:tcPr>
          <w:p>
            <w:pPr>
              <w:ind w:left="420"/>
              <w:spacing w:after="0"/>
              <w:rPr>
                <w:sz w:val="20"/>
                <w:szCs w:val="20"/>
                <w:color w:val="auto"/>
              </w:rPr>
            </w:pPr>
            <w:r>
              <w:rPr>
                <w:rFonts w:ascii="Arial" w:cs="Arial" w:eastAsia="Arial" w:hAnsi="Arial"/>
                <w:sz w:val="18"/>
                <w:szCs w:val="18"/>
                <w:color w:val="auto"/>
              </w:rPr>
              <w:t>Execution and Authentications</w:t>
            </w: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2.05</w:t>
            </w: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Registration of Transfer and Exchange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Arial" w:cs="Arial" w:eastAsia="Arial" w:hAnsi="Arial"/>
                <w:sz w:val="18"/>
                <w:szCs w:val="18"/>
                <w:color w:val="auto"/>
              </w:rPr>
              <w:t>SECTION 2.06</w:t>
            </w:r>
          </w:p>
        </w:tc>
        <w:tc>
          <w:tcPr>
            <w:tcW w:w="8860" w:type="dxa"/>
            <w:vAlign w:val="bottom"/>
          </w:tcPr>
          <w:p>
            <w:pPr>
              <w:ind w:left="420"/>
              <w:spacing w:after="0"/>
              <w:rPr>
                <w:sz w:val="20"/>
                <w:szCs w:val="20"/>
                <w:color w:val="auto"/>
              </w:rPr>
            </w:pPr>
            <w:r>
              <w:rPr>
                <w:rFonts w:ascii="Arial" w:cs="Arial" w:eastAsia="Arial" w:hAnsi="Arial"/>
                <w:sz w:val="18"/>
                <w:szCs w:val="18"/>
                <w:color w:val="auto"/>
              </w:rPr>
              <w:t>Temporary Securities</w:t>
            </w: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2.07</w:t>
            </w: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Mutilated, Destroyed, Lost or Stolen Securities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Arial" w:cs="Arial" w:eastAsia="Arial" w:hAnsi="Arial"/>
                <w:sz w:val="18"/>
                <w:szCs w:val="18"/>
                <w:color w:val="auto"/>
              </w:rPr>
              <w:t>SECTION 2.08</w:t>
            </w:r>
          </w:p>
        </w:tc>
        <w:tc>
          <w:tcPr>
            <w:tcW w:w="8860" w:type="dxa"/>
            <w:vAlign w:val="bottom"/>
          </w:tcPr>
          <w:p>
            <w:pPr>
              <w:ind w:left="420"/>
              <w:spacing w:after="0"/>
              <w:rPr>
                <w:sz w:val="20"/>
                <w:szCs w:val="20"/>
                <w:color w:val="auto"/>
              </w:rPr>
            </w:pPr>
            <w:r>
              <w:rPr>
                <w:rFonts w:ascii="Arial" w:cs="Arial" w:eastAsia="Arial" w:hAnsi="Arial"/>
                <w:sz w:val="18"/>
                <w:szCs w:val="18"/>
                <w:color w:val="auto"/>
              </w:rPr>
              <w:t>Cancellation</w:t>
            </w: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2.09</w:t>
            </w: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Benefits of Indenture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Arial" w:cs="Arial" w:eastAsia="Arial" w:hAnsi="Arial"/>
                <w:sz w:val="18"/>
                <w:szCs w:val="18"/>
                <w:color w:val="auto"/>
              </w:rPr>
              <w:t>SECTION 2.10</w:t>
            </w:r>
          </w:p>
        </w:tc>
        <w:tc>
          <w:tcPr>
            <w:tcW w:w="8860" w:type="dxa"/>
            <w:vAlign w:val="bottom"/>
          </w:tcPr>
          <w:p>
            <w:pPr>
              <w:ind w:left="420"/>
              <w:spacing w:after="0"/>
              <w:rPr>
                <w:sz w:val="20"/>
                <w:szCs w:val="20"/>
                <w:color w:val="auto"/>
              </w:rPr>
            </w:pPr>
            <w:r>
              <w:rPr>
                <w:rFonts w:ascii="Arial" w:cs="Arial" w:eastAsia="Arial" w:hAnsi="Arial"/>
                <w:sz w:val="18"/>
                <w:szCs w:val="18"/>
                <w:color w:val="auto"/>
              </w:rPr>
              <w:t>Authenticating Agent</w:t>
            </w: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2.11</w:t>
            </w: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Global Securities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ARTICLE III</w:t>
            </w: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REDEMPTION OF SECURITIES AND SINKING FUND PROVISIONS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3.01</w:t>
            </w: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Redemption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Arial" w:cs="Arial" w:eastAsia="Arial" w:hAnsi="Arial"/>
                <w:sz w:val="18"/>
                <w:szCs w:val="18"/>
                <w:color w:val="auto"/>
              </w:rPr>
              <w:t>SECTION 3.02</w:t>
            </w:r>
          </w:p>
        </w:tc>
        <w:tc>
          <w:tcPr>
            <w:tcW w:w="8860" w:type="dxa"/>
            <w:vAlign w:val="bottom"/>
          </w:tcPr>
          <w:p>
            <w:pPr>
              <w:ind w:left="420"/>
              <w:spacing w:after="0"/>
              <w:rPr>
                <w:sz w:val="20"/>
                <w:szCs w:val="20"/>
                <w:color w:val="auto"/>
              </w:rPr>
            </w:pPr>
            <w:r>
              <w:rPr>
                <w:rFonts w:ascii="Arial" w:cs="Arial" w:eastAsia="Arial" w:hAnsi="Arial"/>
                <w:sz w:val="18"/>
                <w:szCs w:val="18"/>
                <w:color w:val="auto"/>
              </w:rPr>
              <w:t>Notice of Redemption</w:t>
            </w: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3.03</w:t>
            </w: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Upon Redemption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Arial" w:cs="Arial" w:eastAsia="Arial" w:hAnsi="Arial"/>
                <w:sz w:val="18"/>
                <w:szCs w:val="18"/>
                <w:color w:val="auto"/>
              </w:rPr>
              <w:t>SECTION 3.04</w:t>
            </w:r>
          </w:p>
        </w:tc>
        <w:tc>
          <w:tcPr>
            <w:tcW w:w="8860" w:type="dxa"/>
            <w:vAlign w:val="bottom"/>
          </w:tcPr>
          <w:p>
            <w:pPr>
              <w:ind w:left="420"/>
              <w:spacing w:after="0"/>
              <w:rPr>
                <w:sz w:val="20"/>
                <w:szCs w:val="20"/>
                <w:color w:val="auto"/>
              </w:rPr>
            </w:pPr>
            <w:r>
              <w:rPr>
                <w:rFonts w:ascii="Arial" w:cs="Arial" w:eastAsia="Arial" w:hAnsi="Arial"/>
                <w:sz w:val="18"/>
                <w:szCs w:val="18"/>
                <w:color w:val="auto"/>
              </w:rPr>
              <w:t>Sinking Fund</w:t>
            </w: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3.05</w:t>
            </w: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Satisfaction of Sinking Fund Payments with Securities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Arial" w:cs="Arial" w:eastAsia="Arial" w:hAnsi="Arial"/>
                <w:sz w:val="18"/>
                <w:szCs w:val="18"/>
                <w:color w:val="auto"/>
              </w:rPr>
              <w:t>SECTION 3.06</w:t>
            </w:r>
          </w:p>
        </w:tc>
        <w:tc>
          <w:tcPr>
            <w:tcW w:w="8860" w:type="dxa"/>
            <w:vAlign w:val="bottom"/>
          </w:tcPr>
          <w:p>
            <w:pPr>
              <w:ind w:left="420"/>
              <w:spacing w:after="0"/>
              <w:rPr>
                <w:sz w:val="20"/>
                <w:szCs w:val="20"/>
                <w:color w:val="auto"/>
              </w:rPr>
            </w:pPr>
            <w:r>
              <w:rPr>
                <w:rFonts w:ascii="Arial" w:cs="Arial" w:eastAsia="Arial" w:hAnsi="Arial"/>
                <w:sz w:val="18"/>
                <w:szCs w:val="18"/>
                <w:color w:val="auto"/>
              </w:rPr>
              <w:t>Redemption of Securities for Sinking Fund</w:t>
            </w: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ARTICLE IV</w:t>
            </w:r>
          </w:p>
        </w:tc>
        <w:tc>
          <w:tcPr>
            <w:tcW w:w="8860" w:type="dxa"/>
            <w:vAlign w:val="bottom"/>
          </w:tcPr>
          <w:p>
            <w:pPr>
              <w:ind w:left="420"/>
              <w:spacing w:after="0"/>
              <w:rPr>
                <w:sz w:val="20"/>
                <w:szCs w:val="20"/>
                <w:color w:val="auto"/>
              </w:rPr>
            </w:pPr>
            <w:r>
              <w:rPr>
                <w:rFonts w:ascii="Arial" w:cs="Arial" w:eastAsia="Arial" w:hAnsi="Arial"/>
                <w:sz w:val="18"/>
                <w:szCs w:val="18"/>
                <w:color w:val="auto"/>
              </w:rPr>
              <w:t>COVENANTS</w:t>
            </w: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Arial" w:cs="Arial" w:eastAsia="Arial" w:hAnsi="Arial"/>
                <w:sz w:val="18"/>
                <w:szCs w:val="18"/>
                <w:color w:val="auto"/>
              </w:rPr>
              <w:t>SECTION 4.01</w:t>
            </w:r>
          </w:p>
        </w:tc>
        <w:tc>
          <w:tcPr>
            <w:tcW w:w="8860" w:type="dxa"/>
            <w:vAlign w:val="bottom"/>
          </w:tcPr>
          <w:p>
            <w:pPr>
              <w:ind w:left="420"/>
              <w:spacing w:after="0"/>
              <w:rPr>
                <w:sz w:val="20"/>
                <w:szCs w:val="20"/>
                <w:color w:val="auto"/>
              </w:rPr>
            </w:pPr>
            <w:r>
              <w:rPr>
                <w:rFonts w:ascii="Arial" w:cs="Arial" w:eastAsia="Arial" w:hAnsi="Arial"/>
                <w:sz w:val="18"/>
                <w:szCs w:val="18"/>
                <w:color w:val="auto"/>
              </w:rPr>
              <w:t>Payment of Principal, Premium and Interest</w:t>
            </w: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4.02</w:t>
            </w: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Maintenance of Office or Agency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Arial" w:cs="Arial" w:eastAsia="Arial" w:hAnsi="Arial"/>
                <w:sz w:val="18"/>
                <w:szCs w:val="18"/>
                <w:color w:val="auto"/>
              </w:rPr>
              <w:t>SECTION 4.03</w:t>
            </w:r>
          </w:p>
        </w:tc>
        <w:tc>
          <w:tcPr>
            <w:tcW w:w="8860" w:type="dxa"/>
            <w:vAlign w:val="bottom"/>
          </w:tcPr>
          <w:p>
            <w:pPr>
              <w:ind w:left="420"/>
              <w:spacing w:after="0"/>
              <w:rPr>
                <w:sz w:val="20"/>
                <w:szCs w:val="20"/>
                <w:color w:val="auto"/>
              </w:rPr>
            </w:pPr>
            <w:r>
              <w:rPr>
                <w:rFonts w:ascii="Arial" w:cs="Arial" w:eastAsia="Arial" w:hAnsi="Arial"/>
                <w:sz w:val="18"/>
                <w:szCs w:val="18"/>
                <w:color w:val="auto"/>
              </w:rPr>
              <w:t>Paying Agents</w:t>
            </w: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4.04</w:t>
            </w: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Appointment to Fill Vacancy in Office of Trustee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Arial" w:cs="Arial" w:eastAsia="Arial" w:hAnsi="Arial"/>
                <w:sz w:val="18"/>
                <w:szCs w:val="18"/>
                <w:color w:val="auto"/>
              </w:rPr>
              <w:t>SECTION 4.05</w:t>
            </w:r>
          </w:p>
        </w:tc>
        <w:tc>
          <w:tcPr>
            <w:tcW w:w="8860" w:type="dxa"/>
            <w:vAlign w:val="bottom"/>
          </w:tcPr>
          <w:p>
            <w:pPr>
              <w:ind w:left="420"/>
              <w:spacing w:after="0"/>
              <w:rPr>
                <w:sz w:val="20"/>
                <w:szCs w:val="20"/>
                <w:color w:val="auto"/>
              </w:rPr>
            </w:pPr>
            <w:r>
              <w:rPr>
                <w:rFonts w:ascii="Arial" w:cs="Arial" w:eastAsia="Arial" w:hAnsi="Arial"/>
                <w:sz w:val="18"/>
                <w:szCs w:val="18"/>
                <w:color w:val="auto"/>
              </w:rPr>
              <w:t>Compliance with Consolidation Provisions</w:t>
            </w: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ARTICLE V</w:t>
            </w:r>
          </w:p>
        </w:tc>
        <w:tc>
          <w:tcPr>
            <w:tcW w:w="8860" w:type="dxa"/>
            <w:vAlign w:val="bottom"/>
          </w:tcPr>
          <w:p>
            <w:pPr>
              <w:ind w:left="420"/>
              <w:spacing w:after="0"/>
              <w:rPr>
                <w:sz w:val="20"/>
                <w:szCs w:val="20"/>
                <w:color w:val="auto"/>
              </w:rPr>
            </w:pPr>
            <w:r>
              <w:rPr>
                <w:rFonts w:ascii="Arial" w:cs="Arial" w:eastAsia="Arial" w:hAnsi="Arial"/>
                <w:sz w:val="18"/>
                <w:szCs w:val="18"/>
                <w:color w:val="auto"/>
              </w:rPr>
              <w:t>SECURITYHOLDERS’ LISTS AND REPORTS BY THE COMPANY AND THE TRUSTEE</w:t>
            </w: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8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Arial" w:cs="Arial" w:eastAsia="Arial" w:hAnsi="Arial"/>
                <w:sz w:val="18"/>
                <w:szCs w:val="18"/>
                <w:color w:val="auto"/>
              </w:rPr>
              <w:t>SECTION 5.01</w:t>
            </w:r>
          </w:p>
        </w:tc>
        <w:tc>
          <w:tcPr>
            <w:tcW w:w="8860" w:type="dxa"/>
            <w:vAlign w:val="bottom"/>
          </w:tcPr>
          <w:p>
            <w:pPr>
              <w:ind w:left="420"/>
              <w:spacing w:after="0"/>
              <w:rPr>
                <w:sz w:val="20"/>
                <w:szCs w:val="20"/>
                <w:color w:val="auto"/>
              </w:rPr>
            </w:pPr>
            <w:r>
              <w:rPr>
                <w:rFonts w:ascii="Arial" w:cs="Arial" w:eastAsia="Arial" w:hAnsi="Arial"/>
                <w:sz w:val="18"/>
                <w:szCs w:val="18"/>
                <w:color w:val="auto"/>
              </w:rPr>
              <w:t>Company to Furnish Trustee Names and Addresses of Securityholders</w:t>
            </w: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5.02</w:t>
            </w: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Preservation Of Information; Communications With Securityholders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Arial" w:cs="Arial" w:eastAsia="Arial" w:hAnsi="Arial"/>
                <w:sz w:val="18"/>
                <w:szCs w:val="18"/>
                <w:color w:val="auto"/>
              </w:rPr>
              <w:t>SECTION 5.03</w:t>
            </w:r>
          </w:p>
        </w:tc>
        <w:tc>
          <w:tcPr>
            <w:tcW w:w="8860" w:type="dxa"/>
            <w:vAlign w:val="bottom"/>
          </w:tcPr>
          <w:p>
            <w:pPr>
              <w:ind w:left="420"/>
              <w:spacing w:after="0"/>
              <w:rPr>
                <w:sz w:val="20"/>
                <w:szCs w:val="20"/>
                <w:color w:val="auto"/>
              </w:rPr>
            </w:pPr>
            <w:r>
              <w:rPr>
                <w:rFonts w:ascii="Arial" w:cs="Arial" w:eastAsia="Arial" w:hAnsi="Arial"/>
                <w:sz w:val="18"/>
                <w:szCs w:val="18"/>
                <w:color w:val="auto"/>
              </w:rPr>
              <w:t>Reports by the Company</w:t>
            </w: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5.04</w:t>
            </w: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Reports by the Trustee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ARTICLE VI</w:t>
            </w: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REMEDIES OF THE TRUSTEE AND SECURITYHOLDERS ON EVENT OF DEFAULT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6.01</w:t>
            </w: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Events of Default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Arial" w:cs="Arial" w:eastAsia="Arial" w:hAnsi="Arial"/>
                <w:sz w:val="18"/>
                <w:szCs w:val="18"/>
                <w:color w:val="auto"/>
              </w:rPr>
              <w:t>SECTION 6.02</w:t>
            </w:r>
          </w:p>
        </w:tc>
        <w:tc>
          <w:tcPr>
            <w:tcW w:w="8860" w:type="dxa"/>
            <w:vAlign w:val="bottom"/>
          </w:tcPr>
          <w:p>
            <w:pPr>
              <w:ind w:left="420"/>
              <w:spacing w:after="0"/>
              <w:rPr>
                <w:sz w:val="20"/>
                <w:szCs w:val="20"/>
                <w:color w:val="auto"/>
              </w:rPr>
            </w:pPr>
            <w:r>
              <w:rPr>
                <w:rFonts w:ascii="Arial" w:cs="Arial" w:eastAsia="Arial" w:hAnsi="Arial"/>
                <w:sz w:val="18"/>
                <w:szCs w:val="18"/>
                <w:color w:val="auto"/>
              </w:rPr>
              <w:t>Collection of Indebtedness and Suits for Enforcement by Trustee</w:t>
            </w: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6.03</w:t>
            </w:r>
          </w:p>
        </w:tc>
        <w:tc>
          <w:tcPr>
            <w:tcW w:w="8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Application of Moneys Collected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6.04</w:t>
            </w:r>
          </w:p>
        </w:tc>
        <w:tc>
          <w:tcPr>
            <w:tcW w:w="7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Limitation on Suits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6.05</w:t>
            </w:r>
          </w:p>
        </w:tc>
        <w:tc>
          <w:tcPr>
            <w:tcW w:w="7460" w:type="dxa"/>
            <w:vAlign w:val="bottom"/>
          </w:tcPr>
          <w:p>
            <w:pPr>
              <w:ind w:left="380"/>
              <w:spacing w:after="0"/>
              <w:rPr>
                <w:sz w:val="20"/>
                <w:szCs w:val="20"/>
                <w:color w:val="auto"/>
              </w:rPr>
            </w:pPr>
            <w:r>
              <w:rPr>
                <w:rFonts w:ascii="Arial" w:cs="Arial" w:eastAsia="Arial" w:hAnsi="Arial"/>
                <w:sz w:val="18"/>
                <w:szCs w:val="18"/>
                <w:color w:val="auto"/>
              </w:rPr>
              <w:t>Rights and Remedies Cumulative; Delay or Omission Not Waiver</w:t>
            </w:r>
          </w:p>
        </w:tc>
        <w:tc>
          <w:tcPr>
            <w:tcW w:w="20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6.06</w:t>
            </w:r>
          </w:p>
        </w:tc>
        <w:tc>
          <w:tcPr>
            <w:tcW w:w="7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Control by Securityholders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6.07</w:t>
            </w:r>
          </w:p>
        </w:tc>
        <w:tc>
          <w:tcPr>
            <w:tcW w:w="7460" w:type="dxa"/>
            <w:vAlign w:val="bottom"/>
          </w:tcPr>
          <w:p>
            <w:pPr>
              <w:ind w:left="380"/>
              <w:spacing w:after="0"/>
              <w:rPr>
                <w:sz w:val="20"/>
                <w:szCs w:val="20"/>
                <w:color w:val="auto"/>
              </w:rPr>
            </w:pPr>
            <w:r>
              <w:rPr>
                <w:rFonts w:ascii="Arial" w:cs="Arial" w:eastAsia="Arial" w:hAnsi="Arial"/>
                <w:sz w:val="18"/>
                <w:szCs w:val="18"/>
                <w:color w:val="auto"/>
              </w:rPr>
              <w:t>Undertaking to Pay Costs</w:t>
            </w:r>
          </w:p>
        </w:tc>
        <w:tc>
          <w:tcPr>
            <w:tcW w:w="20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ARTICLE VII</w:t>
            </w:r>
          </w:p>
        </w:tc>
        <w:tc>
          <w:tcPr>
            <w:tcW w:w="7460" w:type="dxa"/>
            <w:vAlign w:val="bottom"/>
          </w:tcPr>
          <w:p>
            <w:pPr>
              <w:ind w:left="380"/>
              <w:spacing w:after="0"/>
              <w:rPr>
                <w:sz w:val="20"/>
                <w:szCs w:val="20"/>
                <w:color w:val="auto"/>
              </w:rPr>
            </w:pPr>
            <w:r>
              <w:rPr>
                <w:rFonts w:ascii="Arial" w:cs="Arial" w:eastAsia="Arial" w:hAnsi="Arial"/>
                <w:sz w:val="18"/>
                <w:szCs w:val="18"/>
                <w:color w:val="auto"/>
              </w:rPr>
              <w:t>CONCERNING THE TRUSTEE</w:t>
            </w:r>
          </w:p>
        </w:tc>
        <w:tc>
          <w:tcPr>
            <w:tcW w:w="20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7.01</w:t>
            </w:r>
          </w:p>
        </w:tc>
        <w:tc>
          <w:tcPr>
            <w:tcW w:w="7460" w:type="dxa"/>
            <w:vAlign w:val="bottom"/>
          </w:tcPr>
          <w:p>
            <w:pPr>
              <w:ind w:left="380"/>
              <w:spacing w:after="0"/>
              <w:rPr>
                <w:sz w:val="20"/>
                <w:szCs w:val="20"/>
                <w:color w:val="auto"/>
              </w:rPr>
            </w:pPr>
            <w:r>
              <w:rPr>
                <w:rFonts w:ascii="Arial" w:cs="Arial" w:eastAsia="Arial" w:hAnsi="Arial"/>
                <w:sz w:val="18"/>
                <w:szCs w:val="18"/>
                <w:color w:val="auto"/>
              </w:rPr>
              <w:t>Certain Duties and Responsibilities of Trustee</w:t>
            </w:r>
          </w:p>
        </w:tc>
        <w:tc>
          <w:tcPr>
            <w:tcW w:w="20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7.02</w:t>
            </w:r>
          </w:p>
        </w:tc>
        <w:tc>
          <w:tcPr>
            <w:tcW w:w="7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Certain Rights of Trustee</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7.03</w:t>
            </w:r>
          </w:p>
        </w:tc>
        <w:tc>
          <w:tcPr>
            <w:tcW w:w="7460" w:type="dxa"/>
            <w:vAlign w:val="bottom"/>
          </w:tcPr>
          <w:p>
            <w:pPr>
              <w:ind w:left="380"/>
              <w:spacing w:after="0"/>
              <w:rPr>
                <w:sz w:val="20"/>
                <w:szCs w:val="20"/>
                <w:color w:val="auto"/>
              </w:rPr>
            </w:pPr>
            <w:r>
              <w:rPr>
                <w:rFonts w:ascii="Arial" w:cs="Arial" w:eastAsia="Arial" w:hAnsi="Arial"/>
                <w:sz w:val="18"/>
                <w:szCs w:val="18"/>
                <w:color w:val="auto"/>
              </w:rPr>
              <w:t>Trustee Not Responsible for Recitals or Issuance of Securities</w:t>
            </w:r>
          </w:p>
        </w:tc>
        <w:tc>
          <w:tcPr>
            <w:tcW w:w="20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7.04</w:t>
            </w:r>
          </w:p>
        </w:tc>
        <w:tc>
          <w:tcPr>
            <w:tcW w:w="7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May Hold Securities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7.05</w:t>
            </w:r>
          </w:p>
        </w:tc>
        <w:tc>
          <w:tcPr>
            <w:tcW w:w="7460" w:type="dxa"/>
            <w:vAlign w:val="bottom"/>
          </w:tcPr>
          <w:p>
            <w:pPr>
              <w:ind w:left="380"/>
              <w:spacing w:after="0"/>
              <w:rPr>
                <w:sz w:val="20"/>
                <w:szCs w:val="20"/>
                <w:color w:val="auto"/>
              </w:rPr>
            </w:pPr>
            <w:r>
              <w:rPr>
                <w:rFonts w:ascii="Arial" w:cs="Arial" w:eastAsia="Arial" w:hAnsi="Arial"/>
                <w:sz w:val="18"/>
                <w:szCs w:val="18"/>
                <w:color w:val="auto"/>
              </w:rPr>
              <w:t>Moneys Held in Trust</w:t>
            </w:r>
          </w:p>
        </w:tc>
        <w:tc>
          <w:tcPr>
            <w:tcW w:w="20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7.06</w:t>
            </w:r>
          </w:p>
        </w:tc>
        <w:tc>
          <w:tcPr>
            <w:tcW w:w="7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Compensation and Reimbursement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7.07</w:t>
            </w:r>
          </w:p>
        </w:tc>
        <w:tc>
          <w:tcPr>
            <w:tcW w:w="7460" w:type="dxa"/>
            <w:vAlign w:val="bottom"/>
          </w:tcPr>
          <w:p>
            <w:pPr>
              <w:ind w:left="380"/>
              <w:spacing w:after="0"/>
              <w:rPr>
                <w:sz w:val="20"/>
                <w:szCs w:val="20"/>
                <w:color w:val="auto"/>
              </w:rPr>
            </w:pPr>
            <w:r>
              <w:rPr>
                <w:rFonts w:ascii="Arial" w:cs="Arial" w:eastAsia="Arial" w:hAnsi="Arial"/>
                <w:sz w:val="18"/>
                <w:szCs w:val="18"/>
                <w:color w:val="auto"/>
              </w:rPr>
              <w:t>Reliance on Officers’ Certificate</w:t>
            </w:r>
          </w:p>
        </w:tc>
        <w:tc>
          <w:tcPr>
            <w:tcW w:w="20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7.08</w:t>
            </w:r>
          </w:p>
        </w:tc>
        <w:tc>
          <w:tcPr>
            <w:tcW w:w="7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Disqualification; Conflicting Interests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7.09</w:t>
            </w:r>
          </w:p>
        </w:tc>
        <w:tc>
          <w:tcPr>
            <w:tcW w:w="7460" w:type="dxa"/>
            <w:vAlign w:val="bottom"/>
          </w:tcPr>
          <w:p>
            <w:pPr>
              <w:ind w:left="380"/>
              <w:spacing w:after="0"/>
              <w:rPr>
                <w:sz w:val="20"/>
                <w:szCs w:val="20"/>
                <w:color w:val="auto"/>
              </w:rPr>
            </w:pPr>
            <w:r>
              <w:rPr>
                <w:rFonts w:ascii="Arial" w:cs="Arial" w:eastAsia="Arial" w:hAnsi="Arial"/>
                <w:sz w:val="18"/>
                <w:szCs w:val="18"/>
                <w:color w:val="auto"/>
              </w:rPr>
              <w:t>Corporate Trustee Required; Eligibility</w:t>
            </w:r>
          </w:p>
        </w:tc>
        <w:tc>
          <w:tcPr>
            <w:tcW w:w="20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7.10</w:t>
            </w:r>
          </w:p>
        </w:tc>
        <w:tc>
          <w:tcPr>
            <w:tcW w:w="7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Resignation and Removal; Appointment of Successor</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7.11</w:t>
            </w:r>
          </w:p>
        </w:tc>
        <w:tc>
          <w:tcPr>
            <w:tcW w:w="7460" w:type="dxa"/>
            <w:vAlign w:val="bottom"/>
          </w:tcPr>
          <w:p>
            <w:pPr>
              <w:ind w:left="380"/>
              <w:spacing w:after="0"/>
              <w:rPr>
                <w:sz w:val="20"/>
                <w:szCs w:val="20"/>
                <w:color w:val="auto"/>
              </w:rPr>
            </w:pPr>
            <w:r>
              <w:rPr>
                <w:rFonts w:ascii="Arial" w:cs="Arial" w:eastAsia="Arial" w:hAnsi="Arial"/>
                <w:sz w:val="18"/>
                <w:szCs w:val="18"/>
                <w:color w:val="auto"/>
              </w:rPr>
              <w:t>Acceptance of Appointment By Successor</w:t>
            </w:r>
          </w:p>
        </w:tc>
        <w:tc>
          <w:tcPr>
            <w:tcW w:w="20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7.12</w:t>
            </w:r>
          </w:p>
        </w:tc>
        <w:tc>
          <w:tcPr>
            <w:tcW w:w="7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Merger, Conversion, Consolidation or Succession to Business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7.13</w:t>
            </w:r>
          </w:p>
        </w:tc>
        <w:tc>
          <w:tcPr>
            <w:tcW w:w="7460" w:type="dxa"/>
            <w:vAlign w:val="bottom"/>
          </w:tcPr>
          <w:p>
            <w:pPr>
              <w:ind w:left="380"/>
              <w:spacing w:after="0"/>
              <w:rPr>
                <w:sz w:val="20"/>
                <w:szCs w:val="20"/>
                <w:color w:val="auto"/>
              </w:rPr>
            </w:pPr>
            <w:r>
              <w:rPr>
                <w:rFonts w:ascii="Arial" w:cs="Arial" w:eastAsia="Arial" w:hAnsi="Arial"/>
                <w:sz w:val="18"/>
                <w:szCs w:val="18"/>
                <w:color w:val="auto"/>
              </w:rPr>
              <w:t>Preferential Collection of Claims Against the Company</w:t>
            </w:r>
          </w:p>
        </w:tc>
        <w:tc>
          <w:tcPr>
            <w:tcW w:w="20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ARTICLE VIII</w:t>
            </w:r>
          </w:p>
        </w:tc>
        <w:tc>
          <w:tcPr>
            <w:tcW w:w="7460" w:type="dxa"/>
            <w:vAlign w:val="bottom"/>
          </w:tcPr>
          <w:p>
            <w:pPr>
              <w:ind w:left="380"/>
              <w:spacing w:after="0"/>
              <w:rPr>
                <w:sz w:val="20"/>
                <w:szCs w:val="20"/>
                <w:color w:val="auto"/>
              </w:rPr>
            </w:pPr>
            <w:r>
              <w:rPr>
                <w:rFonts w:ascii="Arial" w:cs="Arial" w:eastAsia="Arial" w:hAnsi="Arial"/>
                <w:sz w:val="18"/>
                <w:szCs w:val="18"/>
                <w:color w:val="auto"/>
              </w:rPr>
              <w:t>CONCERNING THE SECURITYHOLDERS</w:t>
            </w:r>
          </w:p>
        </w:tc>
        <w:tc>
          <w:tcPr>
            <w:tcW w:w="20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8.01</w:t>
            </w:r>
          </w:p>
        </w:tc>
        <w:tc>
          <w:tcPr>
            <w:tcW w:w="7460" w:type="dxa"/>
            <w:vAlign w:val="bottom"/>
          </w:tcPr>
          <w:p>
            <w:pPr>
              <w:ind w:left="380"/>
              <w:spacing w:after="0"/>
              <w:rPr>
                <w:sz w:val="20"/>
                <w:szCs w:val="20"/>
                <w:color w:val="auto"/>
              </w:rPr>
            </w:pPr>
            <w:r>
              <w:rPr>
                <w:rFonts w:ascii="Arial" w:cs="Arial" w:eastAsia="Arial" w:hAnsi="Arial"/>
                <w:sz w:val="18"/>
                <w:szCs w:val="18"/>
                <w:color w:val="auto"/>
              </w:rPr>
              <w:t>Evidence of Action by Securityholders</w:t>
            </w:r>
          </w:p>
        </w:tc>
        <w:tc>
          <w:tcPr>
            <w:tcW w:w="20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8.02</w:t>
            </w:r>
          </w:p>
        </w:tc>
        <w:tc>
          <w:tcPr>
            <w:tcW w:w="7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Proof of Execution by Securityholders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8.03</w:t>
            </w:r>
          </w:p>
        </w:tc>
        <w:tc>
          <w:tcPr>
            <w:tcW w:w="7460" w:type="dxa"/>
            <w:vAlign w:val="bottom"/>
          </w:tcPr>
          <w:p>
            <w:pPr>
              <w:ind w:left="380"/>
              <w:spacing w:after="0"/>
              <w:rPr>
                <w:sz w:val="20"/>
                <w:szCs w:val="20"/>
                <w:color w:val="auto"/>
              </w:rPr>
            </w:pPr>
            <w:r>
              <w:rPr>
                <w:rFonts w:ascii="Arial" w:cs="Arial" w:eastAsia="Arial" w:hAnsi="Arial"/>
                <w:sz w:val="18"/>
                <w:szCs w:val="18"/>
                <w:color w:val="auto"/>
              </w:rPr>
              <w:t>Who May be Deemed Owners</w:t>
            </w:r>
          </w:p>
        </w:tc>
        <w:tc>
          <w:tcPr>
            <w:tcW w:w="20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8.04</w:t>
            </w:r>
          </w:p>
        </w:tc>
        <w:tc>
          <w:tcPr>
            <w:tcW w:w="7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Certain Securities Owned by Company Disregarded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8.05</w:t>
            </w:r>
          </w:p>
        </w:tc>
        <w:tc>
          <w:tcPr>
            <w:tcW w:w="7460" w:type="dxa"/>
            <w:vAlign w:val="bottom"/>
          </w:tcPr>
          <w:p>
            <w:pPr>
              <w:ind w:left="380"/>
              <w:spacing w:after="0"/>
              <w:rPr>
                <w:sz w:val="20"/>
                <w:szCs w:val="20"/>
                <w:color w:val="auto"/>
              </w:rPr>
            </w:pPr>
            <w:r>
              <w:rPr>
                <w:rFonts w:ascii="Arial" w:cs="Arial" w:eastAsia="Arial" w:hAnsi="Arial"/>
                <w:sz w:val="18"/>
                <w:szCs w:val="18"/>
                <w:color w:val="auto"/>
              </w:rPr>
              <w:t>Actions Binding on Future Securityholders</w:t>
            </w:r>
          </w:p>
        </w:tc>
        <w:tc>
          <w:tcPr>
            <w:tcW w:w="20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8.06</w:t>
            </w:r>
          </w:p>
        </w:tc>
        <w:tc>
          <w:tcPr>
            <w:tcW w:w="7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Purposes for Which Meetings May Be Called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8.07</w:t>
            </w:r>
          </w:p>
        </w:tc>
        <w:tc>
          <w:tcPr>
            <w:tcW w:w="7460" w:type="dxa"/>
            <w:vAlign w:val="bottom"/>
          </w:tcPr>
          <w:p>
            <w:pPr>
              <w:ind w:left="380"/>
              <w:spacing w:after="0"/>
              <w:rPr>
                <w:sz w:val="20"/>
                <w:szCs w:val="20"/>
                <w:color w:val="auto"/>
              </w:rPr>
            </w:pPr>
            <w:r>
              <w:rPr>
                <w:rFonts w:ascii="Arial" w:cs="Arial" w:eastAsia="Arial" w:hAnsi="Arial"/>
                <w:sz w:val="18"/>
                <w:szCs w:val="18"/>
                <w:color w:val="auto"/>
              </w:rPr>
              <w:t>Call Notice and Place of Meetings</w:t>
            </w:r>
          </w:p>
        </w:tc>
        <w:tc>
          <w:tcPr>
            <w:tcW w:w="20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8.08</w:t>
            </w:r>
          </w:p>
        </w:tc>
        <w:tc>
          <w:tcPr>
            <w:tcW w:w="7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Persons Entitled To Vote at Meetings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8.09</w:t>
            </w:r>
          </w:p>
        </w:tc>
        <w:tc>
          <w:tcPr>
            <w:tcW w:w="7460" w:type="dxa"/>
            <w:vAlign w:val="bottom"/>
          </w:tcPr>
          <w:p>
            <w:pPr>
              <w:ind w:left="380"/>
              <w:spacing w:after="0"/>
              <w:rPr>
                <w:sz w:val="20"/>
                <w:szCs w:val="20"/>
                <w:color w:val="auto"/>
              </w:rPr>
            </w:pPr>
            <w:r>
              <w:rPr>
                <w:rFonts w:ascii="Arial" w:cs="Arial" w:eastAsia="Arial" w:hAnsi="Arial"/>
                <w:sz w:val="18"/>
                <w:szCs w:val="18"/>
                <w:color w:val="auto"/>
              </w:rPr>
              <w:t>Quorum; Action</w:t>
            </w:r>
          </w:p>
        </w:tc>
        <w:tc>
          <w:tcPr>
            <w:tcW w:w="20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8.10</w:t>
            </w:r>
          </w:p>
        </w:tc>
        <w:tc>
          <w:tcPr>
            <w:tcW w:w="7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Determination of Voting Rights; Conduct and Adjournment of Meetings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8.11</w:t>
            </w:r>
          </w:p>
        </w:tc>
        <w:tc>
          <w:tcPr>
            <w:tcW w:w="7460" w:type="dxa"/>
            <w:vAlign w:val="bottom"/>
          </w:tcPr>
          <w:p>
            <w:pPr>
              <w:ind w:left="380"/>
              <w:spacing w:after="0"/>
              <w:rPr>
                <w:sz w:val="20"/>
                <w:szCs w:val="20"/>
                <w:color w:val="auto"/>
              </w:rPr>
            </w:pPr>
            <w:r>
              <w:rPr>
                <w:rFonts w:ascii="Arial" w:cs="Arial" w:eastAsia="Arial" w:hAnsi="Arial"/>
                <w:sz w:val="18"/>
                <w:szCs w:val="18"/>
                <w:color w:val="auto"/>
              </w:rPr>
              <w:t>Counting Votes and Recording Action of Meetings</w:t>
            </w:r>
          </w:p>
        </w:tc>
        <w:tc>
          <w:tcPr>
            <w:tcW w:w="20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60" w:type="dxa"/>
            <w:vAlign w:val="bottom"/>
            <w:gridSpan w:val="2"/>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ARTICLE IX SUPPLEMENTAL INDENTURES</w:t>
            </w:r>
          </w:p>
        </w:tc>
        <w:tc>
          <w:tcPr>
            <w:tcW w:w="20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9.01</w:t>
            </w:r>
          </w:p>
        </w:tc>
        <w:tc>
          <w:tcPr>
            <w:tcW w:w="7460" w:type="dxa"/>
            <w:vAlign w:val="bottom"/>
          </w:tcPr>
          <w:p>
            <w:pPr>
              <w:ind w:left="380"/>
              <w:spacing w:after="0"/>
              <w:rPr>
                <w:sz w:val="20"/>
                <w:szCs w:val="20"/>
                <w:color w:val="auto"/>
              </w:rPr>
            </w:pPr>
            <w:r>
              <w:rPr>
                <w:rFonts w:ascii="Arial" w:cs="Arial" w:eastAsia="Arial" w:hAnsi="Arial"/>
                <w:sz w:val="18"/>
                <w:szCs w:val="18"/>
                <w:color w:val="auto"/>
              </w:rPr>
              <w:t>Supplemental Indentures Without the Consent of Securityholders</w:t>
            </w:r>
          </w:p>
        </w:tc>
        <w:tc>
          <w:tcPr>
            <w:tcW w:w="20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9.02</w:t>
            </w:r>
          </w:p>
        </w:tc>
        <w:tc>
          <w:tcPr>
            <w:tcW w:w="7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Supplemental Indentures With Consent of Securityholders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9.03</w:t>
            </w:r>
          </w:p>
        </w:tc>
        <w:tc>
          <w:tcPr>
            <w:tcW w:w="7460" w:type="dxa"/>
            <w:vAlign w:val="bottom"/>
          </w:tcPr>
          <w:p>
            <w:pPr>
              <w:ind w:left="380"/>
              <w:spacing w:after="0"/>
              <w:rPr>
                <w:sz w:val="20"/>
                <w:szCs w:val="20"/>
                <w:color w:val="auto"/>
              </w:rPr>
            </w:pPr>
            <w:r>
              <w:rPr>
                <w:rFonts w:ascii="Arial" w:cs="Arial" w:eastAsia="Arial" w:hAnsi="Arial"/>
                <w:sz w:val="18"/>
                <w:szCs w:val="18"/>
                <w:color w:val="auto"/>
              </w:rPr>
              <w:t>Effect of Supplemental Indentures</w:t>
            </w:r>
          </w:p>
        </w:tc>
        <w:tc>
          <w:tcPr>
            <w:tcW w:w="20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9.04</w:t>
            </w:r>
          </w:p>
        </w:tc>
        <w:tc>
          <w:tcPr>
            <w:tcW w:w="7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Securities Affected by Supplemental Indentures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9.05</w:t>
            </w:r>
          </w:p>
        </w:tc>
        <w:tc>
          <w:tcPr>
            <w:tcW w:w="7460" w:type="dxa"/>
            <w:vAlign w:val="bottom"/>
          </w:tcPr>
          <w:p>
            <w:pPr>
              <w:ind w:left="380"/>
              <w:spacing w:after="0"/>
              <w:rPr>
                <w:sz w:val="20"/>
                <w:szCs w:val="20"/>
                <w:color w:val="auto"/>
              </w:rPr>
            </w:pPr>
            <w:r>
              <w:rPr>
                <w:rFonts w:ascii="Arial" w:cs="Arial" w:eastAsia="Arial" w:hAnsi="Arial"/>
                <w:sz w:val="18"/>
                <w:szCs w:val="18"/>
                <w:color w:val="auto"/>
              </w:rPr>
              <w:t>Execution of Supplemental Indentures</w:t>
            </w:r>
          </w:p>
        </w:tc>
        <w:tc>
          <w:tcPr>
            <w:tcW w:w="20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60" w:type="dxa"/>
            <w:vAlign w:val="bottom"/>
            <w:gridSpan w:val="2"/>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ARTICLE X SUCCESSOR ENTITY</w:t>
            </w:r>
          </w:p>
        </w:tc>
        <w:tc>
          <w:tcPr>
            <w:tcW w:w="20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10.01</w:t>
            </w:r>
          </w:p>
        </w:tc>
        <w:tc>
          <w:tcPr>
            <w:tcW w:w="7460" w:type="dxa"/>
            <w:vAlign w:val="bottom"/>
          </w:tcPr>
          <w:p>
            <w:pPr>
              <w:ind w:left="380"/>
              <w:spacing w:after="0"/>
              <w:rPr>
                <w:sz w:val="20"/>
                <w:szCs w:val="20"/>
                <w:color w:val="auto"/>
              </w:rPr>
            </w:pPr>
            <w:r>
              <w:rPr>
                <w:rFonts w:ascii="Arial" w:cs="Arial" w:eastAsia="Arial" w:hAnsi="Arial"/>
                <w:sz w:val="18"/>
                <w:szCs w:val="18"/>
                <w:color w:val="auto"/>
              </w:rPr>
              <w:t>Company May Consolidate, Etc</w:t>
            </w:r>
          </w:p>
        </w:tc>
        <w:tc>
          <w:tcPr>
            <w:tcW w:w="20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10.02</w:t>
            </w:r>
          </w:p>
        </w:tc>
        <w:tc>
          <w:tcPr>
            <w:tcW w:w="7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Successor Entity Substituted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74"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10.03</w:t>
            </w:r>
          </w:p>
        </w:tc>
        <w:tc>
          <w:tcPr>
            <w:tcW w:w="8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Evidence of Consolidation, Etc. to Trustee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8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XI SATISFACTION AND DISCHARGE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11.01</w:t>
            </w:r>
          </w:p>
        </w:tc>
        <w:tc>
          <w:tcPr>
            <w:tcW w:w="8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Satisfaction and Discharge of Indenture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11.02</w:t>
            </w:r>
          </w:p>
        </w:tc>
        <w:tc>
          <w:tcPr>
            <w:tcW w:w="8180" w:type="dxa"/>
            <w:vAlign w:val="bottom"/>
          </w:tcPr>
          <w:p>
            <w:pPr>
              <w:ind w:left="380"/>
              <w:spacing w:after="0"/>
              <w:rPr>
                <w:sz w:val="20"/>
                <w:szCs w:val="20"/>
                <w:color w:val="auto"/>
              </w:rPr>
            </w:pPr>
            <w:r>
              <w:rPr>
                <w:rFonts w:ascii="Arial" w:cs="Arial" w:eastAsia="Arial" w:hAnsi="Arial"/>
                <w:sz w:val="18"/>
                <w:szCs w:val="18"/>
                <w:color w:val="auto"/>
              </w:rPr>
              <w:t>Discharge of Obligations</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11.03</w:t>
            </w:r>
          </w:p>
        </w:tc>
        <w:tc>
          <w:tcPr>
            <w:tcW w:w="8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Deposited Moneys to be Held in Trust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11.04</w:t>
            </w:r>
          </w:p>
        </w:tc>
        <w:tc>
          <w:tcPr>
            <w:tcW w:w="8180" w:type="dxa"/>
            <w:vAlign w:val="bottom"/>
          </w:tcPr>
          <w:p>
            <w:pPr>
              <w:ind w:left="380"/>
              <w:spacing w:after="0"/>
              <w:rPr>
                <w:sz w:val="20"/>
                <w:szCs w:val="20"/>
                <w:color w:val="auto"/>
              </w:rPr>
            </w:pPr>
            <w:r>
              <w:rPr>
                <w:rFonts w:ascii="Arial" w:cs="Arial" w:eastAsia="Arial" w:hAnsi="Arial"/>
                <w:sz w:val="18"/>
                <w:szCs w:val="18"/>
                <w:color w:val="auto"/>
              </w:rPr>
              <w:t>Payment of Moneys Held by Paying Agents</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11.05</w:t>
            </w:r>
          </w:p>
        </w:tc>
        <w:tc>
          <w:tcPr>
            <w:tcW w:w="8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Repayment to Company</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ARTICLE XII</w:t>
            </w:r>
          </w:p>
        </w:tc>
        <w:tc>
          <w:tcPr>
            <w:tcW w:w="8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IMMUNITY OF INCORPORATORS, STOCKHOLDERS, OFFICERS AND DIRECTORS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12.01</w:t>
            </w:r>
          </w:p>
        </w:tc>
        <w:tc>
          <w:tcPr>
            <w:tcW w:w="8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 Recourse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80" w:type="dxa"/>
            <w:vAlign w:val="bottom"/>
            <w:gridSpan w:val="2"/>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XIII MISCELLANEOUS PROVISIONS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8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13.01</w:t>
            </w:r>
          </w:p>
        </w:tc>
        <w:tc>
          <w:tcPr>
            <w:tcW w:w="8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Effect on Successors and Assigns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13.02</w:t>
            </w:r>
          </w:p>
        </w:tc>
        <w:tc>
          <w:tcPr>
            <w:tcW w:w="8180" w:type="dxa"/>
            <w:vAlign w:val="bottom"/>
          </w:tcPr>
          <w:p>
            <w:pPr>
              <w:ind w:left="380"/>
              <w:spacing w:after="0"/>
              <w:rPr>
                <w:sz w:val="20"/>
                <w:szCs w:val="20"/>
                <w:color w:val="auto"/>
              </w:rPr>
            </w:pPr>
            <w:r>
              <w:rPr>
                <w:rFonts w:ascii="Arial" w:cs="Arial" w:eastAsia="Arial" w:hAnsi="Arial"/>
                <w:sz w:val="18"/>
                <w:szCs w:val="18"/>
                <w:color w:val="auto"/>
              </w:rPr>
              <w:t>Actions by Successor</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13.03</w:t>
            </w:r>
          </w:p>
        </w:tc>
        <w:tc>
          <w:tcPr>
            <w:tcW w:w="8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Surrender of Company Powers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13.04</w:t>
            </w:r>
          </w:p>
        </w:tc>
        <w:tc>
          <w:tcPr>
            <w:tcW w:w="8180" w:type="dxa"/>
            <w:vAlign w:val="bottom"/>
          </w:tcPr>
          <w:p>
            <w:pPr>
              <w:ind w:left="380"/>
              <w:spacing w:after="0"/>
              <w:rPr>
                <w:sz w:val="20"/>
                <w:szCs w:val="20"/>
                <w:color w:val="auto"/>
              </w:rPr>
            </w:pPr>
            <w:r>
              <w:rPr>
                <w:rFonts w:ascii="Arial" w:cs="Arial" w:eastAsia="Arial" w:hAnsi="Arial"/>
                <w:sz w:val="18"/>
                <w:szCs w:val="18"/>
                <w:color w:val="auto"/>
              </w:rPr>
              <w:t>Notices</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13.05</w:t>
            </w:r>
          </w:p>
        </w:tc>
        <w:tc>
          <w:tcPr>
            <w:tcW w:w="8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Governing Law</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13.06</w:t>
            </w:r>
          </w:p>
        </w:tc>
        <w:tc>
          <w:tcPr>
            <w:tcW w:w="8180" w:type="dxa"/>
            <w:vAlign w:val="bottom"/>
          </w:tcPr>
          <w:p>
            <w:pPr>
              <w:ind w:left="380"/>
              <w:spacing w:after="0"/>
              <w:rPr>
                <w:sz w:val="20"/>
                <w:szCs w:val="20"/>
                <w:color w:val="auto"/>
              </w:rPr>
            </w:pPr>
            <w:r>
              <w:rPr>
                <w:rFonts w:ascii="Arial" w:cs="Arial" w:eastAsia="Arial" w:hAnsi="Arial"/>
                <w:sz w:val="18"/>
                <w:szCs w:val="18"/>
                <w:color w:val="auto"/>
              </w:rPr>
              <w:t>Treatment of Securities as Debt</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13.07</w:t>
            </w:r>
          </w:p>
        </w:tc>
        <w:tc>
          <w:tcPr>
            <w:tcW w:w="8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Compliance Certificates and Opinions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13.08</w:t>
            </w:r>
          </w:p>
        </w:tc>
        <w:tc>
          <w:tcPr>
            <w:tcW w:w="8180" w:type="dxa"/>
            <w:vAlign w:val="bottom"/>
          </w:tcPr>
          <w:p>
            <w:pPr>
              <w:ind w:left="380"/>
              <w:spacing w:after="0"/>
              <w:rPr>
                <w:sz w:val="20"/>
                <w:szCs w:val="20"/>
                <w:color w:val="auto"/>
              </w:rPr>
            </w:pPr>
            <w:r>
              <w:rPr>
                <w:rFonts w:ascii="Arial" w:cs="Arial" w:eastAsia="Arial" w:hAnsi="Arial"/>
                <w:sz w:val="18"/>
                <w:szCs w:val="18"/>
                <w:color w:val="auto"/>
              </w:rPr>
              <w:t>Payments on Business Days</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13.09</w:t>
            </w:r>
          </w:p>
        </w:tc>
        <w:tc>
          <w:tcPr>
            <w:tcW w:w="8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Conflict with Trust Indenture Act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13.10</w:t>
            </w:r>
          </w:p>
        </w:tc>
        <w:tc>
          <w:tcPr>
            <w:tcW w:w="8180" w:type="dxa"/>
            <w:vAlign w:val="bottom"/>
          </w:tcPr>
          <w:p>
            <w:pPr>
              <w:ind w:left="380"/>
              <w:spacing w:after="0"/>
              <w:rPr>
                <w:sz w:val="20"/>
                <w:szCs w:val="20"/>
                <w:color w:val="auto"/>
              </w:rPr>
            </w:pPr>
            <w:r>
              <w:rPr>
                <w:rFonts w:ascii="Arial" w:cs="Arial" w:eastAsia="Arial" w:hAnsi="Arial"/>
                <w:sz w:val="18"/>
                <w:szCs w:val="18"/>
                <w:color w:val="auto"/>
              </w:rPr>
              <w:t>Counterparts</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SECTION 13.11</w:t>
            </w:r>
          </w:p>
        </w:tc>
        <w:tc>
          <w:tcPr>
            <w:tcW w:w="8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Separability</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SECTION 13.12</w:t>
            </w:r>
          </w:p>
        </w:tc>
        <w:tc>
          <w:tcPr>
            <w:tcW w:w="8180" w:type="dxa"/>
            <w:vAlign w:val="bottom"/>
          </w:tcPr>
          <w:p>
            <w:pPr>
              <w:ind w:left="380"/>
              <w:spacing w:after="0"/>
              <w:rPr>
                <w:sz w:val="20"/>
                <w:szCs w:val="20"/>
                <w:color w:val="auto"/>
              </w:rPr>
            </w:pPr>
            <w:r>
              <w:rPr>
                <w:rFonts w:ascii="Arial" w:cs="Arial" w:eastAsia="Arial" w:hAnsi="Arial"/>
                <w:sz w:val="18"/>
                <w:szCs w:val="18"/>
                <w:color w:val="auto"/>
              </w:rPr>
              <w:t>Assignment</w:t>
            </w: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10890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02" w:lineRule="exact"/>
        <w:rPr>
          <w:sz w:val="20"/>
          <w:szCs w:val="20"/>
          <w:color w:val="auto"/>
        </w:rPr>
      </w:pPr>
    </w:p>
    <w:p>
      <w:pPr>
        <w:ind w:left="380" w:hanging="372"/>
        <w:spacing w:after="0"/>
        <w:tabs>
          <w:tab w:leader="none" w:pos="3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This Table of Contents does not constitute part of the Indenture and shall not have any bearing on the interpretation of any of its terms and provisions.</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5640"/>
        <w:spacing w:after="0"/>
        <w:rPr>
          <w:rFonts w:ascii="Arial" w:cs="Arial" w:eastAsia="Arial" w:hAnsi="Arial"/>
          <w:sz w:val="16"/>
          <w:szCs w:val="16"/>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74" w:right="239" w:bottom="1440" w:gutter="0" w:footer="0" w:header="0"/>
        </w:sectPr>
      </w:pPr>
    </w:p>
    <w:bookmarkStart w:id="71" w:name="page72"/>
    <w:bookmarkEnd w:id="71"/>
    <w:p>
      <w:pPr>
        <w:spacing w:after="0"/>
        <w:rPr>
          <w:sz w:val="20"/>
          <w:szCs w:val="20"/>
          <w:color w:val="auto"/>
        </w:rPr>
      </w:pPr>
      <w:r>
        <w:rPr>
          <w:rFonts w:ascii="Arial" w:cs="Arial" w:eastAsia="Arial" w:hAnsi="Arial"/>
          <w:sz w:val="16"/>
          <w:szCs w:val="16"/>
          <w:color w:val="auto"/>
        </w:rPr>
        <w:t>INDENTURE, dated as of [</w:t>
      </w:r>
    </w:p>
    <w:p>
      <w:pPr>
        <w:spacing w:after="0" w:line="20" w:lineRule="exact"/>
        <w:rPr>
          <w:sz w:val="20"/>
          <w:szCs w:val="20"/>
          <w:color w:val="auto"/>
        </w:rPr>
      </w:pPr>
      <w:r>
        <w:rPr>
          <w:sz w:val="20"/>
          <w:szCs w:val="20"/>
          <w:color w:val="auto"/>
        </w:rPr>
        <w:br w:type="column"/>
      </w:r>
    </w:p>
    <w:p>
      <w:pPr>
        <w:jc w:val="center"/>
        <w:ind w:right="180"/>
        <w:spacing w:after="0"/>
        <w:rPr>
          <w:sz w:val="20"/>
          <w:szCs w:val="20"/>
          <w:color w:val="auto"/>
        </w:rPr>
      </w:pPr>
      <w:r>
        <w:rPr>
          <w:rFonts w:ascii="Arial" w:cs="Arial" w:eastAsia="Arial" w:hAnsi="Arial"/>
          <w:sz w:val="16"/>
          <w:szCs w:val="16"/>
          <w:color w:val="auto"/>
        </w:rPr>
        <w:t>], by and between Vringo, Inc., a Delaware corporation (the “Company”), and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-1848485</wp:posOffset>
            </wp:positionH>
            <wp:positionV relativeFrom="paragraph">
              <wp:posOffset>-313055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-1848485</wp:posOffset>
            </wp:positionH>
            <wp:positionV relativeFrom="paragraph">
              <wp:posOffset>-287020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as trustee (the</w:t>
      </w:r>
    </w:p>
    <w:p>
      <w:pPr>
        <w:spacing w:after="0" w:line="46" w:lineRule="exact"/>
        <w:rPr>
          <w:sz w:val="20"/>
          <w:szCs w:val="20"/>
          <w:color w:val="auto"/>
        </w:rPr>
      </w:pPr>
    </w:p>
    <w:p>
      <w:pPr>
        <w:sectPr>
          <w:pgSz w:w="11900" w:h="16838" w:orient="portrait"/>
          <w:cols w:equalWidth="0" w:num="3">
            <w:col w:w="2200" w:space="720"/>
            <w:col w:w="5880" w:space="720"/>
            <w:col w:w="1840"/>
          </w:cols>
          <w:pgMar w:left="240" w:top="1260" w:right="299" w:bottom="1440" w:gutter="0" w:footer="0" w:header="0"/>
        </w:sectPr>
      </w:pPr>
    </w:p>
    <w:p>
      <w:pPr>
        <w:spacing w:after="0"/>
        <w:rPr>
          <w:sz w:val="20"/>
          <w:szCs w:val="20"/>
          <w:color w:val="auto"/>
        </w:rPr>
      </w:pPr>
      <w:r>
        <w:rPr>
          <w:rFonts w:ascii="Arial" w:cs="Arial" w:eastAsia="Arial" w:hAnsi="Arial"/>
          <w:sz w:val="17"/>
          <w:szCs w:val="17"/>
          <w:color w:val="auto"/>
        </w:rPr>
        <w:t>“Trustee”):</w:t>
      </w:r>
    </w:p>
    <w:p>
      <w:pPr>
        <w:sectPr>
          <w:pgSz w:w="11900" w:h="16838" w:orient="portrait"/>
          <w:cols w:equalWidth="0" w:num="1">
            <w:col w:w="11360"/>
          </w:cols>
          <w:pgMar w:left="240" w:top="1260" w:right="299" w:bottom="1440" w:gutter="0" w:footer="0" w:header="0"/>
          <w:type w:val="continuous"/>
        </w:sectPr>
      </w:pPr>
    </w:p>
    <w:p>
      <w:pPr>
        <w:spacing w:after="0" w:line="22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WHEREAS, for its lawful corporate purposes, the Company has duly authorized the execution and delivery of this Indenture to provide for the 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WHEREAS, to provide the terms and conditions upon which the Securities are to be authenticated, issued and delivered, the Company has duly authorized the execution of this Indenture;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WHEREAS, all things necessary to make this Indenture a valid agreement of the Company, in accordance with its terms, have been done.</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NOW, THEREFORE, in consideration of the premises and the purchase of the Securities by the holders thereof, it is mutually covenanted and agreed as follows for the equal and ratable benefit of the holders of Securities: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color w:val="auto"/>
        </w:rPr>
        <w:t>Definitions of Terms.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terms defined in this Section (except as in this Indenture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otherwise expressly provided or unless the context otherwise requires), shall have the meanings assigned to such terms in said Trust Indenture Act and in said Securities Act as in force at the date of the execution of this instrument.</w:t>
      </w:r>
    </w:p>
    <w:p>
      <w:pPr>
        <w:spacing w:after="0" w:line="1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“Authenticating Agent” means an authenticating agent with respect to all or any of the series of Securities appointed with respect to all or any series of the Securities by the Trustee pursuant to Section 2.10.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“Bankruptcy Law” means Title 11, U.S. Code, or any similar federal or state law for the relief of debtors.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means the Board of Directors of the Company or any duly authorized committee of such Board.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“Board Resolution” means a copy of a resolution certified by the Secretary or an Assistant Secretary of the Company to have been duly adopted by the Board of Directors and to be in full force and effect on the date of such certification.</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“Business Day” means, with respect to any series of Securities, any day other than a day on which Federal or State banking institutions in the Borough of Manhattan, the City and State of New York, are authorized or obligated by law, executive order or regulation to close.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“Certificate” means a certificate signed by the principal executive officer, the principal financial officer or the principal accounting officer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Certificate need not comply with the provisions of Section 13.07.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“Commission” means the Securities and Exchange Commission.</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“Company” means the corporation named as the “Company” in the first paragraph of this instrument until a successor corporation shall have become such pursuant to the applicable provisions of this Indenture, and thereafter “Company” shall mean such successor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260" w:right="29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t>“Corporate Trust Office” means the office of the Trustee at which, at any particular time, its corporate trust business shall be principally administered, which</w:t>
      </w:r>
    </w:p>
    <w:p>
      <w:pPr>
        <w:spacing w:after="0" w:line="46"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office at the date hereof is located at [ ], except that whenever a provision herein refers to an office or agency of the Trustee in the Borough of Manhattan, the City and State of New York, such office is located, at the date hereof, at [ ].</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“Custodian” means any receiver, trustee, assignee, liquidator, or similar official under any Bankruptcy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“Default” means an event which is, or after notice or lapse of time, or both, would constitute an Event of Default.</w:t>
      </w:r>
    </w:p>
    <w:p>
      <w:pPr>
        <w:spacing w:after="0" w:line="225"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“Depositary” means, with respect to Securities of any series, for which the Company shall determine that such Securities will be issued as a Global Security, The Depository Trust Company, New York, New York, another clearing agency, or any successor registered as a clearing agency under the Exchange Act, or other applicable statute or regulation, which, in each case, shall be designated by the Company pursuant to either Section 2.01 or Section 2.11.</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“Event of Default” means, with respect to Securities of a particular series, any event specified in Section 6.01, continued for the period of time, if any, therein designated.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225"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“Global Security” means, with respect to any series of Securities, a Security executed by the Company and delivered by the Trustee to the Depositary or pursuant to the Depositary’s instruction, all in accordance with this Indenture, which shall be registered in the name of the Depositary or its nominee.</w:t>
      </w:r>
    </w:p>
    <w:p>
      <w:pPr>
        <w:spacing w:after="0" w:line="12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non-callable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“herein,” “hereof” and “hereunder,” and other words of similar import, refer to this Indenture as a whole and not to any particular Article, Section or other subdivision.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“Indenture” means this instrument as originally executed or as it may from time to time be supplemented or amended by one or more indentures supplemental hereto entered into in accordance with the terms hereof.</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“Interest Payment Date,”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“Officers’ Certificate” means a certificate signed by the President or a Vice President and by the Chief Financial Officer, the Treasurer or an Assistant Treasurer or the Controller or an Assistant Controller or the Secretary or an Assistant Secretary of the Company that is delivered to the Trustee in accordance with the terms hereof. Certificate shall include the statements provided for in Section 13.07, if and to the extent required by the provisions thereof.</w:t>
      </w:r>
    </w:p>
    <w:p>
      <w:pPr>
        <w:spacing w:after="0" w:line="14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“Opinion of Counsel” means a written opinion of counsel, who may be counsel to the Company (and may include directors or employees of the Company) and which opinion is acceptable to the Trustee which acceptance shall not be unreasonably withheld.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60" w:right="259" w:bottom="1440" w:gutter="0" w:footer="0" w:header="0"/>
        </w:sectPr>
      </w:pPr>
    </w:p>
    <w:bookmarkStart w:id="73" w:name="page74"/>
    <w:bookmarkEnd w:id="73"/>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t>“Outstanding”,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III provided,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66"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joint-venture, association, joint-stock company, trust, estate, unincorporated organization or government or any agency or political subdivision thereof.</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2.07 in lieu of a mutilated, destroyed, lost or stolen Security shall be deemed to evidence the same debt as the mutilated, destroyed, lost or stolen Security.</w:t>
      </w:r>
    </w:p>
    <w:p>
      <w:pPr>
        <w:spacing w:after="0" w:line="16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“Responsible Officer,” when used with respect to the Trustee, means any officer of the Trustee, including any vice president, assistant vice president, secretary, assistant secretary, the treasurer, any assistant treasurer, the managing director or any other officer of the Trustee customarily performing functions similar to those performed by any of the above designated officers and also means, with respect to a particular corporate trust matter, any other officer to whom such matter is referred because of such officer’s knowledge of and familiarity with the particular subject.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means the debt Securities authenticated and delivered under this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“Security Register” has the meaning specified in Section 2.05.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“Security Registrar” has the meaning specified in Section 2.05.</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“Securityholder,” “holder of Securities,” “registered holder,” or other similar term, means the Person or Persons in whose name or names a particular Security shall be registered in the Security Register.</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“Subsidiary”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“Trustee” means the Person named as the “Trustee” in the first paragraph of this instrument until a successor Trustee shall have become such pursuant to the applicable provisions of this Indenture, and thereafter “Trustee” shall mean such successor Trustee. The term “Trustee” as used with respect to a particular series of the Securities shall mean the trustee with respect to that series.</w:t>
      </w:r>
    </w:p>
    <w:p>
      <w:pPr>
        <w:spacing w:after="0" w:line="18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“Trust Indenture Act” means the Trust Indenture Act of 1939, as amended, subject to the provisions of Sections 9.01, 9.02, and 10.01, as in effect at the date of execution of this instrument; provided, however, that in the event the Trust Indenture Act is amended after such date, Trust Indenture Act means, to the extent required by such amendment, the Trust Indenture Act of 1939, as so amended, or any successor statute.</w:t>
      </w:r>
    </w:p>
    <w:p>
      <w:pPr>
        <w:spacing w:after="0" w:line="166"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“Voting Stock,” as applied to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ISSUE, DESCRIPTION, TERMS, EXECUTION,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REGISTRATION AND EXCHANGE OF SECURITIES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color w:val="auto"/>
        </w:rPr>
        <w:t>Designation and Terms of Securities.</w:t>
      </w:r>
    </w:p>
    <w:p>
      <w:pPr>
        <w:spacing w:after="0" w:line="225" w:lineRule="exact"/>
        <w:rPr>
          <w:sz w:val="20"/>
          <w:szCs w:val="20"/>
          <w:color w:val="auto"/>
        </w:rPr>
      </w:pPr>
    </w:p>
    <w:p>
      <w:pPr>
        <w:ind w:left="760" w:right="60" w:hanging="374"/>
        <w:spacing w:after="0" w:line="257"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of the Company or pursuant to one or more indentures supplemental hereto. Prior to the initial issuance of Securities of a given series, there shall be established in or pursuant to a Board Resolution of the Company, and set forth in an Officers’ Certificate of the Company, or established in one or more indentures supplemental hereto:</w:t>
      </w:r>
    </w:p>
    <w:p>
      <w:pPr>
        <w:spacing w:after="0" w:line="188" w:lineRule="exact"/>
        <w:rPr>
          <w:rFonts w:ascii="Arial" w:cs="Arial" w:eastAsia="Arial" w:hAnsi="Arial"/>
          <w:sz w:val="18"/>
          <w:szCs w:val="18"/>
          <w:color w:val="auto"/>
        </w:rPr>
      </w:pPr>
    </w:p>
    <w:p>
      <w:pPr>
        <w:ind w:left="1300" w:hanging="522"/>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title of the Security of the series (which shall distinguish the Securities of the series from all other Securities);</w:t>
      </w:r>
    </w:p>
    <w:p>
      <w:pPr>
        <w:spacing w:after="0" w:line="225" w:lineRule="exact"/>
        <w:rPr>
          <w:rFonts w:ascii="Arial" w:cs="Arial" w:eastAsia="Arial" w:hAnsi="Arial"/>
          <w:sz w:val="18"/>
          <w:szCs w:val="18"/>
          <w:color w:val="auto"/>
        </w:rPr>
      </w:pPr>
    </w:p>
    <w:p>
      <w:pPr>
        <w:jc w:val="both"/>
        <w:ind w:left="1300" w:right="20" w:hanging="522"/>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aggregate principal amount of the Securities of such series initially to be issued and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81" w:lineRule="exact"/>
        <w:rPr>
          <w:rFonts w:ascii="Arial" w:cs="Arial" w:eastAsia="Arial" w:hAnsi="Arial"/>
          <w:sz w:val="18"/>
          <w:szCs w:val="18"/>
          <w:color w:val="auto"/>
        </w:rPr>
      </w:pPr>
    </w:p>
    <w:p>
      <w:pPr>
        <w:ind w:left="1300" w:right="180" w:hanging="522"/>
        <w:spacing w:after="0" w:line="277"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1300" w:hanging="522"/>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 and the place(s) of payment;</w:t>
      </w:r>
    </w:p>
    <w:p>
      <w:pPr>
        <w:spacing w:after="0" w:line="225" w:lineRule="exact"/>
        <w:rPr>
          <w:rFonts w:ascii="Arial" w:cs="Arial" w:eastAsia="Arial" w:hAnsi="Arial"/>
          <w:sz w:val="18"/>
          <w:szCs w:val="18"/>
          <w:color w:val="auto"/>
        </w:rPr>
      </w:pPr>
    </w:p>
    <w:p>
      <w:pPr>
        <w:ind w:left="1300" w:hanging="522"/>
        <w:spacing w:after="0"/>
        <w:tabs>
          <w:tab w:leader="none" w:pos="13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rate or rates at which the Securities of the series shall bear interest or the manner of calculation of such rate or rates, if any;</w:t>
      </w:r>
    </w:p>
    <w:p>
      <w:pPr>
        <w:spacing w:after="0" w:line="236" w:lineRule="exact"/>
        <w:rPr>
          <w:rFonts w:ascii="Arial" w:cs="Arial" w:eastAsia="Arial" w:hAnsi="Arial"/>
          <w:sz w:val="17"/>
          <w:szCs w:val="17"/>
          <w:color w:val="auto"/>
        </w:rPr>
      </w:pPr>
    </w:p>
    <w:p>
      <w:pPr>
        <w:ind w:left="1300" w:hanging="522"/>
        <w:spacing w:after="0" w:line="286" w:lineRule="auto"/>
        <w:tabs>
          <w:tab w:leader="none" w:pos="13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method for determining such dates;</w:t>
      </w:r>
    </w:p>
    <w:p>
      <w:pPr>
        <w:spacing w:after="0" w:line="165" w:lineRule="exact"/>
        <w:rPr>
          <w:rFonts w:ascii="Arial" w:cs="Arial" w:eastAsia="Arial" w:hAnsi="Arial"/>
          <w:sz w:val="17"/>
          <w:szCs w:val="17"/>
          <w:color w:val="auto"/>
        </w:rPr>
      </w:pPr>
    </w:p>
    <w:p>
      <w:pPr>
        <w:ind w:left="1300" w:hanging="522"/>
        <w:spacing w:after="0"/>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or to defer the payment of interest and the duration of such extension;</w:t>
      </w:r>
    </w:p>
    <w:p>
      <w:pPr>
        <w:spacing w:after="0" w:line="225" w:lineRule="exact"/>
        <w:rPr>
          <w:rFonts w:ascii="Arial" w:cs="Arial" w:eastAsia="Arial" w:hAnsi="Arial"/>
          <w:sz w:val="18"/>
          <w:szCs w:val="18"/>
          <w:color w:val="auto"/>
        </w:rPr>
      </w:pPr>
    </w:p>
    <w:p>
      <w:pPr>
        <w:ind w:left="1300" w:right="320" w:hanging="522"/>
        <w:spacing w:after="0" w:line="277"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Securities of the series may be redeemed, in whole or in part, at the option of the Company;</w:t>
      </w:r>
    </w:p>
    <w:p>
      <w:pPr>
        <w:spacing w:after="0" w:line="170" w:lineRule="exact"/>
        <w:rPr>
          <w:rFonts w:ascii="Arial" w:cs="Arial" w:eastAsia="Arial" w:hAnsi="Arial"/>
          <w:sz w:val="18"/>
          <w:szCs w:val="18"/>
          <w:color w:val="auto"/>
        </w:rPr>
      </w:pPr>
    </w:p>
    <w:p>
      <w:pPr>
        <w:ind w:left="1300" w:right="220" w:hanging="522"/>
        <w:spacing w:after="0" w:line="259"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obligation, if any, of the Company to redeem or purchase Securities of the series pursuant to any sinking fund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75" w:name="page76"/>
    <w:bookmarkEnd w:id="75"/>
    <w:p>
      <w:pPr>
        <w:ind w:left="1300" w:hanging="52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1300" w:hanging="52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form of the Securities of the series including the form of the Certificate of Authentication for such series;</w:t>
      </w:r>
    </w:p>
    <w:p>
      <w:pPr>
        <w:spacing w:after="0" w:line="225" w:lineRule="exact"/>
        <w:rPr>
          <w:rFonts w:ascii="Arial" w:cs="Arial" w:eastAsia="Arial" w:hAnsi="Arial"/>
          <w:sz w:val="18"/>
          <w:szCs w:val="18"/>
          <w:color w:val="auto"/>
        </w:rPr>
      </w:pPr>
    </w:p>
    <w:p>
      <w:pPr>
        <w:ind w:left="1300" w:right="740" w:hanging="522"/>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other than denominations of one thousand U.S. dollars ($1,000) or any integral multiple thereof, the denominations in which the Securities of the series shall be issuable;</w:t>
      </w:r>
    </w:p>
    <w:p>
      <w:pPr>
        <w:spacing w:after="0" w:line="170" w:lineRule="exact"/>
        <w:rPr>
          <w:rFonts w:ascii="Arial" w:cs="Arial" w:eastAsia="Arial" w:hAnsi="Arial"/>
          <w:sz w:val="18"/>
          <w:szCs w:val="18"/>
          <w:color w:val="auto"/>
        </w:rPr>
      </w:pPr>
    </w:p>
    <w:p>
      <w:pPr>
        <w:ind w:left="1300" w:hanging="522"/>
        <w:spacing w:after="0" w:line="264"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and all other terms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181" w:lineRule="exact"/>
        <w:rPr>
          <w:rFonts w:ascii="Arial" w:cs="Arial" w:eastAsia="Arial" w:hAnsi="Arial"/>
          <w:sz w:val="18"/>
          <w:szCs w:val="18"/>
          <w:color w:val="auto"/>
        </w:rPr>
      </w:pPr>
    </w:p>
    <w:p>
      <w:pPr>
        <w:ind w:left="1300" w:hanging="52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the Securities are issuable as a Global Security and, in such case, the identity of the Depositary for such series;</w:t>
      </w:r>
    </w:p>
    <w:p>
      <w:pPr>
        <w:spacing w:after="0" w:line="225" w:lineRule="exact"/>
        <w:rPr>
          <w:rFonts w:ascii="Arial" w:cs="Arial" w:eastAsia="Arial" w:hAnsi="Arial"/>
          <w:sz w:val="18"/>
          <w:szCs w:val="18"/>
          <w:color w:val="auto"/>
        </w:rPr>
      </w:pPr>
    </w:p>
    <w:p>
      <w:pPr>
        <w:ind w:left="1300" w:right="720" w:hanging="522"/>
        <w:spacing w:after="0" w:line="342" w:lineRule="auto"/>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whether the Securities will be convertible into shares of common stock or other securities of the Company and, if so, the terms and conditions upon which such Securities will be so convertible, including the conversion price and the conversion period;</w:t>
      </w:r>
    </w:p>
    <w:p>
      <w:pPr>
        <w:spacing w:after="0" w:line="123" w:lineRule="exact"/>
        <w:rPr>
          <w:rFonts w:ascii="Arial" w:cs="Arial" w:eastAsia="Arial" w:hAnsi="Arial"/>
          <w:sz w:val="16"/>
          <w:szCs w:val="16"/>
          <w:color w:val="auto"/>
        </w:rPr>
      </w:pPr>
    </w:p>
    <w:p>
      <w:pPr>
        <w:ind w:left="1300" w:right="600" w:hanging="522"/>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 pursuant to Section 6.01; and</w:t>
      </w:r>
    </w:p>
    <w:p>
      <w:pPr>
        <w:spacing w:after="0" w:line="170" w:lineRule="exact"/>
        <w:rPr>
          <w:rFonts w:ascii="Arial" w:cs="Arial" w:eastAsia="Arial" w:hAnsi="Arial"/>
          <w:sz w:val="18"/>
          <w:szCs w:val="18"/>
          <w:color w:val="auto"/>
        </w:rPr>
      </w:pPr>
    </w:p>
    <w:p>
      <w:pPr>
        <w:ind w:left="1300" w:hanging="52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additional or different Events of Default or restrictive covenants provided for with respect to the Securities of the series.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any such Board Resolution or in any indentures supplemental hereto.</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8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color w:val="auto"/>
        </w:rPr>
        <w:t>Form of Securities and Trustee’s Certificate.</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of the Company and as set forth in an Officers’ Certificate of the Company and the and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stock exchange on which Securities of that series may be listed, or to conform to usage.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76" w:name="page77"/>
    <w:bookmarkEnd w:id="76"/>
    <w:p>
      <w:pPr>
        <w:spacing w:after="0"/>
        <w:tabs>
          <w:tab w:leader="none" w:pos="1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SECTION 2.03</w:t>
      </w:r>
      <w:r>
        <w:rPr>
          <w:sz w:val="20"/>
          <w:szCs w:val="20"/>
          <w:color w:val="auto"/>
        </w:rPr>
        <w:tab/>
      </w:r>
      <w:r>
        <w:rPr>
          <w:rFonts w:ascii="Arial" w:cs="Arial" w:eastAsia="Arial" w:hAnsi="Arial"/>
          <w:sz w:val="16"/>
          <w:szCs w:val="16"/>
          <w:color w:val="auto"/>
        </w:rPr>
        <w:t>Denominations: Provisions for Payment.</w:t>
      </w:r>
    </w:p>
    <w:p>
      <w:pPr>
        <w:spacing w:after="0" w:line="22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Securities shall be issuable as registered Securities and in the denominations of one thousand U.S. dollars ($1,000) or any integral multiple thereof, subject to Section 2.01(a)(12). The Securities of a particular series shall bear interest payable on the dates and at the rate specified with respect to that series.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in the Borough of Manhattan, the City and State of New York. Each Security shall be dated the date of its authentication. Interest on the Securities shall be computed on the basis of a 360-day year composed of twelve 30-day months.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 interest on such Security will be paid upon presentation and surrender of such Security as provided in Section 3.03.</w:t>
      </w:r>
    </w:p>
    <w:p>
      <w:pPr>
        <w:spacing w:after="0" w:line="225"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66" w:lineRule="exact"/>
        <w:rPr>
          <w:sz w:val="20"/>
          <w:szCs w:val="20"/>
          <w:color w:val="auto"/>
        </w:rPr>
      </w:pPr>
    </w:p>
    <w:p>
      <w:pPr>
        <w:ind w:left="1300" w:right="40" w:hanging="522"/>
        <w:spacing w:after="0" w:line="286" w:lineRule="auto"/>
        <w:tabs>
          <w:tab w:leader="none" w:pos="1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171" w:lineRule="exact"/>
        <w:rPr>
          <w:rFonts w:ascii="Arial" w:cs="Arial" w:eastAsia="Arial" w:hAnsi="Arial"/>
          <w:sz w:val="16"/>
          <w:szCs w:val="16"/>
          <w:color w:val="auto"/>
        </w:rPr>
      </w:pPr>
    </w:p>
    <w:p>
      <w:pPr>
        <w:ind w:left="1300" w:hanging="522"/>
        <w:spacing w:after="0" w:line="259"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77" w:name="page78"/>
    <w:bookmarkEnd w:id="77"/>
    <w:p>
      <w:pPr>
        <w:ind w:right="2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Unless otherwise set forth in a Board Resolution of the Company or one or more indentures supplemental hereto establishing the terms of any series of Securities pursuant to Section 2.01 hereof, the term “regular record date” as used in this Section with respect to a series of Securities with respect to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last day of the month immediately preceding the month in which an Interest Payment Date established for such series pursuant to Section 2.01 hereof shall occur, if such Interest Payment Date is the fifteenth day of a month, whether or not such date is a Business Day.</w:t>
      </w:r>
    </w:p>
    <w:p>
      <w:pPr>
        <w:spacing w:after="0" w:line="17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color w:val="auto"/>
        </w:rPr>
        <w:t>Execution and Authentications.</w:t>
      </w:r>
    </w:p>
    <w:p>
      <w:pPr>
        <w:spacing w:after="0" w:line="22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Securities shall be signed on behalf of the Company by its President, or one of its Vice Presidents, or its Treasurer, or one of its Assistant Treasurers, or its Secretary, or one of its Assistant Secretaries, under its corporate seal attested by its Secretary or one of its Assistant Secretaries. Signatures may be in the form of a manual or facsimile signature. The Company may use the facsimile signature of any Person who shall have been a President or Vice President thereof, or of any Person who shall have been a Treasurer or Assistant Treasurer thereof, or of any Person who shall have been a Secretary or Assistant Secretary thereof, notwithstanding the fact that at the time the Securities shall be authenticated and delivered or disposed of such Person shall have ceased to be the President or a Vice President, the Treasurer or an Assistant Treasurer or the Secretary or an Assistant Secretary, of the Company. The seal of the Company may be in the form of a facsimile of such seal and may be impressed, affixed, imprinted or otherwise reproduced on the Securities. The Securities may contain such notations, legends or endorsements required by law, stock exchange rule or usage. Each Security shall be dated the date of its authentication.</w:t>
      </w:r>
    </w:p>
    <w:p>
      <w:pPr>
        <w:spacing w:after="0" w:line="19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 Security shall not be valid or obligatory for any purpose and shall not be entitled to any benefit under this Indenture, in each case, until authenticated with a certificate of authentication manually signed by an authorized signatory of the Trustee, or by an Authenticating Agent. Such certificate shall be conclusive evidence, and the only evidence, that the Security so authenticated has been duly authenticated and delivered hereunder and that the Security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its President or any Vice President and its Secretary or any Assistant Secretary, and the Trustee in accordance with such written order shall authenticate and deliver such Securities.</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authenticating such Securities and accepting the additional responsibilities under this Indenture in relation to such Securities, the Trustee shall be entitled to receive, and (subject to Section 7.01) shall be fully protected in relying upon, an Opinion of Counsel stating that the form and terms thereof have been established in conformity with the provisions of this Indenture.</w:t>
      </w:r>
    </w:p>
    <w:p>
      <w:pPr>
        <w:spacing w:after="0" w:line="18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color w:val="auto"/>
        </w:rPr>
        <w:t>Registration of Transfer and Exchange.</w:t>
      </w:r>
    </w:p>
    <w:p>
      <w:pPr>
        <w:spacing w:after="0" w:line="225" w:lineRule="exact"/>
        <w:rPr>
          <w:sz w:val="20"/>
          <w:szCs w:val="20"/>
          <w:color w:val="auto"/>
        </w:rPr>
      </w:pPr>
    </w:p>
    <w:p>
      <w:pPr>
        <w:ind w:left="760" w:right="60" w:hanging="374"/>
        <w:spacing w:after="0" w:line="273" w:lineRule="auto"/>
        <w:tabs>
          <w:tab w:leader="none" w:pos="7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Securities of any series may be exchanged upon presentation thereof at the office or agency of the Company designated for such purpose in the Borough of Manhattan, the City and State of New York,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78" w:name="page79"/>
    <w:bookmarkEnd w:id="78"/>
    <w:p>
      <w:pPr>
        <w:ind w:left="760" w:right="20" w:hanging="374"/>
        <w:spacing w:after="0" w:line="297" w:lineRule="auto"/>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t>The Company shall keep, or cause to be kept, at its office or agency designated for such purpose in the Borough of Manhattan, the City and State of New York, or such other location designated by the Company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158" w:lineRule="exact"/>
        <w:rPr>
          <w:sz w:val="20"/>
          <w:szCs w:val="20"/>
          <w:color w:val="auto"/>
        </w:rPr>
      </w:pPr>
    </w:p>
    <w:p>
      <w:pPr>
        <w:jc w:val="both"/>
        <w:ind w:left="780" w:right="260"/>
        <w:spacing w:after="0" w:line="264" w:lineRule="auto"/>
        <w:rPr>
          <w:sz w:val="20"/>
          <w:szCs w:val="20"/>
          <w:color w:val="auto"/>
        </w:rPr>
      </w:pPr>
      <w:r>
        <w:rPr>
          <w:rFonts w:ascii="Arial" w:cs="Arial" w:eastAsia="Arial" w:hAnsi="Arial"/>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81" w:lineRule="exact"/>
        <w:rPr>
          <w:sz w:val="20"/>
          <w:szCs w:val="20"/>
          <w:color w:val="auto"/>
        </w:rPr>
      </w:pPr>
    </w:p>
    <w:p>
      <w:pPr>
        <w:ind w:left="780" w:right="80"/>
        <w:spacing w:after="0" w:line="264" w:lineRule="auto"/>
        <w:rPr>
          <w:sz w:val="20"/>
          <w:szCs w:val="20"/>
          <w:color w:val="auto"/>
        </w:rPr>
      </w:pPr>
      <w:r>
        <w:rPr>
          <w:rFonts w:ascii="Arial" w:cs="Arial" w:eastAsia="Arial" w:hAnsi="Arial"/>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81" w:lineRule="exact"/>
        <w:rPr>
          <w:sz w:val="20"/>
          <w:szCs w:val="20"/>
          <w:color w:val="auto"/>
        </w:rPr>
      </w:pPr>
    </w:p>
    <w:p>
      <w:pPr>
        <w:ind w:left="760" w:hanging="374"/>
        <w:spacing w:after="0" w:line="264"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3.03(b) and Section 9.04 not involving any transfer.</w:t>
      </w:r>
    </w:p>
    <w:p>
      <w:pPr>
        <w:spacing w:after="0" w:line="181" w:lineRule="exact"/>
        <w:rPr>
          <w:rFonts w:ascii="Arial" w:cs="Arial" w:eastAsia="Arial" w:hAnsi="Arial"/>
          <w:sz w:val="18"/>
          <w:szCs w:val="18"/>
          <w:color w:val="auto"/>
        </w:rPr>
      </w:pPr>
    </w:p>
    <w:p>
      <w:pPr>
        <w:ind w:left="760" w:right="80" w:hanging="374"/>
        <w:spacing w:after="0" w:line="302" w:lineRule="auto"/>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The provisions of this Section 2.05 are, with respect to any Global Security, subject to Section 2.11 hereof.</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color w:val="auto"/>
        </w:rPr>
        <w:t>Temporary Securities.</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in the Borough of Manhattan, the City and State of New York,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79" w:name="page80"/>
    <w:bookmarkEnd w:id="79"/>
    <w:p>
      <w:pPr>
        <w:spacing w:after="0"/>
        <w:tabs>
          <w:tab w:leader="none" w:pos="1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SECTION 2.07</w:t>
      </w:r>
      <w:r>
        <w:rPr>
          <w:sz w:val="20"/>
          <w:szCs w:val="20"/>
          <w:color w:val="auto"/>
        </w:rPr>
        <w:tab/>
      </w:r>
      <w:r>
        <w:rPr>
          <w:rFonts w:ascii="Arial" w:cs="Arial" w:eastAsia="Arial" w:hAnsi="Arial"/>
          <w:sz w:val="16"/>
          <w:szCs w:val="16"/>
          <w:color w:val="auto"/>
        </w:rPr>
        <w:t>Mutilated, Destroyed, Lost or Stolen Securities.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 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7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color w:val="auto"/>
        </w:rPr>
        <w:t>Cancellation.</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color w:val="auto"/>
        </w:rPr>
        <w:t>Benefits of Indenture.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color w:val="auto"/>
        </w:rPr>
        <w:t>Authenticating Agent.</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80" w:name="page81"/>
    <w:bookmarkEnd w:id="80"/>
    <w:p>
      <w:pPr>
        <w:ind w:right="26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color w:val="auto"/>
        </w:rPr>
        <w:t>Global Securities</w:t>
      </w:r>
    </w:p>
    <w:p>
      <w:pPr>
        <w:spacing w:after="0" w:line="225" w:lineRule="exact"/>
        <w:rPr>
          <w:sz w:val="20"/>
          <w:szCs w:val="20"/>
          <w:color w:val="auto"/>
        </w:rPr>
      </w:pPr>
    </w:p>
    <w:p>
      <w:pPr>
        <w:ind w:left="760" w:hanging="374"/>
        <w:spacing w:after="0" w:line="272" w:lineRule="auto"/>
        <w:tabs>
          <w:tab w:leader="none" w:pos="7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If the Company shall establish pursuant to Section 2.01 that some or all of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the Outstanding Securities of such series which are to be issued as a Global Security,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77" w:lineRule="exact"/>
        <w:rPr>
          <w:rFonts w:ascii="Arial" w:cs="Arial" w:eastAsia="Arial" w:hAnsi="Arial"/>
          <w:sz w:val="17"/>
          <w:szCs w:val="17"/>
          <w:color w:val="auto"/>
        </w:rPr>
      </w:pPr>
    </w:p>
    <w:p>
      <w:pPr>
        <w:ind w:left="760" w:right="460" w:hanging="374"/>
        <w:spacing w:after="0" w:line="264" w:lineRule="auto"/>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81" w:lineRule="exact"/>
        <w:rPr>
          <w:rFonts w:ascii="Arial" w:cs="Arial" w:eastAsia="Arial" w:hAnsi="Arial"/>
          <w:sz w:val="18"/>
          <w:szCs w:val="18"/>
          <w:color w:val="auto"/>
        </w:rPr>
      </w:pPr>
    </w:p>
    <w:p>
      <w:pPr>
        <w:ind w:left="760" w:right="20" w:hanging="374"/>
        <w:spacing w:after="0" w:line="285" w:lineRule="auto"/>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this Section 2.11 shall no longer be applicable to the Securities of such series and the Company will execute, and subject to Section 2.05,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2.05,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 OF SECURITIES AND SINKING</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FUND PROVISIONS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color w:val="auto"/>
        </w:rPr>
        <w:t>Redemption.</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may redeem the Securities of any series issued hereunder on and after the dates and in accordance with the terms established for such series pursuant to Section 2.01 hereof.</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6"/>
          <w:szCs w:val="16"/>
          <w:color w:val="auto"/>
        </w:rPr>
        <w:t>Notice of Redemption.</w:t>
      </w:r>
    </w:p>
    <w:p>
      <w:pPr>
        <w:spacing w:after="0" w:line="225" w:lineRule="exact"/>
        <w:rPr>
          <w:sz w:val="20"/>
          <w:szCs w:val="20"/>
          <w:color w:val="auto"/>
        </w:rPr>
      </w:pPr>
    </w:p>
    <w:p>
      <w:pPr>
        <w:ind w:left="760" w:hanging="374"/>
        <w:spacing w:after="0" w:line="288" w:lineRule="auto"/>
        <w:tabs>
          <w:tab w:leader="none" w:pos="7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case the Company shall desire to exercise such right to redeem all or, as the case may be, a portion of the Securities of any series in accordance with the right reserved so to do,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6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in the Borough of Manhattan, the City and State of New York, upon presentation and surrender of such Securities, that interest accrued to the date fixed for redemption will be paid as specified in said notice, that from and after said date interest will cease to accrue and that the redemption is for a sinking fund, if such is the case. If less than all the Securities of a series are to be redeemed, the notice to the holders of Securities of that series to be redeemed in whole or in part shall specify the particular Securities to be so redeemed. 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66" w:lineRule="exact"/>
        <w:rPr>
          <w:sz w:val="20"/>
          <w:szCs w:val="20"/>
          <w:color w:val="auto"/>
        </w:rPr>
      </w:pPr>
    </w:p>
    <w:p>
      <w:pPr>
        <w:ind w:left="760" w:right="20" w:hanging="374"/>
        <w:spacing w:after="0" w:line="270" w:lineRule="auto"/>
        <w:tabs>
          <w:tab w:leader="none" w:pos="7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If less than all the Securities of a series are to be redeemed, the Company shall give the Trustee at least 30 days’ notice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its President or any Vice President,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82" w:name="page83"/>
    <w:bookmarkEnd w:id="82"/>
    <w:p>
      <w:pPr>
        <w:jc w:val="both"/>
        <w:ind w:left="7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t>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color w:val="auto"/>
        </w:rPr>
        <w:t>Payment Upon Redemption.</w:t>
      </w:r>
    </w:p>
    <w:p>
      <w:pPr>
        <w:spacing w:after="0" w:line="225" w:lineRule="exact"/>
        <w:rPr>
          <w:sz w:val="20"/>
          <w:szCs w:val="20"/>
          <w:color w:val="auto"/>
        </w:rPr>
      </w:pPr>
    </w:p>
    <w:p>
      <w:pPr>
        <w:ind w:left="760" w:right="20" w:hanging="374"/>
        <w:spacing w:after="0" w:line="290" w:lineRule="auto"/>
        <w:tabs>
          <w:tab w:leader="none" w:pos="7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66" w:lineRule="exact"/>
        <w:rPr>
          <w:rFonts w:ascii="Arial" w:cs="Arial" w:eastAsia="Arial" w:hAnsi="Arial"/>
          <w:sz w:val="16"/>
          <w:szCs w:val="16"/>
          <w:color w:val="auto"/>
        </w:rPr>
      </w:pPr>
    </w:p>
    <w:p>
      <w:pPr>
        <w:ind w:left="760" w:right="200" w:hanging="374"/>
        <w:spacing w:after="0" w:line="312" w:lineRule="auto"/>
        <w:tabs>
          <w:tab w:leader="none" w:pos="7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color w:val="auto"/>
        </w:rPr>
        <w:t>Sinking Fund.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color w:val="auto"/>
        </w:rPr>
        <w:t>Satisfaction of Sinking Fund Payments with Securities.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(i) may deliver Outstanding Securities of a series (other than any Securities previously called for redemption)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83" w:name="page84"/>
    <w:bookmarkEnd w:id="83"/>
    <w:p>
      <w:pPr>
        <w:spacing w:after="0"/>
        <w:tabs>
          <w:tab w:leader="none" w:pos="1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SECTION 3.06</w:t>
      </w:r>
      <w:r>
        <w:rPr>
          <w:sz w:val="20"/>
          <w:szCs w:val="20"/>
          <w:color w:val="auto"/>
        </w:rPr>
        <w:tab/>
      </w:r>
      <w:r>
        <w:rPr>
          <w:rFonts w:ascii="Arial" w:cs="Arial" w:eastAsia="Arial" w:hAnsi="Arial"/>
          <w:sz w:val="16"/>
          <w:szCs w:val="16"/>
          <w:color w:val="auto"/>
        </w:rPr>
        <w:t>Redemption of Securities for Sinking Fund.</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Not less than 45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color w:val="auto"/>
        </w:rPr>
        <w:t>Payment of Principal, Premium and Interest.</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color w:val="auto"/>
        </w:rPr>
        <w:t>Maintenance of Office or Agency.</w:t>
      </w:r>
    </w:p>
    <w:p>
      <w:pPr>
        <w:spacing w:after="0" w:line="225"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So long as any series of the Securities remain Outstanding, the Company agrees to maintain an office or agency in the Borough of Manhattan, the City and State of New York, with respect to each such series and at such other location or locations as may be designated as provided in this Section 4.02, where</w:t>
      </w:r>
    </w:p>
    <w:p>
      <w:pPr>
        <w:ind w:firstLine="8"/>
        <w:spacing w:after="0" w:line="252" w:lineRule="auto"/>
        <w:tabs>
          <w:tab w:leader="none" w:pos="2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Securities of that series may be presented or surrendered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its President or a Vice President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color w:val="auto"/>
        </w:rPr>
        <w:t>Paying Agents.</w:t>
      </w:r>
    </w:p>
    <w:p>
      <w:pPr>
        <w:spacing w:after="0" w:line="225" w:lineRule="exact"/>
        <w:rPr>
          <w:sz w:val="20"/>
          <w:szCs w:val="20"/>
          <w:color w:val="auto"/>
        </w:rPr>
      </w:pPr>
    </w:p>
    <w:p>
      <w:pPr>
        <w:jc w:val="both"/>
        <w:ind w:left="760" w:right="80" w:hanging="374"/>
        <w:spacing w:after="0" w:line="264" w:lineRule="auto"/>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81" w:lineRule="exact"/>
        <w:rPr>
          <w:rFonts w:ascii="Arial" w:cs="Arial" w:eastAsia="Arial" w:hAnsi="Arial"/>
          <w:sz w:val="18"/>
          <w:szCs w:val="18"/>
          <w:color w:val="auto"/>
        </w:rPr>
      </w:pPr>
    </w:p>
    <w:p>
      <w:pPr>
        <w:ind w:left="1300" w:right="60" w:hanging="522"/>
        <w:spacing w:after="0" w:line="264"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81" w:lineRule="exact"/>
        <w:rPr>
          <w:rFonts w:ascii="Arial" w:cs="Arial" w:eastAsia="Arial" w:hAnsi="Arial"/>
          <w:sz w:val="18"/>
          <w:szCs w:val="18"/>
          <w:color w:val="auto"/>
        </w:rPr>
      </w:pPr>
    </w:p>
    <w:p>
      <w:pPr>
        <w:ind w:left="1300" w:right="240" w:hanging="522"/>
        <w:spacing w:after="0" w:line="308" w:lineRule="auto"/>
        <w:tabs>
          <w:tab w:leader="none" w:pos="1300"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46" w:lineRule="exact"/>
        <w:rPr>
          <w:rFonts w:ascii="Arial" w:cs="Arial" w:eastAsia="Arial" w:hAnsi="Arial"/>
          <w:sz w:val="17"/>
          <w:szCs w:val="17"/>
          <w:color w:val="auto"/>
        </w:rPr>
      </w:pPr>
    </w:p>
    <w:p>
      <w:pPr>
        <w:ind w:left="1300" w:right="40" w:hanging="522"/>
        <w:spacing w:after="0" w:line="277"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70" w:lineRule="exact"/>
        <w:rPr>
          <w:rFonts w:ascii="Arial" w:cs="Arial" w:eastAsia="Arial" w:hAnsi="Arial"/>
          <w:sz w:val="18"/>
          <w:szCs w:val="18"/>
          <w:color w:val="auto"/>
        </w:rPr>
      </w:pPr>
    </w:p>
    <w:p>
      <w:pPr>
        <w:ind w:left="1300" w:hanging="522"/>
        <w:spacing w:after="0"/>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that it will perform all other duties of paying agent as set forth in this Indenture.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84" w:name="page85"/>
    <w:bookmarkEnd w:id="84"/>
    <w:p>
      <w:pPr>
        <w:ind w:left="760" w:right="20" w:hanging="374"/>
        <w:spacing w:after="0" w:line="270" w:lineRule="auto"/>
        <w:tabs>
          <w:tab w:leader="none" w:pos="760" w:val="left"/>
        </w:tabs>
        <w:numPr>
          <w:ilvl w:val="0"/>
          <w:numId w:val="5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with monies held by all other paying agents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81" w:lineRule="exact"/>
        <w:rPr>
          <w:rFonts w:ascii="Arial" w:cs="Arial" w:eastAsia="Arial" w:hAnsi="Arial"/>
          <w:sz w:val="17"/>
          <w:szCs w:val="17"/>
          <w:color w:val="auto"/>
        </w:rPr>
      </w:pPr>
    </w:p>
    <w:p>
      <w:pPr>
        <w:ind w:left="760" w:right="20" w:hanging="374"/>
        <w:spacing w:after="0" w:line="297" w:lineRule="auto"/>
        <w:tabs>
          <w:tab w:leader="none" w:pos="7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any paying agent to the Trustee, such paying agent shall be released from all further liability with respect to such money.</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color w:val="auto"/>
        </w:rPr>
        <w:t>Appointment to Fill Vacancy in Office of Trustee.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6"/>
          <w:szCs w:val="16"/>
          <w:color w:val="auto"/>
        </w:rPr>
        <w:t>Compliance with Consolidation Provisions.</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company unless the provisions of Article X hereof are complied with.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SECURITYHOLDERS’ LISTS AND REPORTS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 THE COMPANY AND THE TRUSTEE</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color w:val="auto"/>
        </w:rPr>
        <w:t>Company to Furnish Trustee Names and Addresses of Securityholders.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If the Company is not the Security Register, the Company will furnish or use reasonable efforts to cause to be furnished to the Trustee (a) on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color w:val="auto"/>
        </w:rPr>
        <w:t>Preservation Of Information; Communications With Securityholders.</w:t>
      </w:r>
    </w:p>
    <w:p>
      <w:pPr>
        <w:spacing w:after="0" w:line="225" w:lineRule="exact"/>
        <w:rPr>
          <w:sz w:val="20"/>
          <w:szCs w:val="20"/>
          <w:color w:val="auto"/>
        </w:rPr>
      </w:pPr>
    </w:p>
    <w:p>
      <w:pPr>
        <w:ind w:left="760" w:right="60" w:hanging="374"/>
        <w:spacing w:after="0" w:line="259" w:lineRule="auto"/>
        <w:tabs>
          <w:tab w:leader="none" w:pos="7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 and shall otherwise comply with Section 312(a) of the Trust Indenture Act.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85" w:name="page86"/>
    <w:bookmarkEnd w:id="85"/>
    <w:p>
      <w:pPr>
        <w:ind w:left="760" w:hanging="374"/>
        <w:spacing w:after="0"/>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t>The Trustee may destroy any list furnished to it as provided in Section 5.01 upon receipt of a new list so furnished.</w:t>
      </w:r>
    </w:p>
    <w:p>
      <w:pPr>
        <w:spacing w:after="0" w:line="225" w:lineRule="exact"/>
        <w:rPr>
          <w:rFonts w:ascii="Arial" w:cs="Arial" w:eastAsia="Arial" w:hAnsi="Arial"/>
          <w:sz w:val="18"/>
          <w:szCs w:val="18"/>
          <w:color w:val="auto"/>
        </w:rPr>
      </w:pPr>
    </w:p>
    <w:p>
      <w:pPr>
        <w:ind w:left="760" w:right="180" w:hanging="374"/>
        <w:spacing w:after="0" w:line="277"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Securityholders may communicate as provided in Section 312(b) of the Trust Indenture Act with other Securityholders with respect to their rights under this Indenture or under the Securities.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color w:val="auto"/>
        </w:rPr>
        <w:t>Reports by the Company.</w:t>
      </w:r>
    </w:p>
    <w:p>
      <w:pPr>
        <w:spacing w:after="0" w:line="225" w:lineRule="exact"/>
        <w:rPr>
          <w:sz w:val="20"/>
          <w:szCs w:val="20"/>
          <w:color w:val="auto"/>
        </w:rPr>
      </w:pPr>
    </w:p>
    <w:p>
      <w:pPr>
        <w:ind w:left="760" w:right="100" w:hanging="374"/>
        <w:spacing w:after="0" w:line="270" w:lineRule="auto"/>
        <w:tabs>
          <w:tab w:leader="none" w:pos="7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Company covenants and agrees to 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that the Company may be required to file with the Commission pursuant to Section 13 or Section 15(d) of the Exchange Act; or, if the Company is not required to file information, documents or reports pursuant to either of such sections, then to file with the Trustee and the Commission, in accordance with the rules and regulations prescribed from time to time by the Commission, such of the supplementary and periodic information, documents and reports that may be required pursuant to Section 13 of the Exchange Act, in respect of a security listed and registered on a national securities exchange as may be prescribed from time to time in such rules and regulations; provided, however, the Company shall not be required to deliver to the Trustee any materials for which the Company has sought and received confidential treatment by the Commission. The Company also shall comply with the other provisions of Section 314(a) of the Trust Indenture Act.</w:t>
      </w:r>
    </w:p>
    <w:p>
      <w:pPr>
        <w:spacing w:after="0" w:line="177" w:lineRule="exact"/>
        <w:rPr>
          <w:rFonts w:ascii="Arial" w:cs="Arial" w:eastAsia="Arial" w:hAnsi="Arial"/>
          <w:sz w:val="17"/>
          <w:szCs w:val="17"/>
          <w:color w:val="auto"/>
        </w:rPr>
      </w:pPr>
    </w:p>
    <w:p>
      <w:pPr>
        <w:ind w:left="760" w:right="140" w:hanging="374"/>
        <w:spacing w:after="0" w:line="286" w:lineRule="auto"/>
        <w:tabs>
          <w:tab w:leader="none" w:pos="7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Company covenants and agrees to file with the Trustee and the Commission, in accordance with the rules and regulations prescribed from to time by the Commission, such additional information, documents and reports with respect to compliance by the Company with the conditions and covenants provided for in this Indenture as may be required from time to time by such rules and regulations.</w:t>
      </w:r>
    </w:p>
    <w:p>
      <w:pPr>
        <w:spacing w:after="0" w:line="165" w:lineRule="exact"/>
        <w:rPr>
          <w:rFonts w:ascii="Arial" w:cs="Arial" w:eastAsia="Arial" w:hAnsi="Arial"/>
          <w:sz w:val="17"/>
          <w:szCs w:val="17"/>
          <w:color w:val="auto"/>
        </w:rPr>
      </w:pPr>
    </w:p>
    <w:p>
      <w:pPr>
        <w:ind w:left="760" w:right="200" w:hanging="374"/>
        <w:spacing w:after="0" w:line="288" w:lineRule="auto"/>
        <w:tabs>
          <w:tab w:leader="none" w:pos="7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Company covenants and agrees to transmit by mail, first class postage prepaid, or reputable over-night delivery service that provides for evidence of receipt, to the Securityholders, as their names and addresses appear upon the Security Register, within 30 days after the filing thereof with the Trustee, such summaries of any information, documents and reports required to be filed by the Company pursuant to subsections (a) and</w:t>
      </w:r>
    </w:p>
    <w:p>
      <w:pPr>
        <w:ind w:left="760"/>
        <w:spacing w:after="0"/>
        <w:rPr>
          <w:rFonts w:ascii="Arial" w:cs="Arial" w:eastAsia="Arial" w:hAnsi="Arial"/>
          <w:sz w:val="16"/>
          <w:szCs w:val="16"/>
          <w:color w:val="auto"/>
        </w:rPr>
      </w:pPr>
      <w:r>
        <w:rPr>
          <w:rFonts w:ascii="Arial" w:cs="Arial" w:eastAsia="Arial" w:hAnsi="Arial"/>
          <w:sz w:val="18"/>
          <w:szCs w:val="18"/>
          <w:color w:val="auto"/>
        </w:rPr>
        <w:t>(b) of this Section as may be required by rules and regulations prescribed from time to time by the Commission.</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5.04</w:t>
      </w:r>
      <w:r>
        <w:rPr>
          <w:sz w:val="20"/>
          <w:szCs w:val="20"/>
          <w:color w:val="auto"/>
        </w:rPr>
        <w:tab/>
      </w:r>
      <w:r>
        <w:rPr>
          <w:rFonts w:ascii="Arial" w:cs="Arial" w:eastAsia="Arial" w:hAnsi="Arial"/>
          <w:sz w:val="16"/>
          <w:szCs w:val="16"/>
          <w:color w:val="auto"/>
        </w:rPr>
        <w:t>Reports by the Trustee.</w:t>
      </w:r>
    </w:p>
    <w:p>
      <w:pPr>
        <w:spacing w:after="0" w:line="225" w:lineRule="exact"/>
        <w:rPr>
          <w:sz w:val="20"/>
          <w:szCs w:val="20"/>
          <w:color w:val="auto"/>
        </w:rPr>
      </w:pPr>
    </w:p>
    <w:p>
      <w:pPr>
        <w:ind w:left="760" w:hanging="374"/>
        <w:spacing w:after="0" w:line="342" w:lineRule="auto"/>
        <w:tabs>
          <w:tab w:leader="none" w:pos="7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Trustee shall transmit to holders as provided in Section 313 of the Trust Indenture Act such reports concerning the Trustee and its actions under this Indenture as may be required by Section 313 of the Trust Indenture Act at the times and in the manner provided by the Trust Indenture Act.</w:t>
      </w:r>
    </w:p>
    <w:p>
      <w:pPr>
        <w:spacing w:after="0" w:line="123" w:lineRule="exact"/>
        <w:rPr>
          <w:rFonts w:ascii="Arial" w:cs="Arial" w:eastAsia="Arial" w:hAnsi="Arial"/>
          <w:sz w:val="16"/>
          <w:szCs w:val="16"/>
          <w:color w:val="auto"/>
        </w:rPr>
      </w:pPr>
    </w:p>
    <w:p>
      <w:pPr>
        <w:ind w:left="760" w:right="200" w:hanging="374"/>
        <w:spacing w:after="0" w:line="286" w:lineRule="auto"/>
        <w:tabs>
          <w:tab w:leader="none" w:pos="7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copy of each such report shall, at the time of such transmission to Securityholders, be filed by the Trustee with the Company, with each stock exchange upon which any Securities are listed (if so listed) and, if required by Section 313 of the Trust Indenture Act, also with the Commission. The Company agrees to notify the Trustee when any Securities become listed on any stock exchange.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REMEDIES OF THE TRUSTEE AND SECURITYHOLDERS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 EVENT OF DEFAULT</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color w:val="auto"/>
        </w:rPr>
        <w:t>Events of Default.</w:t>
      </w:r>
    </w:p>
    <w:p>
      <w:pPr>
        <w:spacing w:after="0" w:line="225" w:lineRule="exact"/>
        <w:rPr>
          <w:sz w:val="20"/>
          <w:szCs w:val="20"/>
          <w:color w:val="auto"/>
        </w:rPr>
      </w:pPr>
    </w:p>
    <w:p>
      <w:pPr>
        <w:ind w:left="760" w:right="200" w:hanging="374"/>
        <w:spacing w:after="0" w:line="277" w:lineRule="auto"/>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Whenever used herein with respect to Securities of a particular series, “Event of Default” means any one or more of the following events that has occurred and is continuing:</w:t>
      </w:r>
    </w:p>
    <w:p>
      <w:pPr>
        <w:spacing w:after="0" w:line="170" w:lineRule="exact"/>
        <w:rPr>
          <w:rFonts w:ascii="Arial" w:cs="Arial" w:eastAsia="Arial" w:hAnsi="Arial"/>
          <w:sz w:val="18"/>
          <w:szCs w:val="18"/>
          <w:color w:val="auto"/>
        </w:rPr>
      </w:pPr>
    </w:p>
    <w:p>
      <w:pPr>
        <w:ind w:left="1300" w:right="240" w:hanging="522"/>
        <w:spacing w:after="0" w:line="259"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Company defaults in the payment of any installment of interest upon any of the Securities of that series, as and when the same shall become due and payable, and continuance of such default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86" w:lineRule="exact"/>
        <w:rPr>
          <w:rFonts w:ascii="Arial" w:cs="Arial" w:eastAsia="Arial" w:hAnsi="Arial"/>
          <w:sz w:val="18"/>
          <w:szCs w:val="18"/>
          <w:color w:val="auto"/>
        </w:rPr>
      </w:pPr>
    </w:p>
    <w:p>
      <w:pPr>
        <w:ind w:left="1300" w:hanging="522"/>
        <w:spacing w:after="0" w:line="302" w:lineRule="auto"/>
        <w:tabs>
          <w:tab w:leader="none" w:pos="13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54" w:lineRule="exact"/>
        <w:rPr>
          <w:rFonts w:ascii="Arial" w:cs="Arial" w:eastAsia="Arial" w:hAnsi="Arial"/>
          <w:sz w:val="16"/>
          <w:szCs w:val="16"/>
          <w:color w:val="auto"/>
        </w:rPr>
      </w:pPr>
    </w:p>
    <w:p>
      <w:pPr>
        <w:ind w:left="1300" w:right="40" w:hanging="522"/>
        <w:spacing w:after="0" w:line="284" w:lineRule="auto"/>
        <w:tabs>
          <w:tab w:leader="none" w:pos="13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not less than a majority in principal amount of the Securities of that series at the time Outstanding; (4)the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w:t>
      </w:r>
    </w:p>
    <w:p>
      <w:pPr>
        <w:spacing w:after="0" w:line="1" w:lineRule="exact"/>
        <w:rPr>
          <w:rFonts w:ascii="Arial" w:cs="Arial" w:eastAsia="Arial" w:hAnsi="Arial"/>
          <w:sz w:val="16"/>
          <w:szCs w:val="16"/>
          <w:color w:val="auto"/>
        </w:rPr>
      </w:pPr>
    </w:p>
    <w:p>
      <w:pPr>
        <w:ind w:left="1300" w:right="60"/>
        <w:spacing w:after="0" w:line="302" w:lineRule="auto"/>
        <w:rPr>
          <w:rFonts w:ascii="Arial" w:cs="Arial" w:eastAsia="Arial" w:hAnsi="Arial"/>
          <w:sz w:val="16"/>
          <w:szCs w:val="16"/>
          <w:color w:val="auto"/>
        </w:rPr>
      </w:pPr>
      <w:r>
        <w:rPr>
          <w:rFonts w:ascii="Arial" w:cs="Arial" w:eastAsia="Arial" w:hAnsi="Arial"/>
          <w:sz w:val="16"/>
          <w:szCs w:val="16"/>
          <w:color w:val="auto"/>
        </w:rPr>
        <w:t>(iv) makes a general assignment for the benefit of its creditors; or (5)a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consecutive days.</w:t>
      </w:r>
    </w:p>
    <w:p>
      <w:pPr>
        <w:spacing w:after="0" w:line="155" w:lineRule="exact"/>
        <w:rPr>
          <w:rFonts w:ascii="Arial" w:cs="Arial" w:eastAsia="Arial" w:hAnsi="Arial"/>
          <w:sz w:val="16"/>
          <w:szCs w:val="16"/>
          <w:color w:val="auto"/>
        </w:rPr>
      </w:pPr>
    </w:p>
    <w:p>
      <w:pPr>
        <w:ind w:left="760" w:right="20" w:hanging="374"/>
        <w:spacing w:after="0" w:line="273" w:lineRule="auto"/>
        <w:tabs>
          <w:tab w:leader="none" w:pos="7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 each and every such case, unless the principal of all the Securities of that series shall have already become due and payable, either the Trustee or the holders of not less than a majority in aggregate principal amount of the Securities of that series then Outstanding hereunder, by notice in writing to the Company (and to the Trustee if given by such Securityholders), may declare the principal (or, if any Securities of that series are discount securities, that portion of the principal amount as may be specified in the terms of that series pursuant to Section 2.01(a)(16)) of (and premium, if any, on) and accrued and unpaid interest, if any, on all the Securities of that series to be due and payable immediately, and upon any such declaration the same hall become and shall be immediately due and payable.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87" w:name="page88"/>
    <w:bookmarkEnd w:id="87"/>
    <w:p>
      <w:pPr>
        <w:ind w:left="760" w:right="20" w:hanging="374"/>
        <w:spacing w:after="0" w:line="269" w:lineRule="auto"/>
        <w:tabs>
          <w:tab w:leader="none" w:pos="760" w:val="left"/>
        </w:tabs>
        <w:numPr>
          <w:ilvl w:val="0"/>
          <w:numId w:val="5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t>At any time after the principal of the Securities of that series shall have been so declared due and payable, and before a judgment or decree for the payment of the moneys due shall have been obtained or entered as hereinafter provided, the holders of a majority in aggregate principal amount of the Securities of that series then Outstanding hereunder (or, by action at a meeting of holders of the Securities of such series in accordance with Section 8.09, the holders of a majority in aggregate principal amount of the Securities of such series then Outstanding represented at such meeting),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and (ii) any and all Events of Default under this Indenture with respect to such series, other than the nonpayment of principal of (and premium, if any, on) and accrued and unpaid interest, if any, on Securities of that series that shall have become due solely because of such acceleration, shall have been remedied, cured or waived as provided in Section 6.06. No such rescission and annulment shall extend to or shall affect any subsequent default or impair any right consequent thereon.</w:t>
      </w:r>
    </w:p>
    <w:p>
      <w:pPr>
        <w:spacing w:after="0" w:line="182" w:lineRule="exact"/>
        <w:rPr>
          <w:rFonts w:ascii="Arial" w:cs="Arial" w:eastAsia="Arial" w:hAnsi="Arial"/>
          <w:sz w:val="17"/>
          <w:szCs w:val="17"/>
          <w:color w:val="auto"/>
        </w:rPr>
      </w:pPr>
    </w:p>
    <w:p>
      <w:pPr>
        <w:ind w:left="760" w:right="380" w:hanging="374"/>
        <w:spacing w:after="0" w:line="257" w:lineRule="auto"/>
        <w:tabs>
          <w:tab w:leader="none" w:pos="7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color w:val="auto"/>
        </w:rPr>
        <w:t>Collection of Indebtedness and Suits for Enforcement by Trustee.</w:t>
      </w:r>
    </w:p>
    <w:p>
      <w:pPr>
        <w:spacing w:after="0" w:line="225" w:lineRule="exact"/>
        <w:rPr>
          <w:sz w:val="20"/>
          <w:szCs w:val="20"/>
          <w:color w:val="auto"/>
        </w:rPr>
      </w:pPr>
    </w:p>
    <w:p>
      <w:pPr>
        <w:ind w:left="760" w:right="40" w:hanging="374"/>
        <w:spacing w:after="0" w:line="270" w:lineRule="auto"/>
        <w:tabs>
          <w:tab w:leader="none" w:pos="7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Company covenants that (1) in case it shall default in the payment of any installment of interest on any of the Securities of a series, or any payment required by any sinking or analogous fund established with respect to that series as and when the same shall have become due and payable, and such default shall have continued for a period of 90 Business Days, or (2)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77" w:lineRule="exact"/>
        <w:rPr>
          <w:rFonts w:ascii="Arial" w:cs="Arial" w:eastAsia="Arial" w:hAnsi="Arial"/>
          <w:sz w:val="17"/>
          <w:szCs w:val="17"/>
          <w:color w:val="auto"/>
        </w:rPr>
      </w:pPr>
    </w:p>
    <w:p>
      <w:pPr>
        <w:ind w:left="760" w:right="80" w:hanging="374"/>
        <w:spacing w:after="0" w:line="276" w:lineRule="auto"/>
        <w:tabs>
          <w:tab w:leader="none" w:pos="7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out of the property of the Company or other obligor upon the Securities of that series, wherever situated.</w:t>
      </w:r>
    </w:p>
    <w:p>
      <w:pPr>
        <w:spacing w:after="0" w:line="172" w:lineRule="exact"/>
        <w:rPr>
          <w:rFonts w:ascii="Arial" w:cs="Arial" w:eastAsia="Arial" w:hAnsi="Arial"/>
          <w:sz w:val="17"/>
          <w:szCs w:val="17"/>
          <w:color w:val="auto"/>
        </w:rPr>
      </w:pPr>
    </w:p>
    <w:p>
      <w:pPr>
        <w:ind w:left="760" w:hanging="374"/>
        <w:spacing w:after="0" w:line="270" w:lineRule="auto"/>
        <w:tabs>
          <w:tab w:leader="none" w:pos="7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 case of any receivership, insolvency, liquidation, bankruptcy, reorganization, readjustment, arrangement, composition or judicial proceedings affected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this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88" w:name="page89"/>
    <w:bookmarkEnd w:id="88"/>
    <w:p>
      <w:pPr>
        <w:ind w:left="760" w:hanging="374"/>
        <w:spacing w:after="0" w:line="257" w:lineRule="auto"/>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6"/>
          <w:szCs w:val="16"/>
          <w:color w:val="auto"/>
        </w:rPr>
        <w:t>Application of Moneys Collected.</w:t>
      </w:r>
    </w:p>
    <w:p>
      <w:pPr>
        <w:spacing w:after="0" w:line="22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the payment, if only partially paid, and upon surrender thereof if fully paid: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FIRST: To the payment of costs and expenses of collection and of all amounts payable to the Trustee under Section 7.06; and</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7"/>
          <w:szCs w:val="17"/>
          <w:color w:val="auto"/>
        </w:rPr>
        <w:t>Limitation on Suits.</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a majority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and (iv) the Trustee for 60 days after its receipt of such notice, request and offer of indemnity, shall have failed to institute any such action, suit or proceeding and (v) during such 60 day period, the holders of a majority in principal amount of the Securities of that series (or such amount as shall have acted at a meeting of the holders of Securities of such series pursuant to the provisions of this Indenture) do not give the Trustee a direction inconsistent with the request; provided, however, that no one or more of such holders may use this Indenture to prejudice the rights of another holder or to obtain preference or priority over another holder.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89" w:name="page90"/>
    <w:bookmarkEnd w:id="89"/>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t>Notwithstanding anything contained herein to the contrary,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6"/>
          <w:szCs w:val="16"/>
          <w:color w:val="auto"/>
        </w:rPr>
        <w:t>Rights and Remedies Cumulative; Delay or Omission Not Waiver.</w:t>
      </w:r>
    </w:p>
    <w:p>
      <w:pPr>
        <w:spacing w:after="0" w:line="225" w:lineRule="exact"/>
        <w:rPr>
          <w:sz w:val="20"/>
          <w:szCs w:val="20"/>
          <w:color w:val="auto"/>
        </w:rPr>
      </w:pPr>
    </w:p>
    <w:p>
      <w:pPr>
        <w:ind w:left="760" w:right="240" w:hanging="374"/>
        <w:spacing w:after="0" w:line="259" w:lineRule="auto"/>
        <w:tabs>
          <w:tab w:leader="none" w:pos="7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86" w:lineRule="exact"/>
        <w:rPr>
          <w:rFonts w:ascii="Arial" w:cs="Arial" w:eastAsia="Arial" w:hAnsi="Arial"/>
          <w:sz w:val="18"/>
          <w:szCs w:val="18"/>
          <w:color w:val="auto"/>
        </w:rPr>
      </w:pPr>
    </w:p>
    <w:p>
      <w:pPr>
        <w:ind w:left="760" w:right="200" w:hanging="374"/>
        <w:spacing w:after="0" w:line="302" w:lineRule="auto"/>
        <w:tabs>
          <w:tab w:leader="none" w:pos="7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on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color w:val="auto"/>
        </w:rPr>
        <w:t>Control by Securityholders.</w:t>
      </w:r>
    </w:p>
    <w:p>
      <w:pPr>
        <w:spacing w:after="0" w:line="22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holders of a majority in aggregate principal amount of the Securities of any series at the time Outstanding, determined in accordance with Section 8.01,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be unduly prejudicial to the rights of holders of Securities of any other series at the time Outstanding determined in accordance with Section 8.01. Subject to the provisions of Section 7.01, the Trustee shall have the right to decline to follow any such direction if the Trustee in good faith shall, by a Responsible Officer or Officers of the Trustee, determine that the proceeding so directed would involve the Trustee in personal liability. The holders either (a) through the written consent of not less than a majority in aggregate principal amount of the Securities of any series at the time Outstanding or (b) by action at a meeting of holders of the Securities of such series in accordance with Section 8.09, by the holders of a majority in aggregate principal amount of the Securities of such series then Outstanding represented at such meeting,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and except in respect a provision hereof which, under Section 9.02, cannot be modified or amended without the consent of the holders of each Outstanding Security affected; provided however that this Section shall not limit the right of holders of Securities of a series to rescind and annul any acceleration as set forth in</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Section 6.01.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 The provisions which otherwise would be automatically deemed to be contained in this Indenture pursuant to Section (316)(a)(1) of the Trust Indenture Act are hereby expressly excluded from this Indenture, except to the extent such provisions are expressly included herein.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90" w:name="page91"/>
    <w:bookmarkEnd w:id="90"/>
    <w:p>
      <w:pPr>
        <w:spacing w:after="0"/>
        <w:tabs>
          <w:tab w:leader="none" w:pos="1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SECTION 6.07</w:t>
      </w:r>
      <w:r>
        <w:rPr>
          <w:sz w:val="20"/>
          <w:szCs w:val="20"/>
          <w:color w:val="auto"/>
        </w:rPr>
        <w:tab/>
      </w:r>
      <w:r>
        <w:rPr>
          <w:rFonts w:ascii="Arial" w:cs="Arial" w:eastAsia="Arial" w:hAnsi="Arial"/>
          <w:sz w:val="16"/>
          <w:szCs w:val="16"/>
          <w:color w:val="auto"/>
        </w:rPr>
        <w:t>Undertaking to Pay Costs.</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CONCERNING THE TRUSTEE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color w:val="auto"/>
        </w:rPr>
        <w:t>Certain Duties and Responsibilities of Trustee.</w:t>
      </w:r>
    </w:p>
    <w:p>
      <w:pPr>
        <w:spacing w:after="0" w:line="225" w:lineRule="exact"/>
        <w:rPr>
          <w:sz w:val="20"/>
          <w:szCs w:val="20"/>
          <w:color w:val="auto"/>
        </w:rPr>
      </w:pPr>
    </w:p>
    <w:p>
      <w:pPr>
        <w:ind w:left="760" w:right="280" w:hanging="374"/>
        <w:spacing w:after="0" w:line="293" w:lineRule="auto"/>
        <w:tabs>
          <w:tab w:leader="none" w:pos="7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164" w:lineRule="exact"/>
        <w:rPr>
          <w:rFonts w:ascii="Arial" w:cs="Arial" w:eastAsia="Arial" w:hAnsi="Arial"/>
          <w:sz w:val="16"/>
          <w:szCs w:val="16"/>
          <w:color w:val="auto"/>
        </w:rPr>
      </w:pPr>
    </w:p>
    <w:p>
      <w:pPr>
        <w:ind w:left="760" w:hanging="374"/>
        <w:spacing w:after="0" w:line="277" w:lineRule="auto"/>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170" w:lineRule="exact"/>
        <w:rPr>
          <w:rFonts w:ascii="Arial" w:cs="Arial" w:eastAsia="Arial" w:hAnsi="Arial"/>
          <w:sz w:val="18"/>
          <w:szCs w:val="18"/>
          <w:color w:val="auto"/>
        </w:rPr>
      </w:pPr>
    </w:p>
    <w:p>
      <w:pPr>
        <w:ind w:left="1300" w:right="120" w:hanging="522"/>
        <w:spacing w:after="0" w:line="277"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170" w:lineRule="exact"/>
        <w:rPr>
          <w:rFonts w:ascii="Arial" w:cs="Arial" w:eastAsia="Arial" w:hAnsi="Arial"/>
          <w:sz w:val="18"/>
          <w:szCs w:val="18"/>
          <w:color w:val="auto"/>
        </w:rPr>
      </w:pPr>
    </w:p>
    <w:p>
      <w:pPr>
        <w:ind w:left="1820" w:right="300" w:hanging="515"/>
        <w:spacing w:after="0" w:line="259" w:lineRule="auto"/>
        <w:tabs>
          <w:tab w:leader="none" w:pos="1820" w:val="left"/>
        </w:tabs>
        <w:numPr>
          <w:ilvl w:val="2"/>
          <w:numId w:val="60"/>
        </w:numPr>
        <w:rPr>
          <w:rFonts w:ascii="Arial" w:cs="Arial" w:eastAsia="Arial" w:hAnsi="Arial"/>
          <w:sz w:val="18"/>
          <w:szCs w:val="18"/>
          <w:color w:val="auto"/>
        </w:rPr>
      </w:pPr>
      <w:r>
        <w:rPr>
          <w:rFonts w:ascii="Arial" w:cs="Arial" w:eastAsia="Arial" w:hAnsi="Arial"/>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91" w:name="page92"/>
    <w:bookmarkEnd w:id="91"/>
    <w:p>
      <w:pPr>
        <w:ind w:left="1820" w:right="120" w:hanging="515"/>
        <w:spacing w:after="0" w:line="276" w:lineRule="auto"/>
        <w:tabs>
          <w:tab w:leader="none" w:pos="1820" w:val="left"/>
        </w:tabs>
        <w:numPr>
          <w:ilvl w:val="1"/>
          <w:numId w:val="6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 of this Indenture;</w:t>
      </w:r>
    </w:p>
    <w:p>
      <w:pPr>
        <w:spacing w:after="0" w:line="172" w:lineRule="exact"/>
        <w:rPr>
          <w:rFonts w:ascii="Arial" w:cs="Arial" w:eastAsia="Arial" w:hAnsi="Arial"/>
          <w:sz w:val="17"/>
          <w:szCs w:val="17"/>
          <w:color w:val="auto"/>
        </w:rPr>
      </w:pPr>
    </w:p>
    <w:p>
      <w:pPr>
        <w:ind w:left="1300" w:right="40" w:hanging="522"/>
        <w:spacing w:after="0" w:line="277"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170" w:lineRule="exact"/>
        <w:rPr>
          <w:rFonts w:ascii="Arial" w:cs="Arial" w:eastAsia="Arial" w:hAnsi="Arial"/>
          <w:sz w:val="18"/>
          <w:szCs w:val="18"/>
          <w:color w:val="auto"/>
        </w:rPr>
      </w:pPr>
    </w:p>
    <w:p>
      <w:pPr>
        <w:ind w:left="1300" w:hanging="522"/>
        <w:spacing w:after="0" w:line="259"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186" w:lineRule="exact"/>
        <w:rPr>
          <w:rFonts w:ascii="Arial" w:cs="Arial" w:eastAsia="Arial" w:hAnsi="Arial"/>
          <w:sz w:val="18"/>
          <w:szCs w:val="18"/>
          <w:color w:val="auto"/>
        </w:rPr>
      </w:pPr>
    </w:p>
    <w:p>
      <w:pPr>
        <w:ind w:left="1300" w:hanging="522"/>
        <w:spacing w:after="0" w:line="259"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color w:val="auto"/>
        </w:rPr>
        <w:t>Certain Rights of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Except as otherwise provided in Section 7.01:</w:t>
      </w:r>
    </w:p>
    <w:p>
      <w:pPr>
        <w:spacing w:after="0" w:line="225" w:lineRule="exact"/>
        <w:rPr>
          <w:sz w:val="20"/>
          <w:szCs w:val="20"/>
          <w:color w:val="auto"/>
        </w:rPr>
      </w:pPr>
    </w:p>
    <w:p>
      <w:pPr>
        <w:ind w:left="760" w:right="120" w:hanging="374"/>
        <w:spacing w:after="0" w:line="264" w:lineRule="auto"/>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81" w:lineRule="exact"/>
        <w:rPr>
          <w:rFonts w:ascii="Arial" w:cs="Arial" w:eastAsia="Arial" w:hAnsi="Arial"/>
          <w:sz w:val="18"/>
          <w:szCs w:val="18"/>
          <w:color w:val="auto"/>
        </w:rPr>
      </w:pPr>
    </w:p>
    <w:p>
      <w:pPr>
        <w:ind w:left="760" w:right="120" w:hanging="374"/>
        <w:spacing w:after="0" w:line="286" w:lineRule="auto"/>
        <w:tabs>
          <w:tab w:leader="none" w:pos="7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Any request, direction, order or demand of the Company mentioned herein shall be sufficiently evidenced by a Board Resolution or an instrument signed in the name of the Company, by the President or any Vice President and by the Secretary or an Assistant Secretary or the Treasurer or an Assistant Treasurer thereof (unless other evidence in respect thereof is specifically prescribed herein);</w:t>
      </w:r>
    </w:p>
    <w:p>
      <w:pPr>
        <w:spacing w:after="0" w:line="165" w:lineRule="exact"/>
        <w:rPr>
          <w:rFonts w:ascii="Arial" w:cs="Arial" w:eastAsia="Arial" w:hAnsi="Arial"/>
          <w:sz w:val="17"/>
          <w:szCs w:val="17"/>
          <w:color w:val="auto"/>
        </w:rPr>
      </w:pPr>
    </w:p>
    <w:p>
      <w:pPr>
        <w:ind w:left="760" w:right="220" w:hanging="374"/>
        <w:spacing w:after="0" w:line="277" w:lineRule="auto"/>
        <w:tabs>
          <w:tab w:leader="none" w:pos="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Trustee may consult with counsel and the written advice of such counsel or any Opinion of Counsel shall be full and complete authorization and protection in respect of any action taken or suffered or omitted hereunder in good faith and in reliance thereon;</w:t>
      </w:r>
    </w:p>
    <w:p>
      <w:pPr>
        <w:spacing w:after="0" w:line="170" w:lineRule="exact"/>
        <w:rPr>
          <w:rFonts w:ascii="Arial" w:cs="Arial" w:eastAsia="Arial" w:hAnsi="Arial"/>
          <w:sz w:val="18"/>
          <w:szCs w:val="18"/>
          <w:color w:val="auto"/>
        </w:rPr>
      </w:pPr>
    </w:p>
    <w:p>
      <w:pPr>
        <w:ind w:left="760" w:hanging="374"/>
        <w:spacing w:after="0" w:line="293" w:lineRule="auto"/>
        <w:tabs>
          <w:tab w:leader="none" w:pos="7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92" w:name="page93"/>
    <w:bookmarkEnd w:id="92"/>
    <w:p>
      <w:pPr>
        <w:ind w:left="760" w:right="480" w:hanging="374"/>
        <w:spacing w:after="0" w:line="277" w:lineRule="auto"/>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t>The Trustee shall not be liable for any action taken or omitted to be taken by it in good faith and believed by it to be authorized or within the discretion or rights or powers conferred upon it by this Indenture;</w:t>
      </w:r>
    </w:p>
    <w:p>
      <w:pPr>
        <w:spacing w:after="0" w:line="170" w:lineRule="exact"/>
        <w:rPr>
          <w:rFonts w:ascii="Arial" w:cs="Arial" w:eastAsia="Arial" w:hAnsi="Arial"/>
          <w:sz w:val="18"/>
          <w:szCs w:val="18"/>
          <w:color w:val="auto"/>
        </w:rPr>
      </w:pPr>
    </w:p>
    <w:p>
      <w:pPr>
        <w:ind w:left="760" w:right="20" w:hanging="374"/>
        <w:spacing w:after="0" w:line="254" w:lineRule="auto"/>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and</w:t>
      </w:r>
    </w:p>
    <w:p>
      <w:pPr>
        <w:spacing w:after="0" w:line="192" w:lineRule="exact"/>
        <w:rPr>
          <w:rFonts w:ascii="Arial" w:cs="Arial" w:eastAsia="Arial" w:hAnsi="Arial"/>
          <w:sz w:val="18"/>
          <w:szCs w:val="18"/>
          <w:color w:val="auto"/>
        </w:rPr>
      </w:pPr>
    </w:p>
    <w:p>
      <w:pPr>
        <w:ind w:left="760" w:right="20" w:hanging="374"/>
        <w:spacing w:after="0" w:line="264" w:lineRule="auto"/>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color w:val="auto"/>
        </w:rPr>
        <w:t>Trustee Not Responsible for Recitals or Issuance of Securities.</w:t>
      </w:r>
    </w:p>
    <w:p>
      <w:pPr>
        <w:spacing w:after="0" w:line="225" w:lineRule="exact"/>
        <w:rPr>
          <w:sz w:val="20"/>
          <w:szCs w:val="20"/>
          <w:color w:val="auto"/>
        </w:rPr>
      </w:pPr>
    </w:p>
    <w:p>
      <w:pPr>
        <w:ind w:left="760" w:right="160" w:hanging="374"/>
        <w:spacing w:after="0" w:line="277" w:lineRule="auto"/>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recitals contained herein and in the Securities shall be taken as the statements of the Company, and the Trustee assumes no responsibility for the correctness of the same.</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Trustee makes no representations as to the validity or sufficiency of this Indenture or of the Securities.</w:t>
      </w:r>
    </w:p>
    <w:p>
      <w:pPr>
        <w:spacing w:after="0" w:line="225" w:lineRule="exact"/>
        <w:rPr>
          <w:rFonts w:ascii="Arial" w:cs="Arial" w:eastAsia="Arial" w:hAnsi="Arial"/>
          <w:sz w:val="18"/>
          <w:szCs w:val="18"/>
          <w:color w:val="auto"/>
        </w:rPr>
      </w:pPr>
    </w:p>
    <w:p>
      <w:pPr>
        <w:ind w:left="760" w:hanging="374"/>
        <w:spacing w:after="0" w:line="286" w:lineRule="auto"/>
        <w:tabs>
          <w:tab w:leader="none" w:pos="7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color w:val="auto"/>
        </w:rPr>
        <w:t>May Hold Securities.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color w:val="auto"/>
        </w:rPr>
        <w:t>Moneys Held in Trust.</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06" w:right="299" w:bottom="1440" w:gutter="0" w:footer="0" w:header="0"/>
        </w:sectPr>
      </w:pPr>
    </w:p>
    <w:bookmarkStart w:id="93" w:name="page94"/>
    <w:bookmarkEnd w:id="93"/>
    <w:p>
      <w:pPr>
        <w:spacing w:after="0"/>
        <w:tabs>
          <w:tab w:leader="none" w:pos="1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SECTION 7.06</w:t>
      </w:r>
      <w:r>
        <w:rPr>
          <w:sz w:val="20"/>
          <w:szCs w:val="20"/>
          <w:color w:val="auto"/>
        </w:rPr>
        <w:tab/>
      </w:r>
      <w:r>
        <w:rPr>
          <w:rFonts w:ascii="Arial" w:cs="Arial" w:eastAsia="Arial" w:hAnsi="Arial"/>
          <w:sz w:val="16"/>
          <w:szCs w:val="16"/>
          <w:color w:val="auto"/>
        </w:rPr>
        <w:t>Compensation and Reimbursement.</w:t>
      </w:r>
    </w:p>
    <w:p>
      <w:pPr>
        <w:spacing w:after="0" w:line="225" w:lineRule="exact"/>
        <w:rPr>
          <w:sz w:val="20"/>
          <w:szCs w:val="20"/>
          <w:color w:val="auto"/>
        </w:rPr>
      </w:pPr>
    </w:p>
    <w:p>
      <w:pPr>
        <w:ind w:left="760" w:right="60" w:hanging="374"/>
        <w:spacing w:after="0" w:line="288" w:lineRule="auto"/>
        <w:tabs>
          <w:tab w:leader="none" w:pos="7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costs and expenses of defending itself against any claim of liability in the premises.</w:t>
      </w:r>
    </w:p>
    <w:p>
      <w:pPr>
        <w:spacing w:after="0" w:line="169" w:lineRule="exact"/>
        <w:rPr>
          <w:rFonts w:ascii="Arial" w:cs="Arial" w:eastAsia="Arial" w:hAnsi="Arial"/>
          <w:sz w:val="16"/>
          <w:szCs w:val="16"/>
          <w:color w:val="auto"/>
        </w:rPr>
      </w:pPr>
    </w:p>
    <w:p>
      <w:pPr>
        <w:ind w:left="760" w:hanging="374"/>
        <w:spacing w:after="0" w:line="259" w:lineRule="auto"/>
        <w:tabs>
          <w:tab w:leader="none" w:pos="7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to compensate and indemnify the Trustee and to pay or reimburse the Trustee for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6"/>
          <w:szCs w:val="16"/>
          <w:color w:val="auto"/>
        </w:rPr>
        <w:t>Reliance on Officers’ Certificate.</w:t>
      </w:r>
    </w:p>
    <w:p>
      <w:pPr>
        <w:spacing w:after="0" w:line="225"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Except as otherwise provided in Section 7.01, whenever in the administration of the provisions of this Indenture the Trustee shall deem it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7"/>
          <w:szCs w:val="17"/>
          <w:color w:val="auto"/>
        </w:rPr>
        <w:t>Disqualification; Conflicting Interests.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6"/>
          <w:szCs w:val="16"/>
          <w:color w:val="auto"/>
        </w:rPr>
        <w:t>Corporate Trustee Required; Eligibility.</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50 million U.S. dollars ($50,000,000), and subject to supervision or examination by Federal, State, Territorial, or District of Columbia authority. If such corporation publishes reports of condition at least annually, pursuant to law or to the requirements of the aforesaid supervising or examining authority, then for the purposes of this Section, the combined capital and surplus of such corporation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sectPr>
      </w:pPr>
    </w:p>
    <w:bookmarkStart w:id="94" w:name="page95"/>
    <w:bookmarkEnd w:id="94"/>
    <w:p>
      <w:pPr>
        <w:spacing w:after="0"/>
        <w:tabs>
          <w:tab w:leader="none" w:pos="1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SECTION 7.10</w:t>
      </w:r>
      <w:r>
        <w:rPr>
          <w:sz w:val="20"/>
          <w:szCs w:val="20"/>
          <w:color w:val="auto"/>
        </w:rPr>
        <w:tab/>
      </w:r>
      <w:r>
        <w:rPr>
          <w:rFonts w:ascii="Arial" w:cs="Arial" w:eastAsia="Arial" w:hAnsi="Arial"/>
          <w:sz w:val="16"/>
          <w:szCs w:val="16"/>
          <w:color w:val="auto"/>
        </w:rPr>
        <w:t>Resignation and Removal; Appointment of Successor.</w:t>
      </w:r>
    </w:p>
    <w:p>
      <w:pPr>
        <w:spacing w:after="0" w:line="225" w:lineRule="exact"/>
        <w:rPr>
          <w:sz w:val="20"/>
          <w:szCs w:val="20"/>
          <w:color w:val="auto"/>
        </w:rPr>
      </w:pPr>
    </w:p>
    <w:p>
      <w:pPr>
        <w:ind w:left="760" w:right="20" w:hanging="374"/>
        <w:spacing w:after="0" w:line="270" w:lineRule="auto"/>
        <w:tabs>
          <w:tab w:leader="none" w:pos="7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77" w:lineRule="exact"/>
        <w:rPr>
          <w:rFonts w:ascii="Arial" w:cs="Arial" w:eastAsia="Arial" w:hAnsi="Arial"/>
          <w:sz w:val="17"/>
          <w:szCs w:val="17"/>
          <w:color w:val="auto"/>
        </w:rPr>
      </w:pPr>
    </w:p>
    <w:p>
      <w:pPr>
        <w:ind w:left="760" w:hanging="374"/>
        <w:spacing w:after="0"/>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case at any time any one of the following shall occur:</w:t>
      </w:r>
    </w:p>
    <w:p>
      <w:pPr>
        <w:spacing w:after="0" w:line="225" w:lineRule="exact"/>
        <w:rPr>
          <w:rFonts w:ascii="Arial" w:cs="Arial" w:eastAsia="Arial" w:hAnsi="Arial"/>
          <w:sz w:val="18"/>
          <w:szCs w:val="18"/>
          <w:color w:val="auto"/>
        </w:rPr>
      </w:pPr>
    </w:p>
    <w:p>
      <w:pPr>
        <w:ind w:left="1300" w:right="160" w:hanging="522"/>
        <w:spacing w:after="0" w:line="277"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70" w:lineRule="exact"/>
        <w:rPr>
          <w:rFonts w:ascii="Arial" w:cs="Arial" w:eastAsia="Arial" w:hAnsi="Arial"/>
          <w:sz w:val="18"/>
          <w:szCs w:val="18"/>
          <w:color w:val="auto"/>
        </w:rPr>
      </w:pPr>
    </w:p>
    <w:p>
      <w:pPr>
        <w:ind w:left="1300" w:right="160" w:hanging="522"/>
        <w:spacing w:after="0" w:line="277"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7.09 and shall fail to resign after written request therefor by the Company or by any such Securityholder; or</w:t>
      </w:r>
    </w:p>
    <w:p>
      <w:pPr>
        <w:spacing w:after="0" w:line="170" w:lineRule="exact"/>
        <w:rPr>
          <w:rFonts w:ascii="Arial" w:cs="Arial" w:eastAsia="Arial" w:hAnsi="Arial"/>
          <w:sz w:val="18"/>
          <w:szCs w:val="18"/>
          <w:color w:val="auto"/>
        </w:rPr>
      </w:pPr>
    </w:p>
    <w:p>
      <w:pPr>
        <w:ind w:left="1300" w:hanging="522"/>
        <w:spacing w:after="0" w:line="270" w:lineRule="auto"/>
        <w:tabs>
          <w:tab w:leader="none" w:pos="1300" w:val="left"/>
        </w:tabs>
        <w:numPr>
          <w:ilvl w:val="1"/>
          <w:numId w:val="67"/>
        </w:numPr>
        <w:rPr>
          <w:rFonts w:ascii="Arial" w:cs="Arial" w:eastAsia="Arial" w:hAnsi="Arial"/>
          <w:sz w:val="17"/>
          <w:szCs w:val="17"/>
          <w:color w:val="auto"/>
        </w:rPr>
      </w:pPr>
      <w:r>
        <w:rPr>
          <w:rFonts w:ascii="Arial" w:cs="Arial" w:eastAsia="Arial" w:hAnsi="Arial"/>
          <w:sz w:val="17"/>
          <w:szCs w:val="17"/>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unless the Trustee’s duty to resign is stayed as provided herein,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81" w:lineRule="exact"/>
        <w:rPr>
          <w:rFonts w:ascii="Arial" w:cs="Arial" w:eastAsia="Arial" w:hAnsi="Arial"/>
          <w:sz w:val="17"/>
          <w:szCs w:val="17"/>
          <w:color w:val="auto"/>
        </w:rPr>
      </w:pPr>
    </w:p>
    <w:p>
      <w:pPr>
        <w:ind w:left="760" w:right="20" w:hanging="374"/>
        <w:spacing w:after="0" w:line="264" w:lineRule="auto"/>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81" w:lineRule="exact"/>
        <w:rPr>
          <w:rFonts w:ascii="Arial" w:cs="Arial" w:eastAsia="Arial" w:hAnsi="Arial"/>
          <w:sz w:val="18"/>
          <w:szCs w:val="18"/>
          <w:color w:val="auto"/>
        </w:rPr>
      </w:pPr>
    </w:p>
    <w:p>
      <w:pPr>
        <w:ind w:left="760" w:right="300" w:hanging="374"/>
        <w:spacing w:after="0" w:line="342" w:lineRule="auto"/>
        <w:tabs>
          <w:tab w:leader="none" w:pos="7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23" w:lineRule="exact"/>
        <w:rPr>
          <w:rFonts w:ascii="Arial" w:cs="Arial" w:eastAsia="Arial" w:hAnsi="Arial"/>
          <w:sz w:val="16"/>
          <w:szCs w:val="16"/>
          <w:color w:val="auto"/>
        </w:rPr>
      </w:pPr>
    </w:p>
    <w:p>
      <w:pPr>
        <w:ind w:left="760" w:right="80" w:hanging="374"/>
        <w:spacing w:after="0" w:line="277" w:lineRule="auto"/>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color w:val="auto"/>
        </w:rPr>
        <w:t>Acceptance of Appointment By Successor.</w:t>
      </w:r>
    </w:p>
    <w:p>
      <w:pPr>
        <w:spacing w:after="0" w:line="225" w:lineRule="exact"/>
        <w:rPr>
          <w:sz w:val="20"/>
          <w:szCs w:val="20"/>
          <w:color w:val="auto"/>
        </w:rPr>
      </w:pPr>
    </w:p>
    <w:p>
      <w:pPr>
        <w:ind w:left="760" w:right="60" w:hanging="374"/>
        <w:spacing w:after="0" w:line="255" w:lineRule="auto"/>
        <w:tabs>
          <w:tab w:leader="none" w:pos="7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95" w:name="page96"/>
    <w:bookmarkEnd w:id="95"/>
    <w:p>
      <w:pPr>
        <w:ind w:left="760" w:hanging="374"/>
        <w:spacing w:after="0" w:line="285" w:lineRule="auto"/>
        <w:tabs>
          <w:tab w:leader="none" w:pos="760" w:val="left"/>
        </w:tabs>
        <w:numPr>
          <w:ilvl w:val="0"/>
          <w:numId w:val="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70" w:lineRule="exact"/>
        <w:rPr>
          <w:rFonts w:ascii="Arial" w:cs="Arial" w:eastAsia="Arial" w:hAnsi="Arial"/>
          <w:sz w:val="16"/>
          <w:szCs w:val="16"/>
          <w:color w:val="auto"/>
        </w:rPr>
      </w:pPr>
    </w:p>
    <w:p>
      <w:pPr>
        <w:ind w:left="760" w:right="600" w:hanging="374"/>
        <w:spacing w:after="0" w:line="342" w:lineRule="auto"/>
        <w:tabs>
          <w:tab w:leader="none" w:pos="7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23" w:lineRule="exact"/>
        <w:rPr>
          <w:rFonts w:ascii="Arial" w:cs="Arial" w:eastAsia="Arial" w:hAnsi="Arial"/>
          <w:sz w:val="16"/>
          <w:szCs w:val="16"/>
          <w:color w:val="auto"/>
        </w:rPr>
      </w:pPr>
    </w:p>
    <w:p>
      <w:pPr>
        <w:ind w:left="760" w:right="140" w:hanging="374"/>
        <w:spacing w:after="0" w:line="277" w:lineRule="auto"/>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rFonts w:ascii="Arial" w:cs="Arial" w:eastAsia="Arial" w:hAnsi="Arial"/>
          <w:sz w:val="18"/>
          <w:szCs w:val="18"/>
          <w:color w:val="auto"/>
        </w:rPr>
      </w:pPr>
    </w:p>
    <w:p>
      <w:pPr>
        <w:ind w:left="760" w:right="60" w:hanging="374"/>
        <w:spacing w:after="0" w:line="259" w:lineRule="auto"/>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7.12</w:t>
      </w:r>
      <w:r>
        <w:rPr>
          <w:sz w:val="20"/>
          <w:szCs w:val="20"/>
          <w:color w:val="auto"/>
        </w:rPr>
        <w:tab/>
      </w:r>
      <w:r>
        <w:rPr>
          <w:rFonts w:ascii="Arial" w:cs="Arial" w:eastAsia="Arial" w:hAnsi="Arial"/>
          <w:sz w:val="16"/>
          <w:szCs w:val="16"/>
          <w:color w:val="auto"/>
        </w:rPr>
        <w:t>Merger, Conversion, Consolidation or Succession to Business.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96" w:name="page97"/>
    <w:bookmarkEnd w:id="96"/>
    <w:p>
      <w:pPr>
        <w:spacing w:after="0"/>
        <w:tabs>
          <w:tab w:leader="none" w:pos="1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SECTION 7.13</w:t>
      </w:r>
      <w:r>
        <w:rPr>
          <w:sz w:val="20"/>
          <w:szCs w:val="20"/>
          <w:color w:val="auto"/>
        </w:rPr>
        <w:tab/>
      </w:r>
      <w:r>
        <w:rPr>
          <w:rFonts w:ascii="Arial" w:cs="Arial" w:eastAsia="Arial" w:hAnsi="Arial"/>
          <w:sz w:val="16"/>
          <w:szCs w:val="16"/>
          <w:color w:val="auto"/>
        </w:rPr>
        <w:t>Preferential Collection of Claims Against the Company.</w:t>
      </w:r>
    </w:p>
    <w:p>
      <w:pPr>
        <w:spacing w:after="0" w:line="225"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CONCERNING THE SECURITYHOLDERS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color w:val="auto"/>
        </w:rPr>
        <w:t>Evidence of Action by Securityholders.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color w:val="auto"/>
        </w:rPr>
        <w:t>Proof of Execution by Securityholders.</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147" w:lineRule="exact"/>
        <w:rPr>
          <w:sz w:val="20"/>
          <w:szCs w:val="20"/>
          <w:color w:val="auto"/>
        </w:rPr>
      </w:pPr>
    </w:p>
    <w:p>
      <w:pPr>
        <w:ind w:left="760" w:hanging="374"/>
        <w:spacing w:after="0"/>
        <w:tabs>
          <w:tab w:leader="none" w:pos="7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fact and date of the execution by any such Person of any instrument may be proved in any reasonable manner acceptable to the Trustee.</w:t>
      </w:r>
    </w:p>
    <w:p>
      <w:pPr>
        <w:spacing w:after="0" w:line="248" w:lineRule="exact"/>
        <w:rPr>
          <w:rFonts w:ascii="Arial" w:cs="Arial" w:eastAsia="Arial" w:hAnsi="Arial"/>
          <w:sz w:val="16"/>
          <w:szCs w:val="16"/>
          <w:color w:val="auto"/>
        </w:rPr>
      </w:pPr>
    </w:p>
    <w:p>
      <w:pPr>
        <w:ind w:left="760" w:hanging="374"/>
        <w:spacing w:after="0"/>
        <w:tabs>
          <w:tab w:leader="none" w:pos="7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ownership of Securities shall be proved by the Security Register of such Securities or by a certificate of the Security Registrar thereof.</w:t>
      </w:r>
    </w:p>
    <w:p>
      <w:pPr>
        <w:spacing w:after="0" w:line="236" w:lineRule="exact"/>
        <w:rPr>
          <w:rFonts w:ascii="Arial" w:cs="Arial" w:eastAsia="Arial" w:hAnsi="Arial"/>
          <w:sz w:val="17"/>
          <w:szCs w:val="17"/>
          <w:color w:val="auto"/>
        </w:rPr>
      </w:pPr>
    </w:p>
    <w:p>
      <w:pPr>
        <w:ind w:left="760" w:hanging="374"/>
        <w:spacing w:after="0"/>
        <w:tabs>
          <w:tab w:leader="none" w:pos="7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Trustee may require such additional proof of any matter referred to in this Section as it shall deem necessary.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97" w:name="page98"/>
    <w:bookmarkEnd w:id="97"/>
    <w:p>
      <w:pPr>
        <w:spacing w:after="0"/>
        <w:tabs>
          <w:tab w:leader="none" w:pos="1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SECTION 8.03</w:t>
      </w:r>
      <w:r>
        <w:rPr>
          <w:sz w:val="20"/>
          <w:szCs w:val="20"/>
          <w:color w:val="auto"/>
        </w:rPr>
        <w:tab/>
      </w:r>
      <w:r>
        <w:rPr>
          <w:rFonts w:ascii="Arial" w:cs="Arial" w:eastAsia="Arial" w:hAnsi="Arial"/>
          <w:sz w:val="16"/>
          <w:szCs w:val="16"/>
          <w:color w:val="auto"/>
        </w:rPr>
        <w:t>Who May be Deemed Owners.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color w:val="auto"/>
        </w:rPr>
        <w:t>Certain Securities Owned by Company Disregarded.</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determining whether the holders of the requisite aggregate principal amount of Securities of a particular series have concurred in any direction, consent of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color w:val="auto"/>
        </w:rPr>
        <w:t>Actions Binding on Future Securityholders.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6"/>
          <w:szCs w:val="16"/>
          <w:color w:val="auto"/>
        </w:rPr>
        <w:t>Purposes for Which Meetings May Be Called.</w:t>
      </w:r>
    </w:p>
    <w:p>
      <w:pPr>
        <w:spacing w:after="0" w:line="22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A meeting of holders of any series of Securities may be called at any time and from time to time pursuant to this Article to make, give or take any request, demand, authorization, direction, notice, consent, waiver or other action provided by this Indenture to be made, given or taken by holders of such series of Securities.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Notwithstanding anything contained in this Article VIII, the Trustee may, during the pendency of a Default or an Event of Default, call a meeting of holders of any series of Securities in accordance with its standard practices.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6"/>
          <w:szCs w:val="16"/>
          <w:color w:val="auto"/>
        </w:rPr>
        <w:t>Call Notice and Place of Meetings.</w:t>
      </w:r>
    </w:p>
    <w:p>
      <w:pPr>
        <w:spacing w:after="0" w:line="225" w:lineRule="exact"/>
        <w:rPr>
          <w:sz w:val="20"/>
          <w:szCs w:val="20"/>
          <w:color w:val="auto"/>
        </w:rPr>
      </w:pPr>
    </w:p>
    <w:p>
      <w:pPr>
        <w:ind w:left="760" w:right="20" w:hanging="374"/>
        <w:spacing w:after="0" w:line="255" w:lineRule="auto"/>
        <w:tabs>
          <w:tab w:leader="none" w:pos="7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Trustee may at any time call a meeting of holders of any series of Securities for any purpose specified in Section 8.06 hereof, to be held at such time and at such place in The City of New York or Boston, Massachusetts. Notice of every meeting of holders of any series of Securities, setting forth the time and the place of such meeting, in general terms the action proposed to be taken at such meeting and the percentage of the principal amount of the Outstanding Securities of such series which shall constitute a quorum at such meeting, shall be given, in the manner provided in Section 13.04 hereof, not less than 21 nor more than 180 days prior to the date fixed for the meeting to holders of Outstanding Securities of such series.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98" w:name="page99"/>
    <w:bookmarkEnd w:id="98"/>
    <w:p>
      <w:pPr>
        <w:ind w:left="760" w:right="100" w:hanging="374"/>
        <w:spacing w:after="0" w:line="272" w:lineRule="auto"/>
        <w:tabs>
          <w:tab w:leader="none" w:pos="760" w:val="left"/>
        </w:tabs>
        <w:numPr>
          <w:ilvl w:val="0"/>
          <w:numId w:val="7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8.06 hereof,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specified, as the case may be, may determine the time and the place in The City of New York or Boston, Massachusetts for such meeting and may call such meeting for such purposes by giving notice thereof as provided in paragraph (a) of this Section.</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8.08</w:t>
      </w:r>
      <w:r>
        <w:rPr>
          <w:sz w:val="20"/>
          <w:szCs w:val="20"/>
          <w:color w:val="auto"/>
        </w:rPr>
        <w:tab/>
      </w:r>
      <w:r>
        <w:rPr>
          <w:rFonts w:ascii="Arial" w:cs="Arial" w:eastAsia="Arial" w:hAnsi="Arial"/>
          <w:sz w:val="16"/>
          <w:szCs w:val="16"/>
          <w:color w:val="auto"/>
        </w:rPr>
        <w:t>Persons Entitled To Vote at Meetings.</w:t>
      </w:r>
    </w:p>
    <w:p>
      <w:pPr>
        <w:spacing w:after="0" w:line="225"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To be entitled to vote at any meeting of holders of Securities of a given series, a Person shall be (a) a holder of one or more Outstanding Securities of such series or (b) a Person appointed by an instrument in writing as proxy for a holder or holders of one or more Outstanding Securities of such series by such holder or holders. The only Persons who shall be entitled to be present or to speak at any meeting of holders shall be the Persons entitled to vote at such meeting and their counsel, any representatives of the Trustee and its counsel and any representatives of the Company and its counsel.</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8.09</w:t>
      </w:r>
      <w:r>
        <w:rPr>
          <w:sz w:val="20"/>
          <w:szCs w:val="20"/>
          <w:color w:val="auto"/>
        </w:rPr>
        <w:tab/>
      </w:r>
      <w:r>
        <w:rPr>
          <w:rFonts w:ascii="Arial" w:cs="Arial" w:eastAsia="Arial" w:hAnsi="Arial"/>
          <w:sz w:val="17"/>
          <w:szCs w:val="17"/>
          <w:color w:val="auto"/>
        </w:rPr>
        <w:t>Quorum; Action.</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Persons entitled to vote a majority in aggregate principal amount of the Outstanding Securities of a given series shall constitute a quorum with respect to a meeting of holders of Outstanding Securities of such series.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8.07(a) hereof, except that such notice need be given only once and not less than five days prior to the date on which the meeting is scheduled to be reconvened.</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a meeting or an adjourned meeting duly reconvened and at which a quorum is present as aforesaid, any resolution and all matters (except as limited by the proviso to the first paragraph of Section 9.02 hereof) shall be effectively passed and decided if passed or decided by the Persons entitled to vote not less than a majority in aggregate principal amount of Outstanding Securities of a series represented and voting at such meeting with respect to a meeting of holders of Outstanding Securities of such series.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Any resolution passed or decisions taken at any meeting of holders of Securities duly held in accordance with this Section shall be binding on all the holders of Securities of such series, whether or not present or represented at the meeting.</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8.10</w:t>
      </w:r>
      <w:r>
        <w:rPr>
          <w:sz w:val="20"/>
          <w:szCs w:val="20"/>
          <w:color w:val="auto"/>
        </w:rPr>
        <w:tab/>
      </w:r>
      <w:r>
        <w:rPr>
          <w:rFonts w:ascii="Arial" w:cs="Arial" w:eastAsia="Arial" w:hAnsi="Arial"/>
          <w:sz w:val="16"/>
          <w:szCs w:val="16"/>
          <w:color w:val="auto"/>
        </w:rPr>
        <w:t>Determination of Voting Rights; Conduct and Adjournment of Meetings.</w:t>
      </w:r>
    </w:p>
    <w:p>
      <w:pPr>
        <w:spacing w:after="0" w:line="225" w:lineRule="exact"/>
        <w:rPr>
          <w:sz w:val="20"/>
          <w:szCs w:val="20"/>
          <w:color w:val="auto"/>
        </w:rPr>
      </w:pPr>
    </w:p>
    <w:p>
      <w:pPr>
        <w:ind w:left="760" w:right="180" w:hanging="374"/>
        <w:spacing w:after="0" w:line="259" w:lineRule="auto"/>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Notwithstanding any other provisions of this Indenture, the Trustee may make such reasonable regulations as it may deem advisable for any meeting of holders of Securities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99" w:name="page100"/>
    <w:bookmarkEnd w:id="99"/>
    <w:p>
      <w:pPr>
        <w:ind w:left="760" w:right="40" w:hanging="374"/>
        <w:spacing w:after="0" w:line="257" w:lineRule="auto"/>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t>The Trustee shall, by an instrument in writing, appoint a temporary chairman (which may be the Trustee) of the meeting, unless the meeting shall have been called by the Company or by holders of Securities of a given series as provided in Section 8.07(b) hereof, in which case the Company or the holders of Securities of such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88" w:lineRule="exact"/>
        <w:rPr>
          <w:rFonts w:ascii="Arial" w:cs="Arial" w:eastAsia="Arial" w:hAnsi="Arial"/>
          <w:sz w:val="18"/>
          <w:szCs w:val="18"/>
          <w:color w:val="auto"/>
        </w:rPr>
      </w:pPr>
    </w:p>
    <w:p>
      <w:pPr>
        <w:ind w:left="760" w:right="20" w:hanging="374"/>
        <w:spacing w:after="0" w:line="279" w:lineRule="auto"/>
        <w:tabs>
          <w:tab w:leader="none" w:pos="7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At any meeting, each holder of a Security of the series in respect of which such meeting is being held or proxy shall be entitled to one vote for each $1,000 principal amount of Securities of such series held or represented by him; provided, however, that no vote shall be cast or counted at any meeting in respect of any Security of such series challenged as not Outstanding and ruled by the chairman of the meeting to be not Outstanding. The chairman of the meeting shall have no right to vote, except as a holder of a Security of such series or proxy.</w:t>
      </w:r>
    </w:p>
    <w:p>
      <w:pPr>
        <w:spacing w:after="0" w:line="171" w:lineRule="exact"/>
        <w:rPr>
          <w:rFonts w:ascii="Arial" w:cs="Arial" w:eastAsia="Arial" w:hAnsi="Arial"/>
          <w:sz w:val="17"/>
          <w:szCs w:val="17"/>
          <w:color w:val="auto"/>
        </w:rPr>
      </w:pPr>
    </w:p>
    <w:p>
      <w:pPr>
        <w:jc w:val="both"/>
        <w:ind w:left="760" w:right="60" w:hanging="374"/>
        <w:spacing w:after="0" w:line="264" w:lineRule="auto"/>
        <w:tabs>
          <w:tab w:leader="none" w:pos="7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meeting of holders of Securities duly called pursuant to Section 8.07 hereof at which a quorum is present may be adjourned from time to time by Persons entitled to vote a majority in principal amount of the Outstanding Securities of the series in respect of which such meeting is being held represented at the meeting, and the meeting may be held as so adjourned without further notice.</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8.11</w:t>
      </w:r>
      <w:r>
        <w:rPr>
          <w:sz w:val="20"/>
          <w:szCs w:val="20"/>
          <w:color w:val="auto"/>
        </w:rPr>
        <w:tab/>
      </w:r>
      <w:r>
        <w:rPr>
          <w:rFonts w:ascii="Arial" w:cs="Arial" w:eastAsia="Arial" w:hAnsi="Arial"/>
          <w:sz w:val="16"/>
          <w:szCs w:val="16"/>
          <w:color w:val="auto"/>
        </w:rPr>
        <w:t>Counting Votes and Recording Action of Meetings.</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vote upon any resolution submitted to any meeting of holders of Securities of a given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such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8.07 hereof and, if applicable, Section 8.09 hereof.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SUPPLEMENTAL INDENTURES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color w:val="auto"/>
        </w:rPr>
        <w:t>Supplemental Indentures Without the Consent of Securityholders.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81" w:lineRule="exact"/>
        <w:rPr>
          <w:sz w:val="20"/>
          <w:szCs w:val="20"/>
          <w:color w:val="auto"/>
        </w:rPr>
      </w:pPr>
    </w:p>
    <w:p>
      <w:pPr>
        <w:ind w:left="760" w:right="160" w:hanging="374"/>
        <w:spacing w:after="0" w:line="286" w:lineRule="auto"/>
        <w:tabs>
          <w:tab w:leader="none" w:pos="7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cure any ambiguity, correct or supplement any provision herein which may be inconsistent with any other provision herein or which is otherwise defective, or make any other provisions with respect to matters or questions arising under this Indenture which the Company and the Trustee may deem necessary or desirable and which shall not be inconsistent with the provisions of this Indenture;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100" w:name="page101"/>
    <w:bookmarkEnd w:id="100"/>
    <w:p>
      <w:pPr>
        <w:ind w:left="760" w:hanging="374"/>
        <w:spacing w:after="0"/>
        <w:tabs>
          <w:tab w:leader="none" w:pos="760"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t>to comply with Article X;</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jc w:val="both"/>
        <w:ind w:left="760" w:right="440" w:hanging="374"/>
        <w:spacing w:after="0" w:line="264" w:lineRule="auto"/>
        <w:tabs>
          <w:tab w:leader="none" w:pos="7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w:t>
      </w:r>
    </w:p>
    <w:p>
      <w:pPr>
        <w:spacing w:after="0" w:line="181" w:lineRule="exact"/>
        <w:rPr>
          <w:rFonts w:ascii="Arial" w:cs="Arial" w:eastAsia="Arial" w:hAnsi="Arial"/>
          <w:sz w:val="18"/>
          <w:szCs w:val="18"/>
          <w:color w:val="auto"/>
        </w:rPr>
      </w:pPr>
    </w:p>
    <w:p>
      <w:pPr>
        <w:ind w:left="760" w:right="180" w:hanging="374"/>
        <w:spacing w:after="0" w:line="277" w:lineRule="auto"/>
        <w:tabs>
          <w:tab w:leader="none" w:pos="7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Securities, as herein set forth;</w:t>
      </w:r>
    </w:p>
    <w:p>
      <w:pPr>
        <w:spacing w:after="0" w:line="170" w:lineRule="exact"/>
        <w:rPr>
          <w:rFonts w:ascii="Arial" w:cs="Arial" w:eastAsia="Arial" w:hAnsi="Arial"/>
          <w:sz w:val="18"/>
          <w:szCs w:val="18"/>
          <w:color w:val="auto"/>
        </w:rPr>
      </w:pPr>
    </w:p>
    <w:p>
      <w:pPr>
        <w:ind w:left="760" w:hanging="374"/>
        <w:spacing w:after="0"/>
        <w:tabs>
          <w:tab w:leader="none" w:pos="7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 in any material respect;</w:t>
      </w:r>
    </w:p>
    <w:p>
      <w:pPr>
        <w:spacing w:after="0" w:line="225" w:lineRule="exact"/>
        <w:rPr>
          <w:rFonts w:ascii="Arial" w:cs="Arial" w:eastAsia="Arial" w:hAnsi="Arial"/>
          <w:sz w:val="18"/>
          <w:szCs w:val="18"/>
          <w:color w:val="auto"/>
        </w:rPr>
      </w:pPr>
    </w:p>
    <w:p>
      <w:pPr>
        <w:ind w:left="760" w:right="180" w:hanging="374"/>
        <w:spacing w:after="0" w:line="264" w:lineRule="auto"/>
        <w:tabs>
          <w:tab w:leader="none" w:pos="7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or</w:t>
      </w:r>
    </w:p>
    <w:p>
      <w:pPr>
        <w:spacing w:after="0" w:line="181" w:lineRule="exact"/>
        <w:rPr>
          <w:rFonts w:ascii="Arial" w:cs="Arial" w:eastAsia="Arial" w:hAnsi="Arial"/>
          <w:sz w:val="18"/>
          <w:szCs w:val="18"/>
          <w:color w:val="auto"/>
        </w:rPr>
      </w:pPr>
    </w:p>
    <w:p>
      <w:pPr>
        <w:ind w:left="760" w:hanging="374"/>
        <w:spacing w:after="0"/>
        <w:tabs>
          <w:tab w:leader="none" w:pos="7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comply with the requirements of the Commission in order to effect or maintain the qualification of this Indenture under the Trust Indenture Act.</w:t>
      </w:r>
    </w:p>
    <w:p>
      <w:pPr>
        <w:spacing w:after="0" w:line="2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color w:val="auto"/>
        </w:rPr>
        <w:t>Supplemental Indentures With Consent of Securityholders.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With the written consent of the holders of at least a majority in aggregate principal amount of the Outstanding Securities of any series or by action at a meeting of holders of the Securities of such series in accordance with Section 8.09, by the holders of a majority in aggregate principal amount of the Securities of such series then Outstanding represented at such meeting, the Company, when authorized by Board Resolutions,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(i) extend the fixed maturity of any Securities of any series, or reduce the principal amount thereof, or reduce the rate or extend the time of payment of interest thereon, or reduce any premium payable upon the redemption thereof, (ii) reduce the aforesaid percentage of Securities, the holders of which are required to consent to any such supplemental indenture, or any consent or waiver, (iii) reduce the principal amount of discount securities payable upon acceleration of the maturity of any Securities of any series or (iv) make the principal of or premium or interest on any Security of a series payable in currency or currency units other than that stated in the Securities of such series.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06" w:right="299" w:bottom="1440" w:gutter="0" w:footer="0" w:header="0"/>
        </w:sectPr>
      </w:pPr>
    </w:p>
    <w:bookmarkStart w:id="101" w:name="page102"/>
    <w:bookmarkEnd w:id="101"/>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color w:val="auto"/>
        </w:rPr>
        <w:t>Effect of Supplemental Indentures.</w:t>
      </w:r>
    </w:p>
    <w:p>
      <w:pPr>
        <w:spacing w:after="0" w:line="225"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color w:val="auto"/>
        </w:rPr>
        <w:t>Securities Affected by Supplemental Indentures.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exchange upon which such series may be listed, as to any matter provided for in such supplemental indenture. If the Company shall so determine, new Securities of that series so modified as to conform, in the opinion of the Board of Directors of the Company, to any modification of this Indenture contained in any such supplemental indenture may be prepared by the Company, authenticated by the Trustee and delivered in exchange for the Securities of that series then Outstanding.</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color w:val="auto"/>
        </w:rPr>
        <w:t>Execution of Supplemental Indentures.</w:t>
      </w:r>
    </w:p>
    <w:p>
      <w:pPr>
        <w:spacing w:after="0" w:line="225"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may receive an Opinion of Counsel as conclusive evidence that any supplemental indenture executed pursuant to this Article is authorized or permitted by, and conforms to, the terms of this Article and that it is proper for the Trustee under the provisions of this Article to join in the execution thereof; provided, however, that such Opinion of Counsel need not be provided in connection with the execution of a supplemental indenture that establishes the terms of a series of Securities pursuant to Section 2.01 hereof.</w:t>
      </w:r>
    </w:p>
    <w:p>
      <w:pPr>
        <w:spacing w:after="0" w:line="17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Promptly after the execution by the Company and the Trustee of any supplemental indenture pursuant to the provisions of this Section, the Trustee shall transmit by mail, first class postage prepaid, a notice, setting forth in general terms the substance of such supplemental indenture, to the Securityholders of all series affected thereby as their names and addresses appear upon the Security Register. Any failure of the Trustee to mail such notice, or any defect therein, shall not, however, in any way impair or affect the validity of any such supplemental indenture.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02" w:name="page103"/>
    <w:bookmarkEnd w:id="102"/>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t>ARTICLE X</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SUCCESSOR ENTITY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10.01 Company May Consolidate, Etc.</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Nothing contained in this Indenture or in any of the Securities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satisfactory in form to the Trustee executed and delivered to the Trustee by the entity formed by such consolidation, or into which the Company shall have been merged, or by the entity which shall have acquired such property.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SECTION 10.02 Successor Entity Substituted.</w:t>
      </w:r>
    </w:p>
    <w:p>
      <w:pPr>
        <w:spacing w:after="0" w:line="225" w:lineRule="exact"/>
        <w:rPr>
          <w:sz w:val="20"/>
          <w:szCs w:val="20"/>
          <w:color w:val="auto"/>
        </w:rPr>
      </w:pPr>
    </w:p>
    <w:p>
      <w:pPr>
        <w:ind w:left="760" w:right="20" w:hanging="374"/>
        <w:spacing w:after="0" w:line="255" w:lineRule="auto"/>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due and punctual payment of the principal of, premium, if any, and interest on all of the Securities of all series Outstanding and the due and punctual performance of all of the covenants and conditions of this Indenture or established with respect to each series of the Securities pursuant to Section 2.01 to be performed by the Company with respect to each series,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89" w:lineRule="exact"/>
        <w:rPr>
          <w:rFonts w:ascii="Arial" w:cs="Arial" w:eastAsia="Arial" w:hAnsi="Arial"/>
          <w:sz w:val="18"/>
          <w:szCs w:val="18"/>
          <w:color w:val="auto"/>
        </w:rPr>
      </w:pPr>
    </w:p>
    <w:p>
      <w:pPr>
        <w:ind w:left="760" w:right="640" w:hanging="374"/>
        <w:spacing w:after="0" w:line="277" w:lineRule="auto"/>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70" w:lineRule="exact"/>
        <w:rPr>
          <w:rFonts w:ascii="Arial" w:cs="Arial" w:eastAsia="Arial" w:hAnsi="Arial"/>
          <w:sz w:val="18"/>
          <w:szCs w:val="18"/>
          <w:color w:val="auto"/>
        </w:rPr>
      </w:pPr>
    </w:p>
    <w:p>
      <w:pPr>
        <w:ind w:left="760" w:right="20" w:hanging="374"/>
        <w:spacing w:after="0" w:line="264" w:lineRule="auto"/>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SECTION 10.03 Evidence of Consolidation, Etc. to Trustee.</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Trustee, subject to the provisions of Section 7.01, may receive an Opinion of Counsel as conclusive evidence that any such consolidation, merger, sale, conveyance, transfer or other disposition, and any such assumption, comply with the provisions of this Article.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SATISFACTION AND DISCHARGE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11.01 Satisfaction and Discharge of Indenture.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If at any time: (a) the Company shall have delivered to the Trustee for cancellation all Securities of a series theretofore authenticated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sufficient or a combination thereof, sufficient (assuming that no tax liability will be imposed on the Trustee)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SECTION 11.02 Discharge of Obligations.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 thereafter, Sections 7.06 and 11.05 shall survive.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SECTION 11.03 Deposited Moneys to be Held in Trust.</w:t>
      </w:r>
    </w:p>
    <w:p>
      <w:pPr>
        <w:spacing w:after="0" w:line="225"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Subject to Section 11.05, 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SECTION 11.04 Payment of Moneys Held by Paying Agents.</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SECTION 11.05 Repayment to Company.</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Any moneys or Governmental Obligations deposited with any paying agent or the Trustee, or then held by the Company, in trust for payment of principal of or premium or interest on the Securities of a particular series that are not applied but remain unclaimed by the holders of such Securities for two years after the date upon which the principal of (and premium, if any) or interest on such Securities shall have respectively become due and payable, shall be repaid to the Company or (if then held by the Company) shall be discharged from such trust in each case, promptly after the end of any such two-year period or, at the request of the Company, on a later date specified by the Company; and thereupon the paying agent and the Trustee shall be released from all further liability with respect to such moneys or Governmental Obligations, and the holder of any of the Securities entitled to receive such payment shall thereafter, as an unsecured general creditor, look only to the Company for the payment thereof.</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sectPr>
      </w:pPr>
    </w:p>
    <w:bookmarkStart w:id="104" w:name="page105"/>
    <w:bookmarkEnd w:id="10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t>ARTICLE XII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IMMUNITY OF INCORPORATORS, STOCKHOLDERS, OFFICERS AND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12.01 No Recourse.</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13.01 Effect on Successors and Assigns.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All the covenants, stipulations, promises and agreements in this Indenture contained by or on behalf of the Company shall bind its successors and assigns, whether so expressed or not.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13.02 Actions by Successor.</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SECTION 13.03 Surrender of Company Powers.</w:t>
      </w:r>
    </w:p>
    <w:p>
      <w:pPr>
        <w:spacing w:after="0" w:line="22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SECTION 13.04 Notices.</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Except as otherwise expressly provided herein any notice or demand that by any provision of this Indenture is required or permitted to be given or served by the Trustee or by the holders of Securities to or on the Company may be given or served by being deposited first class postage prepaid in a post-office</w:t>
      </w:r>
    </w:p>
    <w:p>
      <w:pPr>
        <w:spacing w:after="0" w:line="268" w:lineRule="auto"/>
        <w:rPr>
          <w:sz w:val="20"/>
          <w:szCs w:val="20"/>
          <w:color w:val="auto"/>
        </w:rPr>
      </w:pPr>
      <w:r>
        <w:rPr>
          <w:rFonts w:ascii="Arial" w:cs="Arial" w:eastAsia="Arial" w:hAnsi="Arial"/>
          <w:sz w:val="17"/>
          <w:szCs w:val="17"/>
          <w:color w:val="auto"/>
        </w:rPr>
        <w:t>letterbox addressed (until another address is filed in writing by the Company with the Trustee), as follows: [ ]. Any notice, election, request or demand by the Company or any Securityholder to or upon the Trustee shall be deemed to have been sufficiently given or made, for all purposes, if given or made in writing at the Corporate Trust Office of the Trustee. Any notice or communication to a holder shall be mailed by first-class mail to his address shown on the Security Register kept by the Security Registrar. Failure to mail a notice or communication to a holder or any defect in such notice or communication shall not affect its sufficiency with respect to other holders. If a notice or communication is mailed or sent in the manner provided above within the time prescribed, it is duly given as of the date it is mailed, whether or not the addressee receives it, except that notice to the Trustee or the Company shall only be effective upon receipt thereof by the Trustee or the Company, respectively. If the Company mails a notice or communication to holders of Securities, it shall mail a copy to the Trustee at the same time.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SECTION 13.05 Governing Law.</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This Indenture and each Security shall be deemed to be a contract made under the internal laws of the State of New York, and for all purposes shall be construed in accordance with the laws of said State.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13.06 Treatment of Securities as Debt.</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13.07 Compliance Certificates and Opinions.</w:t>
      </w:r>
    </w:p>
    <w:p>
      <w:pPr>
        <w:spacing w:after="0" w:line="225" w:lineRule="exact"/>
        <w:rPr>
          <w:sz w:val="20"/>
          <w:szCs w:val="20"/>
          <w:color w:val="auto"/>
        </w:rPr>
      </w:pPr>
    </w:p>
    <w:p>
      <w:pPr>
        <w:ind w:left="760" w:hanging="374"/>
        <w:spacing w:after="0" w:line="297" w:lineRule="auto"/>
        <w:tabs>
          <w:tab w:leader="none" w:pos="7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58" w:lineRule="exact"/>
        <w:rPr>
          <w:rFonts w:ascii="Arial" w:cs="Arial" w:eastAsia="Arial" w:hAnsi="Arial"/>
          <w:sz w:val="16"/>
          <w:szCs w:val="16"/>
          <w:color w:val="auto"/>
        </w:rPr>
      </w:pPr>
    </w:p>
    <w:p>
      <w:pPr>
        <w:ind w:left="760" w:hanging="374"/>
        <w:spacing w:after="0" w:line="273" w:lineRule="auto"/>
        <w:tabs>
          <w:tab w:leader="none" w:pos="7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Each certificate or opinion provided for in this Indenture and delivered to the Trustee with respect to compliance with a condition or covenant in this Indenture shall include (1) a statement that the Person making such certificate or opinion has read such covenant or condition; (2) a brief statement as to the nature and scope of the examination or investigation upon which the statements or opinions contained in such certificate or opinion are based; (3) a statement that, in the opinion of such Person, he has made such examination or investigation as is necessary to enable him to express an informed opinion as to whether or not such covenant or condition has been complied with; and (4) a statement as to whether or not, in the opinion of such Person, such condition or covenant has been complied with.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SECTION 13.08 Payments on Business Days.</w:t>
      </w:r>
    </w:p>
    <w:p>
      <w:pPr>
        <w:spacing w:after="0" w:line="22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Except as provided pursuant to Section 2.01 pursuant to a Board Resolution, and as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SECTION 13.09 Conflict with Trust Indenture Act.</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If and to the extent that any provision of this Indenture limits, qualifies or conflicts with the duties imposed by Sections 310 to 317, inclusive, of the Trust Indenture Act, such imposed duties shall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13.10 Counterparts.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Indenture may be executed in any number of counterparts, each of which shall be an original, but such counterparts shall together constitute but one and the same instrument.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SECTION 13.11 Separability.</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SECTION 13.12 Assignment.</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will have the right at all times to assign any of its rights or obligations under this Indenture to a direct or indirect wholly-owned Subsidiary of the Company, provided that, in the event of any such assignment, the Company, will remain liable for all such obligations. Subject to the foregoing, this Indenture is binding upon and inures to the benefit of the parties thereto and their respective successors and assigns. This Indenture may not otherwise be assigned by the parties thereto.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caused this Indenture to be duly executed all as of the day and year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60" w:type="dxa"/>
            <w:vAlign w:val="bottom"/>
          </w:tcPr>
          <w:p>
            <w:pPr>
              <w:ind w:left="6300"/>
              <w:spacing w:after="0"/>
              <w:rPr>
                <w:sz w:val="20"/>
                <w:szCs w:val="20"/>
                <w:color w:val="auto"/>
              </w:rPr>
            </w:pPr>
            <w:r>
              <w:rPr>
                <w:rFonts w:ascii="Arial" w:cs="Arial" w:eastAsia="Arial" w:hAnsi="Arial"/>
                <w:sz w:val="18"/>
                <w:szCs w:val="18"/>
                <w:color w:val="auto"/>
                <w:w w:val="95"/>
              </w:rPr>
              <w:t>Vringo, INC.</w:t>
            </w:r>
          </w:p>
        </w:tc>
        <w:tc>
          <w:tcPr>
            <w:tcW w:w="2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60" w:type="dxa"/>
            <w:vAlign w:val="bottom"/>
          </w:tcPr>
          <w:p>
            <w:pPr>
              <w:ind w:left="6300"/>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9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30"/>
        </w:trPr>
        <w:tc>
          <w:tcPr>
            <w:tcW w:w="7260" w:type="dxa"/>
            <w:vAlign w:val="bottom"/>
            <w:vMerge w:val="restart"/>
          </w:tcPr>
          <w:p>
            <w:pPr>
              <w:ind w:left="630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3960" w:type="dxa"/>
            <w:vAlign w:val="bottom"/>
          </w:tcPr>
          <w:p>
            <w:pPr>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202"/>
        </w:trPr>
        <w:tc>
          <w:tcPr>
            <w:tcW w:w="726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3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60" w:type="dxa"/>
            <w:vAlign w:val="bottom"/>
          </w:tcPr>
          <w:p>
            <w:pPr>
              <w:ind w:left="6300"/>
              <w:spacing w:after="0"/>
              <w:rPr>
                <w:sz w:val="20"/>
                <w:szCs w:val="20"/>
                <w:color w:val="auto"/>
              </w:rPr>
            </w:pPr>
            <w:r>
              <w:rPr>
                <w:rFonts w:ascii="Arial" w:cs="Arial" w:eastAsia="Arial" w:hAnsi="Arial"/>
                <w:sz w:val="18"/>
                <w:szCs w:val="18"/>
                <w:color w:val="auto"/>
              </w:rPr>
              <w:t>As Trustee</w:t>
            </w:r>
          </w:p>
        </w:tc>
        <w:tc>
          <w:tcPr>
            <w:tcW w:w="2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60" w:type="dxa"/>
            <w:vAlign w:val="bottom"/>
          </w:tcPr>
          <w:p>
            <w:pPr>
              <w:ind w:left="6300"/>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9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648"/>
        </w:trPr>
        <w:tc>
          <w:tcPr>
            <w:tcW w:w="7260" w:type="dxa"/>
            <w:vAlign w:val="bottom"/>
            <w:tcBorders>
              <w:bottom w:val="single" w:sz="8" w:color="auto"/>
            </w:tcBorders>
          </w:tcPr>
          <w:p>
            <w:pPr>
              <w:ind w:left="5620"/>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06"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4.8</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Issuer</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680" w:hanging="963"/>
        <w:spacing w:after="0"/>
        <w:tabs>
          <w:tab w:leader="none" w:pos="46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Trustee</w:t>
      </w:r>
    </w:p>
    <w:p>
      <w:pPr>
        <w:spacing w:after="0" w:line="225" w:lineRule="exact"/>
        <w:rPr>
          <w:rFonts w:ascii="Arial" w:cs="Arial" w:eastAsia="Arial" w:hAnsi="Arial"/>
          <w:sz w:val="18"/>
          <w:szCs w:val="18"/>
          <w:color w:val="auto"/>
        </w:rPr>
      </w:pPr>
    </w:p>
    <w:p>
      <w:pPr>
        <w:ind w:left="4000"/>
        <w:spacing w:after="0"/>
        <w:rPr>
          <w:rFonts w:ascii="Arial" w:cs="Arial" w:eastAsia="Arial" w:hAnsi="Arial"/>
          <w:sz w:val="18"/>
          <w:szCs w:val="18"/>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580"/>
        <w:spacing w:after="0"/>
        <w:tabs>
          <w:tab w:leader="none" w:pos="5380" w:val="left"/>
        </w:tabs>
        <w:rPr>
          <w:sz w:val="20"/>
          <w:szCs w:val="20"/>
          <w:color w:val="auto"/>
        </w:rPr>
      </w:pPr>
      <w:r>
        <w:rPr>
          <w:rFonts w:ascii="Arial" w:cs="Arial" w:eastAsia="Arial" w:hAnsi="Arial"/>
          <w:sz w:val="18"/>
          <w:szCs w:val="18"/>
          <w:color w:val="auto"/>
        </w:rPr>
        <w:t>Dated as of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Subordinated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426720</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7240" w:type="dxa"/>
            <w:vAlign w:val="bottom"/>
            <w:gridSpan w:val="3"/>
          </w:tcPr>
          <w:p>
            <w:pPr>
              <w:ind w:left="200"/>
              <w:spacing w:after="0"/>
              <w:rPr>
                <w:sz w:val="20"/>
                <w:szCs w:val="20"/>
                <w:color w:val="auto"/>
              </w:rPr>
            </w:pPr>
            <w:r>
              <w:rPr>
                <w:rFonts w:ascii="Arial" w:cs="Arial" w:eastAsia="Arial" w:hAnsi="Arial"/>
                <w:sz w:val="18"/>
                <w:szCs w:val="18"/>
                <w:b w:val="1"/>
                <w:bCs w:val="1"/>
                <w:color w:val="auto"/>
              </w:rPr>
              <w:t>CROSS-REFERENCE TABLE (1)</w:t>
            </w:r>
          </w:p>
        </w:tc>
      </w:tr>
      <w:tr>
        <w:trPr>
          <w:trHeight w:val="414"/>
        </w:trPr>
        <w:tc>
          <w:tcPr>
            <w:tcW w:w="41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ind w:left="600"/>
              <w:spacing w:after="0"/>
              <w:rPr>
                <w:sz w:val="20"/>
                <w:szCs w:val="20"/>
                <w:color w:val="auto"/>
              </w:rPr>
            </w:pPr>
            <w:r>
              <w:rPr>
                <w:rFonts w:ascii="Arial" w:cs="Arial" w:eastAsia="Arial" w:hAnsi="Arial"/>
                <w:sz w:val="18"/>
                <w:szCs w:val="18"/>
                <w:b w:val="1"/>
                <w:bCs w:val="1"/>
                <w:color w:val="auto"/>
              </w:rPr>
              <w:t>Section of</w:t>
            </w:r>
          </w:p>
        </w:tc>
      </w:tr>
      <w:tr>
        <w:trPr>
          <w:trHeight w:val="234"/>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Section of Trust Indenture Act of 1939, as Amended</w:t>
            </w:r>
          </w:p>
        </w:tc>
        <w:tc>
          <w:tcPr>
            <w:tcW w:w="5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Indenture</w:t>
            </w:r>
          </w:p>
        </w:tc>
      </w:tr>
    </w:tbl>
    <w:p>
      <w:pPr>
        <w:ind w:left="560"/>
        <w:spacing w:after="0"/>
        <w:rPr>
          <w:sz w:val="20"/>
          <w:szCs w:val="20"/>
          <w:color w:val="auto"/>
        </w:rPr>
        <w:sectPr>
          <w:pgSz w:w="11900" w:h="16838" w:orient="portrait"/>
          <w:cols w:equalWidth="0" w:num="1">
            <w:col w:w="11420"/>
          </w:cols>
          <w:pgMar w:left="240" w:top="702" w:right="239" w:bottom="1440" w:gutter="0" w:footer="0" w:header="0"/>
        </w:sect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310(a).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310(b).</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310(c).</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311(a).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311(b).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311(c).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312(a).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312(b).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312(c).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313(a).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313(b).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313(c).</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313(d).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314(a).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314(b).</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314(c).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314(d).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314(e).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314(f).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315(a).</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315(b).</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315(c).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315(d).</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315(e).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316(a).</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316(b).</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316(c).</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317(a).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317(b).</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318(a)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80975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7.10</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Inapplicable</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7.13(a)</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7.13(b)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Inapplicable</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5.02(a)</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5.02(b)</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5.02(c)</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5.04(a)</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5.04(a)</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5.04(a)</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5.04(b)</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5.04(b)</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Inapplicable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13.06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Inapplicable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13.06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Inapplicable</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7.01(a)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7.01(b)</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7.01(c)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8.01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13.08</w:t>
      </w:r>
    </w:p>
    <w:p>
      <w:pPr>
        <w:spacing w:after="0" w:line="200" w:lineRule="exact"/>
        <w:rPr>
          <w:sz w:val="20"/>
          <w:szCs w:val="20"/>
          <w:color w:val="auto"/>
        </w:rPr>
      </w:pPr>
    </w:p>
    <w:p>
      <w:pPr>
        <w:sectPr>
          <w:pgSz w:w="11900" w:h="16838" w:orient="portrait"/>
          <w:cols w:equalWidth="0" w:num="2">
            <w:col w:w="9820" w:space="720"/>
            <w:col w:w="880"/>
          </w:cols>
          <w:pgMar w:left="240" w:top="702" w:right="239" w:bottom="1440" w:gutter="0" w:footer="0" w:header="0"/>
          <w:type w:val="continuous"/>
        </w:sectPr>
      </w:pPr>
    </w:p>
    <w:p>
      <w:pPr>
        <w:spacing w:after="0" w:line="38" w:lineRule="exact"/>
        <w:rPr>
          <w:sz w:val="20"/>
          <w:szCs w:val="20"/>
          <w:color w:val="auto"/>
        </w:rPr>
      </w:pPr>
    </w:p>
    <w:p>
      <w:pPr>
        <w:ind w:left="460" w:right="740" w:hanging="452"/>
        <w:spacing w:after="0" w:line="277"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9060" w:type="dxa"/>
            <w:vAlign w:val="bottom"/>
          </w:tcPr>
          <w:p>
            <w:pPr>
              <w:ind w:left="2820"/>
              <w:spacing w:after="0"/>
              <w:rPr>
                <w:sz w:val="20"/>
                <w:szCs w:val="20"/>
                <w:color w:val="auto"/>
              </w:rPr>
            </w:pPr>
            <w:r>
              <w:rPr>
                <w:rFonts w:ascii="Arial" w:cs="Arial" w:eastAsia="Arial" w:hAnsi="Arial"/>
                <w:sz w:val="18"/>
                <w:szCs w:val="18"/>
                <w:b w:val="1"/>
                <w:bCs w:val="1"/>
                <w:color w:val="auto"/>
              </w:rPr>
              <w:t>TABLE OF CONTENTS (2)</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060" w:type="dxa"/>
            <w:vAlign w:val="bottom"/>
          </w:tcPr>
          <w:p>
            <w:pPr>
              <w:spacing w:after="0"/>
              <w:rPr>
                <w:sz w:val="24"/>
                <w:szCs w:val="24"/>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ARTICLE I</w:t>
            </w:r>
          </w:p>
        </w:tc>
        <w:tc>
          <w:tcPr>
            <w:tcW w:w="9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DEFINITIONS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1.01</w:t>
            </w:r>
          </w:p>
        </w:tc>
        <w:tc>
          <w:tcPr>
            <w:tcW w:w="9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Definitions of Terms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ARTICLE II</w:t>
            </w:r>
          </w:p>
        </w:tc>
        <w:tc>
          <w:tcPr>
            <w:tcW w:w="9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ISSUE, DESCRIPTION, TERMS, EXECUTION, REGISTRATION AND EXCHANGE OF SECURITIES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2.01</w:t>
            </w:r>
          </w:p>
        </w:tc>
        <w:tc>
          <w:tcPr>
            <w:tcW w:w="9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Designation and Terms of Securities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SECTION 2.02</w:t>
            </w:r>
          </w:p>
        </w:tc>
        <w:tc>
          <w:tcPr>
            <w:tcW w:w="9060" w:type="dxa"/>
            <w:vAlign w:val="bottom"/>
          </w:tcPr>
          <w:p>
            <w:pPr>
              <w:ind w:left="500"/>
              <w:spacing w:after="0"/>
              <w:rPr>
                <w:sz w:val="20"/>
                <w:szCs w:val="20"/>
                <w:color w:val="auto"/>
              </w:rPr>
            </w:pPr>
            <w:r>
              <w:rPr>
                <w:rFonts w:ascii="Arial" w:cs="Arial" w:eastAsia="Arial" w:hAnsi="Arial"/>
                <w:sz w:val="18"/>
                <w:szCs w:val="18"/>
                <w:color w:val="auto"/>
              </w:rPr>
              <w:t>Form of Securities and Trustee’s Certificate</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2.03</w:t>
            </w:r>
          </w:p>
        </w:tc>
        <w:tc>
          <w:tcPr>
            <w:tcW w:w="9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Denominations: Provisions for Payment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SECTION 2.04</w:t>
            </w:r>
          </w:p>
        </w:tc>
        <w:tc>
          <w:tcPr>
            <w:tcW w:w="9060" w:type="dxa"/>
            <w:vAlign w:val="bottom"/>
          </w:tcPr>
          <w:p>
            <w:pPr>
              <w:ind w:left="500"/>
              <w:spacing w:after="0"/>
              <w:rPr>
                <w:sz w:val="20"/>
                <w:szCs w:val="20"/>
                <w:color w:val="auto"/>
              </w:rPr>
            </w:pPr>
            <w:r>
              <w:rPr>
                <w:rFonts w:ascii="Arial" w:cs="Arial" w:eastAsia="Arial" w:hAnsi="Arial"/>
                <w:sz w:val="18"/>
                <w:szCs w:val="18"/>
                <w:color w:val="auto"/>
              </w:rPr>
              <w:t>Execution and Authentications</w:t>
            </w: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2.05</w:t>
            </w:r>
          </w:p>
        </w:tc>
        <w:tc>
          <w:tcPr>
            <w:tcW w:w="9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Registration of Transfer and Exchange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SECTION 2.06</w:t>
            </w:r>
          </w:p>
        </w:tc>
        <w:tc>
          <w:tcPr>
            <w:tcW w:w="9060" w:type="dxa"/>
            <w:vAlign w:val="bottom"/>
          </w:tcPr>
          <w:p>
            <w:pPr>
              <w:ind w:left="500"/>
              <w:spacing w:after="0"/>
              <w:rPr>
                <w:sz w:val="20"/>
                <w:szCs w:val="20"/>
                <w:color w:val="auto"/>
              </w:rPr>
            </w:pPr>
            <w:r>
              <w:rPr>
                <w:rFonts w:ascii="Arial" w:cs="Arial" w:eastAsia="Arial" w:hAnsi="Arial"/>
                <w:sz w:val="18"/>
                <w:szCs w:val="18"/>
                <w:color w:val="auto"/>
              </w:rPr>
              <w:t>Temporary Securities</w:t>
            </w: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2.07</w:t>
            </w:r>
          </w:p>
        </w:tc>
        <w:tc>
          <w:tcPr>
            <w:tcW w:w="9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Mutilated, Destroyed, Lost or Stolen Securities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SECTION 2.08</w:t>
            </w:r>
          </w:p>
        </w:tc>
        <w:tc>
          <w:tcPr>
            <w:tcW w:w="9060" w:type="dxa"/>
            <w:vAlign w:val="bottom"/>
          </w:tcPr>
          <w:p>
            <w:pPr>
              <w:ind w:left="500"/>
              <w:spacing w:after="0"/>
              <w:rPr>
                <w:sz w:val="20"/>
                <w:szCs w:val="20"/>
                <w:color w:val="auto"/>
              </w:rPr>
            </w:pPr>
            <w:r>
              <w:rPr>
                <w:rFonts w:ascii="Arial" w:cs="Arial" w:eastAsia="Arial" w:hAnsi="Arial"/>
                <w:sz w:val="18"/>
                <w:szCs w:val="18"/>
                <w:color w:val="auto"/>
              </w:rPr>
              <w:t>Cancellation</w:t>
            </w: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2.09</w:t>
            </w:r>
          </w:p>
        </w:tc>
        <w:tc>
          <w:tcPr>
            <w:tcW w:w="9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Benefits of Indenture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SECTION 2.10</w:t>
            </w:r>
          </w:p>
        </w:tc>
        <w:tc>
          <w:tcPr>
            <w:tcW w:w="9060" w:type="dxa"/>
            <w:vAlign w:val="bottom"/>
          </w:tcPr>
          <w:p>
            <w:pPr>
              <w:ind w:left="500"/>
              <w:spacing w:after="0"/>
              <w:rPr>
                <w:sz w:val="20"/>
                <w:szCs w:val="20"/>
                <w:color w:val="auto"/>
              </w:rPr>
            </w:pPr>
            <w:r>
              <w:rPr>
                <w:rFonts w:ascii="Arial" w:cs="Arial" w:eastAsia="Arial" w:hAnsi="Arial"/>
                <w:sz w:val="18"/>
                <w:szCs w:val="18"/>
                <w:color w:val="auto"/>
              </w:rPr>
              <w:t>Authenticating Agent</w:t>
            </w: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2.11</w:t>
            </w:r>
          </w:p>
        </w:tc>
        <w:tc>
          <w:tcPr>
            <w:tcW w:w="9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Global Securities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ARTICLE III</w:t>
            </w:r>
          </w:p>
        </w:tc>
        <w:tc>
          <w:tcPr>
            <w:tcW w:w="9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REDEMPTION OF SECURITIES AND SINKING FUND PROVISIONS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3.01</w:t>
            </w:r>
          </w:p>
        </w:tc>
        <w:tc>
          <w:tcPr>
            <w:tcW w:w="9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Redemption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SECTION 3.02</w:t>
            </w:r>
          </w:p>
        </w:tc>
        <w:tc>
          <w:tcPr>
            <w:tcW w:w="9060" w:type="dxa"/>
            <w:vAlign w:val="bottom"/>
          </w:tcPr>
          <w:p>
            <w:pPr>
              <w:ind w:left="500"/>
              <w:spacing w:after="0"/>
              <w:rPr>
                <w:sz w:val="20"/>
                <w:szCs w:val="20"/>
                <w:color w:val="auto"/>
              </w:rPr>
            </w:pPr>
            <w:r>
              <w:rPr>
                <w:rFonts w:ascii="Arial" w:cs="Arial" w:eastAsia="Arial" w:hAnsi="Arial"/>
                <w:sz w:val="18"/>
                <w:szCs w:val="18"/>
                <w:color w:val="auto"/>
              </w:rPr>
              <w:t>Notice of Redemption</w:t>
            </w: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3.03</w:t>
            </w:r>
          </w:p>
        </w:tc>
        <w:tc>
          <w:tcPr>
            <w:tcW w:w="9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Payment Upon Redemption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SECTION 3.04</w:t>
            </w:r>
          </w:p>
        </w:tc>
        <w:tc>
          <w:tcPr>
            <w:tcW w:w="9060" w:type="dxa"/>
            <w:vAlign w:val="bottom"/>
          </w:tcPr>
          <w:p>
            <w:pPr>
              <w:ind w:left="500"/>
              <w:spacing w:after="0"/>
              <w:rPr>
                <w:sz w:val="20"/>
                <w:szCs w:val="20"/>
                <w:color w:val="auto"/>
              </w:rPr>
            </w:pPr>
            <w:r>
              <w:rPr>
                <w:rFonts w:ascii="Arial" w:cs="Arial" w:eastAsia="Arial" w:hAnsi="Arial"/>
                <w:sz w:val="18"/>
                <w:szCs w:val="18"/>
                <w:color w:val="auto"/>
              </w:rPr>
              <w:t>Sinking Fund</w:t>
            </w: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3.05</w:t>
            </w:r>
          </w:p>
        </w:tc>
        <w:tc>
          <w:tcPr>
            <w:tcW w:w="9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Satisfaction of Sinking Fund Payments with Securities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SECTION 3.06</w:t>
            </w:r>
          </w:p>
        </w:tc>
        <w:tc>
          <w:tcPr>
            <w:tcW w:w="9060" w:type="dxa"/>
            <w:vAlign w:val="bottom"/>
          </w:tcPr>
          <w:p>
            <w:pPr>
              <w:ind w:left="500"/>
              <w:spacing w:after="0"/>
              <w:rPr>
                <w:sz w:val="20"/>
                <w:szCs w:val="20"/>
                <w:color w:val="auto"/>
              </w:rPr>
            </w:pPr>
            <w:r>
              <w:rPr>
                <w:rFonts w:ascii="Arial" w:cs="Arial" w:eastAsia="Arial" w:hAnsi="Arial"/>
                <w:sz w:val="18"/>
                <w:szCs w:val="18"/>
                <w:color w:val="auto"/>
              </w:rPr>
              <w:t>Redemption of Securities for Sinking Fund</w:t>
            </w: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9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ARTICLE IV</w:t>
            </w:r>
          </w:p>
        </w:tc>
        <w:tc>
          <w:tcPr>
            <w:tcW w:w="9060" w:type="dxa"/>
            <w:vAlign w:val="bottom"/>
          </w:tcPr>
          <w:p>
            <w:pPr>
              <w:ind w:left="500"/>
              <w:spacing w:after="0"/>
              <w:rPr>
                <w:sz w:val="20"/>
                <w:szCs w:val="20"/>
                <w:color w:val="auto"/>
              </w:rPr>
            </w:pPr>
            <w:r>
              <w:rPr>
                <w:rFonts w:ascii="Arial" w:cs="Arial" w:eastAsia="Arial" w:hAnsi="Arial"/>
                <w:sz w:val="18"/>
                <w:szCs w:val="18"/>
                <w:color w:val="auto"/>
              </w:rPr>
              <w:t>COVENANTS</w:t>
            </w: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9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SECTION 4.01</w:t>
            </w:r>
          </w:p>
        </w:tc>
        <w:tc>
          <w:tcPr>
            <w:tcW w:w="9060" w:type="dxa"/>
            <w:vAlign w:val="bottom"/>
          </w:tcPr>
          <w:p>
            <w:pPr>
              <w:ind w:left="500"/>
              <w:spacing w:after="0"/>
              <w:rPr>
                <w:sz w:val="20"/>
                <w:szCs w:val="20"/>
                <w:color w:val="auto"/>
              </w:rPr>
            </w:pPr>
            <w:r>
              <w:rPr>
                <w:rFonts w:ascii="Arial" w:cs="Arial" w:eastAsia="Arial" w:hAnsi="Arial"/>
                <w:sz w:val="18"/>
                <w:szCs w:val="18"/>
                <w:color w:val="auto"/>
              </w:rPr>
              <w:t>Payment of Principal, Premium and Interest</w:t>
            </w: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4.02</w:t>
            </w:r>
          </w:p>
        </w:tc>
        <w:tc>
          <w:tcPr>
            <w:tcW w:w="9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Maintenance of Office or Agency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SECTION 4.03</w:t>
            </w:r>
          </w:p>
        </w:tc>
        <w:tc>
          <w:tcPr>
            <w:tcW w:w="9060" w:type="dxa"/>
            <w:vAlign w:val="bottom"/>
          </w:tcPr>
          <w:p>
            <w:pPr>
              <w:ind w:left="500"/>
              <w:spacing w:after="0"/>
              <w:rPr>
                <w:sz w:val="20"/>
                <w:szCs w:val="20"/>
                <w:color w:val="auto"/>
              </w:rPr>
            </w:pPr>
            <w:r>
              <w:rPr>
                <w:rFonts w:ascii="Arial" w:cs="Arial" w:eastAsia="Arial" w:hAnsi="Arial"/>
                <w:sz w:val="18"/>
                <w:szCs w:val="18"/>
                <w:color w:val="auto"/>
              </w:rPr>
              <w:t>Paying Agents</w:t>
            </w: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4.04</w:t>
            </w:r>
          </w:p>
        </w:tc>
        <w:tc>
          <w:tcPr>
            <w:tcW w:w="9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Appointment to Fill Vacancy in Office of Trustee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SECTION 4.05</w:t>
            </w:r>
          </w:p>
        </w:tc>
        <w:tc>
          <w:tcPr>
            <w:tcW w:w="9060" w:type="dxa"/>
            <w:vAlign w:val="bottom"/>
          </w:tcPr>
          <w:p>
            <w:pPr>
              <w:ind w:left="500"/>
              <w:spacing w:after="0"/>
              <w:rPr>
                <w:sz w:val="20"/>
                <w:szCs w:val="20"/>
                <w:color w:val="auto"/>
              </w:rPr>
            </w:pPr>
            <w:r>
              <w:rPr>
                <w:rFonts w:ascii="Arial" w:cs="Arial" w:eastAsia="Arial" w:hAnsi="Arial"/>
                <w:sz w:val="18"/>
                <w:szCs w:val="18"/>
                <w:color w:val="auto"/>
              </w:rPr>
              <w:t>Compliance with Consolidation Provisions</w:t>
            </w: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9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ARTICLE V</w:t>
            </w:r>
          </w:p>
        </w:tc>
        <w:tc>
          <w:tcPr>
            <w:tcW w:w="9060" w:type="dxa"/>
            <w:vAlign w:val="bottom"/>
          </w:tcPr>
          <w:p>
            <w:pPr>
              <w:ind w:left="500"/>
              <w:spacing w:after="0"/>
              <w:rPr>
                <w:sz w:val="20"/>
                <w:szCs w:val="20"/>
                <w:color w:val="auto"/>
              </w:rPr>
            </w:pPr>
            <w:r>
              <w:rPr>
                <w:rFonts w:ascii="Arial" w:cs="Arial" w:eastAsia="Arial" w:hAnsi="Arial"/>
                <w:sz w:val="18"/>
                <w:szCs w:val="18"/>
                <w:color w:val="auto"/>
              </w:rPr>
              <w:t>SECURITYHOLDERS’ LISTS AND REPORTS BY THE COMPANY AND THE TRUSTEE</w:t>
            </w: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9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SECTION 5.01</w:t>
            </w:r>
          </w:p>
        </w:tc>
        <w:tc>
          <w:tcPr>
            <w:tcW w:w="9060" w:type="dxa"/>
            <w:vAlign w:val="bottom"/>
          </w:tcPr>
          <w:p>
            <w:pPr>
              <w:ind w:left="500"/>
              <w:spacing w:after="0"/>
              <w:rPr>
                <w:sz w:val="20"/>
                <w:szCs w:val="20"/>
                <w:color w:val="auto"/>
              </w:rPr>
            </w:pPr>
            <w:r>
              <w:rPr>
                <w:rFonts w:ascii="Arial" w:cs="Arial" w:eastAsia="Arial" w:hAnsi="Arial"/>
                <w:sz w:val="18"/>
                <w:szCs w:val="18"/>
                <w:color w:val="auto"/>
              </w:rPr>
              <w:t>Company to Furnish Trustee Names and Addresses of Securityholders</w:t>
            </w: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5.02</w:t>
            </w:r>
          </w:p>
        </w:tc>
        <w:tc>
          <w:tcPr>
            <w:tcW w:w="9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Preservation Of Information; Communications With Securityholders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SECTION 5.03</w:t>
            </w:r>
          </w:p>
        </w:tc>
        <w:tc>
          <w:tcPr>
            <w:tcW w:w="9060" w:type="dxa"/>
            <w:vAlign w:val="bottom"/>
          </w:tcPr>
          <w:p>
            <w:pPr>
              <w:ind w:left="500"/>
              <w:spacing w:after="0"/>
              <w:rPr>
                <w:sz w:val="20"/>
                <w:szCs w:val="20"/>
                <w:color w:val="auto"/>
              </w:rPr>
            </w:pPr>
            <w:r>
              <w:rPr>
                <w:rFonts w:ascii="Arial" w:cs="Arial" w:eastAsia="Arial" w:hAnsi="Arial"/>
                <w:sz w:val="18"/>
                <w:szCs w:val="18"/>
                <w:color w:val="auto"/>
              </w:rPr>
              <w:t>Reports by the Company</w:t>
            </w: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5.04</w:t>
            </w:r>
          </w:p>
        </w:tc>
        <w:tc>
          <w:tcPr>
            <w:tcW w:w="9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Reports by the Trustee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ARTICLE VI</w:t>
            </w:r>
          </w:p>
        </w:tc>
        <w:tc>
          <w:tcPr>
            <w:tcW w:w="9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REMEDIES OF THE TRUSTEE AND SECURITYHOLDERS ON EVENT OF DEFAULT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6.01</w:t>
            </w:r>
          </w:p>
        </w:tc>
        <w:tc>
          <w:tcPr>
            <w:tcW w:w="9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Events of Default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SECTION 6.02</w:t>
            </w:r>
          </w:p>
        </w:tc>
        <w:tc>
          <w:tcPr>
            <w:tcW w:w="9060" w:type="dxa"/>
            <w:vAlign w:val="bottom"/>
          </w:tcPr>
          <w:p>
            <w:pPr>
              <w:ind w:left="500"/>
              <w:spacing w:after="0"/>
              <w:rPr>
                <w:sz w:val="20"/>
                <w:szCs w:val="20"/>
                <w:color w:val="auto"/>
              </w:rPr>
            </w:pPr>
            <w:r>
              <w:rPr>
                <w:rFonts w:ascii="Arial" w:cs="Arial" w:eastAsia="Arial" w:hAnsi="Arial"/>
                <w:sz w:val="18"/>
                <w:szCs w:val="18"/>
                <w:color w:val="auto"/>
              </w:rPr>
              <w:t>Collection of Indebtedness and Suits for Enforcement by Trustee</w:t>
            </w: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6.03</w:t>
            </w:r>
          </w:p>
        </w:tc>
        <w:tc>
          <w:tcPr>
            <w:tcW w:w="9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Application of Moneys Collected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SECTION 6.04</w:t>
            </w:r>
          </w:p>
        </w:tc>
        <w:tc>
          <w:tcPr>
            <w:tcW w:w="9060" w:type="dxa"/>
            <w:vAlign w:val="bottom"/>
          </w:tcPr>
          <w:p>
            <w:pPr>
              <w:ind w:left="500"/>
              <w:spacing w:after="0"/>
              <w:rPr>
                <w:sz w:val="20"/>
                <w:szCs w:val="20"/>
                <w:color w:val="auto"/>
              </w:rPr>
            </w:pPr>
            <w:r>
              <w:rPr>
                <w:rFonts w:ascii="Arial" w:cs="Arial" w:eastAsia="Arial" w:hAnsi="Arial"/>
                <w:sz w:val="18"/>
                <w:szCs w:val="18"/>
                <w:color w:val="auto"/>
              </w:rPr>
              <w:t>Limitation on Suits</w:t>
            </w: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6.05</w:t>
            </w:r>
          </w:p>
        </w:tc>
        <w:tc>
          <w:tcPr>
            <w:tcW w:w="9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Rights and Remedies Cumulative; Delay or Omission Not Waiver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rPr>
              <w:t>SECTION 6.06</w:t>
            </w:r>
          </w:p>
        </w:tc>
        <w:tc>
          <w:tcPr>
            <w:tcW w:w="9060" w:type="dxa"/>
            <w:vAlign w:val="bottom"/>
          </w:tcPr>
          <w:p>
            <w:pPr>
              <w:ind w:left="500"/>
              <w:spacing w:after="0"/>
              <w:rPr>
                <w:sz w:val="20"/>
                <w:szCs w:val="20"/>
                <w:color w:val="auto"/>
              </w:rPr>
            </w:pPr>
            <w:r>
              <w:rPr>
                <w:rFonts w:ascii="Arial" w:cs="Arial" w:eastAsia="Arial" w:hAnsi="Arial"/>
                <w:sz w:val="18"/>
                <w:szCs w:val="18"/>
                <w:color w:val="auto"/>
              </w:rPr>
              <w:t>Control by Securityholders</w:t>
            </w: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6.07</w:t>
            </w:r>
          </w:p>
        </w:tc>
        <w:tc>
          <w:tcPr>
            <w:tcW w:w="9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Undertaking to Pay Costs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8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ARTICLE VII</w:t>
            </w:r>
          </w:p>
        </w:tc>
        <w:tc>
          <w:tcPr>
            <w:tcW w:w="9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CONCERNING THE TRUSTEE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7.01</w:t>
            </w:r>
          </w:p>
        </w:tc>
        <w:tc>
          <w:tcPr>
            <w:tcW w:w="9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Certain Duties and Responsibilities of Trustee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7.02</w:t>
            </w:r>
          </w:p>
        </w:tc>
        <w:tc>
          <w:tcPr>
            <w:tcW w:w="8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Certain Rights of Trustee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7.03</w:t>
            </w:r>
          </w:p>
        </w:tc>
        <w:tc>
          <w:tcPr>
            <w:tcW w:w="8260" w:type="dxa"/>
            <w:vAlign w:val="bottom"/>
          </w:tcPr>
          <w:p>
            <w:pPr>
              <w:ind w:left="460"/>
              <w:spacing w:after="0"/>
              <w:rPr>
                <w:sz w:val="20"/>
                <w:szCs w:val="20"/>
                <w:color w:val="auto"/>
              </w:rPr>
            </w:pPr>
            <w:r>
              <w:rPr>
                <w:rFonts w:ascii="Arial" w:cs="Arial" w:eastAsia="Arial" w:hAnsi="Arial"/>
                <w:sz w:val="18"/>
                <w:szCs w:val="18"/>
                <w:color w:val="auto"/>
              </w:rPr>
              <w:t>Trustee Not Responsible for Recitals or Issuance of Securities</w:t>
            </w: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7.04</w:t>
            </w:r>
          </w:p>
        </w:tc>
        <w:tc>
          <w:tcPr>
            <w:tcW w:w="8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May Hold Securities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7.05</w:t>
            </w:r>
          </w:p>
        </w:tc>
        <w:tc>
          <w:tcPr>
            <w:tcW w:w="8260" w:type="dxa"/>
            <w:vAlign w:val="bottom"/>
          </w:tcPr>
          <w:p>
            <w:pPr>
              <w:ind w:left="460"/>
              <w:spacing w:after="0"/>
              <w:rPr>
                <w:sz w:val="20"/>
                <w:szCs w:val="20"/>
                <w:color w:val="auto"/>
              </w:rPr>
            </w:pPr>
            <w:r>
              <w:rPr>
                <w:rFonts w:ascii="Arial" w:cs="Arial" w:eastAsia="Arial" w:hAnsi="Arial"/>
                <w:sz w:val="18"/>
                <w:szCs w:val="18"/>
                <w:color w:val="auto"/>
              </w:rPr>
              <w:t>Moneys Held in Trust</w:t>
            </w:r>
          </w:p>
        </w:tc>
        <w:tc>
          <w:tcPr>
            <w:tcW w:w="132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7.06</w:t>
            </w:r>
          </w:p>
        </w:tc>
        <w:tc>
          <w:tcPr>
            <w:tcW w:w="8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Compensation and Reimbursement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7.07</w:t>
            </w:r>
          </w:p>
        </w:tc>
        <w:tc>
          <w:tcPr>
            <w:tcW w:w="8260" w:type="dxa"/>
            <w:vAlign w:val="bottom"/>
          </w:tcPr>
          <w:p>
            <w:pPr>
              <w:ind w:left="460"/>
              <w:spacing w:after="0"/>
              <w:rPr>
                <w:sz w:val="20"/>
                <w:szCs w:val="20"/>
                <w:color w:val="auto"/>
              </w:rPr>
            </w:pPr>
            <w:r>
              <w:rPr>
                <w:rFonts w:ascii="Arial" w:cs="Arial" w:eastAsia="Arial" w:hAnsi="Arial"/>
                <w:sz w:val="18"/>
                <w:szCs w:val="18"/>
                <w:color w:val="auto"/>
              </w:rPr>
              <w:t>Reliance on Officers’ Certificate</w:t>
            </w: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7.08</w:t>
            </w:r>
          </w:p>
        </w:tc>
        <w:tc>
          <w:tcPr>
            <w:tcW w:w="8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Disqualification; Conflicting Interests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7.09</w:t>
            </w:r>
          </w:p>
        </w:tc>
        <w:tc>
          <w:tcPr>
            <w:tcW w:w="8260" w:type="dxa"/>
            <w:vAlign w:val="bottom"/>
          </w:tcPr>
          <w:p>
            <w:pPr>
              <w:ind w:left="460"/>
              <w:spacing w:after="0"/>
              <w:rPr>
                <w:sz w:val="20"/>
                <w:szCs w:val="20"/>
                <w:color w:val="auto"/>
              </w:rPr>
            </w:pPr>
            <w:r>
              <w:rPr>
                <w:rFonts w:ascii="Arial" w:cs="Arial" w:eastAsia="Arial" w:hAnsi="Arial"/>
                <w:sz w:val="18"/>
                <w:szCs w:val="18"/>
                <w:color w:val="auto"/>
              </w:rPr>
              <w:t>Corporate Trustee Required; Eligibility</w:t>
            </w:r>
          </w:p>
        </w:tc>
        <w:tc>
          <w:tcPr>
            <w:tcW w:w="132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7.10</w:t>
            </w:r>
          </w:p>
        </w:tc>
        <w:tc>
          <w:tcPr>
            <w:tcW w:w="8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Resignation and Removal; Appointment of Successor</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7.11</w:t>
            </w:r>
          </w:p>
        </w:tc>
        <w:tc>
          <w:tcPr>
            <w:tcW w:w="8260" w:type="dxa"/>
            <w:vAlign w:val="bottom"/>
          </w:tcPr>
          <w:p>
            <w:pPr>
              <w:ind w:left="460"/>
              <w:spacing w:after="0"/>
              <w:rPr>
                <w:sz w:val="20"/>
                <w:szCs w:val="20"/>
                <w:color w:val="auto"/>
              </w:rPr>
            </w:pPr>
            <w:r>
              <w:rPr>
                <w:rFonts w:ascii="Arial" w:cs="Arial" w:eastAsia="Arial" w:hAnsi="Arial"/>
                <w:sz w:val="18"/>
                <w:szCs w:val="18"/>
                <w:color w:val="auto"/>
              </w:rPr>
              <w:t>Acceptance of Appointment By Successor</w:t>
            </w: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7.12</w:t>
            </w:r>
          </w:p>
        </w:tc>
        <w:tc>
          <w:tcPr>
            <w:tcW w:w="8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Merger, Conversion, Consolidation or Succession to Business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7.13</w:t>
            </w:r>
          </w:p>
        </w:tc>
        <w:tc>
          <w:tcPr>
            <w:tcW w:w="8260" w:type="dxa"/>
            <w:vAlign w:val="bottom"/>
          </w:tcPr>
          <w:p>
            <w:pPr>
              <w:ind w:left="460"/>
              <w:spacing w:after="0"/>
              <w:rPr>
                <w:sz w:val="20"/>
                <w:szCs w:val="20"/>
                <w:color w:val="auto"/>
              </w:rPr>
            </w:pPr>
            <w:r>
              <w:rPr>
                <w:rFonts w:ascii="Arial" w:cs="Arial" w:eastAsia="Arial" w:hAnsi="Arial"/>
                <w:sz w:val="18"/>
                <w:szCs w:val="18"/>
                <w:color w:val="auto"/>
              </w:rPr>
              <w:t>Preferential Collection of Claims Against the Company</w:t>
            </w: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gridSpan w:val="2"/>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gridSpan w:val="2"/>
          </w:tcPr>
          <w:p>
            <w:pPr>
              <w:jc w:val="center"/>
              <w:ind w:right="630"/>
              <w:spacing w:after="0"/>
              <w:rPr>
                <w:sz w:val="20"/>
                <w:szCs w:val="20"/>
                <w:color w:val="auto"/>
              </w:rPr>
            </w:pPr>
            <w:r>
              <w:rPr>
                <w:rFonts w:ascii="Arial" w:cs="Arial" w:eastAsia="Arial" w:hAnsi="Arial"/>
                <w:sz w:val="18"/>
                <w:szCs w:val="18"/>
                <w:color w:val="auto"/>
              </w:rPr>
              <w:t>ARTICLE VIII</w:t>
            </w:r>
          </w:p>
        </w:tc>
        <w:tc>
          <w:tcPr>
            <w:tcW w:w="8260" w:type="dxa"/>
            <w:vAlign w:val="bottom"/>
          </w:tcPr>
          <w:p>
            <w:pPr>
              <w:ind w:left="460"/>
              <w:spacing w:after="0"/>
              <w:rPr>
                <w:sz w:val="20"/>
                <w:szCs w:val="20"/>
                <w:color w:val="auto"/>
              </w:rPr>
            </w:pPr>
            <w:r>
              <w:rPr>
                <w:rFonts w:ascii="Arial" w:cs="Arial" w:eastAsia="Arial" w:hAnsi="Arial"/>
                <w:sz w:val="18"/>
                <w:szCs w:val="18"/>
                <w:color w:val="auto"/>
              </w:rPr>
              <w:t>CONCERNING THE SECURITYHOLDERS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8.01</w:t>
            </w:r>
          </w:p>
        </w:tc>
        <w:tc>
          <w:tcPr>
            <w:tcW w:w="8260" w:type="dxa"/>
            <w:vAlign w:val="bottom"/>
          </w:tcPr>
          <w:p>
            <w:pPr>
              <w:ind w:left="460"/>
              <w:spacing w:after="0"/>
              <w:rPr>
                <w:sz w:val="20"/>
                <w:szCs w:val="20"/>
                <w:color w:val="auto"/>
              </w:rPr>
            </w:pPr>
            <w:r>
              <w:rPr>
                <w:rFonts w:ascii="Arial" w:cs="Arial" w:eastAsia="Arial" w:hAnsi="Arial"/>
                <w:sz w:val="18"/>
                <w:szCs w:val="18"/>
                <w:color w:val="auto"/>
              </w:rPr>
              <w:t>Evidence of Action by Securityholders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8.02</w:t>
            </w:r>
          </w:p>
        </w:tc>
        <w:tc>
          <w:tcPr>
            <w:tcW w:w="8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Proof of Execution by Securityholders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8.03</w:t>
            </w:r>
          </w:p>
        </w:tc>
        <w:tc>
          <w:tcPr>
            <w:tcW w:w="8260" w:type="dxa"/>
            <w:vAlign w:val="bottom"/>
          </w:tcPr>
          <w:p>
            <w:pPr>
              <w:ind w:left="460"/>
              <w:spacing w:after="0"/>
              <w:rPr>
                <w:sz w:val="20"/>
                <w:szCs w:val="20"/>
                <w:color w:val="auto"/>
              </w:rPr>
            </w:pPr>
            <w:r>
              <w:rPr>
                <w:rFonts w:ascii="Arial" w:cs="Arial" w:eastAsia="Arial" w:hAnsi="Arial"/>
                <w:sz w:val="18"/>
                <w:szCs w:val="18"/>
                <w:color w:val="auto"/>
              </w:rPr>
              <w:t>Who May be Deemed Owners</w:t>
            </w: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8.04</w:t>
            </w:r>
          </w:p>
        </w:tc>
        <w:tc>
          <w:tcPr>
            <w:tcW w:w="8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Certain Securities Owned by Company Disregarded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8.05</w:t>
            </w:r>
          </w:p>
        </w:tc>
        <w:tc>
          <w:tcPr>
            <w:tcW w:w="8260" w:type="dxa"/>
            <w:vAlign w:val="bottom"/>
          </w:tcPr>
          <w:p>
            <w:pPr>
              <w:ind w:left="460"/>
              <w:spacing w:after="0"/>
              <w:rPr>
                <w:sz w:val="20"/>
                <w:szCs w:val="20"/>
                <w:color w:val="auto"/>
              </w:rPr>
            </w:pPr>
            <w:r>
              <w:rPr>
                <w:rFonts w:ascii="Arial" w:cs="Arial" w:eastAsia="Arial" w:hAnsi="Arial"/>
                <w:sz w:val="18"/>
                <w:szCs w:val="18"/>
                <w:color w:val="auto"/>
              </w:rPr>
              <w:t>Actions Binding on Future Securityholders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8.06</w:t>
            </w:r>
          </w:p>
        </w:tc>
        <w:tc>
          <w:tcPr>
            <w:tcW w:w="8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Purposes for Which Meetings May Be Called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8.07</w:t>
            </w:r>
          </w:p>
        </w:tc>
        <w:tc>
          <w:tcPr>
            <w:tcW w:w="8260" w:type="dxa"/>
            <w:vAlign w:val="bottom"/>
          </w:tcPr>
          <w:p>
            <w:pPr>
              <w:ind w:left="460"/>
              <w:spacing w:after="0"/>
              <w:rPr>
                <w:sz w:val="20"/>
                <w:szCs w:val="20"/>
                <w:color w:val="auto"/>
              </w:rPr>
            </w:pPr>
            <w:r>
              <w:rPr>
                <w:rFonts w:ascii="Arial" w:cs="Arial" w:eastAsia="Arial" w:hAnsi="Arial"/>
                <w:sz w:val="18"/>
                <w:szCs w:val="18"/>
                <w:color w:val="auto"/>
              </w:rPr>
              <w:t>Call Notice and Place of Meetings</w:t>
            </w: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8.08</w:t>
            </w:r>
          </w:p>
        </w:tc>
        <w:tc>
          <w:tcPr>
            <w:tcW w:w="8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Persons Entitled To Vote at Meetings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8.09</w:t>
            </w:r>
          </w:p>
        </w:tc>
        <w:tc>
          <w:tcPr>
            <w:tcW w:w="8260" w:type="dxa"/>
            <w:vAlign w:val="bottom"/>
          </w:tcPr>
          <w:p>
            <w:pPr>
              <w:ind w:left="460"/>
              <w:spacing w:after="0"/>
              <w:rPr>
                <w:sz w:val="20"/>
                <w:szCs w:val="20"/>
                <w:color w:val="auto"/>
              </w:rPr>
            </w:pPr>
            <w:r>
              <w:rPr>
                <w:rFonts w:ascii="Arial" w:cs="Arial" w:eastAsia="Arial" w:hAnsi="Arial"/>
                <w:sz w:val="18"/>
                <w:szCs w:val="18"/>
                <w:color w:val="auto"/>
              </w:rPr>
              <w:t>Quorum; Action</w:t>
            </w: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8.10</w:t>
            </w:r>
          </w:p>
        </w:tc>
        <w:tc>
          <w:tcPr>
            <w:tcW w:w="8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Determination of Voting Rights; Conduct and Adjournment of Meetings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8.11</w:t>
            </w:r>
          </w:p>
        </w:tc>
        <w:tc>
          <w:tcPr>
            <w:tcW w:w="8260" w:type="dxa"/>
            <w:vAlign w:val="bottom"/>
          </w:tcPr>
          <w:p>
            <w:pPr>
              <w:ind w:left="460"/>
              <w:spacing w:after="0"/>
              <w:rPr>
                <w:sz w:val="20"/>
                <w:szCs w:val="20"/>
                <w:color w:val="auto"/>
              </w:rPr>
            </w:pPr>
            <w:r>
              <w:rPr>
                <w:rFonts w:ascii="Arial" w:cs="Arial" w:eastAsia="Arial" w:hAnsi="Arial"/>
                <w:sz w:val="18"/>
                <w:szCs w:val="18"/>
                <w:color w:val="auto"/>
              </w:rPr>
              <w:t>Counting Votes and Recording Action of Meetings</w:t>
            </w: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gridSpan w:val="2"/>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ARTICLE IX</w:t>
            </w:r>
          </w:p>
        </w:tc>
        <w:tc>
          <w:tcPr>
            <w:tcW w:w="8260" w:type="dxa"/>
            <w:vAlign w:val="bottom"/>
          </w:tcPr>
          <w:p>
            <w:pPr>
              <w:ind w:left="460"/>
              <w:spacing w:after="0"/>
              <w:rPr>
                <w:sz w:val="20"/>
                <w:szCs w:val="20"/>
                <w:color w:val="auto"/>
              </w:rPr>
            </w:pPr>
            <w:r>
              <w:rPr>
                <w:rFonts w:ascii="Arial" w:cs="Arial" w:eastAsia="Arial" w:hAnsi="Arial"/>
                <w:sz w:val="18"/>
                <w:szCs w:val="18"/>
                <w:color w:val="auto"/>
              </w:rPr>
              <w:t>SUPPLEMENTAL INDENTURES</w:t>
            </w: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9.01</w:t>
            </w:r>
          </w:p>
        </w:tc>
        <w:tc>
          <w:tcPr>
            <w:tcW w:w="8260" w:type="dxa"/>
            <w:vAlign w:val="bottom"/>
          </w:tcPr>
          <w:p>
            <w:pPr>
              <w:ind w:left="460"/>
              <w:spacing w:after="0"/>
              <w:rPr>
                <w:sz w:val="20"/>
                <w:szCs w:val="20"/>
                <w:color w:val="auto"/>
              </w:rPr>
            </w:pPr>
            <w:r>
              <w:rPr>
                <w:rFonts w:ascii="Arial" w:cs="Arial" w:eastAsia="Arial" w:hAnsi="Arial"/>
                <w:sz w:val="18"/>
                <w:szCs w:val="18"/>
                <w:color w:val="auto"/>
              </w:rPr>
              <w:t>Supplemental Indentures Without the Consent of Securityholders</w:t>
            </w: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9.02</w:t>
            </w:r>
          </w:p>
        </w:tc>
        <w:tc>
          <w:tcPr>
            <w:tcW w:w="8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Supplemental Indentures With Consent of Securityholders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9.03</w:t>
            </w:r>
          </w:p>
        </w:tc>
        <w:tc>
          <w:tcPr>
            <w:tcW w:w="8260" w:type="dxa"/>
            <w:vAlign w:val="bottom"/>
          </w:tcPr>
          <w:p>
            <w:pPr>
              <w:ind w:left="460"/>
              <w:spacing w:after="0"/>
              <w:rPr>
                <w:sz w:val="20"/>
                <w:szCs w:val="20"/>
                <w:color w:val="auto"/>
              </w:rPr>
            </w:pPr>
            <w:r>
              <w:rPr>
                <w:rFonts w:ascii="Arial" w:cs="Arial" w:eastAsia="Arial" w:hAnsi="Arial"/>
                <w:sz w:val="18"/>
                <w:szCs w:val="18"/>
                <w:color w:val="auto"/>
              </w:rPr>
              <w:t>Effect of Supplemental Indentures</w:t>
            </w:r>
          </w:p>
        </w:tc>
        <w:tc>
          <w:tcPr>
            <w:tcW w:w="132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9.04</w:t>
            </w:r>
          </w:p>
        </w:tc>
        <w:tc>
          <w:tcPr>
            <w:tcW w:w="8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Securities Affected by Supplemental Indentures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9.05</w:t>
            </w:r>
          </w:p>
        </w:tc>
        <w:tc>
          <w:tcPr>
            <w:tcW w:w="8260" w:type="dxa"/>
            <w:vAlign w:val="bottom"/>
          </w:tcPr>
          <w:p>
            <w:pPr>
              <w:ind w:left="460"/>
              <w:spacing w:after="0"/>
              <w:rPr>
                <w:sz w:val="20"/>
                <w:szCs w:val="20"/>
                <w:color w:val="auto"/>
              </w:rPr>
            </w:pPr>
            <w:r>
              <w:rPr>
                <w:rFonts w:ascii="Arial" w:cs="Arial" w:eastAsia="Arial" w:hAnsi="Arial"/>
                <w:sz w:val="18"/>
                <w:szCs w:val="18"/>
                <w:color w:val="auto"/>
              </w:rPr>
              <w:t>Execution of Supplemental Indentures</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w w:val="98"/>
              </w:rPr>
              <w:t>ARTICLE X</w:t>
            </w:r>
          </w:p>
        </w:tc>
        <w:tc>
          <w:tcPr>
            <w:tcW w:w="880" w:type="dxa"/>
            <w:vAlign w:val="bottom"/>
          </w:tcPr>
          <w:p>
            <w:pPr>
              <w:spacing w:after="0"/>
              <w:rPr>
                <w:sz w:val="18"/>
                <w:szCs w:val="18"/>
                <w:color w:val="auto"/>
              </w:rPr>
            </w:pPr>
          </w:p>
        </w:tc>
        <w:tc>
          <w:tcPr>
            <w:tcW w:w="8260" w:type="dxa"/>
            <w:vAlign w:val="bottom"/>
          </w:tcPr>
          <w:p>
            <w:pPr>
              <w:ind w:left="460"/>
              <w:spacing w:after="0"/>
              <w:rPr>
                <w:sz w:val="20"/>
                <w:szCs w:val="20"/>
                <w:color w:val="auto"/>
              </w:rPr>
            </w:pPr>
            <w:r>
              <w:rPr>
                <w:rFonts w:ascii="Arial" w:cs="Arial" w:eastAsia="Arial" w:hAnsi="Arial"/>
                <w:sz w:val="18"/>
                <w:szCs w:val="18"/>
                <w:color w:val="auto"/>
              </w:rPr>
              <w:t>SUCCESSOR ENTITY</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10.01</w:t>
            </w:r>
          </w:p>
        </w:tc>
        <w:tc>
          <w:tcPr>
            <w:tcW w:w="8260" w:type="dxa"/>
            <w:vAlign w:val="bottom"/>
          </w:tcPr>
          <w:p>
            <w:pPr>
              <w:ind w:left="460"/>
              <w:spacing w:after="0"/>
              <w:rPr>
                <w:sz w:val="20"/>
                <w:szCs w:val="20"/>
                <w:color w:val="auto"/>
              </w:rPr>
            </w:pPr>
            <w:r>
              <w:rPr>
                <w:rFonts w:ascii="Arial" w:cs="Arial" w:eastAsia="Arial" w:hAnsi="Arial"/>
                <w:sz w:val="18"/>
                <w:szCs w:val="18"/>
                <w:color w:val="auto"/>
              </w:rPr>
              <w:t>Company May Consolidate, Etc</w:t>
            </w:r>
          </w:p>
        </w:tc>
        <w:tc>
          <w:tcPr>
            <w:tcW w:w="132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10.02</w:t>
            </w:r>
          </w:p>
        </w:tc>
        <w:tc>
          <w:tcPr>
            <w:tcW w:w="8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Successor Entity Substituted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10.03</w:t>
            </w:r>
          </w:p>
        </w:tc>
        <w:tc>
          <w:tcPr>
            <w:tcW w:w="8260" w:type="dxa"/>
            <w:vAlign w:val="bottom"/>
          </w:tcPr>
          <w:p>
            <w:pPr>
              <w:ind w:left="460"/>
              <w:spacing w:after="0"/>
              <w:rPr>
                <w:sz w:val="20"/>
                <w:szCs w:val="20"/>
                <w:color w:val="auto"/>
              </w:rPr>
            </w:pPr>
            <w:r>
              <w:rPr>
                <w:rFonts w:ascii="Arial" w:cs="Arial" w:eastAsia="Arial" w:hAnsi="Arial"/>
                <w:sz w:val="18"/>
                <w:szCs w:val="18"/>
                <w:color w:val="auto"/>
              </w:rPr>
              <w:t>Evidence of Consolidation, Etc</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gridSpan w:val="2"/>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gridSpan w:val="2"/>
          </w:tcPr>
          <w:p>
            <w:pPr>
              <w:spacing w:after="0"/>
              <w:rPr>
                <w:sz w:val="20"/>
                <w:szCs w:val="20"/>
                <w:color w:val="auto"/>
              </w:rPr>
            </w:pPr>
            <w:r>
              <w:rPr>
                <w:rFonts w:ascii="Arial" w:cs="Arial" w:eastAsia="Arial" w:hAnsi="Arial"/>
                <w:sz w:val="18"/>
                <w:szCs w:val="18"/>
                <w:color w:val="auto"/>
              </w:rPr>
              <w:t>ARTICLE XI</w:t>
            </w:r>
          </w:p>
        </w:tc>
        <w:tc>
          <w:tcPr>
            <w:tcW w:w="8260" w:type="dxa"/>
            <w:vAlign w:val="bottom"/>
          </w:tcPr>
          <w:p>
            <w:pPr>
              <w:ind w:left="460"/>
              <w:spacing w:after="0"/>
              <w:rPr>
                <w:sz w:val="20"/>
                <w:szCs w:val="20"/>
                <w:color w:val="auto"/>
              </w:rPr>
            </w:pPr>
            <w:r>
              <w:rPr>
                <w:rFonts w:ascii="Arial" w:cs="Arial" w:eastAsia="Arial" w:hAnsi="Arial"/>
                <w:sz w:val="18"/>
                <w:szCs w:val="18"/>
                <w:color w:val="auto"/>
              </w:rPr>
              <w:t>SATISFACTION AND DISCHARGE</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11.01</w:t>
            </w:r>
          </w:p>
        </w:tc>
        <w:tc>
          <w:tcPr>
            <w:tcW w:w="8260" w:type="dxa"/>
            <w:vAlign w:val="bottom"/>
          </w:tcPr>
          <w:p>
            <w:pPr>
              <w:ind w:left="460"/>
              <w:spacing w:after="0"/>
              <w:rPr>
                <w:sz w:val="20"/>
                <w:szCs w:val="20"/>
                <w:color w:val="auto"/>
              </w:rPr>
            </w:pPr>
            <w:r>
              <w:rPr>
                <w:rFonts w:ascii="Arial" w:cs="Arial" w:eastAsia="Arial" w:hAnsi="Arial"/>
                <w:sz w:val="18"/>
                <w:szCs w:val="18"/>
                <w:color w:val="auto"/>
              </w:rPr>
              <w:t>Satisfaction and Discharge of Indenture</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11.02</w:t>
            </w:r>
          </w:p>
        </w:tc>
        <w:tc>
          <w:tcPr>
            <w:tcW w:w="8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Discharge of Obligations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11.03</w:t>
            </w:r>
          </w:p>
        </w:tc>
        <w:tc>
          <w:tcPr>
            <w:tcW w:w="8260" w:type="dxa"/>
            <w:vAlign w:val="bottom"/>
          </w:tcPr>
          <w:p>
            <w:pPr>
              <w:ind w:left="460"/>
              <w:spacing w:after="0"/>
              <w:rPr>
                <w:sz w:val="20"/>
                <w:szCs w:val="20"/>
                <w:color w:val="auto"/>
              </w:rPr>
            </w:pPr>
            <w:r>
              <w:rPr>
                <w:rFonts w:ascii="Arial" w:cs="Arial" w:eastAsia="Arial" w:hAnsi="Arial"/>
                <w:sz w:val="18"/>
                <w:szCs w:val="18"/>
                <w:color w:val="auto"/>
              </w:rPr>
              <w:t>Deposited Moneys to be Held in Trust</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11.04</w:t>
            </w:r>
          </w:p>
        </w:tc>
        <w:tc>
          <w:tcPr>
            <w:tcW w:w="8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Payment of Moneys Held by Paying Agents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11.05</w:t>
            </w:r>
          </w:p>
        </w:tc>
        <w:tc>
          <w:tcPr>
            <w:tcW w:w="8260" w:type="dxa"/>
            <w:vAlign w:val="bottom"/>
          </w:tcPr>
          <w:p>
            <w:pPr>
              <w:ind w:left="460"/>
              <w:spacing w:after="0"/>
              <w:rPr>
                <w:sz w:val="20"/>
                <w:szCs w:val="20"/>
                <w:color w:val="auto"/>
              </w:rPr>
            </w:pPr>
            <w:r>
              <w:rPr>
                <w:rFonts w:ascii="Arial" w:cs="Arial" w:eastAsia="Arial" w:hAnsi="Arial"/>
                <w:sz w:val="18"/>
                <w:szCs w:val="18"/>
                <w:color w:val="auto"/>
              </w:rPr>
              <w:t>Repayment to Company</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gridSpan w:val="2"/>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gridSpan w:val="2"/>
          </w:tcPr>
          <w:p>
            <w:pPr>
              <w:jc w:val="center"/>
              <w:ind w:right="690"/>
              <w:spacing w:after="0"/>
              <w:rPr>
                <w:sz w:val="20"/>
                <w:szCs w:val="20"/>
                <w:color w:val="auto"/>
              </w:rPr>
            </w:pPr>
            <w:r>
              <w:rPr>
                <w:rFonts w:ascii="Arial" w:cs="Arial" w:eastAsia="Arial" w:hAnsi="Arial"/>
                <w:sz w:val="18"/>
                <w:szCs w:val="18"/>
                <w:color w:val="auto"/>
              </w:rPr>
              <w:t>ARTICLE XII</w:t>
            </w:r>
          </w:p>
        </w:tc>
        <w:tc>
          <w:tcPr>
            <w:tcW w:w="8260" w:type="dxa"/>
            <w:vAlign w:val="bottom"/>
          </w:tcPr>
          <w:p>
            <w:pPr>
              <w:ind w:left="460"/>
              <w:spacing w:after="0"/>
              <w:rPr>
                <w:sz w:val="20"/>
                <w:szCs w:val="20"/>
                <w:color w:val="auto"/>
              </w:rPr>
            </w:pPr>
            <w:r>
              <w:rPr>
                <w:rFonts w:ascii="Arial" w:cs="Arial" w:eastAsia="Arial" w:hAnsi="Arial"/>
                <w:sz w:val="18"/>
                <w:szCs w:val="18"/>
                <w:color w:val="auto"/>
              </w:rPr>
              <w:t>IMMUNITY OF INCORPORATORS, STOCKHOLDERS, OFFICERS AND DIRECTORS</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12.01</w:t>
            </w:r>
          </w:p>
        </w:tc>
        <w:tc>
          <w:tcPr>
            <w:tcW w:w="8260" w:type="dxa"/>
            <w:vAlign w:val="bottom"/>
          </w:tcPr>
          <w:p>
            <w:pPr>
              <w:ind w:left="460"/>
              <w:spacing w:after="0"/>
              <w:rPr>
                <w:sz w:val="20"/>
                <w:szCs w:val="20"/>
                <w:color w:val="auto"/>
              </w:rPr>
            </w:pPr>
            <w:r>
              <w:rPr>
                <w:rFonts w:ascii="Arial" w:cs="Arial" w:eastAsia="Arial" w:hAnsi="Arial"/>
                <w:sz w:val="18"/>
                <w:szCs w:val="18"/>
                <w:color w:val="auto"/>
              </w:rPr>
              <w:t>No Recourse</w:t>
            </w:r>
          </w:p>
        </w:tc>
        <w:tc>
          <w:tcPr>
            <w:tcW w:w="13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gridSpan w:val="2"/>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gridSpan w:val="2"/>
          </w:tcPr>
          <w:p>
            <w:pPr>
              <w:jc w:val="center"/>
              <w:ind w:right="630"/>
              <w:spacing w:after="0"/>
              <w:rPr>
                <w:sz w:val="20"/>
                <w:szCs w:val="20"/>
                <w:color w:val="auto"/>
              </w:rPr>
            </w:pPr>
            <w:r>
              <w:rPr>
                <w:rFonts w:ascii="Arial" w:cs="Arial" w:eastAsia="Arial" w:hAnsi="Arial"/>
                <w:sz w:val="18"/>
                <w:szCs w:val="18"/>
                <w:color w:val="auto"/>
              </w:rPr>
              <w:t>ARTICLE XIII</w:t>
            </w:r>
          </w:p>
        </w:tc>
        <w:tc>
          <w:tcPr>
            <w:tcW w:w="8260" w:type="dxa"/>
            <w:vAlign w:val="bottom"/>
          </w:tcPr>
          <w:p>
            <w:pPr>
              <w:ind w:left="460"/>
              <w:spacing w:after="0"/>
              <w:rPr>
                <w:sz w:val="20"/>
                <w:szCs w:val="20"/>
                <w:color w:val="auto"/>
              </w:rPr>
            </w:pPr>
            <w:r>
              <w:rPr>
                <w:rFonts w:ascii="Arial" w:cs="Arial" w:eastAsia="Arial" w:hAnsi="Arial"/>
                <w:sz w:val="18"/>
                <w:szCs w:val="18"/>
                <w:color w:val="auto"/>
              </w:rPr>
              <w:t>MISCELLANEOUS PROVISIONS</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13.01</w:t>
            </w:r>
          </w:p>
        </w:tc>
        <w:tc>
          <w:tcPr>
            <w:tcW w:w="8260" w:type="dxa"/>
            <w:vAlign w:val="bottom"/>
          </w:tcPr>
          <w:p>
            <w:pPr>
              <w:ind w:left="460"/>
              <w:spacing w:after="0"/>
              <w:rPr>
                <w:sz w:val="20"/>
                <w:szCs w:val="20"/>
                <w:color w:val="auto"/>
              </w:rPr>
            </w:pPr>
            <w:r>
              <w:rPr>
                <w:rFonts w:ascii="Arial" w:cs="Arial" w:eastAsia="Arial" w:hAnsi="Arial"/>
                <w:sz w:val="18"/>
                <w:szCs w:val="18"/>
                <w:color w:val="auto"/>
              </w:rPr>
              <w:t>Effect on Successors and Assigns</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13.02</w:t>
            </w:r>
          </w:p>
        </w:tc>
        <w:tc>
          <w:tcPr>
            <w:tcW w:w="8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Actions by Successor</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13.03</w:t>
            </w:r>
          </w:p>
        </w:tc>
        <w:tc>
          <w:tcPr>
            <w:tcW w:w="8260" w:type="dxa"/>
            <w:vAlign w:val="bottom"/>
          </w:tcPr>
          <w:p>
            <w:pPr>
              <w:ind w:left="460"/>
              <w:spacing w:after="0"/>
              <w:rPr>
                <w:sz w:val="20"/>
                <w:szCs w:val="20"/>
                <w:color w:val="auto"/>
              </w:rPr>
            </w:pPr>
            <w:r>
              <w:rPr>
                <w:rFonts w:ascii="Arial" w:cs="Arial" w:eastAsia="Arial" w:hAnsi="Arial"/>
                <w:sz w:val="18"/>
                <w:szCs w:val="18"/>
                <w:color w:val="auto"/>
              </w:rPr>
              <w:t>Surrender of Company Powers</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13.04</w:t>
            </w:r>
          </w:p>
        </w:tc>
        <w:tc>
          <w:tcPr>
            <w:tcW w:w="8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Notices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tcPr>
          <w:p>
            <w:pPr>
              <w:ind w:left="20"/>
              <w:spacing w:after="0"/>
              <w:rPr>
                <w:sz w:val="20"/>
                <w:szCs w:val="20"/>
                <w:color w:val="auto"/>
              </w:rPr>
            </w:pPr>
            <w:r>
              <w:rPr>
                <w:rFonts w:ascii="Arial" w:cs="Arial" w:eastAsia="Arial" w:hAnsi="Arial"/>
                <w:sz w:val="18"/>
                <w:szCs w:val="18"/>
                <w:color w:val="auto"/>
              </w:rPr>
              <w:t>13.05</w:t>
            </w:r>
          </w:p>
        </w:tc>
        <w:tc>
          <w:tcPr>
            <w:tcW w:w="8260" w:type="dxa"/>
            <w:vAlign w:val="bottom"/>
          </w:tcPr>
          <w:p>
            <w:pPr>
              <w:ind w:left="460"/>
              <w:spacing w:after="0"/>
              <w:rPr>
                <w:sz w:val="20"/>
                <w:szCs w:val="20"/>
                <w:color w:val="auto"/>
              </w:rPr>
            </w:pPr>
            <w:r>
              <w:rPr>
                <w:rFonts w:ascii="Arial" w:cs="Arial" w:eastAsia="Arial" w:hAnsi="Arial"/>
                <w:sz w:val="18"/>
                <w:szCs w:val="18"/>
                <w:color w:val="auto"/>
              </w:rPr>
              <w:t>Governing Law</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4"/>
              </w:rPr>
              <w:t>SECTION</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13.06</w:t>
            </w:r>
          </w:p>
        </w:tc>
        <w:tc>
          <w:tcPr>
            <w:tcW w:w="8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Treatment of Securities as Debt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0" w:right="2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13.07</w:t>
            </w:r>
          </w:p>
        </w:tc>
        <w:tc>
          <w:tcPr>
            <w:tcW w:w="6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Compliance Certificates and Opinions</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160"/>
              <w:spacing w:after="0"/>
              <w:rPr>
                <w:sz w:val="20"/>
                <w:szCs w:val="20"/>
                <w:color w:val="auto"/>
              </w:rPr>
            </w:pPr>
            <w:r>
              <w:rPr>
                <w:rFonts w:ascii="Arial" w:cs="Arial" w:eastAsia="Arial" w:hAnsi="Arial"/>
                <w:sz w:val="18"/>
                <w:szCs w:val="18"/>
                <w:color w:val="auto"/>
              </w:rPr>
              <w:t>SECTION 13.08</w:t>
            </w:r>
          </w:p>
        </w:tc>
        <w:tc>
          <w:tcPr>
            <w:tcW w:w="6340" w:type="dxa"/>
            <w:vAlign w:val="bottom"/>
          </w:tcPr>
          <w:p>
            <w:pPr>
              <w:ind w:left="460"/>
              <w:spacing w:after="0"/>
              <w:rPr>
                <w:sz w:val="20"/>
                <w:szCs w:val="20"/>
                <w:color w:val="auto"/>
              </w:rPr>
            </w:pPr>
            <w:r>
              <w:rPr>
                <w:rFonts w:ascii="Arial" w:cs="Arial" w:eastAsia="Arial" w:hAnsi="Arial"/>
                <w:sz w:val="18"/>
                <w:szCs w:val="18"/>
                <w:color w:val="auto"/>
              </w:rPr>
              <w:t>Payments on Business Days</w:t>
            </w:r>
          </w:p>
        </w:tc>
        <w:tc>
          <w:tcPr>
            <w:tcW w:w="324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13.09</w:t>
            </w:r>
          </w:p>
        </w:tc>
        <w:tc>
          <w:tcPr>
            <w:tcW w:w="6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Conflict with Trust Indenture Act</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160"/>
              <w:spacing w:after="0"/>
              <w:rPr>
                <w:sz w:val="20"/>
                <w:szCs w:val="20"/>
                <w:color w:val="auto"/>
              </w:rPr>
            </w:pPr>
            <w:r>
              <w:rPr>
                <w:rFonts w:ascii="Arial" w:cs="Arial" w:eastAsia="Arial" w:hAnsi="Arial"/>
                <w:sz w:val="18"/>
                <w:szCs w:val="18"/>
                <w:color w:val="auto"/>
              </w:rPr>
              <w:t>SECTION 13.10</w:t>
            </w:r>
          </w:p>
        </w:tc>
        <w:tc>
          <w:tcPr>
            <w:tcW w:w="6340" w:type="dxa"/>
            <w:vAlign w:val="bottom"/>
          </w:tcPr>
          <w:p>
            <w:pPr>
              <w:ind w:left="460"/>
              <w:spacing w:after="0"/>
              <w:rPr>
                <w:sz w:val="20"/>
                <w:szCs w:val="20"/>
                <w:color w:val="auto"/>
              </w:rPr>
            </w:pPr>
            <w:r>
              <w:rPr>
                <w:rFonts w:ascii="Arial" w:cs="Arial" w:eastAsia="Arial" w:hAnsi="Arial"/>
                <w:sz w:val="18"/>
                <w:szCs w:val="18"/>
                <w:color w:val="auto"/>
              </w:rPr>
              <w:t>Counterparts</w:t>
            </w:r>
          </w:p>
        </w:tc>
        <w:tc>
          <w:tcPr>
            <w:tcW w:w="324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13.11</w:t>
            </w:r>
          </w:p>
        </w:tc>
        <w:tc>
          <w:tcPr>
            <w:tcW w:w="63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Separability</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ind w:left="160"/>
              <w:spacing w:after="0"/>
              <w:rPr>
                <w:sz w:val="20"/>
                <w:szCs w:val="20"/>
                <w:color w:val="auto"/>
              </w:rPr>
            </w:pPr>
            <w:r>
              <w:rPr>
                <w:rFonts w:ascii="Arial" w:cs="Arial" w:eastAsia="Arial" w:hAnsi="Arial"/>
                <w:sz w:val="18"/>
                <w:szCs w:val="18"/>
                <w:color w:val="auto"/>
              </w:rPr>
              <w:t>SECTION 13.12</w:t>
            </w:r>
          </w:p>
        </w:tc>
        <w:tc>
          <w:tcPr>
            <w:tcW w:w="6340" w:type="dxa"/>
            <w:vAlign w:val="bottom"/>
          </w:tcPr>
          <w:p>
            <w:pPr>
              <w:ind w:left="460"/>
              <w:spacing w:after="0"/>
              <w:rPr>
                <w:sz w:val="20"/>
                <w:szCs w:val="20"/>
                <w:color w:val="auto"/>
              </w:rPr>
            </w:pPr>
            <w:r>
              <w:rPr>
                <w:rFonts w:ascii="Arial" w:cs="Arial" w:eastAsia="Arial" w:hAnsi="Arial"/>
                <w:sz w:val="18"/>
                <w:szCs w:val="18"/>
                <w:color w:val="auto"/>
              </w:rPr>
              <w:t>Assignment</w:t>
            </w:r>
          </w:p>
        </w:tc>
        <w:tc>
          <w:tcPr>
            <w:tcW w:w="324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ARTICLE XIV</w:t>
            </w:r>
          </w:p>
        </w:tc>
        <w:tc>
          <w:tcPr>
            <w:tcW w:w="6340" w:type="dxa"/>
            <w:vAlign w:val="bottom"/>
          </w:tcPr>
          <w:p>
            <w:pPr>
              <w:ind w:left="460"/>
              <w:spacing w:after="0"/>
              <w:rPr>
                <w:sz w:val="20"/>
                <w:szCs w:val="20"/>
                <w:color w:val="auto"/>
              </w:rPr>
            </w:pPr>
            <w:r>
              <w:rPr>
                <w:rFonts w:ascii="Arial" w:cs="Arial" w:eastAsia="Arial" w:hAnsi="Arial"/>
                <w:sz w:val="18"/>
                <w:szCs w:val="18"/>
                <w:color w:val="auto"/>
              </w:rPr>
              <w:t>SUBORDINATION OF SECURITIES</w:t>
            </w:r>
          </w:p>
        </w:tc>
        <w:tc>
          <w:tcPr>
            <w:tcW w:w="324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tcPr>
          <w:p>
            <w:pPr>
              <w:ind w:left="160"/>
              <w:spacing w:after="0"/>
              <w:rPr>
                <w:sz w:val="20"/>
                <w:szCs w:val="20"/>
                <w:color w:val="auto"/>
              </w:rPr>
            </w:pPr>
            <w:r>
              <w:rPr>
                <w:rFonts w:ascii="Arial" w:cs="Arial" w:eastAsia="Arial" w:hAnsi="Arial"/>
                <w:sz w:val="18"/>
                <w:szCs w:val="18"/>
                <w:color w:val="auto"/>
              </w:rPr>
              <w:t>SECTION 14.01</w:t>
            </w:r>
          </w:p>
        </w:tc>
        <w:tc>
          <w:tcPr>
            <w:tcW w:w="6340" w:type="dxa"/>
            <w:vAlign w:val="bottom"/>
          </w:tcPr>
          <w:p>
            <w:pPr>
              <w:ind w:left="460"/>
              <w:spacing w:after="0"/>
              <w:rPr>
                <w:sz w:val="20"/>
                <w:szCs w:val="20"/>
                <w:color w:val="auto"/>
              </w:rPr>
            </w:pPr>
            <w:r>
              <w:rPr>
                <w:rFonts w:ascii="Arial" w:cs="Arial" w:eastAsia="Arial" w:hAnsi="Arial"/>
                <w:sz w:val="18"/>
                <w:szCs w:val="18"/>
                <w:color w:val="auto"/>
              </w:rPr>
              <w:t>Subordination Terms</w:t>
            </w:r>
          </w:p>
        </w:tc>
        <w:tc>
          <w:tcPr>
            <w:tcW w:w="324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180975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94"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This Table of Contents does not constitute part of the Indenture and shall not have any bearing on the interpretation of any of its terms or provisions.</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5640"/>
        <w:spacing w:after="0"/>
        <w:rPr>
          <w:rFonts w:ascii="Arial" w:cs="Arial" w:eastAsia="Arial" w:hAnsi="Arial"/>
          <w:sz w:val="16"/>
          <w:szCs w:val="16"/>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20" w:right="239" w:bottom="1440" w:gutter="0" w:footer="0" w:header="0"/>
        </w:sectPr>
      </w:pPr>
    </w:p>
    <w:bookmarkStart w:id="112" w:name="page113"/>
    <w:bookmarkEnd w:id="112"/>
    <w:p>
      <w:pPr>
        <w:ind w:left="420"/>
        <w:spacing w:after="0"/>
        <w:rPr>
          <w:sz w:val="20"/>
          <w:szCs w:val="20"/>
          <w:color w:val="auto"/>
        </w:rPr>
      </w:pPr>
      <w:r>
        <w:rPr>
          <w:rFonts w:ascii="Arial" w:cs="Arial" w:eastAsia="Arial" w:hAnsi="Arial"/>
          <w:sz w:val="16"/>
          <w:szCs w:val="16"/>
          <w:color w:val="auto"/>
        </w:rPr>
        <w:t>INDENTURE, dated as of [</w:t>
      </w:r>
    </w:p>
    <w:p>
      <w:pPr>
        <w:spacing w:after="0" w:line="20" w:lineRule="exact"/>
        <w:rPr>
          <w:sz w:val="20"/>
          <w:szCs w:val="20"/>
          <w:color w:val="auto"/>
        </w:rPr>
      </w:pPr>
      <w:r>
        <w:rPr>
          <w:sz w:val="20"/>
          <w:szCs w:val="20"/>
          <w:color w:val="auto"/>
        </w:rPr>
        <w:br w:type="column"/>
      </w:r>
    </w:p>
    <w:p>
      <w:pPr>
        <w:jc w:val="center"/>
        <w:ind w:right="180"/>
        <w:spacing w:after="0"/>
        <w:rPr>
          <w:sz w:val="20"/>
          <w:szCs w:val="20"/>
          <w:color w:val="auto"/>
        </w:rPr>
      </w:pPr>
      <w:r>
        <w:rPr>
          <w:rFonts w:ascii="Arial" w:cs="Arial" w:eastAsia="Arial" w:hAnsi="Arial"/>
          <w:sz w:val="16"/>
          <w:szCs w:val="16"/>
          <w:color w:val="auto"/>
        </w:rPr>
        <w:t>], by and between Vringo, Inc., a Delaware corporation (the “Company”), and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-269875</wp:posOffset>
            </wp:positionV>
            <wp:extent cx="7246620"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as trustee (the</w:t>
      </w:r>
    </w:p>
    <w:p>
      <w:pPr>
        <w:spacing w:after="0" w:line="57" w:lineRule="exact"/>
        <w:rPr>
          <w:sz w:val="20"/>
          <w:szCs w:val="20"/>
          <w:color w:val="auto"/>
        </w:rPr>
      </w:pPr>
    </w:p>
    <w:p>
      <w:pPr>
        <w:sectPr>
          <w:pgSz w:w="11900" w:h="16838" w:orient="portrait"/>
          <w:cols w:equalWidth="0" w:num="3">
            <w:col w:w="2600" w:space="720"/>
            <w:col w:w="5900" w:space="720"/>
            <w:col w:w="1480"/>
          </w:cols>
          <w:pgMar w:left="240" w:top="706" w:right="239" w:bottom="1440" w:gutter="0" w:footer="0" w:header="0"/>
        </w:sectPr>
      </w:pPr>
    </w:p>
    <w:p>
      <w:pPr>
        <w:spacing w:after="0"/>
        <w:rPr>
          <w:sz w:val="20"/>
          <w:szCs w:val="20"/>
          <w:color w:val="auto"/>
        </w:rPr>
      </w:pPr>
      <w:r>
        <w:rPr>
          <w:rFonts w:ascii="Arial" w:cs="Arial" w:eastAsia="Arial" w:hAnsi="Arial"/>
          <w:sz w:val="17"/>
          <w:szCs w:val="17"/>
          <w:color w:val="auto"/>
        </w:rPr>
        <w:t>“Trustee”):</w:t>
      </w:r>
    </w:p>
    <w:p>
      <w:pPr>
        <w:sectPr>
          <w:pgSz w:w="11900" w:h="16838" w:orient="portrait"/>
          <w:cols w:equalWidth="0" w:num="1">
            <w:col w:w="11420"/>
          </w:cols>
          <w:pgMar w:left="240" w:top="706" w:right="239" w:bottom="1440" w:gutter="0" w:footer="0" w:header="0"/>
          <w:type w:val="continuous"/>
        </w:sectPr>
      </w:pPr>
    </w:p>
    <w:p>
      <w:pPr>
        <w:spacing w:after="0" w:line="222" w:lineRule="exact"/>
        <w:rPr>
          <w:sz w:val="20"/>
          <w:szCs w:val="20"/>
          <w:color w:val="auto"/>
        </w:rPr>
      </w:pPr>
    </w:p>
    <w:p>
      <w:pPr>
        <w:jc w:val="both"/>
        <w:ind w:firstLine="414"/>
        <w:spacing w:after="0" w:line="312" w:lineRule="auto"/>
        <w:rPr>
          <w:sz w:val="20"/>
          <w:szCs w:val="20"/>
          <w:color w:val="auto"/>
        </w:rPr>
      </w:pPr>
      <w:r>
        <w:rPr>
          <w:rFonts w:ascii="Arial" w:cs="Arial" w:eastAsia="Arial" w:hAnsi="Arial"/>
          <w:sz w:val="16"/>
          <w:szCs w:val="16"/>
          <w:color w:val="auto"/>
        </w:rPr>
        <w:t>WHEREAS, for its lawful corporate purposes, the Company has duly authorized the execution and delivery of this Indenture to provide for the issuance of subordinated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47" w:lineRule="exact"/>
        <w:rPr>
          <w:sz w:val="20"/>
          <w:szCs w:val="20"/>
          <w:color w:val="auto"/>
        </w:rPr>
      </w:pPr>
    </w:p>
    <w:p>
      <w:pPr>
        <w:ind w:right="660" w:firstLine="414"/>
        <w:spacing w:after="0" w:line="277" w:lineRule="auto"/>
        <w:rPr>
          <w:sz w:val="20"/>
          <w:szCs w:val="20"/>
          <w:color w:val="auto"/>
        </w:rPr>
      </w:pPr>
      <w:r>
        <w:rPr>
          <w:rFonts w:ascii="Arial" w:cs="Arial" w:eastAsia="Arial" w:hAnsi="Arial"/>
          <w:sz w:val="18"/>
          <w:szCs w:val="18"/>
          <w:color w:val="auto"/>
        </w:rPr>
        <w:t>WHEREAS, to provide the terms and conditions upon which the Securities are to be authenticated, issued and delivered, the Company has duly authorized the execution of this Indenture; and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WHEREAS, all things necessary to make this Indenture a valid agreement of the Company, in accordance with its terms, have been done.</w:t>
      </w:r>
    </w:p>
    <w:p>
      <w:pPr>
        <w:spacing w:after="0" w:line="225" w:lineRule="exact"/>
        <w:rPr>
          <w:sz w:val="20"/>
          <w:szCs w:val="20"/>
          <w:color w:val="auto"/>
        </w:rPr>
      </w:pPr>
    </w:p>
    <w:p>
      <w:pPr>
        <w:ind w:right="40" w:firstLine="414"/>
        <w:spacing w:after="0" w:line="277" w:lineRule="auto"/>
        <w:rPr>
          <w:sz w:val="20"/>
          <w:szCs w:val="20"/>
          <w:color w:val="auto"/>
        </w:rPr>
      </w:pPr>
      <w:r>
        <w:rPr>
          <w:rFonts w:ascii="Arial" w:cs="Arial" w:eastAsia="Arial" w:hAnsi="Arial"/>
          <w:sz w:val="18"/>
          <w:szCs w:val="18"/>
          <w:color w:val="auto"/>
        </w:rPr>
        <w:t>NOW, THEREFORE, in consideration of the premises and the purchase of the Securities by the holders thereof, it is mutually covenanted and agreed as follows for the equal and ratable benefit of the holders of Securities: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color w:val="auto"/>
        </w:rPr>
        <w:t>Definitions of Terms.</w:t>
      </w:r>
    </w:p>
    <w:p>
      <w:pPr>
        <w:spacing w:after="0" w:line="225" w:lineRule="exact"/>
        <w:rPr>
          <w:sz w:val="20"/>
          <w:szCs w:val="20"/>
          <w:color w:val="auto"/>
        </w:rPr>
      </w:pPr>
    </w:p>
    <w:p>
      <w:pPr>
        <w:ind w:right="60" w:firstLine="414"/>
        <w:spacing w:after="0" w:line="297" w:lineRule="auto"/>
        <w:rPr>
          <w:sz w:val="20"/>
          <w:szCs w:val="20"/>
          <w:color w:val="auto"/>
        </w:rPr>
      </w:pPr>
      <w:r>
        <w:rPr>
          <w:rFonts w:ascii="Arial" w:cs="Arial" w:eastAsia="Arial" w:hAnsi="Arial"/>
          <w:sz w:val="16"/>
          <w:szCs w:val="16"/>
          <w:color w:val="auto"/>
        </w:rPr>
        <w:t>The terms defined in this Section (except as in this Indenture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otherwise expressly provided or unless the context otherwise requires), shall have the meanings assigned to such terms in said Trust Indenture Act and in said Securities Act as in force at the date of the execution of this instrument.</w:t>
      </w:r>
    </w:p>
    <w:p>
      <w:pPr>
        <w:spacing w:after="0" w:line="158" w:lineRule="exact"/>
        <w:rPr>
          <w:sz w:val="20"/>
          <w:szCs w:val="20"/>
          <w:color w:val="auto"/>
        </w:rPr>
      </w:pPr>
    </w:p>
    <w:p>
      <w:pPr>
        <w:ind w:right="140" w:firstLine="414"/>
        <w:spacing w:after="0" w:line="277" w:lineRule="auto"/>
        <w:rPr>
          <w:sz w:val="20"/>
          <w:szCs w:val="20"/>
          <w:color w:val="auto"/>
        </w:rPr>
      </w:pPr>
      <w:r>
        <w:rPr>
          <w:rFonts w:ascii="Arial" w:cs="Arial" w:eastAsia="Arial" w:hAnsi="Arial"/>
          <w:sz w:val="18"/>
          <w:szCs w:val="18"/>
          <w:color w:val="auto"/>
        </w:rPr>
        <w:t>“Authenticating Agent” means an authenticating agent with respect to all or any of the series of Securities appointed with respect to all or any series of the Securities by the Trustee pursuant to Section 2.10.</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“Bankruptcy Law” means Title 11, U.S. Code, or any similar federal or state law for the relief of debtors.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“Board of Directors” means the Board of Directors of the Company or any duly authorized committee of such Board.</w:t>
      </w:r>
    </w:p>
    <w:p>
      <w:pPr>
        <w:spacing w:after="0" w:line="225" w:lineRule="exact"/>
        <w:rPr>
          <w:sz w:val="20"/>
          <w:szCs w:val="20"/>
          <w:color w:val="auto"/>
        </w:rPr>
      </w:pPr>
    </w:p>
    <w:p>
      <w:pPr>
        <w:ind w:right="140" w:firstLine="414"/>
        <w:spacing w:after="0" w:line="277" w:lineRule="auto"/>
        <w:rPr>
          <w:sz w:val="20"/>
          <w:szCs w:val="20"/>
          <w:color w:val="auto"/>
        </w:rPr>
      </w:pPr>
      <w:r>
        <w:rPr>
          <w:rFonts w:ascii="Arial" w:cs="Arial" w:eastAsia="Arial" w:hAnsi="Arial"/>
          <w:sz w:val="18"/>
          <w:szCs w:val="18"/>
          <w:color w:val="auto"/>
        </w:rPr>
        <w:t>“Board Resolution” means a copy of a resolution certified by the Secretary or an Assistant Secretary of the Company to have been duly adopted by the Board of Directors and to be in full force and effect on the date of such certification.</w:t>
      </w:r>
    </w:p>
    <w:p>
      <w:pPr>
        <w:spacing w:after="0" w:line="170" w:lineRule="exact"/>
        <w:rPr>
          <w:sz w:val="20"/>
          <w:szCs w:val="20"/>
          <w:color w:val="auto"/>
        </w:rPr>
      </w:pPr>
    </w:p>
    <w:p>
      <w:pPr>
        <w:ind w:right="140" w:firstLine="414"/>
        <w:spacing w:after="0" w:line="277" w:lineRule="auto"/>
        <w:rPr>
          <w:sz w:val="20"/>
          <w:szCs w:val="20"/>
          <w:color w:val="auto"/>
        </w:rPr>
      </w:pPr>
      <w:r>
        <w:rPr>
          <w:rFonts w:ascii="Arial" w:cs="Arial" w:eastAsia="Arial" w:hAnsi="Arial"/>
          <w:sz w:val="18"/>
          <w:szCs w:val="18"/>
          <w:color w:val="auto"/>
        </w:rPr>
        <w:t>“Business Day” means, with respect to any series of Securities, any day other than a day on which Federal or State banking institutions in the Borough of Manhattan, the City and State of New York, are authorized or obligated by law, executive order or regulation to close.</w:t>
      </w:r>
    </w:p>
    <w:p>
      <w:pPr>
        <w:spacing w:after="0" w:line="170" w:lineRule="exact"/>
        <w:rPr>
          <w:sz w:val="20"/>
          <w:szCs w:val="20"/>
          <w:color w:val="auto"/>
        </w:rPr>
      </w:pPr>
    </w:p>
    <w:p>
      <w:pPr>
        <w:ind w:right="600" w:firstLine="414"/>
        <w:spacing w:after="0" w:line="277" w:lineRule="auto"/>
        <w:rPr>
          <w:sz w:val="20"/>
          <w:szCs w:val="20"/>
          <w:color w:val="auto"/>
        </w:rPr>
      </w:pPr>
      <w:r>
        <w:rPr>
          <w:rFonts w:ascii="Arial" w:cs="Arial" w:eastAsia="Arial" w:hAnsi="Arial"/>
          <w:sz w:val="18"/>
          <w:szCs w:val="18"/>
          <w:color w:val="auto"/>
        </w:rPr>
        <w:t>“Certificate” means a certificate signed by the principal executive officer, the principal financial officer or the principal accounting officer of the Company. The Certificate need not comply with the provisions of Section 13.07.</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“Commission” means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type w:val="continuous"/>
        </w:sectPr>
      </w:pPr>
    </w:p>
    <w:bookmarkStart w:id="113" w:name="page114"/>
    <w:bookmarkEnd w:id="113"/>
    <w:p>
      <w:pPr>
        <w:ind w:right="240" w:firstLine="414"/>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26035"/>
                    </a:xfrm>
                    <a:prstGeom prst="rect">
                      <a:avLst/>
                    </a:prstGeom>
                    <a:noFill/>
                  </pic:spPr>
                </pic:pic>
              </a:graphicData>
            </a:graphic>
          </wp:anchor>
        </w:drawing>
        <w:t>“Company” means the corporation named as the “Company” in the first paragraph of this instrument until a successor corporation shall have become such pursuant to the applicable provisions of this Indenture, and thereafter “Company” shall mean such successor corporation.</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“Corporate Trust Office” means the office of the Trustee at which, at any particular time, its corporate trust business shall be principally administered,</w:t>
      </w:r>
    </w:p>
    <w:p>
      <w:pPr>
        <w:spacing w:after="0" w:line="4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which office at the date hereof is located at [ ], except that whenever a provision herein refers to an office or agency of the Trustee in the Borough of Manhattan, the City and State of New York, such office is located, at the date hereof, at [ ].</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“Custodian” means any receiver, trustee, assignee, liquidator, or similar official under any Bankruptcy Law.</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“Default” means an event which is, or after notice or lapse of time, or both, would constitute an Event of Default.</w:t>
      </w:r>
    </w:p>
    <w:p>
      <w:pPr>
        <w:spacing w:after="0" w:line="225" w:lineRule="exact"/>
        <w:rPr>
          <w:sz w:val="20"/>
          <w:szCs w:val="20"/>
          <w:color w:val="auto"/>
        </w:rPr>
      </w:pPr>
    </w:p>
    <w:p>
      <w:pPr>
        <w:ind w:right="380" w:firstLine="414"/>
        <w:spacing w:after="0" w:line="259" w:lineRule="auto"/>
        <w:rPr>
          <w:sz w:val="20"/>
          <w:szCs w:val="20"/>
          <w:color w:val="auto"/>
        </w:rPr>
      </w:pPr>
      <w:r>
        <w:rPr>
          <w:rFonts w:ascii="Arial" w:cs="Arial" w:eastAsia="Arial" w:hAnsi="Arial"/>
          <w:sz w:val="18"/>
          <w:szCs w:val="18"/>
          <w:color w:val="auto"/>
        </w:rPr>
        <w:t>“Depositary” means, with respect to Securities of any series, for which the Company shall determine that such Securities will be issued as a Global Security, The Depository Trust Company, New York, New York, another clearing agency, or any successor registered as a clearing agency under the Exchange Act, or other applicable statute or regulation, which, in each case, shall be designated by the Company pursuant to either Section 2.01 or Section 2.11.</w:t>
      </w:r>
    </w:p>
    <w:p>
      <w:pPr>
        <w:spacing w:after="0" w:line="187" w:lineRule="exact"/>
        <w:rPr>
          <w:sz w:val="20"/>
          <w:szCs w:val="20"/>
          <w:color w:val="auto"/>
        </w:rPr>
      </w:pPr>
    </w:p>
    <w:p>
      <w:pPr>
        <w:ind w:right="160" w:firstLine="414"/>
        <w:spacing w:after="0" w:line="277" w:lineRule="auto"/>
        <w:rPr>
          <w:sz w:val="20"/>
          <w:szCs w:val="20"/>
          <w:color w:val="auto"/>
        </w:rPr>
      </w:pPr>
      <w:r>
        <w:rPr>
          <w:rFonts w:ascii="Arial" w:cs="Arial" w:eastAsia="Arial" w:hAnsi="Arial"/>
          <w:sz w:val="18"/>
          <w:szCs w:val="18"/>
          <w:color w:val="auto"/>
        </w:rPr>
        <w:t>“Event of Default” means, with respect to Securities of a particular series, any event specified in Section 6.01, continued for the period of time, if any, therein designated.</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225" w:lineRule="exact"/>
        <w:rPr>
          <w:sz w:val="20"/>
          <w:szCs w:val="20"/>
          <w:color w:val="auto"/>
        </w:rPr>
      </w:pPr>
    </w:p>
    <w:p>
      <w:pPr>
        <w:ind w:right="20" w:firstLine="414"/>
        <w:spacing w:after="0" w:line="342" w:lineRule="auto"/>
        <w:rPr>
          <w:sz w:val="20"/>
          <w:szCs w:val="20"/>
          <w:color w:val="auto"/>
        </w:rPr>
      </w:pPr>
      <w:r>
        <w:rPr>
          <w:rFonts w:ascii="Arial" w:cs="Arial" w:eastAsia="Arial" w:hAnsi="Arial"/>
          <w:sz w:val="16"/>
          <w:szCs w:val="16"/>
          <w:color w:val="auto"/>
        </w:rPr>
        <w:t>“Global Security” means, with respect to any series of Securities, a Security executed by the Company and delivered by the Trustee to the Depositary or pursuant to the Depositary’s instruction, all in accordance with this Indenture, which shall be registered in the name of the Depositary or its nominee.</w:t>
      </w:r>
    </w:p>
    <w:p>
      <w:pPr>
        <w:spacing w:after="0" w:line="124" w:lineRule="exact"/>
        <w:rPr>
          <w:sz w:val="20"/>
          <w:szCs w:val="20"/>
          <w:color w:val="auto"/>
        </w:rPr>
      </w:pPr>
    </w:p>
    <w:p>
      <w:pPr>
        <w:ind w:firstLine="414"/>
        <w:spacing w:after="0" w:line="253" w:lineRule="auto"/>
        <w:rPr>
          <w:sz w:val="20"/>
          <w:szCs w:val="20"/>
          <w:color w:val="auto"/>
        </w:rPr>
      </w:pPr>
      <w:r>
        <w:rPr>
          <w:rFonts w:ascii="Arial" w:cs="Arial" w:eastAsia="Arial" w:hAnsi="Arial"/>
          <w:sz w:val="18"/>
          <w:szCs w:val="18"/>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non-callable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97" w:lineRule="exact"/>
        <w:rPr>
          <w:sz w:val="20"/>
          <w:szCs w:val="20"/>
          <w:color w:val="auto"/>
        </w:rPr>
      </w:pPr>
    </w:p>
    <w:p>
      <w:pPr>
        <w:ind w:right="280" w:firstLine="414"/>
        <w:spacing w:after="0" w:line="277" w:lineRule="auto"/>
        <w:rPr>
          <w:sz w:val="20"/>
          <w:szCs w:val="20"/>
          <w:color w:val="auto"/>
        </w:rPr>
      </w:pPr>
      <w:r>
        <w:rPr>
          <w:rFonts w:ascii="Arial" w:cs="Arial" w:eastAsia="Arial" w:hAnsi="Arial"/>
          <w:sz w:val="18"/>
          <w:szCs w:val="18"/>
          <w:color w:val="auto"/>
        </w:rPr>
        <w:t>“herein,” “hereof” and “hereunder,” and other words of similar import, refer to this Indenture as a whole and not to any particular Article, Section or other subdivision.</w:t>
      </w:r>
    </w:p>
    <w:p>
      <w:pPr>
        <w:spacing w:after="0" w:line="170" w:lineRule="exact"/>
        <w:rPr>
          <w:sz w:val="20"/>
          <w:szCs w:val="20"/>
          <w:color w:val="auto"/>
        </w:rPr>
      </w:pPr>
    </w:p>
    <w:p>
      <w:pPr>
        <w:ind w:right="600" w:firstLine="414"/>
        <w:spacing w:after="0" w:line="277" w:lineRule="auto"/>
        <w:rPr>
          <w:sz w:val="20"/>
          <w:szCs w:val="20"/>
          <w:color w:val="auto"/>
        </w:rPr>
      </w:pPr>
      <w:r>
        <w:rPr>
          <w:rFonts w:ascii="Arial" w:cs="Arial" w:eastAsia="Arial" w:hAnsi="Arial"/>
          <w:sz w:val="18"/>
          <w:szCs w:val="18"/>
          <w:color w:val="auto"/>
        </w:rPr>
        <w:t>“Indenture” means this instrument as originally executed or as it may from time to time be supplemented or amended by one or more indentures supplemental hereto entered into in accordance with the terms hereof.</w:t>
      </w:r>
    </w:p>
    <w:p>
      <w:pPr>
        <w:spacing w:after="0" w:line="170" w:lineRule="exact"/>
        <w:rPr>
          <w:sz w:val="20"/>
          <w:szCs w:val="20"/>
          <w:color w:val="auto"/>
        </w:rPr>
      </w:pPr>
    </w:p>
    <w:p>
      <w:pPr>
        <w:ind w:right="100" w:firstLine="414"/>
        <w:spacing w:after="0" w:line="264" w:lineRule="auto"/>
        <w:rPr>
          <w:sz w:val="20"/>
          <w:szCs w:val="20"/>
          <w:color w:val="auto"/>
        </w:rPr>
      </w:pPr>
      <w:r>
        <w:rPr>
          <w:rFonts w:ascii="Arial" w:cs="Arial" w:eastAsia="Arial" w:hAnsi="Arial"/>
          <w:sz w:val="18"/>
          <w:szCs w:val="18"/>
          <w:color w:val="auto"/>
        </w:rPr>
        <w:t>“Interest Payment Date,”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81" w:lineRule="exact"/>
        <w:rPr>
          <w:sz w:val="20"/>
          <w:szCs w:val="20"/>
          <w:color w:val="auto"/>
        </w:rPr>
      </w:pPr>
    </w:p>
    <w:p>
      <w:pPr>
        <w:ind w:right="80" w:firstLine="414"/>
        <w:spacing w:after="0" w:line="312" w:lineRule="auto"/>
        <w:rPr>
          <w:sz w:val="20"/>
          <w:szCs w:val="20"/>
          <w:color w:val="auto"/>
        </w:rPr>
      </w:pPr>
      <w:r>
        <w:rPr>
          <w:rFonts w:ascii="Arial" w:cs="Arial" w:eastAsia="Arial" w:hAnsi="Arial"/>
          <w:sz w:val="16"/>
          <w:szCs w:val="16"/>
          <w:color w:val="auto"/>
        </w:rPr>
        <w:t>“Officers’ Certificate” means a certificate signed by the President or a Vice President and by the Chief Financial Officer, the Treasurer or an Assistant Treasurer or the Controller or an Assistant Controller or the Secretary or an Assistant Secretary of the Company that is delivered to the Trustee in accordance with the terms hereof. Certificate shall include the statements provided for in Section 13.07, if and to the extent required by the provisions thereof.</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114" w:name="page115"/>
    <w:bookmarkEnd w:id="114"/>
    <w:p>
      <w:pPr>
        <w:ind w:right="660" w:firstLine="41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t>“Opinion of Counsel” means a written opinion of counsel, who may be counsel to the Company (and may include directors or employees of the Company) and which opinion is acceptable to the Trustee which acceptance shall not be unreasonably withheld.</w:t>
      </w:r>
    </w:p>
    <w:p>
      <w:pPr>
        <w:spacing w:after="0" w:line="170" w:lineRule="exact"/>
        <w:rPr>
          <w:sz w:val="20"/>
          <w:szCs w:val="20"/>
          <w:color w:val="auto"/>
        </w:rPr>
      </w:pPr>
    </w:p>
    <w:p>
      <w:pPr>
        <w:ind w:right="160" w:firstLine="414"/>
        <w:spacing w:after="0" w:line="284" w:lineRule="auto"/>
        <w:rPr>
          <w:sz w:val="20"/>
          <w:szCs w:val="20"/>
          <w:color w:val="auto"/>
        </w:rPr>
      </w:pPr>
      <w:r>
        <w:rPr>
          <w:rFonts w:ascii="Arial" w:cs="Arial" w:eastAsia="Arial" w:hAnsi="Arial"/>
          <w:sz w:val="16"/>
          <w:szCs w:val="16"/>
          <w:color w:val="auto"/>
        </w:rPr>
        <w:t>“Outstanding”,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III provided, or provision satisfactory to the Trustee shall have been made for giving such notice; and</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 Securities in lieu of or in substitution for which other Securities shall have been authenticated and delivered pursuant to the terms of Section 2.07.</w:t>
      </w:r>
    </w:p>
    <w:p>
      <w:pPr>
        <w:spacing w:after="0" w:line="222" w:lineRule="exact"/>
        <w:rPr>
          <w:sz w:val="20"/>
          <w:szCs w:val="20"/>
          <w:color w:val="auto"/>
        </w:rPr>
      </w:pPr>
    </w:p>
    <w:p>
      <w:pPr>
        <w:ind w:right="620" w:firstLine="414"/>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joint-venture, association, joint-stock company, trust, estate, unincorporated organization or government or any agency or political subdivision thereof.</w:t>
      </w:r>
    </w:p>
    <w:p>
      <w:pPr>
        <w:spacing w:after="0" w:line="170" w:lineRule="exact"/>
        <w:rPr>
          <w:sz w:val="20"/>
          <w:szCs w:val="20"/>
          <w:color w:val="auto"/>
        </w:rPr>
      </w:pPr>
    </w:p>
    <w:p>
      <w:pPr>
        <w:jc w:val="both"/>
        <w:ind w:right="120" w:firstLine="414"/>
        <w:spacing w:after="0" w:line="286" w:lineRule="auto"/>
        <w:rPr>
          <w:sz w:val="20"/>
          <w:szCs w:val="20"/>
          <w:color w:val="auto"/>
        </w:rPr>
      </w:pPr>
      <w:r>
        <w:rPr>
          <w:rFonts w:ascii="Arial" w:cs="Arial" w:eastAsia="Arial" w:hAnsi="Arial"/>
          <w:sz w:val="17"/>
          <w:szCs w:val="17"/>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2.07 in lieu of a mutilated, destroyed, lost or stolen Security shall be deemed to evidence the same debt as the mutilated, destroyed, lost or stolen Security.</w:t>
      </w:r>
    </w:p>
    <w:p>
      <w:pPr>
        <w:spacing w:after="0" w:line="166" w:lineRule="exact"/>
        <w:rPr>
          <w:sz w:val="20"/>
          <w:szCs w:val="20"/>
          <w:color w:val="auto"/>
        </w:rPr>
      </w:pPr>
    </w:p>
    <w:p>
      <w:pPr>
        <w:ind w:right="140" w:firstLine="414"/>
        <w:spacing w:after="0" w:line="279" w:lineRule="auto"/>
        <w:rPr>
          <w:sz w:val="20"/>
          <w:szCs w:val="20"/>
          <w:color w:val="auto"/>
        </w:rPr>
      </w:pPr>
      <w:r>
        <w:rPr>
          <w:rFonts w:ascii="Arial" w:cs="Arial" w:eastAsia="Arial" w:hAnsi="Arial"/>
          <w:sz w:val="17"/>
          <w:szCs w:val="17"/>
          <w:color w:val="auto"/>
        </w:rPr>
        <w:t>“Responsible Officer,” when used with respect to the Trustee, means any officer of the Trustee, including any vice president, assistant vice president, secretary, assistant secretary, the treasurer, any assistant treasurer, the managing director or any other officer of the Trustee customarily performing functions similar to those performed by any of the above designated officers and also means, with respect to a particular corporate trust matter, any other officer to whom such matter is referred because of such officer’s knowledge of and familiarity with the particular subject.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“Securities” means the debt Securities authenticated and delivered under this Indenture.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“Security Register” has the meaning specified in Section 2.05.</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“Security Registrar” has the meaning specified in Section 2.05.</w:t>
      </w:r>
    </w:p>
    <w:p>
      <w:pPr>
        <w:spacing w:after="0" w:line="225" w:lineRule="exact"/>
        <w:rPr>
          <w:sz w:val="20"/>
          <w:szCs w:val="20"/>
          <w:color w:val="auto"/>
        </w:rPr>
      </w:pPr>
    </w:p>
    <w:p>
      <w:pPr>
        <w:ind w:right="260" w:firstLine="414"/>
        <w:spacing w:after="0" w:line="277" w:lineRule="auto"/>
        <w:rPr>
          <w:sz w:val="20"/>
          <w:szCs w:val="20"/>
          <w:color w:val="auto"/>
        </w:rPr>
      </w:pPr>
      <w:r>
        <w:rPr>
          <w:rFonts w:ascii="Arial" w:cs="Arial" w:eastAsia="Arial" w:hAnsi="Arial"/>
          <w:sz w:val="18"/>
          <w:szCs w:val="18"/>
          <w:color w:val="auto"/>
        </w:rPr>
        <w:t>“Securityholder,” “holder of Securities,” “registered holder,” or other similar term, means the Person or Persons in whose name or names a particular Security shall be registered in the Security Register.</w:t>
      </w:r>
    </w:p>
    <w:p>
      <w:pPr>
        <w:spacing w:after="0" w:line="170" w:lineRule="exact"/>
        <w:rPr>
          <w:sz w:val="20"/>
          <w:szCs w:val="20"/>
          <w:color w:val="auto"/>
        </w:rPr>
      </w:pPr>
    </w:p>
    <w:p>
      <w:pPr>
        <w:ind w:right="20" w:firstLine="414"/>
        <w:spacing w:after="0" w:line="257" w:lineRule="auto"/>
        <w:rPr>
          <w:sz w:val="20"/>
          <w:szCs w:val="20"/>
          <w:color w:val="auto"/>
        </w:rPr>
      </w:pPr>
      <w:r>
        <w:rPr>
          <w:rFonts w:ascii="Arial" w:cs="Arial" w:eastAsia="Arial" w:hAnsi="Arial"/>
          <w:sz w:val="18"/>
          <w:szCs w:val="18"/>
          <w:color w:val="auto"/>
        </w:rPr>
        <w:t>“Subsidiary”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spacing w:after="0" w:line="188" w:lineRule="exact"/>
        <w:rPr>
          <w:sz w:val="20"/>
          <w:szCs w:val="20"/>
          <w:color w:val="auto"/>
        </w:rPr>
      </w:pPr>
    </w:p>
    <w:p>
      <w:pPr>
        <w:jc w:val="both"/>
        <w:ind w:firstLine="414"/>
        <w:spacing w:after="0" w:line="264" w:lineRule="auto"/>
        <w:rPr>
          <w:sz w:val="20"/>
          <w:szCs w:val="20"/>
          <w:color w:val="auto"/>
        </w:rPr>
      </w:pPr>
      <w:r>
        <w:rPr>
          <w:rFonts w:ascii="Arial" w:cs="Arial" w:eastAsia="Arial" w:hAnsi="Arial"/>
          <w:sz w:val="18"/>
          <w:szCs w:val="18"/>
          <w:color w:val="auto"/>
        </w:rPr>
        <w:t>“Trustee” means the Person named as the “Trustee” in the first paragraph of this instrument until a successor Trustee shall have become such pursuant to the applicable provisions of this Indenture, and thereafter “Trustee” shall mean such successor Trustee. The term “Trustee” as used with respect to a particular series of the Securities shall mean the trustee with respect to that series.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15" w:name="page116"/>
    <w:bookmarkEnd w:id="115"/>
    <w:p>
      <w:pPr>
        <w:ind w:right="80" w:firstLine="414"/>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“Trust Indenture Act” means the Trust Indenture Act of 1939, as amended, subject to the provisions of Sections 9.01, 9.02, and 10.01, as in effect at the date of execution of this instrument; provided, however, that in the event the Trust Indenture Act is amended after such date, Trust Indenture Act means, to the extent required by such amendment, the Trust Indenture Act of 1939, as so amended, or any successor statute.</w:t>
      </w:r>
    </w:p>
    <w:p>
      <w:pPr>
        <w:spacing w:after="0" w:line="166" w:lineRule="exact"/>
        <w:rPr>
          <w:sz w:val="20"/>
          <w:szCs w:val="20"/>
          <w:color w:val="auto"/>
        </w:rPr>
      </w:pPr>
    </w:p>
    <w:p>
      <w:pPr>
        <w:ind w:right="100" w:firstLine="414"/>
        <w:spacing w:after="0" w:line="264" w:lineRule="auto"/>
        <w:rPr>
          <w:sz w:val="20"/>
          <w:szCs w:val="20"/>
          <w:color w:val="auto"/>
        </w:rPr>
      </w:pPr>
      <w:r>
        <w:rPr>
          <w:rFonts w:ascii="Arial" w:cs="Arial" w:eastAsia="Arial" w:hAnsi="Arial"/>
          <w:sz w:val="18"/>
          <w:szCs w:val="18"/>
          <w:color w:val="auto"/>
        </w:rPr>
        <w:t>“Voting Stock,” as applied to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ISSUE, DESCRIPTION, TERMS, EXECUTION,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REGISTRATION AND EXCHANGE OF SECURITIES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color w:val="auto"/>
        </w:rPr>
        <w:t>Designation and Terms of Securities.</w:t>
      </w:r>
    </w:p>
    <w:p>
      <w:pPr>
        <w:spacing w:after="0" w:line="225" w:lineRule="exact"/>
        <w:rPr>
          <w:sz w:val="20"/>
          <w:szCs w:val="20"/>
          <w:color w:val="auto"/>
        </w:rPr>
      </w:pPr>
    </w:p>
    <w:p>
      <w:pPr>
        <w:ind w:left="660" w:right="20" w:hanging="328"/>
        <w:spacing w:after="0" w:line="257"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of the Company or pursuant to one or more indentures supplemental hereto. Prior to the initial issuance of Securities of a given series, there shall be established in or pursuant to a Board Resolution of the Company, and set forth in an Officers’ Certificate of the Company, or established in one or more indentures supplemental hereto:</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title of the Security of the series (which shall distinguish the Securities of the series from all other Securities);</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aggregate principal amount of the Securities of such series initially to be issued and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81" w:lineRule="exact"/>
        <w:rPr>
          <w:rFonts w:ascii="Arial" w:cs="Arial" w:eastAsia="Arial" w:hAnsi="Arial"/>
          <w:sz w:val="18"/>
          <w:szCs w:val="18"/>
          <w:color w:val="auto"/>
        </w:rPr>
      </w:pPr>
    </w:p>
    <w:p>
      <w:pPr>
        <w:ind w:left="1300" w:right="160" w:hanging="644"/>
        <w:spacing w:after="0" w:line="277" w:lineRule="auto"/>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 and the place(s) of payment;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82"/>
        </w:numPr>
        <w:rPr>
          <w:rFonts w:ascii="Arial" w:cs="Arial" w:eastAsia="Arial" w:hAnsi="Arial"/>
          <w:sz w:val="17"/>
          <w:szCs w:val="17"/>
          <w:color w:val="auto"/>
        </w:rPr>
      </w:pPr>
      <w:r>
        <w:rPr>
          <w:rFonts w:ascii="Arial" w:cs="Arial" w:eastAsia="Arial" w:hAnsi="Arial"/>
          <w:sz w:val="17"/>
          <w:szCs w:val="17"/>
          <w:color w:val="auto"/>
        </w:rPr>
        <w:t>the rate or rates at which the Securities of the series shall bear interest or the manner of calculation of such rate or rates, if any;</w:t>
      </w:r>
    </w:p>
    <w:p>
      <w:pPr>
        <w:spacing w:after="0" w:line="236" w:lineRule="exact"/>
        <w:rPr>
          <w:rFonts w:ascii="Arial" w:cs="Arial" w:eastAsia="Arial" w:hAnsi="Arial"/>
          <w:sz w:val="17"/>
          <w:szCs w:val="17"/>
          <w:color w:val="auto"/>
        </w:rPr>
      </w:pPr>
    </w:p>
    <w:p>
      <w:pPr>
        <w:ind w:left="1300" w:right="140" w:hanging="644"/>
        <w:spacing w:after="0" w:line="286" w:lineRule="auto"/>
        <w:tabs>
          <w:tab w:leader="none" w:pos="1300" w:val="left"/>
        </w:tabs>
        <w:numPr>
          <w:ilvl w:val="1"/>
          <w:numId w:val="82"/>
        </w:numPr>
        <w:rPr>
          <w:rFonts w:ascii="Arial" w:cs="Arial" w:eastAsia="Arial" w:hAnsi="Arial"/>
          <w:sz w:val="17"/>
          <w:szCs w:val="17"/>
          <w:color w:val="auto"/>
        </w:rPr>
      </w:pPr>
      <w:r>
        <w:rPr>
          <w:rFonts w:ascii="Arial" w:cs="Arial" w:eastAsia="Arial" w:hAnsi="Arial"/>
          <w:sz w:val="17"/>
          <w:szCs w:val="17"/>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method for determining such dates;</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or to defer the payment of interest and the duration of such extension;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16" w:name="page117"/>
    <w:bookmarkEnd w:id="116"/>
    <w:p>
      <w:pPr>
        <w:ind w:left="1300" w:right="240" w:hanging="644"/>
        <w:spacing w:after="0" w:line="277"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t>the period or periods within which, the price or prices at which and the terms and conditions upon which, Securities of the series may be redeemed, in whole or in part, at the option of the Company;</w:t>
      </w:r>
    </w:p>
    <w:p>
      <w:pPr>
        <w:spacing w:after="0" w:line="170" w:lineRule="exact"/>
        <w:rPr>
          <w:rFonts w:ascii="Arial" w:cs="Arial" w:eastAsia="Arial" w:hAnsi="Arial"/>
          <w:sz w:val="18"/>
          <w:szCs w:val="18"/>
          <w:color w:val="auto"/>
        </w:rPr>
      </w:pPr>
    </w:p>
    <w:p>
      <w:pPr>
        <w:ind w:left="1300" w:right="140" w:hanging="644"/>
        <w:spacing w:after="0" w:line="259"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obligation, if any, of the Company to redeem or purchase Securities of the series pursuant to any sinking fund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form of the Securities of the series including the form of the Certificate of Authentication for such series;</w:t>
      </w:r>
    </w:p>
    <w:p>
      <w:pPr>
        <w:spacing w:after="0" w:line="225" w:lineRule="exact"/>
        <w:rPr>
          <w:rFonts w:ascii="Arial" w:cs="Arial" w:eastAsia="Arial" w:hAnsi="Arial"/>
          <w:sz w:val="18"/>
          <w:szCs w:val="18"/>
          <w:color w:val="auto"/>
        </w:rPr>
      </w:pPr>
    </w:p>
    <w:p>
      <w:pPr>
        <w:ind w:left="1300" w:right="680" w:hanging="644"/>
        <w:spacing w:after="0" w:line="277"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other than denominations of one thousand U.S. dollars ($1,000) or any integral multiple thereof, the denominations in which the Securities of the series shall be issuable;</w:t>
      </w:r>
    </w:p>
    <w:p>
      <w:pPr>
        <w:spacing w:after="0" w:line="170" w:lineRule="exact"/>
        <w:rPr>
          <w:rFonts w:ascii="Arial" w:cs="Arial" w:eastAsia="Arial" w:hAnsi="Arial"/>
          <w:sz w:val="18"/>
          <w:szCs w:val="18"/>
          <w:color w:val="auto"/>
        </w:rPr>
      </w:pPr>
    </w:p>
    <w:p>
      <w:pPr>
        <w:ind w:left="1300" w:right="240" w:hanging="644"/>
        <w:spacing w:after="0" w:line="264"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and all other terms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whether the Securities are issuable as a Global Security and, in such case, the identity of the Depositary for such series;</w:t>
      </w:r>
    </w:p>
    <w:p>
      <w:pPr>
        <w:spacing w:after="0" w:line="225" w:lineRule="exact"/>
        <w:rPr>
          <w:rFonts w:ascii="Arial" w:cs="Arial" w:eastAsia="Arial" w:hAnsi="Arial"/>
          <w:sz w:val="18"/>
          <w:szCs w:val="18"/>
          <w:color w:val="auto"/>
        </w:rPr>
      </w:pPr>
    </w:p>
    <w:p>
      <w:pPr>
        <w:ind w:left="1300" w:right="640" w:hanging="644"/>
        <w:spacing w:after="0" w:line="342" w:lineRule="auto"/>
        <w:tabs>
          <w:tab w:leader="none" w:pos="13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whether the Securities will be convertible into shares of common stock or other securities of the Company and, if so, the terms and conditions upon which such Securities will be so convertible, including the conversion price and the conversion period;</w:t>
      </w:r>
    </w:p>
    <w:p>
      <w:pPr>
        <w:spacing w:after="0" w:line="123" w:lineRule="exact"/>
        <w:rPr>
          <w:rFonts w:ascii="Arial" w:cs="Arial" w:eastAsia="Arial" w:hAnsi="Arial"/>
          <w:sz w:val="16"/>
          <w:szCs w:val="16"/>
          <w:color w:val="auto"/>
        </w:rPr>
      </w:pPr>
    </w:p>
    <w:p>
      <w:pPr>
        <w:ind w:left="1300" w:right="520" w:hanging="644"/>
        <w:spacing w:after="0" w:line="277" w:lineRule="auto"/>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 pursuant to Section 6.01;</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any additional or different Events of Default or restrictive covenants provided for with respect to the Securities of the series; and</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subordination terms of the Securities of the series.</w:t>
      </w:r>
    </w:p>
    <w:p>
      <w:pPr>
        <w:spacing w:after="0" w:line="225" w:lineRule="exact"/>
        <w:rPr>
          <w:sz w:val="20"/>
          <w:szCs w:val="20"/>
          <w:color w:val="auto"/>
        </w:rPr>
      </w:pPr>
    </w:p>
    <w:p>
      <w:pPr>
        <w:ind w:firstLine="414"/>
        <w:spacing w:after="0" w:line="277"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any such Board Resolution or in any indentures supplemental hereto.</w:t>
      </w:r>
    </w:p>
    <w:p>
      <w:pPr>
        <w:spacing w:after="0" w:line="170" w:lineRule="exact"/>
        <w:rPr>
          <w:sz w:val="20"/>
          <w:szCs w:val="20"/>
          <w:color w:val="auto"/>
        </w:rPr>
      </w:pPr>
    </w:p>
    <w:p>
      <w:pPr>
        <w:ind w:right="40" w:firstLine="414"/>
        <w:spacing w:after="0" w:line="264" w:lineRule="auto"/>
        <w:rPr>
          <w:sz w:val="20"/>
          <w:szCs w:val="20"/>
          <w:color w:val="auto"/>
        </w:rPr>
      </w:pPr>
      <w:r>
        <w:rPr>
          <w:rFonts w:ascii="Arial" w:cs="Arial" w:eastAsia="Arial" w:hAnsi="Arial"/>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81" w:lineRule="exact"/>
        <w:rPr>
          <w:sz w:val="20"/>
          <w:szCs w:val="20"/>
          <w:color w:val="auto"/>
        </w:rPr>
      </w:pPr>
    </w:p>
    <w:p>
      <w:pPr>
        <w:jc w:val="both"/>
        <w:ind w:right="100" w:firstLine="414"/>
        <w:spacing w:after="0" w:line="264" w:lineRule="auto"/>
        <w:rPr>
          <w:sz w:val="20"/>
          <w:szCs w:val="20"/>
          <w:color w:val="auto"/>
        </w:rPr>
      </w:pPr>
      <w:r>
        <w:rPr>
          <w:rFonts w:ascii="Arial" w:cs="Arial" w:eastAsia="Arial" w:hAnsi="Arial"/>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06" w:right="299" w:bottom="1440" w:gutter="0" w:footer="0" w:header="0"/>
        </w:sectPr>
      </w:pPr>
    </w:p>
    <w:bookmarkStart w:id="117" w:name="page118"/>
    <w:bookmarkEnd w:id="117"/>
    <w:p>
      <w:pPr>
        <w:spacing w:after="0"/>
        <w:tabs>
          <w:tab w:leader="none" w:pos="1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SECTION 2.02</w:t>
      </w:r>
      <w:r>
        <w:rPr>
          <w:sz w:val="20"/>
          <w:szCs w:val="20"/>
          <w:color w:val="auto"/>
        </w:rPr>
        <w:tab/>
      </w:r>
      <w:r>
        <w:rPr>
          <w:rFonts w:ascii="Arial" w:cs="Arial" w:eastAsia="Arial" w:hAnsi="Arial"/>
          <w:sz w:val="16"/>
          <w:szCs w:val="16"/>
          <w:color w:val="auto"/>
        </w:rPr>
        <w:t>Form of Securities and Trustee’s Certificate.</w:t>
      </w:r>
    </w:p>
    <w:p>
      <w:pPr>
        <w:spacing w:after="0" w:line="225" w:lineRule="exact"/>
        <w:rPr>
          <w:sz w:val="20"/>
          <w:szCs w:val="20"/>
          <w:color w:val="auto"/>
        </w:rPr>
      </w:pPr>
    </w:p>
    <w:p>
      <w:pPr>
        <w:ind w:firstLine="414"/>
        <w:spacing w:after="0" w:line="255" w:lineRule="auto"/>
        <w:rPr>
          <w:sz w:val="20"/>
          <w:szCs w:val="20"/>
          <w:color w:val="auto"/>
        </w:rPr>
      </w:pPr>
      <w:r>
        <w:rPr>
          <w:rFonts w:ascii="Arial" w:cs="Arial" w:eastAsia="Arial" w:hAnsi="Arial"/>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of the Company and as set forth in an Officers’ Certificate of the Company and the and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stock exchange on which Securities of that series may be listed, or to conform to usage.</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color w:val="auto"/>
        </w:rPr>
        <w:t>Denominations: Provisions for Payment.</w:t>
      </w:r>
    </w:p>
    <w:p>
      <w:pPr>
        <w:spacing w:after="0" w:line="225" w:lineRule="exact"/>
        <w:rPr>
          <w:sz w:val="20"/>
          <w:szCs w:val="20"/>
          <w:color w:val="auto"/>
        </w:rPr>
      </w:pPr>
    </w:p>
    <w:p>
      <w:pPr>
        <w:ind w:right="80" w:firstLine="414"/>
        <w:spacing w:after="0" w:line="273" w:lineRule="auto"/>
        <w:rPr>
          <w:sz w:val="20"/>
          <w:szCs w:val="20"/>
          <w:color w:val="auto"/>
        </w:rPr>
      </w:pPr>
      <w:r>
        <w:rPr>
          <w:rFonts w:ascii="Arial" w:cs="Arial" w:eastAsia="Arial" w:hAnsi="Arial"/>
          <w:sz w:val="17"/>
          <w:szCs w:val="17"/>
          <w:color w:val="auto"/>
        </w:rPr>
        <w:t>The Securities shall be issuable as registered Securities and in the denominations of one thousand U.S. dollars ($1,000) or any integral multiple thereof, subject to Section 2.01(a)(12). The Securities of a particular series shall bear interest payable on the dates and at the rate specified with respect to that series.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in the Borough of Manhattan, the City and State of New York. Each Security shall be dated the date of its authentication. Interest on the Securities shall be computed on the basis of a 360-day year composed of twelve 30-day months.</w:t>
      </w:r>
    </w:p>
    <w:p>
      <w:pPr>
        <w:spacing w:after="0" w:line="178" w:lineRule="exact"/>
        <w:rPr>
          <w:sz w:val="20"/>
          <w:szCs w:val="20"/>
          <w:color w:val="auto"/>
        </w:rPr>
      </w:pPr>
    </w:p>
    <w:p>
      <w:pPr>
        <w:ind w:right="20" w:firstLine="414"/>
        <w:spacing w:after="0" w:line="276" w:lineRule="auto"/>
        <w:rPr>
          <w:sz w:val="20"/>
          <w:szCs w:val="20"/>
          <w:color w:val="auto"/>
        </w:rPr>
      </w:pPr>
      <w:r>
        <w:rPr>
          <w:rFonts w:ascii="Arial" w:cs="Arial" w:eastAsia="Arial" w:hAnsi="Arial"/>
          <w:sz w:val="17"/>
          <w:szCs w:val="17"/>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73" w:lineRule="exact"/>
        <w:rPr>
          <w:sz w:val="20"/>
          <w:szCs w:val="20"/>
          <w:color w:val="auto"/>
        </w:rPr>
      </w:pPr>
    </w:p>
    <w:p>
      <w:pPr>
        <w:ind w:right="220" w:firstLine="414"/>
        <w:spacing w:after="0" w:line="312" w:lineRule="auto"/>
        <w:rPr>
          <w:sz w:val="20"/>
          <w:szCs w:val="20"/>
          <w:color w:val="auto"/>
        </w:rPr>
      </w:pPr>
      <w:r>
        <w:rPr>
          <w:rFonts w:ascii="Arial" w:cs="Arial" w:eastAsia="Arial" w:hAnsi="Arial"/>
          <w:sz w:val="16"/>
          <w:szCs w:val="16"/>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47" w:lineRule="exact"/>
        <w:rPr>
          <w:sz w:val="20"/>
          <w:szCs w:val="20"/>
          <w:color w:val="auto"/>
        </w:rPr>
      </w:pPr>
    </w:p>
    <w:p>
      <w:pPr>
        <w:ind w:left="1300" w:right="40" w:hanging="644"/>
        <w:spacing w:after="0" w:line="286" w:lineRule="auto"/>
        <w:tabs>
          <w:tab w:leader="none" w:pos="13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18" w:name="page119"/>
    <w:bookmarkEnd w:id="118"/>
    <w:p>
      <w:pPr>
        <w:ind w:left="1300" w:right="220" w:hanging="644"/>
        <w:spacing w:after="0" w:line="259"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ind w:right="80" w:firstLine="414"/>
        <w:spacing w:after="0" w:line="273" w:lineRule="auto"/>
        <w:rPr>
          <w:sz w:val="20"/>
          <w:szCs w:val="20"/>
          <w:color w:val="auto"/>
        </w:rPr>
      </w:pPr>
      <w:r>
        <w:rPr>
          <w:rFonts w:ascii="Arial" w:cs="Arial" w:eastAsia="Arial" w:hAnsi="Arial"/>
          <w:sz w:val="17"/>
          <w:szCs w:val="17"/>
          <w:color w:val="auto"/>
        </w:rPr>
        <w:t>Unless otherwise set forth in a Board Resolution of the Company or one or more indentures supplemental hereto establishing the terms of any series of Securities pursuant to Section 2.01 hereof, the term “regular record date” as used in this Section with respect to a series of Securities with respect to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last day of the month immediately preceding the month in which an Interest Payment Date established for such series pursuant to Section 2.01 hereof shall occur, if such Interest Payment Date is the fifteenth day of a month, whether or not such date is a Business Day.</w:t>
      </w:r>
    </w:p>
    <w:p>
      <w:pPr>
        <w:spacing w:after="0" w:line="178" w:lineRule="exact"/>
        <w:rPr>
          <w:sz w:val="20"/>
          <w:szCs w:val="20"/>
          <w:color w:val="auto"/>
        </w:rPr>
      </w:pPr>
    </w:p>
    <w:p>
      <w:pPr>
        <w:ind w:right="20" w:firstLine="414"/>
        <w:spacing w:after="0" w:line="308" w:lineRule="auto"/>
        <w:rPr>
          <w:sz w:val="20"/>
          <w:szCs w:val="20"/>
          <w:color w:val="auto"/>
        </w:rPr>
      </w:pPr>
      <w:r>
        <w:rPr>
          <w:rFonts w:ascii="Arial" w:cs="Arial" w:eastAsia="Arial" w:hAnsi="Arial"/>
          <w:sz w:val="17"/>
          <w:szCs w:val="17"/>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color w:val="auto"/>
        </w:rPr>
        <w:t>Execution and Authentications.</w:t>
      </w:r>
    </w:p>
    <w:p>
      <w:pPr>
        <w:spacing w:after="0" w:line="225" w:lineRule="exact"/>
        <w:rPr>
          <w:sz w:val="20"/>
          <w:szCs w:val="20"/>
          <w:color w:val="auto"/>
        </w:rPr>
      </w:pPr>
    </w:p>
    <w:p>
      <w:pPr>
        <w:ind w:right="60" w:firstLine="414"/>
        <w:spacing w:after="0" w:line="270" w:lineRule="auto"/>
        <w:rPr>
          <w:sz w:val="20"/>
          <w:szCs w:val="20"/>
          <w:color w:val="auto"/>
        </w:rPr>
      </w:pPr>
      <w:r>
        <w:rPr>
          <w:rFonts w:ascii="Arial" w:cs="Arial" w:eastAsia="Arial" w:hAnsi="Arial"/>
          <w:sz w:val="17"/>
          <w:szCs w:val="17"/>
          <w:color w:val="auto"/>
        </w:rPr>
        <w:t>The Securities shall be signed on behalf of the Company by its President, or one of its Vice Presidents, or its Treasurer, or one of its Assistant Treasurers, or its Secretary, or one of its Assistant Secretaries, under its corporate seal attested by its Secretary or one of its Assistant Secretaries. Signatures may be in the form of a manual or facsimile signature. The Company may use the facsimile signature of any Person who shall have been a President or Vice President thereof, or of any Person who shall have been a Treasurer or Assistant Treasurer thereof, or of any Person who shall have been a Secretary or Assistant Secretary thereof, notwithstanding the fact that at the time the Securities shall be authenticated and delivered or disposed of such Person shall have ceased to be the President or a Vice President, the Treasurer or an Assistant Treasurer or the Secretary or an Assistant Secretary, of the Company. The seal of the Company may be in the form of a facsimile of such seal and may be impressed, affixed, imprinted or otherwise reproduced on the Securities. The Securities may contain such notations, legends or endorsements required by law, stock exchange rule or usage. Each Security shall be dated the date of its authentication.</w:t>
      </w:r>
    </w:p>
    <w:p>
      <w:pPr>
        <w:spacing w:after="0" w:line="182" w:lineRule="exact"/>
        <w:rPr>
          <w:sz w:val="20"/>
          <w:szCs w:val="20"/>
          <w:color w:val="auto"/>
        </w:rPr>
      </w:pPr>
    </w:p>
    <w:p>
      <w:pPr>
        <w:ind w:firstLine="414"/>
        <w:spacing w:after="0" w:line="272" w:lineRule="auto"/>
        <w:rPr>
          <w:sz w:val="20"/>
          <w:szCs w:val="20"/>
          <w:color w:val="auto"/>
        </w:rPr>
      </w:pPr>
      <w:r>
        <w:rPr>
          <w:rFonts w:ascii="Arial" w:cs="Arial" w:eastAsia="Arial" w:hAnsi="Arial"/>
          <w:sz w:val="17"/>
          <w:szCs w:val="17"/>
          <w:color w:val="auto"/>
        </w:rPr>
        <w:t>A Security shall not be valid or obligatory for any purpose and shall not be entitled to any benefit under this Indenture, in each case, until authenticated with a certificate of authentication manually signed by an authorized signatory of the Trustee, or by an Authenticating Agent. Such certificate shall be conclusive evidence, and the only evidence, that the Security so authenticated has been duly authenticated and delivered hereunder and that the Security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its President or any Vice President and its Secretary or any Assistant Secretary, and the Trustee in accordance with such written order shall authenticate and deliver such Securities.</w:t>
      </w:r>
    </w:p>
    <w:p>
      <w:pPr>
        <w:spacing w:after="0" w:line="178" w:lineRule="exact"/>
        <w:rPr>
          <w:sz w:val="20"/>
          <w:szCs w:val="20"/>
          <w:color w:val="auto"/>
        </w:rPr>
      </w:pPr>
    </w:p>
    <w:p>
      <w:pPr>
        <w:ind w:right="140" w:firstLine="414"/>
        <w:spacing w:after="0" w:line="264" w:lineRule="auto"/>
        <w:rPr>
          <w:sz w:val="20"/>
          <w:szCs w:val="20"/>
          <w:color w:val="auto"/>
        </w:rPr>
      </w:pPr>
      <w:r>
        <w:rPr>
          <w:rFonts w:ascii="Arial" w:cs="Arial" w:eastAsia="Arial" w:hAnsi="Arial"/>
          <w:sz w:val="18"/>
          <w:szCs w:val="18"/>
          <w:color w:val="auto"/>
        </w:rPr>
        <w:t>In authenticating such Securities and accepting the additional responsibilities under this Indenture in relation to such Securities, the Trustee shall be entitled to receive, and (subject to Section 7.01) shall be fully protected in relying upon, an Opinion of Counsel stating that the form and terms thereof have been established in conformity with the provisions of this Indenture.</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06" w:right="299" w:bottom="1440" w:gutter="0" w:footer="0" w:header="0"/>
        </w:sectPr>
      </w:pPr>
    </w:p>
    <w:bookmarkStart w:id="119" w:name="page120"/>
    <w:bookmarkEnd w:id="119"/>
    <w:p>
      <w:pPr>
        <w:ind w:right="220" w:firstLine="414"/>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color w:val="auto"/>
        </w:rPr>
        <w:t>Registration of Transfer and Exchange.</w:t>
      </w:r>
    </w:p>
    <w:p>
      <w:pPr>
        <w:spacing w:after="0" w:line="225" w:lineRule="exact"/>
        <w:rPr>
          <w:sz w:val="20"/>
          <w:szCs w:val="20"/>
          <w:color w:val="auto"/>
        </w:rPr>
      </w:pPr>
    </w:p>
    <w:p>
      <w:pPr>
        <w:ind w:left="660" w:right="40" w:hanging="328"/>
        <w:spacing w:after="0" w:line="255"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Securities of any series may be exchanged upon presentation thereof at the office or agency of the Company designated for such purpose in the Borough of Manhattan, the City and State of New York,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93" w:lineRule="exact"/>
        <w:rPr>
          <w:rFonts w:ascii="Arial" w:cs="Arial" w:eastAsia="Arial" w:hAnsi="Arial"/>
          <w:sz w:val="18"/>
          <w:szCs w:val="18"/>
          <w:color w:val="auto"/>
        </w:rPr>
      </w:pPr>
    </w:p>
    <w:p>
      <w:pPr>
        <w:ind w:left="660" w:hanging="328"/>
        <w:spacing w:after="0" w:line="297" w:lineRule="auto"/>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Company shall keep, or cause to be kept, at its office or agency designated for such purpose in the Borough of Manhattan, the City and State of New York, or such other location designated by the Company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158" w:lineRule="exact"/>
        <w:rPr>
          <w:rFonts w:ascii="Arial" w:cs="Arial" w:eastAsia="Arial" w:hAnsi="Arial"/>
          <w:sz w:val="16"/>
          <w:szCs w:val="16"/>
          <w:color w:val="auto"/>
        </w:rPr>
      </w:pPr>
    </w:p>
    <w:p>
      <w:pPr>
        <w:ind w:left="660" w:right="20"/>
        <w:spacing w:after="0" w:line="264" w:lineRule="auto"/>
        <w:rPr>
          <w:rFonts w:ascii="Arial" w:cs="Arial" w:eastAsia="Arial" w:hAnsi="Arial"/>
          <w:sz w:val="16"/>
          <w:szCs w:val="16"/>
          <w:color w:val="auto"/>
        </w:rPr>
      </w:pPr>
      <w:r>
        <w:rPr>
          <w:rFonts w:ascii="Arial" w:cs="Arial" w:eastAsia="Arial" w:hAnsi="Arial"/>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81" w:lineRule="exact"/>
        <w:rPr>
          <w:rFonts w:ascii="Arial" w:cs="Arial" w:eastAsia="Arial" w:hAnsi="Arial"/>
          <w:sz w:val="16"/>
          <w:szCs w:val="16"/>
          <w:color w:val="auto"/>
        </w:rPr>
      </w:pPr>
    </w:p>
    <w:p>
      <w:pPr>
        <w:ind w:left="660" w:right="160"/>
        <w:spacing w:after="0" w:line="264" w:lineRule="auto"/>
        <w:rPr>
          <w:rFonts w:ascii="Arial" w:cs="Arial" w:eastAsia="Arial" w:hAnsi="Arial"/>
          <w:sz w:val="16"/>
          <w:szCs w:val="16"/>
          <w:color w:val="auto"/>
        </w:rPr>
      </w:pPr>
      <w:r>
        <w:rPr>
          <w:rFonts w:ascii="Arial" w:cs="Arial" w:eastAsia="Arial" w:hAnsi="Arial"/>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81" w:lineRule="exact"/>
        <w:rPr>
          <w:rFonts w:ascii="Arial" w:cs="Arial" w:eastAsia="Arial" w:hAnsi="Arial"/>
          <w:sz w:val="16"/>
          <w:szCs w:val="16"/>
          <w:color w:val="auto"/>
        </w:rPr>
      </w:pPr>
    </w:p>
    <w:p>
      <w:pPr>
        <w:ind w:left="660" w:right="80" w:hanging="328"/>
        <w:spacing w:after="0" w:line="264"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3.03(b) and Section 9.04 not involving any transfer.</w:t>
      </w:r>
    </w:p>
    <w:p>
      <w:pPr>
        <w:spacing w:after="0" w:line="181" w:lineRule="exact"/>
        <w:rPr>
          <w:rFonts w:ascii="Arial" w:cs="Arial" w:eastAsia="Arial" w:hAnsi="Arial"/>
          <w:sz w:val="18"/>
          <w:szCs w:val="18"/>
          <w:color w:val="auto"/>
        </w:rPr>
      </w:pPr>
    </w:p>
    <w:p>
      <w:pPr>
        <w:ind w:left="660" w:right="60" w:hanging="328"/>
        <w:spacing w:after="0" w:line="302" w:lineRule="auto"/>
        <w:tabs>
          <w:tab w:leader="none" w:pos="6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The provisions of this Section 2.05 are, with respect to any Global Security, subject to Section 2.11 hereof.</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sectPr>
      </w:pPr>
    </w:p>
    <w:bookmarkStart w:id="120" w:name="page121"/>
    <w:bookmarkEnd w:id="120"/>
    <w:p>
      <w:pPr>
        <w:spacing w:after="0"/>
        <w:tabs>
          <w:tab w:leader="none" w:pos="1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SECTION 2.06</w:t>
      </w:r>
      <w:r>
        <w:rPr>
          <w:sz w:val="20"/>
          <w:szCs w:val="20"/>
          <w:color w:val="auto"/>
        </w:rPr>
        <w:tab/>
      </w:r>
      <w:r>
        <w:rPr>
          <w:rFonts w:ascii="Arial" w:cs="Arial" w:eastAsia="Arial" w:hAnsi="Arial"/>
          <w:sz w:val="16"/>
          <w:szCs w:val="16"/>
          <w:color w:val="auto"/>
        </w:rPr>
        <w:t>Temporary Securities.</w:t>
      </w:r>
    </w:p>
    <w:p>
      <w:pPr>
        <w:spacing w:after="0" w:line="225" w:lineRule="exact"/>
        <w:rPr>
          <w:sz w:val="20"/>
          <w:szCs w:val="20"/>
          <w:color w:val="auto"/>
        </w:rPr>
      </w:pPr>
    </w:p>
    <w:p>
      <w:pPr>
        <w:ind w:firstLine="414"/>
        <w:spacing w:after="0" w:line="269" w:lineRule="auto"/>
        <w:rPr>
          <w:sz w:val="20"/>
          <w:szCs w:val="20"/>
          <w:color w:val="auto"/>
        </w:rPr>
      </w:pPr>
      <w:r>
        <w:rPr>
          <w:rFonts w:ascii="Arial" w:cs="Arial" w:eastAsia="Arial" w:hAnsi="Arial"/>
          <w:sz w:val="17"/>
          <w:szCs w:val="17"/>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in the Borough of Manhattan, the City and State of New York,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6"/>
          <w:szCs w:val="16"/>
          <w:color w:val="auto"/>
        </w:rPr>
        <w:t>Mutilated, Destroyed, Lost or Stolen Securities.</w:t>
      </w:r>
    </w:p>
    <w:p>
      <w:pPr>
        <w:spacing w:after="0" w:line="225" w:lineRule="exact"/>
        <w:rPr>
          <w:sz w:val="20"/>
          <w:szCs w:val="20"/>
          <w:color w:val="auto"/>
        </w:rPr>
      </w:pPr>
    </w:p>
    <w:p>
      <w:pPr>
        <w:ind w:right="20" w:firstLine="414"/>
        <w:spacing w:after="0" w:line="286" w:lineRule="auto"/>
        <w:rPr>
          <w:sz w:val="20"/>
          <w:szCs w:val="20"/>
          <w:color w:val="auto"/>
        </w:rPr>
      </w:pPr>
      <w:r>
        <w:rPr>
          <w:rFonts w:ascii="Arial" w:cs="Arial" w:eastAsia="Arial" w:hAnsi="Arial"/>
          <w:sz w:val="16"/>
          <w:szCs w:val="16"/>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 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75" w:lineRule="exact"/>
        <w:rPr>
          <w:sz w:val="20"/>
          <w:szCs w:val="20"/>
          <w:color w:val="auto"/>
        </w:rPr>
      </w:pPr>
    </w:p>
    <w:p>
      <w:pPr>
        <w:ind w:firstLine="414"/>
        <w:spacing w:after="0" w:line="293" w:lineRule="auto"/>
        <w:rPr>
          <w:sz w:val="20"/>
          <w:szCs w:val="20"/>
          <w:color w:val="auto"/>
        </w:rPr>
      </w:pPr>
      <w:r>
        <w:rPr>
          <w:rFonts w:ascii="Arial" w:cs="Arial" w:eastAsia="Arial" w:hAnsi="Arial"/>
          <w:sz w:val="16"/>
          <w:szCs w:val="16"/>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color w:val="auto"/>
        </w:rPr>
        <w:t>Cancellation.</w:t>
      </w:r>
    </w:p>
    <w:p>
      <w:pPr>
        <w:spacing w:after="0" w:line="225" w:lineRule="exact"/>
        <w:rPr>
          <w:sz w:val="20"/>
          <w:szCs w:val="20"/>
          <w:color w:val="auto"/>
        </w:rPr>
      </w:pPr>
    </w:p>
    <w:p>
      <w:pPr>
        <w:ind w:right="40" w:firstLine="414"/>
        <w:spacing w:after="0" w:line="255" w:lineRule="auto"/>
        <w:rPr>
          <w:sz w:val="20"/>
          <w:szCs w:val="20"/>
          <w:color w:val="auto"/>
        </w:rPr>
      </w:pPr>
      <w:r>
        <w:rPr>
          <w:rFonts w:ascii="Arial" w:cs="Arial" w:eastAsia="Arial" w:hAnsi="Arial"/>
          <w:sz w:val="18"/>
          <w:szCs w:val="18"/>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121" w:name="page122"/>
    <w:bookmarkEnd w:id="121"/>
    <w:p>
      <w:pPr>
        <w:spacing w:after="0"/>
        <w:tabs>
          <w:tab w:leader="none" w:pos="1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SECTION 2.09</w:t>
      </w:r>
      <w:r>
        <w:rPr>
          <w:sz w:val="20"/>
          <w:szCs w:val="20"/>
          <w:color w:val="auto"/>
        </w:rPr>
        <w:tab/>
      </w:r>
      <w:r>
        <w:rPr>
          <w:rFonts w:ascii="Arial" w:cs="Arial" w:eastAsia="Arial" w:hAnsi="Arial"/>
          <w:sz w:val="16"/>
          <w:szCs w:val="16"/>
          <w:color w:val="auto"/>
        </w:rPr>
        <w:t>Benefits of Indenture.</w:t>
      </w:r>
    </w:p>
    <w:p>
      <w:pPr>
        <w:spacing w:after="0" w:line="225" w:lineRule="exact"/>
        <w:rPr>
          <w:sz w:val="20"/>
          <w:szCs w:val="20"/>
          <w:color w:val="auto"/>
        </w:rPr>
      </w:pPr>
    </w:p>
    <w:p>
      <w:pPr>
        <w:ind w:right="20" w:firstLine="414"/>
        <w:spacing w:after="0" w:line="257" w:lineRule="auto"/>
        <w:rPr>
          <w:sz w:val="20"/>
          <w:szCs w:val="20"/>
          <w:color w:val="auto"/>
        </w:rPr>
      </w:pPr>
      <w:r>
        <w:rPr>
          <w:rFonts w:ascii="Arial" w:cs="Arial" w:eastAsia="Arial" w:hAnsi="Arial"/>
          <w:sz w:val="18"/>
          <w:szCs w:val="18"/>
          <w:color w:val="auto"/>
        </w:rPr>
        <w:t>Nothing in this Indenture or in the Securities, express or implied, shall give or be construed to give to any Person, other than the parties hereto and the holders of the Securities (and, with respect to the provisions of Article XIV, the holders of Senior Indebtedness, as defined in any supplement to this Indenture pursuant to Article XIV) any legal or equitable right, remedy or claim under or in respect of this Indenture, or under any covenant, condition or provision herein contained; all such covenants, conditions and provisions being for the sole benefit of the parties hereto and of the holders of the Securities (and, with respect to the provisions of Article XIV, the holders of Senior Indebtedness).</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color w:val="auto"/>
        </w:rPr>
        <w:t>Authenticating Agent.</w:t>
      </w:r>
    </w:p>
    <w:p>
      <w:pPr>
        <w:spacing w:after="0" w:line="225" w:lineRule="exact"/>
        <w:rPr>
          <w:sz w:val="20"/>
          <w:szCs w:val="20"/>
          <w:color w:val="auto"/>
        </w:rPr>
      </w:pPr>
    </w:p>
    <w:p>
      <w:pPr>
        <w:ind w:firstLine="414"/>
        <w:spacing w:after="0" w:line="270" w:lineRule="auto"/>
        <w:rPr>
          <w:sz w:val="20"/>
          <w:szCs w:val="20"/>
          <w:color w:val="auto"/>
        </w:rPr>
      </w:pPr>
      <w:r>
        <w:rPr>
          <w:rFonts w:ascii="Arial" w:cs="Arial" w:eastAsia="Arial" w:hAnsi="Arial"/>
          <w:sz w:val="17"/>
          <w:szCs w:val="17"/>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82" w:lineRule="exact"/>
        <w:rPr>
          <w:sz w:val="20"/>
          <w:szCs w:val="20"/>
          <w:color w:val="auto"/>
        </w:rPr>
      </w:pPr>
    </w:p>
    <w:p>
      <w:pPr>
        <w:ind w:right="140" w:firstLine="414"/>
        <w:spacing w:after="0" w:line="297" w:lineRule="auto"/>
        <w:rPr>
          <w:sz w:val="20"/>
          <w:szCs w:val="20"/>
          <w:color w:val="auto"/>
        </w:rPr>
      </w:pPr>
      <w:r>
        <w:rPr>
          <w:rFonts w:ascii="Arial" w:cs="Arial" w:eastAsia="Arial" w:hAnsi="Arial"/>
          <w:sz w:val="16"/>
          <w:szCs w:val="16"/>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color w:val="auto"/>
        </w:rPr>
        <w:t>Global Securities</w:t>
      </w:r>
    </w:p>
    <w:p>
      <w:pPr>
        <w:spacing w:after="0" w:line="225" w:lineRule="exact"/>
        <w:rPr>
          <w:sz w:val="20"/>
          <w:szCs w:val="20"/>
          <w:color w:val="auto"/>
        </w:rPr>
      </w:pPr>
    </w:p>
    <w:p>
      <w:pPr>
        <w:ind w:left="660" w:right="120" w:hanging="328"/>
        <w:spacing w:after="0" w:line="272" w:lineRule="auto"/>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If the Company shall establish pursuant to Section 2.01 that some or all of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the Outstanding Securities of such series which are to be issued as a Global Security,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77" w:lineRule="exact"/>
        <w:rPr>
          <w:rFonts w:ascii="Arial" w:cs="Arial" w:eastAsia="Arial" w:hAnsi="Arial"/>
          <w:sz w:val="17"/>
          <w:szCs w:val="17"/>
          <w:color w:val="auto"/>
        </w:rPr>
      </w:pPr>
    </w:p>
    <w:p>
      <w:pPr>
        <w:ind w:left="660" w:right="40" w:hanging="328"/>
        <w:spacing w:after="0" w:line="264"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22" w:name="page123"/>
    <w:bookmarkEnd w:id="122"/>
    <w:p>
      <w:pPr>
        <w:ind w:left="660" w:hanging="328"/>
        <w:spacing w:after="0" w:line="283" w:lineRule="auto"/>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26035"/>
                    </a:xfrm>
                    <a:prstGeom prst="rect">
                      <a:avLst/>
                    </a:prstGeom>
                    <a:noFill/>
                  </pic:spPr>
                </pic:pic>
              </a:graphicData>
            </a:graphic>
          </wp:anchor>
        </w:drawing>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this Section 2.11 shall no longer be applicable to the Securities of such series and the Company will execute, and subject to Section 2.05,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2.05,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w:t>
      </w:r>
    </w:p>
    <w:p>
      <w:pPr>
        <w:spacing w:after="0" w:line="3" w:lineRule="exact"/>
        <w:rPr>
          <w:rFonts w:ascii="Arial" w:cs="Arial" w:eastAsia="Arial" w:hAnsi="Arial"/>
          <w:sz w:val="16"/>
          <w:szCs w:val="16"/>
          <w:color w:val="auto"/>
        </w:rPr>
      </w:pPr>
    </w:p>
    <w:p>
      <w:pPr>
        <w:jc w:val="both"/>
        <w:ind w:left="660" w:right="80"/>
        <w:spacing w:after="0" w:line="255" w:lineRule="auto"/>
        <w:rPr>
          <w:rFonts w:ascii="Arial" w:cs="Arial" w:eastAsia="Arial" w:hAnsi="Arial"/>
          <w:sz w:val="16"/>
          <w:szCs w:val="16"/>
          <w:color w:val="auto"/>
        </w:rPr>
      </w:pPr>
      <w:r>
        <w:rPr>
          <w:rFonts w:ascii="Arial" w:cs="Arial" w:eastAsia="Arial" w:hAnsi="Arial"/>
          <w:sz w:val="18"/>
          <w:szCs w:val="18"/>
          <w:color w:val="auto"/>
        </w:rPr>
        <w:t>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 OF SECURITIES AND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SINKING FUND PROVISIONS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color w:val="auto"/>
        </w:rPr>
        <w:t>Redemption.</w:t>
      </w:r>
    </w:p>
    <w:p>
      <w:pPr>
        <w:spacing w:after="0" w:line="225" w:lineRule="exact"/>
        <w:rPr>
          <w:sz w:val="20"/>
          <w:szCs w:val="20"/>
          <w:color w:val="auto"/>
        </w:rPr>
      </w:pPr>
    </w:p>
    <w:p>
      <w:pPr>
        <w:ind w:right="320" w:firstLine="414"/>
        <w:spacing w:after="0" w:line="277" w:lineRule="auto"/>
        <w:rPr>
          <w:sz w:val="20"/>
          <w:szCs w:val="20"/>
          <w:color w:val="auto"/>
        </w:rPr>
      </w:pPr>
      <w:r>
        <w:rPr>
          <w:rFonts w:ascii="Arial" w:cs="Arial" w:eastAsia="Arial" w:hAnsi="Arial"/>
          <w:sz w:val="18"/>
          <w:szCs w:val="18"/>
          <w:color w:val="auto"/>
        </w:rPr>
        <w:t>The Company may redeem the Securities of any series issued hereunder on and after the dates and in accordance with the terms established for such series pursuant to Section 2.01 hereof.</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6"/>
          <w:szCs w:val="16"/>
          <w:color w:val="auto"/>
        </w:rPr>
        <w:t>Notice of Redemption.</w:t>
      </w:r>
    </w:p>
    <w:p>
      <w:pPr>
        <w:spacing w:after="0" w:line="225" w:lineRule="exact"/>
        <w:rPr>
          <w:sz w:val="20"/>
          <w:szCs w:val="20"/>
          <w:color w:val="auto"/>
        </w:rPr>
      </w:pPr>
    </w:p>
    <w:p>
      <w:pPr>
        <w:ind w:left="660" w:right="60" w:hanging="328"/>
        <w:spacing w:after="0" w:line="270" w:lineRule="auto"/>
        <w:tabs>
          <w:tab w:leader="none" w:pos="6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In case the Company shall desire to exercise such right to redeem all or, as the case may be, a portion of the Securities of any series in accordance with the right reserved so to do,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78" w:lineRule="exact"/>
        <w:rPr>
          <w:sz w:val="20"/>
          <w:szCs w:val="20"/>
          <w:color w:val="auto"/>
        </w:rPr>
      </w:pPr>
    </w:p>
    <w:p>
      <w:pPr>
        <w:ind w:right="40" w:firstLine="414"/>
        <w:spacing w:after="0" w:line="290" w:lineRule="auto"/>
        <w:rPr>
          <w:sz w:val="20"/>
          <w:szCs w:val="20"/>
          <w:color w:val="auto"/>
        </w:rPr>
      </w:pPr>
      <w:r>
        <w:rPr>
          <w:rFonts w:ascii="Arial" w:cs="Arial" w:eastAsia="Arial" w:hAnsi="Arial"/>
          <w:sz w:val="16"/>
          <w:szCs w:val="16"/>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in the Borough of Manhattan, the City and State of New York, upon presentation and surrender of such Securities, that interest accrued to the date fixed for redemption will be paid as specified in said notice, that from and after said date interest will cease to accrue and that the redemption is for a sinking fund, if such is the case. If less than all the Securities of a series are to be redeemed, the notice to the holders of Securities of that series to be redeemed in whole or in part shall specify the particular Securities to be so redeemed. 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123" w:name="page124"/>
    <w:bookmarkEnd w:id="123"/>
    <w:p>
      <w:pPr>
        <w:ind w:left="660" w:hanging="328"/>
        <w:spacing w:after="0" w:line="269" w:lineRule="auto"/>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26035"/>
                    </a:xfrm>
                    <a:prstGeom prst="rect">
                      <a:avLst/>
                    </a:prstGeom>
                    <a:noFill/>
                  </pic:spPr>
                </pic:pic>
              </a:graphicData>
            </a:graphic>
          </wp:anchor>
        </w:drawing>
        <w:t>If less than all the Securities of a series are to be redeemed, the Company shall give the Trustee at least 30 days’ notice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its President or any Vice President,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color w:val="auto"/>
        </w:rPr>
        <w:t>Payment Upon Redemption.</w:t>
      </w:r>
    </w:p>
    <w:p>
      <w:pPr>
        <w:spacing w:after="0" w:line="225" w:lineRule="exact"/>
        <w:rPr>
          <w:sz w:val="20"/>
          <w:szCs w:val="20"/>
          <w:color w:val="auto"/>
        </w:rPr>
      </w:pPr>
    </w:p>
    <w:p>
      <w:pPr>
        <w:ind w:left="660" w:right="40" w:hanging="328"/>
        <w:spacing w:after="0" w:line="290" w:lineRule="auto"/>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66" w:lineRule="exact"/>
        <w:rPr>
          <w:rFonts w:ascii="Arial" w:cs="Arial" w:eastAsia="Arial" w:hAnsi="Arial"/>
          <w:sz w:val="16"/>
          <w:szCs w:val="16"/>
          <w:color w:val="auto"/>
        </w:rPr>
      </w:pPr>
    </w:p>
    <w:p>
      <w:pPr>
        <w:ind w:left="660" w:right="280" w:hanging="328"/>
        <w:spacing w:after="0" w:line="312" w:lineRule="auto"/>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color w:val="auto"/>
        </w:rPr>
        <w:t>Sinking Fund.</w:t>
      </w:r>
    </w:p>
    <w:p>
      <w:pPr>
        <w:spacing w:after="0" w:line="225" w:lineRule="exact"/>
        <w:rPr>
          <w:sz w:val="20"/>
          <w:szCs w:val="20"/>
          <w:color w:val="auto"/>
        </w:rPr>
      </w:pPr>
    </w:p>
    <w:p>
      <w:pPr>
        <w:ind w:right="280" w:firstLine="414"/>
        <w:spacing w:after="0" w:line="277" w:lineRule="auto"/>
        <w:rPr>
          <w:sz w:val="20"/>
          <w:szCs w:val="20"/>
          <w:color w:val="auto"/>
        </w:rPr>
      </w:pPr>
      <w:r>
        <w:rPr>
          <w:rFonts w:ascii="Arial" w:cs="Arial" w:eastAsia="Arial" w:hAnsi="Arial"/>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70" w:lineRule="exact"/>
        <w:rPr>
          <w:sz w:val="20"/>
          <w:szCs w:val="20"/>
          <w:color w:val="auto"/>
        </w:rPr>
      </w:pPr>
    </w:p>
    <w:p>
      <w:pPr>
        <w:ind w:right="40" w:firstLine="414"/>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124" w:name="page125"/>
    <w:bookmarkEnd w:id="124"/>
    <w:p>
      <w:pPr>
        <w:spacing w:after="0"/>
        <w:tabs>
          <w:tab w:leader="none" w:pos="1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SECTION 3.05</w:t>
      </w:r>
      <w:r>
        <w:rPr>
          <w:sz w:val="20"/>
          <w:szCs w:val="20"/>
          <w:color w:val="auto"/>
        </w:rPr>
        <w:tab/>
      </w:r>
      <w:r>
        <w:rPr>
          <w:rFonts w:ascii="Arial" w:cs="Arial" w:eastAsia="Arial" w:hAnsi="Arial"/>
          <w:sz w:val="16"/>
          <w:szCs w:val="16"/>
          <w:color w:val="auto"/>
        </w:rPr>
        <w:t>Satisfaction of Sinking Fund Payments with Securities.</w:t>
      </w:r>
    </w:p>
    <w:p>
      <w:pPr>
        <w:spacing w:after="0" w:line="225" w:lineRule="exact"/>
        <w:rPr>
          <w:sz w:val="20"/>
          <w:szCs w:val="20"/>
          <w:color w:val="auto"/>
        </w:rPr>
      </w:pPr>
    </w:p>
    <w:p>
      <w:pPr>
        <w:ind w:right="120" w:firstLine="414"/>
        <w:spacing w:after="0" w:line="255" w:lineRule="auto"/>
        <w:rPr>
          <w:sz w:val="20"/>
          <w:szCs w:val="20"/>
          <w:color w:val="auto"/>
        </w:rPr>
      </w:pPr>
      <w:r>
        <w:rPr>
          <w:rFonts w:ascii="Arial" w:cs="Arial" w:eastAsia="Arial" w:hAnsi="Arial"/>
          <w:sz w:val="18"/>
          <w:szCs w:val="18"/>
          <w:color w:val="auto"/>
        </w:rPr>
        <w:t>The Company (i) may deliver Outstanding Securities of a series (other than any Securities previously called for redemption)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color w:val="auto"/>
        </w:rPr>
        <w:t>Redemption of Securities for Sinking Fund.</w:t>
      </w:r>
    </w:p>
    <w:p>
      <w:pPr>
        <w:spacing w:after="0" w:line="225" w:lineRule="exact"/>
        <w:rPr>
          <w:sz w:val="20"/>
          <w:szCs w:val="20"/>
          <w:color w:val="auto"/>
        </w:rPr>
      </w:pPr>
    </w:p>
    <w:p>
      <w:pPr>
        <w:ind w:firstLine="414"/>
        <w:spacing w:after="0" w:line="272" w:lineRule="auto"/>
        <w:rPr>
          <w:sz w:val="20"/>
          <w:szCs w:val="20"/>
          <w:color w:val="auto"/>
        </w:rPr>
      </w:pPr>
      <w:r>
        <w:rPr>
          <w:rFonts w:ascii="Arial" w:cs="Arial" w:eastAsia="Arial" w:hAnsi="Arial"/>
          <w:sz w:val="17"/>
          <w:szCs w:val="17"/>
          <w:color w:val="auto"/>
        </w:rPr>
        <w:t>Not less than 45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color w:val="auto"/>
        </w:rPr>
        <w:t>Payment of Principal, Premium and Interest.</w:t>
      </w:r>
    </w:p>
    <w:p>
      <w:pPr>
        <w:spacing w:after="0" w:line="225" w:lineRule="exact"/>
        <w:rPr>
          <w:sz w:val="20"/>
          <w:szCs w:val="20"/>
          <w:color w:val="auto"/>
        </w:rPr>
      </w:pPr>
    </w:p>
    <w:p>
      <w:pPr>
        <w:ind w:right="160" w:firstLine="414"/>
        <w:spacing w:after="0" w:line="277" w:lineRule="auto"/>
        <w:rPr>
          <w:sz w:val="20"/>
          <w:szCs w:val="20"/>
          <w:color w:val="auto"/>
        </w:rPr>
      </w:pPr>
      <w:r>
        <w:rPr>
          <w:rFonts w:ascii="Arial" w:cs="Arial" w:eastAsia="Arial" w:hAnsi="Arial"/>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color w:val="auto"/>
        </w:rPr>
        <w:t>Maintenance of Office or Agency.</w:t>
      </w:r>
    </w:p>
    <w:p>
      <w:pPr>
        <w:spacing w:after="0" w:line="225" w:lineRule="exact"/>
        <w:rPr>
          <w:sz w:val="20"/>
          <w:szCs w:val="20"/>
          <w:color w:val="auto"/>
        </w:rPr>
      </w:pPr>
    </w:p>
    <w:p>
      <w:pPr>
        <w:ind w:right="140" w:firstLine="414"/>
        <w:spacing w:after="0" w:line="291" w:lineRule="auto"/>
        <w:rPr>
          <w:sz w:val="20"/>
          <w:szCs w:val="20"/>
          <w:color w:val="auto"/>
        </w:rPr>
      </w:pPr>
      <w:r>
        <w:rPr>
          <w:rFonts w:ascii="Arial" w:cs="Arial" w:eastAsia="Arial" w:hAnsi="Arial"/>
          <w:sz w:val="16"/>
          <w:szCs w:val="16"/>
          <w:color w:val="auto"/>
        </w:rPr>
        <w:t>So long as any series of the Securities remain Outstanding, the Company agrees to maintain an office or agency in the Borough of Manhattan, the City and State of New York, with respect to each such series and at such other location or locations as may be designated as provided in this Section 4.02, where</w:t>
      </w:r>
    </w:p>
    <w:p>
      <w:pPr>
        <w:ind w:firstLine="8"/>
        <w:spacing w:after="0" w:line="252" w:lineRule="auto"/>
        <w:tabs>
          <w:tab w:leader="none" w:pos="215" w:val="left"/>
        </w:tabs>
        <w:numPr>
          <w:ilvl w:val="0"/>
          <w:numId w:val="92"/>
        </w:numPr>
        <w:rPr>
          <w:rFonts w:ascii="Arial" w:cs="Arial" w:eastAsia="Arial" w:hAnsi="Arial"/>
          <w:sz w:val="18"/>
          <w:szCs w:val="18"/>
          <w:color w:val="auto"/>
        </w:rPr>
      </w:pPr>
      <w:r>
        <w:rPr>
          <w:rFonts w:ascii="Arial" w:cs="Arial" w:eastAsia="Arial" w:hAnsi="Arial"/>
          <w:sz w:val="18"/>
          <w:szCs w:val="18"/>
          <w:color w:val="auto"/>
        </w:rPr>
        <w:t>Securities of that series may be presented or surrendered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its President or a Vice President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color w:val="auto"/>
        </w:rPr>
        <w:t>Paying Agents.</w:t>
      </w:r>
    </w:p>
    <w:p>
      <w:pPr>
        <w:spacing w:after="0" w:line="225" w:lineRule="exact"/>
        <w:rPr>
          <w:sz w:val="20"/>
          <w:szCs w:val="20"/>
          <w:color w:val="auto"/>
        </w:rPr>
      </w:pPr>
    </w:p>
    <w:p>
      <w:pPr>
        <w:jc w:val="both"/>
        <w:ind w:left="660" w:right="180" w:hanging="328"/>
        <w:spacing w:after="0" w:line="264"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81" w:lineRule="exact"/>
        <w:rPr>
          <w:rFonts w:ascii="Arial" w:cs="Arial" w:eastAsia="Arial" w:hAnsi="Arial"/>
          <w:sz w:val="18"/>
          <w:szCs w:val="18"/>
          <w:color w:val="auto"/>
        </w:rPr>
      </w:pPr>
    </w:p>
    <w:p>
      <w:pPr>
        <w:ind w:left="1300" w:right="40" w:hanging="644"/>
        <w:spacing w:after="0" w:line="264" w:lineRule="auto"/>
        <w:tabs>
          <w:tab w:leader="none" w:pos="13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125" w:name="page126"/>
    <w:bookmarkEnd w:id="125"/>
    <w:p>
      <w:pPr>
        <w:ind w:left="1300" w:right="220" w:hanging="644"/>
        <w:spacing w:after="0" w:line="308" w:lineRule="auto"/>
        <w:tabs>
          <w:tab w:leader="none" w:pos="1300" w:val="left"/>
        </w:tabs>
        <w:numPr>
          <w:ilvl w:val="1"/>
          <w:numId w:val="9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that it will perform all other duties of paying agent as set forth in this Indenture.</w:t>
      </w:r>
    </w:p>
    <w:p>
      <w:pPr>
        <w:spacing w:after="0" w:line="225" w:lineRule="exact"/>
        <w:rPr>
          <w:rFonts w:ascii="Arial" w:cs="Arial" w:eastAsia="Arial" w:hAnsi="Arial"/>
          <w:sz w:val="18"/>
          <w:szCs w:val="18"/>
          <w:color w:val="auto"/>
        </w:rPr>
      </w:pPr>
    </w:p>
    <w:p>
      <w:pPr>
        <w:ind w:left="660" w:hanging="328"/>
        <w:spacing w:after="0" w:line="270" w:lineRule="auto"/>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with monies held by all other paying agents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81" w:lineRule="exact"/>
        <w:rPr>
          <w:rFonts w:ascii="Arial" w:cs="Arial" w:eastAsia="Arial" w:hAnsi="Arial"/>
          <w:sz w:val="17"/>
          <w:szCs w:val="17"/>
          <w:color w:val="auto"/>
        </w:rPr>
      </w:pPr>
    </w:p>
    <w:p>
      <w:pPr>
        <w:ind w:left="660" w:hanging="328"/>
        <w:spacing w:after="0" w:line="297" w:lineRule="auto"/>
        <w:tabs>
          <w:tab w:leader="none" w:pos="6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any paying agent to the Trustee, such paying agent shall be released from all further liability with respect to such money.</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color w:val="auto"/>
        </w:rPr>
        <w:t>Appointment to Fill Vacancy in Office of Trustee.</w:t>
      </w:r>
    </w:p>
    <w:p>
      <w:pPr>
        <w:spacing w:after="0" w:line="225" w:lineRule="exact"/>
        <w:rPr>
          <w:sz w:val="20"/>
          <w:szCs w:val="20"/>
          <w:color w:val="auto"/>
        </w:rPr>
      </w:pPr>
    </w:p>
    <w:p>
      <w:pPr>
        <w:ind w:right="60" w:firstLine="414"/>
        <w:spacing w:after="0" w:line="277" w:lineRule="auto"/>
        <w:rPr>
          <w:sz w:val="20"/>
          <w:szCs w:val="20"/>
          <w:color w:val="auto"/>
        </w:rPr>
      </w:pPr>
      <w:r>
        <w:rPr>
          <w:rFonts w:ascii="Arial" w:cs="Arial" w:eastAsia="Arial" w:hAnsi="Arial"/>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6"/>
          <w:szCs w:val="16"/>
          <w:color w:val="auto"/>
        </w:rPr>
        <w:t>Compliance with Consolidation Provisions.</w:t>
      </w:r>
    </w:p>
    <w:p>
      <w:pPr>
        <w:spacing w:after="0" w:line="225" w:lineRule="exact"/>
        <w:rPr>
          <w:sz w:val="20"/>
          <w:szCs w:val="20"/>
          <w:color w:val="auto"/>
        </w:rPr>
      </w:pPr>
    </w:p>
    <w:p>
      <w:pPr>
        <w:ind w:right="80" w:firstLine="414"/>
        <w:spacing w:after="0" w:line="264" w:lineRule="auto"/>
        <w:rPr>
          <w:sz w:val="20"/>
          <w:szCs w:val="20"/>
          <w:color w:val="auto"/>
        </w:rPr>
      </w:pPr>
      <w:r>
        <w:rPr>
          <w:rFonts w:ascii="Arial" w:cs="Arial" w:eastAsia="Arial" w:hAnsi="Arial"/>
          <w:sz w:val="18"/>
          <w:szCs w:val="18"/>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company unless the provisions of Article X hereof are complied with.</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26035"/>
                    </a:xfrm>
                    <a:prstGeom prst="rect">
                      <a:avLst/>
                    </a:prstGeom>
                    <a:noFill/>
                  </pic:spPr>
                </pic:pic>
              </a:graphicData>
            </a:graphic>
          </wp:anchor>
        </w:drawing>
        <w:t>ARTICLE V</w:t>
      </w:r>
    </w:p>
    <w:p>
      <w:pPr>
        <w:spacing w:after="0" w:line="22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SECURITYHOLDERS’ LISTS AND REPORTS BY THE COMPANY AND THE TRUSTEE</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color w:val="auto"/>
        </w:rPr>
        <w:t>Company to Furnish Trustee Names and Addresses of Securityholders.</w:t>
      </w:r>
    </w:p>
    <w:p>
      <w:pPr>
        <w:spacing w:after="0" w:line="225" w:lineRule="exact"/>
        <w:rPr>
          <w:sz w:val="20"/>
          <w:szCs w:val="20"/>
          <w:color w:val="auto"/>
        </w:rPr>
      </w:pPr>
    </w:p>
    <w:p>
      <w:pPr>
        <w:ind w:right="40" w:firstLine="414"/>
        <w:spacing w:after="0" w:line="255" w:lineRule="auto"/>
        <w:rPr>
          <w:sz w:val="20"/>
          <w:szCs w:val="20"/>
          <w:color w:val="auto"/>
        </w:rPr>
      </w:pPr>
      <w:r>
        <w:rPr>
          <w:rFonts w:ascii="Arial" w:cs="Arial" w:eastAsia="Arial" w:hAnsi="Arial"/>
          <w:sz w:val="18"/>
          <w:szCs w:val="18"/>
          <w:color w:val="auto"/>
        </w:rPr>
        <w:t>If the Company is not the Security Register, the Company will furnish or use reasonable efforts to cause to be furnished to the Trustee (a) on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89"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color w:val="auto"/>
        </w:rPr>
        <w:t>Preservation Of Information; Communications With Securityholders.</w:t>
      </w:r>
    </w:p>
    <w:p>
      <w:pPr>
        <w:spacing w:after="0" w:line="225" w:lineRule="exact"/>
        <w:rPr>
          <w:sz w:val="20"/>
          <w:szCs w:val="20"/>
          <w:color w:val="auto"/>
        </w:rPr>
      </w:pPr>
    </w:p>
    <w:p>
      <w:pPr>
        <w:ind w:left="840" w:right="220" w:hanging="413"/>
        <w:spacing w:after="0" w:line="259" w:lineRule="auto"/>
        <w:tabs>
          <w:tab w:leader="none" w:pos="8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 and shall otherwise comply with Section 312(a) of the Trust Indenture Act.</w:t>
      </w:r>
    </w:p>
    <w:p>
      <w:pPr>
        <w:spacing w:after="0" w:line="186" w:lineRule="exact"/>
        <w:rPr>
          <w:rFonts w:ascii="Arial" w:cs="Arial" w:eastAsia="Arial" w:hAnsi="Arial"/>
          <w:sz w:val="18"/>
          <w:szCs w:val="18"/>
          <w:color w:val="auto"/>
        </w:rPr>
      </w:pPr>
    </w:p>
    <w:p>
      <w:pPr>
        <w:ind w:left="840" w:hanging="413"/>
        <w:spacing w:after="0"/>
        <w:tabs>
          <w:tab w:leader="none" w:pos="8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Trustee may destroy any list furnished to it as provided in Section 5.01 upon receipt of a new list so furnished.</w:t>
      </w:r>
    </w:p>
    <w:p>
      <w:pPr>
        <w:spacing w:after="0" w:line="225" w:lineRule="exact"/>
        <w:rPr>
          <w:rFonts w:ascii="Arial" w:cs="Arial" w:eastAsia="Arial" w:hAnsi="Arial"/>
          <w:sz w:val="18"/>
          <w:szCs w:val="18"/>
          <w:color w:val="auto"/>
        </w:rPr>
      </w:pPr>
    </w:p>
    <w:p>
      <w:pPr>
        <w:ind w:left="840" w:right="80" w:hanging="413"/>
        <w:spacing w:after="0" w:line="277" w:lineRule="auto"/>
        <w:tabs>
          <w:tab w:leader="none" w:pos="8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Securityholders may communicate as provided in Section 312(b) of the Trust Indenture Act with other Securityholders with respect to their rights under this Indenture or under the Securities.</w:t>
      </w:r>
    </w:p>
    <w:p>
      <w:pPr>
        <w:spacing w:after="0" w:line="170"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6"/>
          <w:szCs w:val="16"/>
          <w:color w:val="auto"/>
        </w:rPr>
        <w:t>Reports by the Company.</w:t>
      </w:r>
    </w:p>
    <w:p>
      <w:pPr>
        <w:spacing w:after="0" w:line="225" w:lineRule="exact"/>
        <w:rPr>
          <w:sz w:val="20"/>
          <w:szCs w:val="20"/>
          <w:color w:val="auto"/>
        </w:rPr>
      </w:pPr>
    </w:p>
    <w:p>
      <w:pPr>
        <w:ind w:left="840" w:hanging="413"/>
        <w:spacing w:after="0" w:line="270" w:lineRule="auto"/>
        <w:tabs>
          <w:tab w:leader="none" w:pos="8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Company covenants and agrees to 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that the Company may be required to file with the Commission pursuant to Section 13 or Section 15(d) of the Exchange Act; or, if the Company is not required to file information, documents or reports pursuant to either of such sections, then to file with the Trustee and the Commission, in accordance with the rules and regulations prescribed from time to time by the Commission, such of the supplementary and periodic information, documents and reports that may be required pursuant to Section 13 of the Exchange Act, in respect of a security listed and registered on a national securities exchange as may be prescribed from time to time in such rules and regulations; provided, however, the Company shall not be required to deliver to the Trustee any materials for which the Company has sought and received confidential treatment by the Commission. The Company also shall comply with the other provisions of Section 314(a) of the Trust Indenture Act.</w:t>
      </w:r>
    </w:p>
    <w:p>
      <w:pPr>
        <w:spacing w:after="0" w:line="177" w:lineRule="exact"/>
        <w:rPr>
          <w:rFonts w:ascii="Arial" w:cs="Arial" w:eastAsia="Arial" w:hAnsi="Arial"/>
          <w:sz w:val="17"/>
          <w:szCs w:val="17"/>
          <w:color w:val="auto"/>
        </w:rPr>
      </w:pPr>
    </w:p>
    <w:p>
      <w:pPr>
        <w:ind w:left="840" w:right="40" w:hanging="413"/>
        <w:spacing w:after="0" w:line="286" w:lineRule="auto"/>
        <w:tabs>
          <w:tab w:leader="none" w:pos="8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Company covenants and agrees to file with the Trustee and the Commission, in accordance with the rules and regulations prescribed from to time by the Commission, such additional information, documents and reports with respect to compliance by the Company with the conditions and covenants provided for in this Indenture as may be required from time to time by such rules and regulations.</w:t>
      </w:r>
    </w:p>
    <w:p>
      <w:pPr>
        <w:spacing w:after="0" w:line="165" w:lineRule="exact"/>
        <w:rPr>
          <w:rFonts w:ascii="Arial" w:cs="Arial" w:eastAsia="Arial" w:hAnsi="Arial"/>
          <w:sz w:val="17"/>
          <w:szCs w:val="17"/>
          <w:color w:val="auto"/>
        </w:rPr>
      </w:pPr>
    </w:p>
    <w:p>
      <w:pPr>
        <w:ind w:left="840" w:right="100" w:hanging="413"/>
        <w:spacing w:after="0" w:line="288" w:lineRule="auto"/>
        <w:tabs>
          <w:tab w:leader="none" w:pos="8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Company covenants and agrees to transmit by mail, first class postage prepaid, or reputable over-night delivery service that provides for evidence of receipt, to the Securityholders, as their names and addresses appear upon the Security Register, within 30 days after the filing thereof with the Trustee, such summaries of any information, documents and reports required to be filed by the Company pursuant to subsections (a) and</w:t>
      </w:r>
    </w:p>
    <w:p>
      <w:pPr>
        <w:ind w:left="840"/>
        <w:spacing w:after="0"/>
        <w:rPr>
          <w:rFonts w:ascii="Arial" w:cs="Arial" w:eastAsia="Arial" w:hAnsi="Arial"/>
          <w:sz w:val="16"/>
          <w:szCs w:val="16"/>
          <w:color w:val="auto"/>
        </w:rPr>
      </w:pPr>
      <w:r>
        <w:rPr>
          <w:rFonts w:ascii="Arial" w:cs="Arial" w:eastAsia="Arial" w:hAnsi="Arial"/>
          <w:sz w:val="18"/>
          <w:szCs w:val="18"/>
          <w:color w:val="auto"/>
        </w:rPr>
        <w:t>(b) of this Section as may be required by rules and regulations prescribed from time to time by the Commission.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27" w:name="page128"/>
    <w:bookmarkEnd w:id="127"/>
    <w:p>
      <w:pPr>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SECTION 5.04</w:t>
      </w:r>
      <w:r>
        <w:rPr>
          <w:sz w:val="20"/>
          <w:szCs w:val="20"/>
          <w:color w:val="auto"/>
        </w:rPr>
        <w:tab/>
      </w:r>
      <w:r>
        <w:rPr>
          <w:rFonts w:ascii="Arial" w:cs="Arial" w:eastAsia="Arial" w:hAnsi="Arial"/>
          <w:sz w:val="16"/>
          <w:szCs w:val="16"/>
          <w:color w:val="auto"/>
        </w:rPr>
        <w:t>Reports by the Trustee.</w:t>
      </w:r>
    </w:p>
    <w:p>
      <w:pPr>
        <w:spacing w:after="0" w:line="225" w:lineRule="exact"/>
        <w:rPr>
          <w:sz w:val="20"/>
          <w:szCs w:val="20"/>
          <w:color w:val="auto"/>
        </w:rPr>
      </w:pPr>
    </w:p>
    <w:p>
      <w:pPr>
        <w:ind w:left="840" w:right="80" w:hanging="413"/>
        <w:spacing w:after="0" w:line="264" w:lineRule="auto"/>
        <w:tabs>
          <w:tab w:leader="none" w:pos="8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Trustee shall transmit to holders as provided in Section 313 of the Trust Indenture Act such reports concerning the Trustee and its actions under this Indenture as may be required by Section 313 of the Trust Indenture Act at the times and in the manner provided by the Trust Indenture Act.</w:t>
      </w:r>
    </w:p>
    <w:p>
      <w:pPr>
        <w:spacing w:after="0" w:line="181" w:lineRule="exact"/>
        <w:rPr>
          <w:rFonts w:ascii="Arial" w:cs="Arial" w:eastAsia="Arial" w:hAnsi="Arial"/>
          <w:sz w:val="18"/>
          <w:szCs w:val="18"/>
          <w:color w:val="auto"/>
        </w:rPr>
      </w:pPr>
    </w:p>
    <w:p>
      <w:pPr>
        <w:ind w:left="840" w:right="60" w:hanging="413"/>
        <w:spacing w:after="0" w:line="286" w:lineRule="auto"/>
        <w:tabs>
          <w:tab w:leader="none" w:pos="8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 copy of each such report shall, at the time of such transmission to Securityholders, be filed by the Trustee with the Company, with each stock exchange upon which any Securities are listed (if so listed) and, if required by Section 313 of the Trust Indenture Act, also with the Commission. The Company agrees to notify the Trustee when any Securities become listed on any stock exchange.</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REMEDIES OF THE TRUSTEE AND SECURITYHOLDERS ON EVENT OF DEFAULT</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color w:val="auto"/>
        </w:rPr>
        <w:t>Events of Default.</w:t>
      </w:r>
    </w:p>
    <w:p>
      <w:pPr>
        <w:spacing w:after="0" w:line="225" w:lineRule="exact"/>
        <w:rPr>
          <w:sz w:val="20"/>
          <w:szCs w:val="20"/>
          <w:color w:val="auto"/>
        </w:rPr>
      </w:pPr>
    </w:p>
    <w:p>
      <w:pPr>
        <w:ind w:left="840" w:right="60" w:hanging="413"/>
        <w:spacing w:after="0" w:line="277" w:lineRule="auto"/>
        <w:tabs>
          <w:tab w:leader="none" w:pos="8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Whenever used herein with respect to Securities of a particular series, “Event of Default” means any one or more of the following events that has occurred and is continuing:</w:t>
      </w:r>
    </w:p>
    <w:p>
      <w:pPr>
        <w:spacing w:after="0" w:line="170" w:lineRule="exact"/>
        <w:rPr>
          <w:rFonts w:ascii="Arial" w:cs="Arial" w:eastAsia="Arial" w:hAnsi="Arial"/>
          <w:sz w:val="18"/>
          <w:szCs w:val="18"/>
          <w:color w:val="auto"/>
        </w:rPr>
      </w:pPr>
    </w:p>
    <w:p>
      <w:pPr>
        <w:ind w:left="1380" w:right="100" w:hanging="521"/>
        <w:spacing w:after="0" w:line="259" w:lineRule="auto"/>
        <w:tabs>
          <w:tab w:leader="none" w:pos="13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Company defaults in the payment of any installment of interest upon any of the Securities of that series, as and when the same shall become due and payable, and continuance of such default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86" w:lineRule="exact"/>
        <w:rPr>
          <w:rFonts w:ascii="Arial" w:cs="Arial" w:eastAsia="Arial" w:hAnsi="Arial"/>
          <w:sz w:val="18"/>
          <w:szCs w:val="18"/>
          <w:color w:val="auto"/>
        </w:rPr>
      </w:pPr>
    </w:p>
    <w:p>
      <w:pPr>
        <w:ind w:left="1380" w:right="60" w:hanging="521"/>
        <w:spacing w:after="0" w:line="257" w:lineRule="auto"/>
        <w:tabs>
          <w:tab w:leader="none" w:pos="13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88" w:lineRule="exact"/>
        <w:rPr>
          <w:rFonts w:ascii="Arial" w:cs="Arial" w:eastAsia="Arial" w:hAnsi="Arial"/>
          <w:sz w:val="18"/>
          <w:szCs w:val="18"/>
          <w:color w:val="auto"/>
        </w:rPr>
      </w:pPr>
    </w:p>
    <w:p>
      <w:pPr>
        <w:ind w:left="1380" w:hanging="521"/>
        <w:spacing w:after="0" w:line="293" w:lineRule="auto"/>
        <w:tabs>
          <w:tab w:leader="none" w:pos="1380"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not less than a majority in principal amount of the Securities of that series at the time Outstanding;</w:t>
      </w:r>
    </w:p>
    <w:p>
      <w:pPr>
        <w:spacing w:after="0" w:line="164" w:lineRule="exact"/>
        <w:rPr>
          <w:rFonts w:ascii="Arial" w:cs="Arial" w:eastAsia="Arial" w:hAnsi="Arial"/>
          <w:sz w:val="16"/>
          <w:szCs w:val="16"/>
          <w:color w:val="auto"/>
        </w:rPr>
      </w:pPr>
    </w:p>
    <w:p>
      <w:pPr>
        <w:ind w:left="1380" w:right="200" w:hanging="521"/>
        <w:spacing w:after="0" w:line="264" w:lineRule="auto"/>
        <w:tabs>
          <w:tab w:leader="none" w:pos="138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06" w:right="299" w:bottom="1440" w:gutter="0" w:footer="0" w:header="0"/>
        </w:sectPr>
      </w:pPr>
    </w:p>
    <w:bookmarkStart w:id="128" w:name="page129"/>
    <w:bookmarkEnd w:id="128"/>
    <w:p>
      <w:pPr>
        <w:ind w:left="960" w:right="20" w:hanging="521"/>
        <w:spacing w:after="0" w:line="264" w:lineRule="auto"/>
        <w:tabs>
          <w:tab w:leader="none" w:pos="9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consecutive days.</w:t>
      </w:r>
    </w:p>
    <w:p>
      <w:pPr>
        <w:spacing w:after="0" w:line="181" w:lineRule="exact"/>
        <w:rPr>
          <w:rFonts w:ascii="Arial" w:cs="Arial" w:eastAsia="Arial" w:hAnsi="Arial"/>
          <w:sz w:val="18"/>
          <w:szCs w:val="18"/>
          <w:color w:val="auto"/>
        </w:rPr>
      </w:pPr>
    </w:p>
    <w:p>
      <w:pPr>
        <w:ind w:left="420" w:right="80" w:hanging="413"/>
        <w:spacing w:after="0" w:line="270" w:lineRule="auto"/>
        <w:tabs>
          <w:tab w:leader="none" w:pos="4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In each and every such case, unless the principal of all the Securities of that series shall have already become due and payable, either the Trustee or the holders of not less than a majority in aggregate principal amount of the Securities of that series then Outstanding hereunder, by notice in writing to the Company (and to the Trustee if given by such Securityholders), may declare the principal (or, if any Securities of that series are discount securities, that portion of the principal amount as may be specified in the terms of that series pursuant to Section 2.01(a)(16)) of (and premium, if any, on) and accrued and unpaid interest, if any, on all the Securities of that series to be due and payable immediately, and upon any such declaration the same shall become and shall be immediately due and payable. Notwithstanding the foregoing, the payment of such principal (or, if any Securities of that series are discount securities, that portion of the principal amount as may be specified in the terms of that series pursuant to Section 2.01(a)(16)) of (and premium, if any, on) and accrued and unpaid interest, if any, on the Securities of such series shall remain subordinated to the extent provided in Article XIV.</w:t>
      </w:r>
    </w:p>
    <w:p>
      <w:pPr>
        <w:spacing w:after="0" w:line="181" w:lineRule="exact"/>
        <w:rPr>
          <w:rFonts w:ascii="Arial" w:cs="Arial" w:eastAsia="Arial" w:hAnsi="Arial"/>
          <w:sz w:val="17"/>
          <w:szCs w:val="17"/>
          <w:color w:val="auto"/>
        </w:rPr>
      </w:pPr>
    </w:p>
    <w:p>
      <w:pPr>
        <w:ind w:left="420" w:hanging="413"/>
        <w:spacing w:after="0" w:line="269" w:lineRule="auto"/>
        <w:tabs>
          <w:tab w:leader="none" w:pos="4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At any time after the principal of the Securities of that series shall have been so declared due and payable, and before a judgment or decree for the payment of the moneys due shall have been obtained or entered as hereinafter provided, the holders of a majority in aggregate principal amount of the Securities of that series then Outstanding hereunder (or, by action at a meeting of holders of the Securities of such series in accordance with Section 8.09, the holders of a majority in aggregate principal amount of the Securities of such series then Outstanding represented at such meeting),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and (ii) any and all Events of Default under this Indenture with respect to such series, other than the nonpayment of principal of (and premium, if any, on) and accrued and unpaid interest, if any, on Securities of that series that shall have become due solely because of such acceleration, shall have been remedied, cured or waived as provided in Section 6.06. No such rescission and annulment shall extend to or shall affect any subsequent default or impair any right consequent thereon.</w:t>
      </w:r>
    </w:p>
    <w:p>
      <w:pPr>
        <w:spacing w:after="0" w:line="182" w:lineRule="exact"/>
        <w:rPr>
          <w:rFonts w:ascii="Arial" w:cs="Arial" w:eastAsia="Arial" w:hAnsi="Arial"/>
          <w:sz w:val="17"/>
          <w:szCs w:val="17"/>
          <w:color w:val="auto"/>
        </w:rPr>
      </w:pPr>
    </w:p>
    <w:p>
      <w:pPr>
        <w:ind w:left="420" w:right="260" w:hanging="413"/>
        <w:spacing w:after="0" w:line="257" w:lineRule="auto"/>
        <w:tabs>
          <w:tab w:leader="none" w:pos="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200" w:lineRule="exact"/>
        <w:rPr>
          <w:sz w:val="20"/>
          <w:szCs w:val="20"/>
          <w:color w:val="auto"/>
        </w:rPr>
      </w:pPr>
    </w:p>
    <w:p>
      <w:pPr>
        <w:spacing w:after="0" w:line="20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14605</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660" w:top="706" w:right="279" w:bottom="1440" w:gutter="0" w:footer="0" w:header="0"/>
        </w:sectPr>
      </w:pPr>
    </w:p>
    <w:bookmarkStart w:id="129" w:name="page130"/>
    <w:bookmarkEnd w:id="129"/>
    <w:p>
      <w:pPr>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SECTION 6.02</w:t>
      </w:r>
      <w:r>
        <w:rPr>
          <w:sz w:val="20"/>
          <w:szCs w:val="20"/>
          <w:color w:val="auto"/>
        </w:rPr>
        <w:tab/>
      </w:r>
      <w:r>
        <w:rPr>
          <w:rFonts w:ascii="Arial" w:cs="Arial" w:eastAsia="Arial" w:hAnsi="Arial"/>
          <w:sz w:val="16"/>
          <w:szCs w:val="16"/>
          <w:color w:val="auto"/>
        </w:rPr>
        <w:t>Collection of Indebtedness and Suits for Enforcement by Trustee.</w:t>
      </w:r>
    </w:p>
    <w:p>
      <w:pPr>
        <w:spacing w:after="0" w:line="225" w:lineRule="exact"/>
        <w:rPr>
          <w:sz w:val="20"/>
          <w:szCs w:val="20"/>
          <w:color w:val="auto"/>
        </w:rPr>
      </w:pPr>
    </w:p>
    <w:p>
      <w:pPr>
        <w:ind w:left="840" w:right="40" w:hanging="413"/>
        <w:spacing w:after="0" w:line="270" w:lineRule="auto"/>
        <w:tabs>
          <w:tab w:leader="none" w:pos="8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Company covenants that (1) in case it shall default in the payment of any installment of interest on any of the Securities of a series, or any payment required by any sinking or analogous fund established with respect to that series as and when the same shall have become due and payable, and such default shall have continued for a period of 90 Business Days, or (2)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77" w:lineRule="exact"/>
        <w:rPr>
          <w:rFonts w:ascii="Arial" w:cs="Arial" w:eastAsia="Arial" w:hAnsi="Arial"/>
          <w:sz w:val="17"/>
          <w:szCs w:val="17"/>
          <w:color w:val="auto"/>
        </w:rPr>
      </w:pPr>
    </w:p>
    <w:p>
      <w:pPr>
        <w:ind w:left="840" w:right="60" w:hanging="413"/>
        <w:spacing w:after="0" w:line="276" w:lineRule="auto"/>
        <w:tabs>
          <w:tab w:leader="none" w:pos="8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out of the property of the Company or other obligor upon the Securities of that series, wherever situated.</w:t>
      </w:r>
    </w:p>
    <w:p>
      <w:pPr>
        <w:spacing w:after="0" w:line="172" w:lineRule="exact"/>
        <w:rPr>
          <w:rFonts w:ascii="Arial" w:cs="Arial" w:eastAsia="Arial" w:hAnsi="Arial"/>
          <w:sz w:val="17"/>
          <w:szCs w:val="17"/>
          <w:color w:val="auto"/>
        </w:rPr>
      </w:pPr>
    </w:p>
    <w:p>
      <w:pPr>
        <w:ind w:left="840" w:right="40" w:hanging="413"/>
        <w:spacing w:after="0" w:line="270" w:lineRule="auto"/>
        <w:tabs>
          <w:tab w:leader="none" w:pos="8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In case of any receivership, insolvency, liquidation, bankruptcy, reorganization, readjustment, arrangement, composition or judicial proceedings affected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this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77" w:lineRule="exact"/>
        <w:rPr>
          <w:rFonts w:ascii="Arial" w:cs="Arial" w:eastAsia="Arial" w:hAnsi="Arial"/>
          <w:sz w:val="17"/>
          <w:szCs w:val="17"/>
          <w:color w:val="auto"/>
        </w:rPr>
      </w:pPr>
    </w:p>
    <w:p>
      <w:pPr>
        <w:ind w:left="840" w:hanging="413"/>
        <w:spacing w:after="0" w:line="257" w:lineRule="auto"/>
        <w:tabs>
          <w:tab w:leader="none" w:pos="8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8" w:lineRule="exact"/>
        <w:rPr>
          <w:sz w:val="20"/>
          <w:szCs w:val="20"/>
          <w:color w:val="auto"/>
        </w:rPr>
      </w:pPr>
    </w:p>
    <w:p>
      <w:pPr>
        <w:ind w:right="40" w:firstLine="414"/>
        <w:spacing w:after="0" w:line="279" w:lineRule="auto"/>
        <w:rPr>
          <w:sz w:val="20"/>
          <w:szCs w:val="20"/>
          <w:color w:val="auto"/>
        </w:rPr>
      </w:pPr>
      <w:r>
        <w:rPr>
          <w:rFonts w:ascii="Arial" w:cs="Arial" w:eastAsia="Arial" w:hAnsi="Arial"/>
          <w:sz w:val="17"/>
          <w:szCs w:val="17"/>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71" w:lineRule="exact"/>
        <w:rPr>
          <w:sz w:val="20"/>
          <w:szCs w:val="20"/>
          <w:color w:val="auto"/>
        </w:rPr>
      </w:pPr>
    </w:p>
    <w:p>
      <w:pPr>
        <w:jc w:val="both"/>
        <w:ind w:right="20" w:firstLine="414"/>
        <w:spacing w:after="0" w:line="264" w:lineRule="auto"/>
        <w:rPr>
          <w:sz w:val="20"/>
          <w:szCs w:val="20"/>
          <w:color w:val="auto"/>
        </w:rPr>
      </w:pPr>
      <w:r>
        <w:rPr>
          <w:rFonts w:ascii="Arial" w:cs="Arial" w:eastAsia="Arial" w:hAnsi="Arial"/>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30" w:name="page131"/>
    <w:bookmarkEnd w:id="130"/>
    <w:p>
      <w:pPr>
        <w:spacing w:after="0"/>
        <w:tabs>
          <w:tab w:leader="none" w:pos="1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SECTION 6.03</w:t>
      </w:r>
      <w:r>
        <w:rPr>
          <w:sz w:val="20"/>
          <w:szCs w:val="20"/>
          <w:color w:val="auto"/>
        </w:rPr>
        <w:tab/>
      </w:r>
      <w:r>
        <w:rPr>
          <w:rFonts w:ascii="Arial" w:cs="Arial" w:eastAsia="Arial" w:hAnsi="Arial"/>
          <w:sz w:val="16"/>
          <w:szCs w:val="16"/>
          <w:color w:val="auto"/>
        </w:rPr>
        <w:t>Application of Moneys Collected.</w:t>
      </w:r>
    </w:p>
    <w:p>
      <w:pPr>
        <w:spacing w:after="0" w:line="225" w:lineRule="exact"/>
        <w:rPr>
          <w:sz w:val="20"/>
          <w:szCs w:val="20"/>
          <w:color w:val="auto"/>
        </w:rPr>
      </w:pPr>
    </w:p>
    <w:p>
      <w:pPr>
        <w:ind w:right="200" w:firstLine="414"/>
        <w:spacing w:after="0" w:line="286" w:lineRule="auto"/>
        <w:rPr>
          <w:sz w:val="20"/>
          <w:szCs w:val="20"/>
          <w:color w:val="auto"/>
        </w:rPr>
      </w:pPr>
      <w:r>
        <w:rPr>
          <w:rFonts w:ascii="Arial" w:cs="Arial" w:eastAsia="Arial" w:hAnsi="Arial"/>
          <w:sz w:val="17"/>
          <w:szCs w:val="17"/>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the payment, if only partially paid, and upon surrender thereof if fully paid:</w:t>
      </w:r>
    </w:p>
    <w:p>
      <w:pPr>
        <w:sectPr>
          <w:pgSz w:w="11900" w:h="16838" w:orient="portrait"/>
          <w:cols w:equalWidth="0" w:num="1">
            <w:col w:w="11380"/>
          </w:cols>
          <w:pgMar w:left="240" w:top="706" w:right="279" w:bottom="1440" w:gutter="0" w:footer="0" w:header="0"/>
        </w:sectPr>
      </w:pPr>
    </w:p>
    <w:p>
      <w:pPr>
        <w:spacing w:after="0" w:line="1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FIRST: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To the payment of costs and expenses of collection and of all amounts payable to the Trustee under Section 7.06;</w:t>
      </w:r>
    </w:p>
    <w:p>
      <w:pPr>
        <w:spacing w:after="0" w:line="200" w:lineRule="exact"/>
        <w:rPr>
          <w:sz w:val="20"/>
          <w:szCs w:val="20"/>
          <w:color w:val="auto"/>
        </w:rPr>
      </w:pPr>
    </w:p>
    <w:p>
      <w:pPr>
        <w:sectPr>
          <w:pgSz w:w="11900" w:h="16838" w:orient="portrait"/>
          <w:cols w:equalWidth="0" w:num="2">
            <w:col w:w="980" w:space="720"/>
            <w:col w:w="9680"/>
          </w:cols>
          <w:pgMar w:left="240" w:top="706" w:right="279" w:bottom="1440" w:gutter="0" w:footer="0" w:header="0"/>
          <w:type w:val="continuous"/>
        </w:sectPr>
      </w:pPr>
    </w:p>
    <w:p>
      <w:pPr>
        <w:spacing w:after="0" w:line="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SECOND: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To the payment of all Senior Indebtedness of the Company if and to the extent required by Article XIV; and</w:t>
      </w:r>
    </w:p>
    <w:p>
      <w:pPr>
        <w:spacing w:after="0" w:line="200" w:lineRule="exact"/>
        <w:rPr>
          <w:sz w:val="20"/>
          <w:szCs w:val="20"/>
          <w:color w:val="auto"/>
        </w:rPr>
      </w:pPr>
    </w:p>
    <w:p>
      <w:pPr>
        <w:sectPr>
          <w:pgSz w:w="11900" w:h="16838" w:orient="portrait"/>
          <w:cols w:equalWidth="0" w:num="2">
            <w:col w:w="1180" w:space="520"/>
            <w:col w:w="9680"/>
          </w:cols>
          <w:pgMar w:left="240" w:top="706" w:right="279" w:bottom="1440" w:gutter="0" w:footer="0" w:header="0"/>
          <w:type w:val="continuous"/>
        </w:sectPr>
      </w:pPr>
    </w:p>
    <w:p>
      <w:pPr>
        <w:spacing w:after="0" w:line="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THIRD: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w:t>
      </w:r>
    </w:p>
    <w:p>
      <w:pPr>
        <w:spacing w:after="0" w:line="147" w:lineRule="exact"/>
        <w:rPr>
          <w:sz w:val="20"/>
          <w:szCs w:val="20"/>
          <w:color w:val="auto"/>
        </w:rPr>
      </w:pPr>
    </w:p>
    <w:p>
      <w:pPr>
        <w:sectPr>
          <w:pgSz w:w="11900" w:h="16838" w:orient="portrait"/>
          <w:cols w:equalWidth="0" w:num="2">
            <w:col w:w="1020" w:space="680"/>
            <w:col w:w="9680"/>
          </w:cols>
          <w:pgMar w:left="240" w:top="706" w:right="279" w:bottom="1440" w:gutter="0" w:footer="0" w:header="0"/>
          <w:type w:val="continuous"/>
        </w:sectPr>
      </w:pPr>
    </w:p>
    <w:p>
      <w:pPr>
        <w:spacing w:after="0"/>
        <w:rPr>
          <w:sz w:val="20"/>
          <w:szCs w:val="20"/>
          <w:color w:val="auto"/>
        </w:rPr>
      </w:pPr>
      <w:r>
        <w:rPr>
          <w:rFonts w:ascii="Arial" w:cs="Arial" w:eastAsia="Arial" w:hAnsi="Arial"/>
          <w:sz w:val="16"/>
          <w:szCs w:val="16"/>
          <w:color w:val="auto"/>
        </w:rPr>
        <w:t>SECTION 6.04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Limitation on Suits.</w:t>
      </w:r>
    </w:p>
    <w:p>
      <w:pPr>
        <w:spacing w:after="0" w:line="200" w:lineRule="exact"/>
        <w:rPr>
          <w:sz w:val="20"/>
          <w:szCs w:val="20"/>
          <w:color w:val="auto"/>
        </w:rPr>
      </w:pPr>
    </w:p>
    <w:p>
      <w:pPr>
        <w:sectPr>
          <w:pgSz w:w="11900" w:h="16838" w:orient="portrait"/>
          <w:cols w:equalWidth="0" w:num="2">
            <w:col w:w="1120" w:space="280"/>
            <w:col w:w="9980"/>
          </w:cols>
          <w:pgMar w:left="240" w:top="706" w:right="279" w:bottom="1440" w:gutter="0" w:footer="0" w:header="0"/>
          <w:type w:val="continuous"/>
        </w:sectPr>
      </w:pPr>
    </w:p>
    <w:p>
      <w:pPr>
        <w:spacing w:after="0" w:line="37" w:lineRule="exact"/>
        <w:rPr>
          <w:sz w:val="20"/>
          <w:szCs w:val="20"/>
          <w:color w:val="auto"/>
        </w:rPr>
      </w:pPr>
    </w:p>
    <w:p>
      <w:pPr>
        <w:ind w:firstLine="414"/>
        <w:spacing w:after="0" w:line="269" w:lineRule="auto"/>
        <w:rPr>
          <w:sz w:val="20"/>
          <w:szCs w:val="20"/>
          <w:color w:val="auto"/>
        </w:rPr>
      </w:pPr>
      <w:r>
        <w:rPr>
          <w:rFonts w:ascii="Arial" w:cs="Arial" w:eastAsia="Arial" w:hAnsi="Arial"/>
          <w:sz w:val="17"/>
          <w:szCs w:val="17"/>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a majority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and (iv) the Trustee for 60 days after its receipt of such notice, request and offer of indemnity, shall have failed to institute any such action, suit or proceeding and (v) during such 60 day period, the holders of a majority in principal amount of the Securities of that series (or such amount as shall have acted at a meeting of the holders of Securities of such series pursuant to the provisions of this Indenture) do not give the Trustee a direction inconsistent with the request; provided, however, that no one or more of such holders may use this Indenture to prejudice the rights of another holder or to obtain preference or priority over another holder.</w:t>
      </w:r>
    </w:p>
    <w:p>
      <w:pPr>
        <w:spacing w:after="0" w:line="183" w:lineRule="exact"/>
        <w:rPr>
          <w:sz w:val="20"/>
          <w:szCs w:val="20"/>
          <w:color w:val="auto"/>
        </w:rPr>
      </w:pPr>
    </w:p>
    <w:p>
      <w:pPr>
        <w:ind w:firstLine="414"/>
        <w:spacing w:after="0" w:line="270" w:lineRule="auto"/>
        <w:rPr>
          <w:sz w:val="20"/>
          <w:szCs w:val="20"/>
          <w:color w:val="auto"/>
        </w:rPr>
      </w:pPr>
      <w:r>
        <w:rPr>
          <w:rFonts w:ascii="Arial" w:cs="Arial" w:eastAsia="Arial" w:hAnsi="Arial"/>
          <w:sz w:val="17"/>
          <w:szCs w:val="17"/>
          <w:color w:val="auto"/>
        </w:rPr>
        <w:t>Notwithstanding anything contained herein to the contrary,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type w:val="continuous"/>
        </w:sectPr>
      </w:pPr>
    </w:p>
    <w:bookmarkStart w:id="131" w:name="page132"/>
    <w:bookmarkEnd w:id="131"/>
    <w:p>
      <w:pPr>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SECTION 6.05</w:t>
      </w:r>
      <w:r>
        <w:rPr>
          <w:sz w:val="20"/>
          <w:szCs w:val="20"/>
          <w:color w:val="auto"/>
        </w:rPr>
        <w:tab/>
      </w:r>
      <w:r>
        <w:rPr>
          <w:rFonts w:ascii="Arial" w:cs="Arial" w:eastAsia="Arial" w:hAnsi="Arial"/>
          <w:sz w:val="16"/>
          <w:szCs w:val="16"/>
          <w:color w:val="auto"/>
        </w:rPr>
        <w:t>Rights and Remedies Cumulative; Delay or Omission Not Waiver.</w:t>
      </w:r>
    </w:p>
    <w:p>
      <w:pPr>
        <w:spacing w:after="0" w:line="225" w:lineRule="exact"/>
        <w:rPr>
          <w:sz w:val="20"/>
          <w:szCs w:val="20"/>
          <w:color w:val="auto"/>
        </w:rPr>
      </w:pPr>
    </w:p>
    <w:p>
      <w:pPr>
        <w:ind w:left="840" w:right="180" w:hanging="413"/>
        <w:spacing w:after="0" w:line="259" w:lineRule="auto"/>
        <w:tabs>
          <w:tab w:leader="none" w:pos="8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86" w:lineRule="exact"/>
        <w:rPr>
          <w:rFonts w:ascii="Arial" w:cs="Arial" w:eastAsia="Arial" w:hAnsi="Arial"/>
          <w:sz w:val="18"/>
          <w:szCs w:val="18"/>
          <w:color w:val="auto"/>
        </w:rPr>
      </w:pPr>
    </w:p>
    <w:p>
      <w:pPr>
        <w:ind w:left="840" w:right="140" w:hanging="413"/>
        <w:spacing w:after="0" w:line="302" w:lineRule="auto"/>
        <w:tabs>
          <w:tab w:leader="none" w:pos="8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on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54"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6"/>
          <w:szCs w:val="16"/>
          <w:color w:val="auto"/>
        </w:rPr>
        <w:t>Control by Securityholders.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holders of a majority in aggregate principal amount of the Securities of any series at the time Outstanding, determined in accordance with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8.01, shall have the right to direct the time, method and place of conducting any proceeding for any remedy available to the Trustee, or exercising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trust or power conferred on the Trustee with respect to such series; provided, however, that such direction shall not be in conflict with any rule of law or with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Indenture or be unduly prejudicial to the rights of holders of Securities of any other series at the time Outstanding determined in accordance with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Section 8.01. Subject to the provisions of Section 7.01, the Trustee shall have the right to decline to follow any such direction if the Trustee in good faith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shall, by a Responsible Officer or Officers of the Trustee, determine that the proceeding so directed would involve the Trustee in personal liability.</w:t>
      </w:r>
    </w:p>
    <w:p>
      <w:pPr>
        <w:spacing w:after="0" w:line="222" w:lineRule="exact"/>
        <w:rPr>
          <w:sz w:val="20"/>
          <w:szCs w:val="20"/>
          <w:color w:val="auto"/>
        </w:rPr>
      </w:pPr>
    </w:p>
    <w:p>
      <w:pPr>
        <w:ind w:firstLine="414"/>
        <w:spacing w:after="0" w:line="283" w:lineRule="auto"/>
        <w:rPr>
          <w:sz w:val="20"/>
          <w:szCs w:val="20"/>
          <w:color w:val="auto"/>
        </w:rPr>
      </w:pPr>
      <w:r>
        <w:rPr>
          <w:rFonts w:ascii="Arial" w:cs="Arial" w:eastAsia="Arial" w:hAnsi="Arial"/>
          <w:sz w:val="16"/>
          <w:szCs w:val="16"/>
          <w:color w:val="auto"/>
        </w:rPr>
        <w:t>The holders either (a) through the written consent of not less than a majority in aggregate principal amount of the Securities of any series at the time Outstanding or (b) by action at a meeting of holders of the Securities of such series in accordance with Section 8.09, by the holders of a majority in aggregate principal amount of the Securities of such series then Outstanding represented at such meeting,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and except in respect a provision hereof which, under Section 9.02, cannot be modified or amended without the consent of the holders of each Outstanding Security affected; provided however that this Section shall not limit the right of holders of Securities of a series to rescind and annul any acceleration as set forth in</w:t>
      </w:r>
    </w:p>
    <w:p>
      <w:pPr>
        <w:spacing w:after="0" w:line="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Section 6.01.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 The provisions which otherwise would be automatically deemed to be contained in this Indenture pursuant to Section 316(a)(1) of the Trust Indenture Act are hereby expressly excluded from this Indenture, except to the extent such provisions are expressly included herein.</w:t>
      </w:r>
    </w:p>
    <w:p>
      <w:pPr>
        <w:spacing w:after="0" w:line="19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color w:val="auto"/>
        </w:rPr>
        <w:t>Undertaking to Pay Costs.</w:t>
      </w:r>
    </w:p>
    <w:p>
      <w:pPr>
        <w:spacing w:after="0" w:line="225" w:lineRule="exact"/>
        <w:rPr>
          <w:sz w:val="20"/>
          <w:szCs w:val="20"/>
          <w:color w:val="auto"/>
        </w:rPr>
      </w:pPr>
    </w:p>
    <w:p>
      <w:pPr>
        <w:ind w:right="20" w:firstLine="414"/>
        <w:spacing w:after="0" w:line="290" w:lineRule="auto"/>
        <w:rPr>
          <w:sz w:val="20"/>
          <w:szCs w:val="20"/>
          <w:color w:val="auto"/>
        </w:rPr>
      </w:pPr>
      <w:r>
        <w:rPr>
          <w:rFonts w:ascii="Arial" w:cs="Arial" w:eastAsia="Arial" w:hAnsi="Arial"/>
          <w:sz w:val="16"/>
          <w:szCs w:val="16"/>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32" w:name="page133"/>
    <w:bookmarkEnd w:id="13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26035"/>
                    </a:xfrm>
                    <a:prstGeom prst="rect">
                      <a:avLst/>
                    </a:prstGeom>
                    <a:noFill/>
                  </pic:spPr>
                </pic:pic>
              </a:graphicData>
            </a:graphic>
          </wp:anchor>
        </w:drawing>
        <w:t>ARTICLE VII</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CONCERNING THE TRUSTEE</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color w:val="auto"/>
        </w:rPr>
        <w:t>Certain Duties and Responsibilities of Trustee.</w:t>
      </w:r>
    </w:p>
    <w:p>
      <w:pPr>
        <w:spacing w:after="0" w:line="225" w:lineRule="exact"/>
        <w:rPr>
          <w:sz w:val="20"/>
          <w:szCs w:val="20"/>
          <w:color w:val="auto"/>
        </w:rPr>
      </w:pPr>
    </w:p>
    <w:p>
      <w:pPr>
        <w:ind w:left="840" w:right="220" w:hanging="413"/>
        <w:spacing w:after="0" w:line="293" w:lineRule="auto"/>
        <w:tabs>
          <w:tab w:leader="none" w:pos="8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164" w:lineRule="exact"/>
        <w:rPr>
          <w:rFonts w:ascii="Arial" w:cs="Arial" w:eastAsia="Arial" w:hAnsi="Arial"/>
          <w:sz w:val="16"/>
          <w:szCs w:val="16"/>
          <w:color w:val="auto"/>
        </w:rPr>
      </w:pPr>
    </w:p>
    <w:p>
      <w:pPr>
        <w:ind w:left="840" w:right="140" w:hanging="413"/>
        <w:spacing w:after="0" w:line="277" w:lineRule="auto"/>
        <w:tabs>
          <w:tab w:leader="none" w:pos="8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170" w:lineRule="exact"/>
        <w:rPr>
          <w:rFonts w:ascii="Arial" w:cs="Arial" w:eastAsia="Arial" w:hAnsi="Arial"/>
          <w:sz w:val="18"/>
          <w:szCs w:val="18"/>
          <w:color w:val="auto"/>
        </w:rPr>
      </w:pPr>
    </w:p>
    <w:p>
      <w:pPr>
        <w:ind w:left="1380" w:right="60" w:hanging="521"/>
        <w:spacing w:after="0" w:line="277" w:lineRule="auto"/>
        <w:tabs>
          <w:tab w:leader="none" w:pos="13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170" w:lineRule="exact"/>
        <w:rPr>
          <w:rFonts w:ascii="Arial" w:cs="Arial" w:eastAsia="Arial" w:hAnsi="Arial"/>
          <w:sz w:val="18"/>
          <w:szCs w:val="18"/>
          <w:color w:val="auto"/>
        </w:rPr>
      </w:pPr>
    </w:p>
    <w:p>
      <w:pPr>
        <w:ind w:left="1880" w:right="260" w:hanging="481"/>
        <w:spacing w:after="0" w:line="259" w:lineRule="auto"/>
        <w:tabs>
          <w:tab w:leader="none" w:pos="188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86" w:lineRule="exact"/>
        <w:rPr>
          <w:rFonts w:ascii="Arial" w:cs="Arial" w:eastAsia="Arial" w:hAnsi="Arial"/>
          <w:sz w:val="18"/>
          <w:szCs w:val="18"/>
          <w:color w:val="auto"/>
        </w:rPr>
      </w:pPr>
    </w:p>
    <w:p>
      <w:pPr>
        <w:ind w:left="1880" w:right="80" w:hanging="481"/>
        <w:spacing w:after="0" w:line="276" w:lineRule="auto"/>
        <w:tabs>
          <w:tab w:leader="none" w:pos="1880" w:val="left"/>
        </w:tabs>
        <w:numPr>
          <w:ilvl w:val="2"/>
          <w:numId w:val="104"/>
        </w:numPr>
        <w:rPr>
          <w:rFonts w:ascii="Arial" w:cs="Arial" w:eastAsia="Arial" w:hAnsi="Arial"/>
          <w:sz w:val="17"/>
          <w:szCs w:val="17"/>
          <w:color w:val="auto"/>
        </w:rPr>
      </w:pPr>
      <w:r>
        <w:rPr>
          <w:rFonts w:ascii="Arial" w:cs="Arial" w:eastAsia="Arial" w:hAnsi="Arial"/>
          <w:sz w:val="17"/>
          <w:szCs w:val="17"/>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 of this Indenture;</w:t>
      </w:r>
    </w:p>
    <w:p>
      <w:pPr>
        <w:spacing w:after="0" w:line="172" w:lineRule="exact"/>
        <w:rPr>
          <w:rFonts w:ascii="Arial" w:cs="Arial" w:eastAsia="Arial" w:hAnsi="Arial"/>
          <w:sz w:val="17"/>
          <w:szCs w:val="17"/>
          <w:color w:val="auto"/>
        </w:rPr>
      </w:pPr>
    </w:p>
    <w:p>
      <w:pPr>
        <w:ind w:left="1380" w:right="600" w:hanging="521"/>
        <w:spacing w:after="0" w:line="277" w:lineRule="auto"/>
        <w:tabs>
          <w:tab w:leader="none" w:pos="13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170" w:lineRule="exact"/>
        <w:rPr>
          <w:rFonts w:ascii="Arial" w:cs="Arial" w:eastAsia="Arial" w:hAnsi="Arial"/>
          <w:sz w:val="18"/>
          <w:szCs w:val="18"/>
          <w:color w:val="auto"/>
        </w:rPr>
      </w:pPr>
    </w:p>
    <w:p>
      <w:pPr>
        <w:ind w:left="1380" w:right="80" w:hanging="521"/>
        <w:spacing w:after="0" w:line="279" w:lineRule="auto"/>
        <w:tabs>
          <w:tab w:leader="none" w:pos="138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171" w:lineRule="exact"/>
        <w:rPr>
          <w:rFonts w:ascii="Arial" w:cs="Arial" w:eastAsia="Arial" w:hAnsi="Arial"/>
          <w:sz w:val="17"/>
          <w:szCs w:val="17"/>
          <w:color w:val="auto"/>
        </w:rPr>
      </w:pPr>
    </w:p>
    <w:p>
      <w:pPr>
        <w:ind w:left="1380" w:hanging="521"/>
        <w:spacing w:after="0"/>
        <w:tabs>
          <w:tab w:leader="none" w:pos="138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None of the provisions contained in this Indenture shall require the Trustee to expend or risk its own funds or otherwise incur personal</w:t>
      </w:r>
    </w:p>
    <w:p>
      <w:pPr>
        <w:spacing w:after="0" w:line="46" w:lineRule="exact"/>
        <w:rPr>
          <w:sz w:val="20"/>
          <w:szCs w:val="20"/>
          <w:color w:val="auto"/>
        </w:rPr>
      </w:pPr>
    </w:p>
    <w:p>
      <w:pPr>
        <w:jc w:val="both"/>
        <w:ind w:left="1380"/>
        <w:spacing w:after="0" w:line="255" w:lineRule="auto"/>
        <w:rPr>
          <w:sz w:val="20"/>
          <w:szCs w:val="20"/>
          <w:color w:val="auto"/>
        </w:rPr>
      </w:pPr>
      <w:r>
        <w:rPr>
          <w:rFonts w:ascii="Arial" w:cs="Arial" w:eastAsia="Arial" w:hAnsi="Arial"/>
          <w:sz w:val="18"/>
          <w:szCs w:val="18"/>
          <w:color w:val="auto"/>
        </w:rPr>
        <w:t>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33" w:name="page134"/>
    <w:bookmarkEnd w:id="133"/>
    <w:p>
      <w:pPr>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SECTION 7.02</w:t>
      </w:r>
      <w:r>
        <w:rPr>
          <w:sz w:val="20"/>
          <w:szCs w:val="20"/>
          <w:color w:val="auto"/>
        </w:rPr>
        <w:tab/>
      </w:r>
      <w:r>
        <w:rPr>
          <w:rFonts w:ascii="Arial" w:cs="Arial" w:eastAsia="Arial" w:hAnsi="Arial"/>
          <w:sz w:val="16"/>
          <w:szCs w:val="16"/>
          <w:color w:val="auto"/>
        </w:rPr>
        <w:t>Certain Rights of Trustee.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Except as otherwise provided in Section 7.01:</w:t>
      </w:r>
    </w:p>
    <w:p>
      <w:pPr>
        <w:spacing w:after="0" w:line="225" w:lineRule="exact"/>
        <w:rPr>
          <w:sz w:val="20"/>
          <w:szCs w:val="20"/>
          <w:color w:val="auto"/>
        </w:rPr>
      </w:pPr>
    </w:p>
    <w:p>
      <w:pPr>
        <w:ind w:left="860" w:hanging="447"/>
        <w:spacing w:after="0" w:line="264" w:lineRule="auto"/>
        <w:tabs>
          <w:tab w:leader="none" w:pos="8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81" w:lineRule="exact"/>
        <w:rPr>
          <w:rFonts w:ascii="Arial" w:cs="Arial" w:eastAsia="Arial" w:hAnsi="Arial"/>
          <w:sz w:val="18"/>
          <w:szCs w:val="18"/>
          <w:color w:val="auto"/>
        </w:rPr>
      </w:pPr>
    </w:p>
    <w:p>
      <w:pPr>
        <w:ind w:left="860" w:right="20" w:hanging="447"/>
        <w:spacing w:after="0" w:line="286" w:lineRule="auto"/>
        <w:tabs>
          <w:tab w:leader="none" w:pos="8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Any request, direction, order or demand of the Company mentioned herein shall be sufficiently evidenced by a Board Resolution or an instrument signed in the name of the Company, by the President or any Vice President and by the Secretary or an Assistant Secretary or the Treasurer or an Assistant Treasurer thereof (unless other evidence in respect thereof is specifically prescribed herein);</w:t>
      </w:r>
    </w:p>
    <w:p>
      <w:pPr>
        <w:spacing w:after="0" w:line="165" w:lineRule="exact"/>
        <w:rPr>
          <w:rFonts w:ascii="Arial" w:cs="Arial" w:eastAsia="Arial" w:hAnsi="Arial"/>
          <w:sz w:val="17"/>
          <w:szCs w:val="17"/>
          <w:color w:val="auto"/>
        </w:rPr>
      </w:pPr>
    </w:p>
    <w:p>
      <w:pPr>
        <w:ind w:left="860" w:right="120" w:hanging="447"/>
        <w:spacing w:after="0" w:line="277" w:lineRule="auto"/>
        <w:tabs>
          <w:tab w:leader="none" w:pos="8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Trustee may consult with counsel and the written advice of such counsel or any Opinion of Counsel shall be full and complete authorization and protection in respect of any action taken or suffered or omitted hereunder in good faith and in reliance thereon;</w:t>
      </w:r>
    </w:p>
    <w:p>
      <w:pPr>
        <w:spacing w:after="0" w:line="170" w:lineRule="exact"/>
        <w:rPr>
          <w:rFonts w:ascii="Arial" w:cs="Arial" w:eastAsia="Arial" w:hAnsi="Arial"/>
          <w:sz w:val="18"/>
          <w:szCs w:val="18"/>
          <w:color w:val="auto"/>
        </w:rPr>
      </w:pPr>
    </w:p>
    <w:p>
      <w:pPr>
        <w:ind w:left="860" w:right="80" w:hanging="447"/>
        <w:spacing w:after="0" w:line="293" w:lineRule="auto"/>
        <w:tabs>
          <w:tab w:leader="none" w:pos="8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164" w:lineRule="exact"/>
        <w:rPr>
          <w:rFonts w:ascii="Arial" w:cs="Arial" w:eastAsia="Arial" w:hAnsi="Arial"/>
          <w:sz w:val="16"/>
          <w:szCs w:val="16"/>
          <w:color w:val="auto"/>
        </w:rPr>
      </w:pPr>
    </w:p>
    <w:p>
      <w:pPr>
        <w:ind w:left="860" w:right="400" w:hanging="447"/>
        <w:spacing w:after="0" w:line="277" w:lineRule="auto"/>
        <w:tabs>
          <w:tab w:leader="none" w:pos="8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170" w:lineRule="exact"/>
        <w:rPr>
          <w:rFonts w:ascii="Arial" w:cs="Arial" w:eastAsia="Arial" w:hAnsi="Arial"/>
          <w:sz w:val="18"/>
          <w:szCs w:val="18"/>
          <w:color w:val="auto"/>
        </w:rPr>
      </w:pPr>
    </w:p>
    <w:p>
      <w:pPr>
        <w:ind w:left="860" w:hanging="447"/>
        <w:spacing w:after="0" w:line="271" w:lineRule="auto"/>
        <w:tabs>
          <w:tab w:leader="none" w:pos="8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and</w:t>
      </w:r>
    </w:p>
    <w:p>
      <w:pPr>
        <w:spacing w:after="0" w:line="178" w:lineRule="exact"/>
        <w:rPr>
          <w:rFonts w:ascii="Arial" w:cs="Arial" w:eastAsia="Arial" w:hAnsi="Arial"/>
          <w:sz w:val="17"/>
          <w:szCs w:val="17"/>
          <w:color w:val="auto"/>
        </w:rPr>
      </w:pPr>
    </w:p>
    <w:p>
      <w:pPr>
        <w:ind w:left="860" w:right="180" w:hanging="447"/>
        <w:spacing w:after="0" w:line="264" w:lineRule="auto"/>
        <w:tabs>
          <w:tab w:leader="none" w:pos="8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sectPr>
      </w:pPr>
    </w:p>
    <w:bookmarkStart w:id="134" w:name="page135"/>
    <w:bookmarkEnd w:id="134"/>
    <w:p>
      <w:pPr>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SECTION 7.03</w:t>
      </w:r>
      <w:r>
        <w:rPr>
          <w:sz w:val="20"/>
          <w:szCs w:val="20"/>
          <w:color w:val="auto"/>
        </w:rPr>
        <w:tab/>
      </w:r>
      <w:r>
        <w:rPr>
          <w:rFonts w:ascii="Arial" w:cs="Arial" w:eastAsia="Arial" w:hAnsi="Arial"/>
          <w:sz w:val="16"/>
          <w:szCs w:val="16"/>
          <w:color w:val="auto"/>
        </w:rPr>
        <w:t>Trustee Not Responsible for Recitals or Issuance of Securities.</w:t>
      </w:r>
    </w:p>
    <w:p>
      <w:pPr>
        <w:spacing w:after="0" w:line="225" w:lineRule="exact"/>
        <w:rPr>
          <w:sz w:val="20"/>
          <w:szCs w:val="20"/>
          <w:color w:val="auto"/>
        </w:rPr>
      </w:pPr>
    </w:p>
    <w:p>
      <w:pPr>
        <w:ind w:left="840" w:right="140" w:hanging="413"/>
        <w:spacing w:after="0" w:line="277" w:lineRule="auto"/>
        <w:tabs>
          <w:tab w:leader="none" w:pos="8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recitals contained herein and in the Securities shall be taken as the statements of the Company, and the Trustee assumes no responsibility for the correctness of the same.</w:t>
      </w:r>
    </w:p>
    <w:p>
      <w:pPr>
        <w:spacing w:after="0" w:line="170" w:lineRule="exact"/>
        <w:rPr>
          <w:rFonts w:ascii="Arial" w:cs="Arial" w:eastAsia="Arial" w:hAnsi="Arial"/>
          <w:sz w:val="18"/>
          <w:szCs w:val="18"/>
          <w:color w:val="auto"/>
        </w:rPr>
      </w:pPr>
    </w:p>
    <w:p>
      <w:pPr>
        <w:ind w:left="840" w:hanging="413"/>
        <w:spacing w:after="0"/>
        <w:tabs>
          <w:tab w:leader="none" w:pos="8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Trustee makes no representations as to the validity or sufficiency of this Indenture or of the Securities.</w:t>
      </w:r>
    </w:p>
    <w:p>
      <w:pPr>
        <w:spacing w:after="0" w:line="225" w:lineRule="exact"/>
        <w:rPr>
          <w:rFonts w:ascii="Arial" w:cs="Arial" w:eastAsia="Arial" w:hAnsi="Arial"/>
          <w:sz w:val="18"/>
          <w:szCs w:val="18"/>
          <w:color w:val="auto"/>
        </w:rPr>
      </w:pPr>
    </w:p>
    <w:p>
      <w:pPr>
        <w:ind w:left="840" w:right="240" w:hanging="413"/>
        <w:spacing w:after="0" w:line="286" w:lineRule="auto"/>
        <w:tabs>
          <w:tab w:leader="none" w:pos="8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66"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color w:val="auto"/>
        </w:rPr>
        <w:t>May Hold Securities.</w:t>
      </w:r>
    </w:p>
    <w:p>
      <w:pPr>
        <w:spacing w:after="0" w:line="225" w:lineRule="exact"/>
        <w:rPr>
          <w:sz w:val="20"/>
          <w:szCs w:val="20"/>
          <w:color w:val="auto"/>
        </w:rPr>
      </w:pPr>
    </w:p>
    <w:p>
      <w:pPr>
        <w:ind w:right="220" w:firstLine="414"/>
        <w:spacing w:after="0" w:line="277" w:lineRule="auto"/>
        <w:rPr>
          <w:sz w:val="20"/>
          <w:szCs w:val="20"/>
          <w:color w:val="auto"/>
        </w:rPr>
      </w:pPr>
      <w:r>
        <w:rPr>
          <w:rFonts w:ascii="Arial" w:cs="Arial" w:eastAsia="Arial" w:hAnsi="Arial"/>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70"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color w:val="auto"/>
        </w:rPr>
        <w:t>Moneys Held in Trust.</w:t>
      </w:r>
    </w:p>
    <w:p>
      <w:pPr>
        <w:spacing w:after="0" w:line="225" w:lineRule="exact"/>
        <w:rPr>
          <w:sz w:val="20"/>
          <w:szCs w:val="20"/>
          <w:color w:val="auto"/>
        </w:rPr>
      </w:pPr>
    </w:p>
    <w:p>
      <w:pPr>
        <w:ind w:right="380" w:firstLine="414"/>
        <w:spacing w:after="0" w:line="286" w:lineRule="auto"/>
        <w:rPr>
          <w:sz w:val="20"/>
          <w:szCs w:val="20"/>
          <w:color w:val="auto"/>
        </w:rPr>
      </w:pPr>
      <w:r>
        <w:rPr>
          <w:rFonts w:ascii="Arial" w:cs="Arial" w:eastAsia="Arial" w:hAnsi="Arial"/>
          <w:sz w:val="17"/>
          <w:szCs w:val="17"/>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66"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color w:val="auto"/>
        </w:rPr>
        <w:t>Compensation and Reimbursement.</w:t>
      </w:r>
    </w:p>
    <w:p>
      <w:pPr>
        <w:spacing w:after="0" w:line="225" w:lineRule="exact"/>
        <w:rPr>
          <w:sz w:val="20"/>
          <w:szCs w:val="20"/>
          <w:color w:val="auto"/>
        </w:rPr>
      </w:pPr>
    </w:p>
    <w:p>
      <w:pPr>
        <w:ind w:left="840" w:hanging="413"/>
        <w:spacing w:after="0" w:line="288" w:lineRule="auto"/>
        <w:tabs>
          <w:tab w:leader="none" w:pos="8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costs and expenses of defending itself against any claim of liability in the premises.</w:t>
      </w:r>
    </w:p>
    <w:p>
      <w:pPr>
        <w:spacing w:after="0" w:line="169" w:lineRule="exact"/>
        <w:rPr>
          <w:rFonts w:ascii="Arial" w:cs="Arial" w:eastAsia="Arial" w:hAnsi="Arial"/>
          <w:sz w:val="16"/>
          <w:szCs w:val="16"/>
          <w:color w:val="auto"/>
        </w:rPr>
      </w:pPr>
    </w:p>
    <w:p>
      <w:pPr>
        <w:ind w:left="840" w:right="160" w:hanging="413"/>
        <w:spacing w:after="0" w:line="259" w:lineRule="auto"/>
        <w:tabs>
          <w:tab w:leader="none" w:pos="8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to compensate and indemnify the Trustee and to pay or reimburse the Trustee for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SECTION 7.07 Reliance on Officers’ Certificate.</w:t>
      </w:r>
    </w:p>
    <w:p>
      <w:pPr>
        <w:spacing w:after="0" w:line="225" w:lineRule="exact"/>
        <w:rPr>
          <w:sz w:val="20"/>
          <w:szCs w:val="20"/>
          <w:color w:val="auto"/>
        </w:rPr>
      </w:pPr>
    </w:p>
    <w:p>
      <w:pPr>
        <w:ind w:right="140" w:firstLine="414"/>
        <w:spacing w:after="0" w:line="255" w:lineRule="auto"/>
        <w:rPr>
          <w:sz w:val="20"/>
          <w:szCs w:val="20"/>
          <w:color w:val="auto"/>
        </w:rPr>
      </w:pPr>
      <w:r>
        <w:rPr>
          <w:rFonts w:ascii="Arial" w:cs="Arial" w:eastAsia="Arial" w:hAnsi="Arial"/>
          <w:sz w:val="18"/>
          <w:szCs w:val="18"/>
          <w:color w:val="auto"/>
        </w:rPr>
        <w:t>Except as otherwise provided in Section 7.01, whenever in the administration of the provisions of this Indenture the Trustee shall deem it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93"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7"/>
          <w:szCs w:val="17"/>
          <w:color w:val="auto"/>
        </w:rPr>
        <w:t>Disqualification; Conflicting Interests.</w:t>
      </w:r>
    </w:p>
    <w:p>
      <w:pPr>
        <w:spacing w:after="0" w:line="225" w:lineRule="exact"/>
        <w:rPr>
          <w:sz w:val="20"/>
          <w:szCs w:val="20"/>
          <w:color w:val="auto"/>
        </w:rPr>
      </w:pPr>
    </w:p>
    <w:p>
      <w:pPr>
        <w:ind w:right="580" w:firstLine="414"/>
        <w:spacing w:after="0" w:line="277" w:lineRule="auto"/>
        <w:rPr>
          <w:sz w:val="20"/>
          <w:szCs w:val="20"/>
          <w:color w:val="auto"/>
        </w:rPr>
      </w:pPr>
      <w:r>
        <w:rPr>
          <w:rFonts w:ascii="Arial" w:cs="Arial" w:eastAsia="Arial" w:hAnsi="Arial"/>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70"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6"/>
          <w:szCs w:val="16"/>
          <w:color w:val="auto"/>
        </w:rPr>
        <w:t>Corporate Trustee Required; Eligibility.</w:t>
      </w:r>
    </w:p>
    <w:p>
      <w:pPr>
        <w:spacing w:after="0" w:line="225" w:lineRule="exact"/>
        <w:rPr>
          <w:sz w:val="20"/>
          <w:szCs w:val="20"/>
          <w:color w:val="auto"/>
        </w:rPr>
      </w:pPr>
    </w:p>
    <w:p>
      <w:pPr>
        <w:ind w:right="20" w:firstLine="414"/>
        <w:spacing w:after="0" w:line="270" w:lineRule="auto"/>
        <w:rPr>
          <w:sz w:val="20"/>
          <w:szCs w:val="20"/>
          <w:color w:val="auto"/>
        </w:rPr>
      </w:pPr>
      <w:r>
        <w:rPr>
          <w:rFonts w:ascii="Arial" w:cs="Arial" w:eastAsia="Arial" w:hAnsi="Arial"/>
          <w:sz w:val="17"/>
          <w:szCs w:val="17"/>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50 million U.S. dollars ($50,000,000), and subject to supervision or examination by Federal, State, Territorial, or District of Columbia authority. If such corporation publishes reports of condition at least annually, pursuant to law or to the requirements of the aforesaid supervising or examining authority, then for the purposes of this Section, the combined capital and surplus of such corporation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82"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6"/>
          <w:szCs w:val="16"/>
          <w:color w:val="auto"/>
        </w:rPr>
        <w:t>Resignation and Removal; Appointment of Successor.</w:t>
      </w:r>
    </w:p>
    <w:p>
      <w:pPr>
        <w:spacing w:after="0" w:line="225" w:lineRule="exact"/>
        <w:rPr>
          <w:sz w:val="20"/>
          <w:szCs w:val="20"/>
          <w:color w:val="auto"/>
        </w:rPr>
      </w:pPr>
    </w:p>
    <w:p>
      <w:pPr>
        <w:ind w:left="840" w:hanging="413"/>
        <w:spacing w:after="0" w:line="270" w:lineRule="auto"/>
        <w:tabs>
          <w:tab w:leader="none" w:pos="8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77" w:lineRule="exact"/>
        <w:rPr>
          <w:rFonts w:ascii="Arial" w:cs="Arial" w:eastAsia="Arial" w:hAnsi="Arial"/>
          <w:sz w:val="17"/>
          <w:szCs w:val="17"/>
          <w:color w:val="auto"/>
        </w:rPr>
      </w:pPr>
    </w:p>
    <w:p>
      <w:pPr>
        <w:ind w:left="840" w:hanging="413"/>
        <w:spacing w:after="0"/>
        <w:tabs>
          <w:tab w:leader="none" w:pos="8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case at any time any one of the following shall occur:</w:t>
      </w:r>
    </w:p>
    <w:p>
      <w:pPr>
        <w:spacing w:after="0" w:line="225" w:lineRule="exact"/>
        <w:rPr>
          <w:rFonts w:ascii="Arial" w:cs="Arial" w:eastAsia="Arial" w:hAnsi="Arial"/>
          <w:sz w:val="18"/>
          <w:szCs w:val="18"/>
          <w:color w:val="auto"/>
        </w:rPr>
      </w:pPr>
    </w:p>
    <w:p>
      <w:pPr>
        <w:ind w:left="1380" w:right="20" w:hanging="521"/>
        <w:spacing w:after="0" w:line="277" w:lineRule="auto"/>
        <w:tabs>
          <w:tab w:leader="none" w:pos="13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70" w:lineRule="exact"/>
        <w:rPr>
          <w:rFonts w:ascii="Arial" w:cs="Arial" w:eastAsia="Arial" w:hAnsi="Arial"/>
          <w:sz w:val="18"/>
          <w:szCs w:val="18"/>
          <w:color w:val="auto"/>
        </w:rPr>
      </w:pPr>
    </w:p>
    <w:p>
      <w:pPr>
        <w:ind w:left="1380" w:right="40" w:hanging="521"/>
        <w:spacing w:after="0" w:line="277" w:lineRule="auto"/>
        <w:tabs>
          <w:tab w:leader="none" w:pos="13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7.09 and shall fail to resign after written request therefor by the Company or by any such Securityholder; or</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sectPr>
      </w:pPr>
    </w:p>
    <w:bookmarkStart w:id="136" w:name="page137"/>
    <w:bookmarkEnd w:id="136"/>
    <w:p>
      <w:pPr>
        <w:ind w:left="1380" w:right="40" w:hanging="521"/>
        <w:spacing w:after="0" w:line="289" w:lineRule="auto"/>
        <w:tabs>
          <w:tab w:leader="none" w:pos="1380" w:val="left"/>
        </w:tabs>
        <w:numPr>
          <w:ilvl w:val="1"/>
          <w:numId w:val="1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26035"/>
                    </a:xfrm>
                    <a:prstGeom prst="rect">
                      <a:avLst/>
                    </a:prstGeom>
                    <a:noFill/>
                  </pic:spPr>
                </pic:pic>
              </a:graphicData>
            </a:graphic>
          </wp:anchor>
        </w:drawing>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unless the Trustee’s duty to resign is stayed as provided herein,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66" w:lineRule="exact"/>
        <w:rPr>
          <w:rFonts w:ascii="Arial" w:cs="Arial" w:eastAsia="Arial" w:hAnsi="Arial"/>
          <w:sz w:val="16"/>
          <w:szCs w:val="16"/>
          <w:color w:val="auto"/>
        </w:rPr>
      </w:pPr>
    </w:p>
    <w:p>
      <w:pPr>
        <w:ind w:left="840" w:right="20" w:hanging="413"/>
        <w:spacing w:after="0" w:line="264" w:lineRule="auto"/>
        <w:tabs>
          <w:tab w:leader="none" w:pos="8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81" w:lineRule="exact"/>
        <w:rPr>
          <w:rFonts w:ascii="Arial" w:cs="Arial" w:eastAsia="Arial" w:hAnsi="Arial"/>
          <w:sz w:val="18"/>
          <w:szCs w:val="18"/>
          <w:color w:val="auto"/>
        </w:rPr>
      </w:pPr>
    </w:p>
    <w:p>
      <w:pPr>
        <w:ind w:left="840" w:right="200" w:hanging="413"/>
        <w:spacing w:after="0" w:line="342" w:lineRule="auto"/>
        <w:tabs>
          <w:tab w:leader="none" w:pos="8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23" w:lineRule="exact"/>
        <w:rPr>
          <w:rFonts w:ascii="Arial" w:cs="Arial" w:eastAsia="Arial" w:hAnsi="Arial"/>
          <w:sz w:val="16"/>
          <w:szCs w:val="16"/>
          <w:color w:val="auto"/>
        </w:rPr>
      </w:pPr>
    </w:p>
    <w:p>
      <w:pPr>
        <w:ind w:left="840" w:hanging="413"/>
        <w:spacing w:after="0" w:line="277" w:lineRule="auto"/>
        <w:tabs>
          <w:tab w:leader="none" w:pos="8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70"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color w:val="auto"/>
        </w:rPr>
        <w:t>Acceptance of Appointment By Successor.</w:t>
      </w:r>
    </w:p>
    <w:p>
      <w:pPr>
        <w:spacing w:after="0" w:line="225" w:lineRule="exact"/>
        <w:rPr>
          <w:sz w:val="20"/>
          <w:szCs w:val="20"/>
          <w:color w:val="auto"/>
        </w:rPr>
      </w:pPr>
    </w:p>
    <w:p>
      <w:pPr>
        <w:ind w:left="840" w:right="120" w:hanging="413"/>
        <w:spacing w:after="0" w:line="255" w:lineRule="auto"/>
        <w:tabs>
          <w:tab w:leader="none" w:pos="8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89" w:lineRule="exact"/>
        <w:rPr>
          <w:rFonts w:ascii="Arial" w:cs="Arial" w:eastAsia="Arial" w:hAnsi="Arial"/>
          <w:sz w:val="18"/>
          <w:szCs w:val="18"/>
          <w:color w:val="auto"/>
        </w:rPr>
      </w:pPr>
    </w:p>
    <w:p>
      <w:pPr>
        <w:ind w:left="840" w:hanging="413"/>
        <w:spacing w:after="0" w:line="285" w:lineRule="auto"/>
        <w:tabs>
          <w:tab w:leader="none" w:pos="8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37" w:name="page138"/>
    <w:bookmarkEnd w:id="137"/>
    <w:p>
      <w:pPr>
        <w:ind w:left="840" w:right="540" w:hanging="413"/>
        <w:spacing w:after="0" w:line="342" w:lineRule="auto"/>
        <w:tabs>
          <w:tab w:leader="none" w:pos="8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23" w:lineRule="exact"/>
        <w:rPr>
          <w:rFonts w:ascii="Arial" w:cs="Arial" w:eastAsia="Arial" w:hAnsi="Arial"/>
          <w:sz w:val="16"/>
          <w:szCs w:val="16"/>
          <w:color w:val="auto"/>
        </w:rPr>
      </w:pPr>
    </w:p>
    <w:p>
      <w:pPr>
        <w:ind w:left="840" w:right="80" w:hanging="413"/>
        <w:spacing w:after="0" w:line="277" w:lineRule="auto"/>
        <w:tabs>
          <w:tab w:leader="none" w:pos="8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rFonts w:ascii="Arial" w:cs="Arial" w:eastAsia="Arial" w:hAnsi="Arial"/>
          <w:sz w:val="18"/>
          <w:szCs w:val="18"/>
          <w:color w:val="auto"/>
        </w:rPr>
      </w:pPr>
    </w:p>
    <w:p>
      <w:pPr>
        <w:ind w:left="840" w:hanging="413"/>
        <w:spacing w:after="0" w:line="259" w:lineRule="auto"/>
        <w:tabs>
          <w:tab w:leader="none" w:pos="8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87"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7.12</w:t>
      </w:r>
      <w:r>
        <w:rPr>
          <w:sz w:val="20"/>
          <w:szCs w:val="20"/>
          <w:color w:val="auto"/>
        </w:rPr>
        <w:tab/>
      </w:r>
      <w:r>
        <w:rPr>
          <w:rFonts w:ascii="Arial" w:cs="Arial" w:eastAsia="Arial" w:hAnsi="Arial"/>
          <w:sz w:val="16"/>
          <w:szCs w:val="16"/>
          <w:color w:val="auto"/>
        </w:rPr>
        <w:t>Merger, Conversion, Consolidation or Succession to Business.</w:t>
      </w:r>
    </w:p>
    <w:p>
      <w:pPr>
        <w:spacing w:after="0" w:line="225" w:lineRule="exact"/>
        <w:rPr>
          <w:sz w:val="20"/>
          <w:szCs w:val="20"/>
          <w:color w:val="auto"/>
        </w:rPr>
      </w:pPr>
    </w:p>
    <w:p>
      <w:pPr>
        <w:ind w:right="20" w:firstLine="414"/>
        <w:spacing w:after="0" w:line="272" w:lineRule="auto"/>
        <w:rPr>
          <w:sz w:val="20"/>
          <w:szCs w:val="20"/>
          <w:color w:val="auto"/>
        </w:rPr>
      </w:pPr>
      <w:r>
        <w:rPr>
          <w:rFonts w:ascii="Arial" w:cs="Arial" w:eastAsia="Arial" w:hAnsi="Arial"/>
          <w:sz w:val="17"/>
          <w:szCs w:val="17"/>
          <w:color w:val="auto"/>
        </w:rPr>
        <w:t>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78"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7.13</w:t>
      </w:r>
      <w:r>
        <w:rPr>
          <w:sz w:val="20"/>
          <w:szCs w:val="20"/>
          <w:color w:val="auto"/>
        </w:rPr>
        <w:tab/>
      </w:r>
      <w:r>
        <w:rPr>
          <w:rFonts w:ascii="Arial" w:cs="Arial" w:eastAsia="Arial" w:hAnsi="Arial"/>
          <w:sz w:val="16"/>
          <w:szCs w:val="16"/>
          <w:color w:val="auto"/>
        </w:rPr>
        <w:t>Preferential Collection of Claims Against the Company.</w:t>
      </w:r>
    </w:p>
    <w:p>
      <w:pPr>
        <w:spacing w:after="0" w:line="225" w:lineRule="exact"/>
        <w:rPr>
          <w:sz w:val="20"/>
          <w:szCs w:val="20"/>
          <w:color w:val="auto"/>
        </w:rPr>
      </w:pPr>
    </w:p>
    <w:p>
      <w:pPr>
        <w:ind w:right="280" w:firstLine="414"/>
        <w:spacing w:after="0" w:line="342" w:lineRule="auto"/>
        <w:rPr>
          <w:sz w:val="20"/>
          <w:szCs w:val="20"/>
          <w:color w:val="auto"/>
        </w:rPr>
      </w:pPr>
      <w:r>
        <w:rPr>
          <w:rFonts w:ascii="Arial" w:cs="Arial" w:eastAsia="Arial" w:hAnsi="Arial"/>
          <w:sz w:val="16"/>
          <w:szCs w:val="16"/>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CONCERNING THE SECURITYHOLDERS</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color w:val="auto"/>
        </w:rPr>
        <w:t>Evidence of Action by Securityholders.</w:t>
      </w:r>
    </w:p>
    <w:p>
      <w:pPr>
        <w:spacing w:after="0" w:line="225" w:lineRule="exact"/>
        <w:rPr>
          <w:sz w:val="20"/>
          <w:szCs w:val="20"/>
          <w:color w:val="auto"/>
        </w:rPr>
      </w:pPr>
    </w:p>
    <w:p>
      <w:pPr>
        <w:ind w:firstLine="414"/>
        <w:spacing w:after="0" w:line="257" w:lineRule="auto"/>
        <w:rPr>
          <w:sz w:val="20"/>
          <w:szCs w:val="20"/>
          <w:color w:val="auto"/>
        </w:rPr>
      </w:pPr>
      <w:r>
        <w:rPr>
          <w:rFonts w:ascii="Arial" w:cs="Arial" w:eastAsia="Arial" w:hAnsi="Arial"/>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38" w:name="page139"/>
    <w:bookmarkEnd w:id="138"/>
    <w:p>
      <w:pPr>
        <w:ind w:right="20" w:firstLine="414"/>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26035"/>
                    </a:xfrm>
                    <a:prstGeom prst="rect">
                      <a:avLst/>
                    </a:prstGeom>
                    <a:noFill/>
                  </pic:spPr>
                </pic:pic>
              </a:graphicData>
            </a:graphic>
          </wp:anchor>
        </w:drawing>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67"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color w:val="auto"/>
        </w:rPr>
        <w:t>Proof of Execution by Securityholders.</w:t>
      </w:r>
    </w:p>
    <w:p>
      <w:pPr>
        <w:spacing w:after="0" w:line="225" w:lineRule="exact"/>
        <w:rPr>
          <w:sz w:val="20"/>
          <w:szCs w:val="20"/>
          <w:color w:val="auto"/>
        </w:rPr>
      </w:pPr>
    </w:p>
    <w:p>
      <w:pPr>
        <w:ind w:right="180" w:firstLine="414"/>
        <w:spacing w:after="0" w:line="308" w:lineRule="auto"/>
        <w:rPr>
          <w:sz w:val="20"/>
          <w:szCs w:val="20"/>
          <w:color w:val="auto"/>
        </w:rPr>
      </w:pPr>
      <w:r>
        <w:rPr>
          <w:rFonts w:ascii="Arial" w:cs="Arial" w:eastAsia="Arial" w:hAnsi="Arial"/>
          <w:sz w:val="17"/>
          <w:szCs w:val="17"/>
          <w:color w:val="auto"/>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147" w:lineRule="exact"/>
        <w:rPr>
          <w:sz w:val="20"/>
          <w:szCs w:val="20"/>
          <w:color w:val="auto"/>
        </w:rPr>
      </w:pPr>
    </w:p>
    <w:p>
      <w:pPr>
        <w:ind w:left="860" w:hanging="447"/>
        <w:spacing w:after="0"/>
        <w:tabs>
          <w:tab w:leader="none" w:pos="8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fact and date of the execution by any such Person of any instrument may be proved in any reasonable manner acceptable to the Trustee.</w:t>
      </w:r>
    </w:p>
    <w:p>
      <w:pPr>
        <w:spacing w:after="0" w:line="248" w:lineRule="exact"/>
        <w:rPr>
          <w:rFonts w:ascii="Arial" w:cs="Arial" w:eastAsia="Arial" w:hAnsi="Arial"/>
          <w:sz w:val="16"/>
          <w:szCs w:val="16"/>
          <w:color w:val="auto"/>
        </w:rPr>
      </w:pPr>
    </w:p>
    <w:p>
      <w:pPr>
        <w:ind w:left="860" w:hanging="447"/>
        <w:spacing w:after="0"/>
        <w:tabs>
          <w:tab w:leader="none" w:pos="8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ownership of Securities shall be proved by the Security Register of such Securities or by a certificate of the Security Registrar thereof.</w:t>
      </w:r>
    </w:p>
    <w:p>
      <w:pPr>
        <w:spacing w:after="0" w:line="236" w:lineRule="exact"/>
        <w:rPr>
          <w:rFonts w:ascii="Arial" w:cs="Arial" w:eastAsia="Arial" w:hAnsi="Arial"/>
          <w:sz w:val="17"/>
          <w:szCs w:val="17"/>
          <w:color w:val="auto"/>
        </w:rPr>
      </w:pPr>
    </w:p>
    <w:p>
      <w:pPr>
        <w:ind w:left="860" w:hanging="447"/>
        <w:spacing w:after="0"/>
        <w:tabs>
          <w:tab w:leader="none" w:pos="8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Trustee may require such additional proof of any matter referred to in this Section as it shall deem necessary.</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6"/>
          <w:szCs w:val="16"/>
          <w:color w:val="auto"/>
        </w:rPr>
        <w:t>Who May be Deemed Owners.</w:t>
      </w:r>
    </w:p>
    <w:p>
      <w:pPr>
        <w:spacing w:after="0" w:line="225" w:lineRule="exact"/>
        <w:rPr>
          <w:sz w:val="20"/>
          <w:szCs w:val="20"/>
          <w:color w:val="auto"/>
        </w:rPr>
      </w:pPr>
    </w:p>
    <w:p>
      <w:pPr>
        <w:ind w:firstLine="414"/>
        <w:spacing w:after="0" w:line="297" w:lineRule="auto"/>
        <w:rPr>
          <w:sz w:val="20"/>
          <w:szCs w:val="20"/>
          <w:color w:val="auto"/>
        </w:rPr>
      </w:pPr>
      <w:r>
        <w:rPr>
          <w:rFonts w:ascii="Arial" w:cs="Arial" w:eastAsia="Arial" w:hAnsi="Arial"/>
          <w:sz w:val="16"/>
          <w:szCs w:val="16"/>
          <w:color w:val="auto"/>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58"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color w:val="auto"/>
        </w:rPr>
        <w:t>Certain Securities Owned by Company Disregarded.</w:t>
      </w:r>
    </w:p>
    <w:p>
      <w:pPr>
        <w:spacing w:after="0" w:line="225" w:lineRule="exact"/>
        <w:rPr>
          <w:sz w:val="20"/>
          <w:szCs w:val="20"/>
          <w:color w:val="auto"/>
        </w:rPr>
      </w:pPr>
    </w:p>
    <w:p>
      <w:pPr>
        <w:ind w:firstLine="414"/>
        <w:spacing w:after="0" w:line="289" w:lineRule="auto"/>
        <w:rPr>
          <w:sz w:val="20"/>
          <w:szCs w:val="20"/>
          <w:color w:val="auto"/>
        </w:rPr>
      </w:pPr>
      <w:r>
        <w:rPr>
          <w:rFonts w:ascii="Arial" w:cs="Arial" w:eastAsia="Arial" w:hAnsi="Arial"/>
          <w:sz w:val="16"/>
          <w:szCs w:val="16"/>
          <w:color w:val="auto"/>
        </w:rPr>
        <w:t>In determining whether the holders of the requisite aggregate principal amount of Securities of a particular series have concurred in any direction, consent of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39" w:name="page140"/>
    <w:bookmarkEnd w:id="139"/>
    <w:p>
      <w:pPr>
        <w:spacing w:after="0"/>
        <w:tabs>
          <w:tab w:leader="none" w:pos="1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SECTION 8.05</w:t>
      </w:r>
      <w:r>
        <w:rPr>
          <w:sz w:val="20"/>
          <w:szCs w:val="20"/>
          <w:color w:val="auto"/>
        </w:rPr>
        <w:tab/>
      </w:r>
      <w:r>
        <w:rPr>
          <w:rFonts w:ascii="Arial" w:cs="Arial" w:eastAsia="Arial" w:hAnsi="Arial"/>
          <w:sz w:val="16"/>
          <w:szCs w:val="16"/>
          <w:color w:val="auto"/>
        </w:rPr>
        <w:t>Actions Binding on Future Securityholders.</w:t>
      </w:r>
    </w:p>
    <w:p>
      <w:pPr>
        <w:spacing w:after="0" w:line="225" w:lineRule="exact"/>
        <w:rPr>
          <w:sz w:val="20"/>
          <w:szCs w:val="20"/>
          <w:color w:val="auto"/>
        </w:rPr>
      </w:pPr>
    </w:p>
    <w:p>
      <w:pPr>
        <w:ind w:firstLine="414"/>
        <w:spacing w:after="0" w:line="270" w:lineRule="auto"/>
        <w:rPr>
          <w:sz w:val="20"/>
          <w:szCs w:val="20"/>
          <w:color w:val="auto"/>
        </w:rPr>
      </w:pPr>
      <w:r>
        <w:rPr>
          <w:rFonts w:ascii="Arial" w:cs="Arial" w:eastAsia="Arial" w:hAnsi="Arial"/>
          <w:sz w:val="17"/>
          <w:szCs w:val="17"/>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82"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6"/>
          <w:szCs w:val="16"/>
          <w:color w:val="auto"/>
        </w:rPr>
        <w:t>Purposes for Which Meetings May Be Called.</w:t>
      </w:r>
    </w:p>
    <w:p>
      <w:pPr>
        <w:spacing w:after="0" w:line="225" w:lineRule="exact"/>
        <w:rPr>
          <w:sz w:val="20"/>
          <w:szCs w:val="20"/>
          <w:color w:val="auto"/>
        </w:rPr>
      </w:pPr>
    </w:p>
    <w:p>
      <w:pPr>
        <w:ind w:right="340" w:firstLine="414"/>
        <w:spacing w:after="0" w:line="264" w:lineRule="auto"/>
        <w:rPr>
          <w:sz w:val="20"/>
          <w:szCs w:val="20"/>
          <w:color w:val="auto"/>
        </w:rPr>
      </w:pPr>
      <w:r>
        <w:rPr>
          <w:rFonts w:ascii="Arial" w:cs="Arial" w:eastAsia="Arial" w:hAnsi="Arial"/>
          <w:sz w:val="18"/>
          <w:szCs w:val="18"/>
          <w:color w:val="auto"/>
        </w:rPr>
        <w:t>A meeting of holders of any series of Securities may be called at any time and from time to time pursuant to this Article to make, give or take any request, demand, authorization, direction, notice, consent, waiver or other action provided by this Indenture to be made, given or taken by holders of such series of Securities.</w:t>
      </w:r>
    </w:p>
    <w:p>
      <w:pPr>
        <w:spacing w:after="0" w:line="181" w:lineRule="exact"/>
        <w:rPr>
          <w:sz w:val="20"/>
          <w:szCs w:val="20"/>
          <w:color w:val="auto"/>
        </w:rPr>
      </w:pPr>
    </w:p>
    <w:p>
      <w:pPr>
        <w:ind w:right="360" w:firstLine="414"/>
        <w:spacing w:after="0" w:line="277" w:lineRule="auto"/>
        <w:rPr>
          <w:sz w:val="20"/>
          <w:szCs w:val="20"/>
          <w:color w:val="auto"/>
        </w:rPr>
      </w:pPr>
      <w:r>
        <w:rPr>
          <w:rFonts w:ascii="Arial" w:cs="Arial" w:eastAsia="Arial" w:hAnsi="Arial"/>
          <w:sz w:val="18"/>
          <w:szCs w:val="18"/>
          <w:color w:val="auto"/>
        </w:rPr>
        <w:t>Notwithstanding anything contained in this Article VIII, the Trustee may, during the pendency of a Default or an Event of Default, call a meeting of holders of any series of Securities in accordance with its standard practices.</w:t>
      </w:r>
    </w:p>
    <w:p>
      <w:pPr>
        <w:spacing w:after="0" w:line="170"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6"/>
          <w:szCs w:val="16"/>
          <w:color w:val="auto"/>
        </w:rPr>
        <w:t>Call Notice and Place of Meetings.</w:t>
      </w:r>
    </w:p>
    <w:p>
      <w:pPr>
        <w:spacing w:after="0" w:line="225" w:lineRule="exact"/>
        <w:rPr>
          <w:sz w:val="20"/>
          <w:szCs w:val="20"/>
          <w:color w:val="auto"/>
        </w:rPr>
      </w:pPr>
    </w:p>
    <w:p>
      <w:pPr>
        <w:ind w:left="840" w:right="300" w:hanging="413"/>
        <w:spacing w:after="0" w:line="255" w:lineRule="auto"/>
        <w:tabs>
          <w:tab w:leader="none" w:pos="8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Trustee may at any time call a meeting of holders of any series of Securities for any purpose specified in Section 8.06 hereof, to be held at such time and at such place in The City of New York or Boston, Massachusetts. Notice of every meeting of holders of any series of Securities, setting forth the time and the place of such meeting, in general terms the action proposed to be taken at such meeting and the percentage of the principal amount of the Outstanding Securities of such series which shall constitute a quorum at such meeting, shall be given, in the manner provided in Section 13.04 hereof, not less than 21 nor more than 180 days prior to the date fixed for the meeting to holders of Outstanding Securities of such series.</w:t>
      </w:r>
    </w:p>
    <w:p>
      <w:pPr>
        <w:spacing w:after="0" w:line="193" w:lineRule="exact"/>
        <w:rPr>
          <w:rFonts w:ascii="Arial" w:cs="Arial" w:eastAsia="Arial" w:hAnsi="Arial"/>
          <w:sz w:val="18"/>
          <w:szCs w:val="18"/>
          <w:color w:val="auto"/>
        </w:rPr>
      </w:pPr>
    </w:p>
    <w:p>
      <w:pPr>
        <w:ind w:left="840" w:right="20" w:hanging="413"/>
        <w:spacing w:after="0" w:line="272" w:lineRule="auto"/>
        <w:tabs>
          <w:tab w:leader="none" w:pos="8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8.06 hereof,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specified, as the case may be, may determine the time and the place in The City of New York or Boston, Massachusetts for such meeting and may call such meeting for such purposes by giving notice thereof as provided in paragraph (a) of this Section.</w:t>
      </w:r>
    </w:p>
    <w:p>
      <w:pPr>
        <w:spacing w:after="0" w:line="178"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8.08</w:t>
      </w:r>
      <w:r>
        <w:rPr>
          <w:sz w:val="20"/>
          <w:szCs w:val="20"/>
          <w:color w:val="auto"/>
        </w:rPr>
        <w:tab/>
      </w:r>
      <w:r>
        <w:rPr>
          <w:rFonts w:ascii="Arial" w:cs="Arial" w:eastAsia="Arial" w:hAnsi="Arial"/>
          <w:sz w:val="16"/>
          <w:szCs w:val="16"/>
          <w:color w:val="auto"/>
        </w:rPr>
        <w:t>Persons Entitled To Vote at Meetings.</w:t>
      </w:r>
    </w:p>
    <w:p>
      <w:pPr>
        <w:spacing w:after="0" w:line="225" w:lineRule="exact"/>
        <w:rPr>
          <w:sz w:val="20"/>
          <w:szCs w:val="20"/>
          <w:color w:val="auto"/>
        </w:rPr>
      </w:pPr>
    </w:p>
    <w:p>
      <w:pPr>
        <w:ind w:right="20" w:firstLine="414"/>
        <w:spacing w:after="0" w:line="302" w:lineRule="auto"/>
        <w:rPr>
          <w:sz w:val="20"/>
          <w:szCs w:val="20"/>
          <w:color w:val="auto"/>
        </w:rPr>
      </w:pPr>
      <w:r>
        <w:rPr>
          <w:rFonts w:ascii="Arial" w:cs="Arial" w:eastAsia="Arial" w:hAnsi="Arial"/>
          <w:sz w:val="16"/>
          <w:szCs w:val="16"/>
          <w:color w:val="auto"/>
        </w:rPr>
        <w:t>To be entitled to vote at any meeting of holders of Securities of a given series, a Person shall be (a) a holder of one or more Outstanding Securities of such series or (b) a Person appointed by an instrument in writing as proxy for a holder or holders of one or more Outstanding Securities of such series by such holder or holders. The only Persons who shall be entitled to be present or to speak at any meeting of holders shall be the Persons entitled to vote at such meeting and their counsel, any representatives of the Trustee and its counsel and any representatives of the Company and its counsel.</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40" w:name="page141"/>
    <w:bookmarkEnd w:id="140"/>
    <w:p>
      <w:pPr>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SECTION 8.09</w:t>
      </w:r>
      <w:r>
        <w:rPr>
          <w:sz w:val="20"/>
          <w:szCs w:val="20"/>
          <w:color w:val="auto"/>
        </w:rPr>
        <w:tab/>
      </w:r>
      <w:r>
        <w:rPr>
          <w:rFonts w:ascii="Arial" w:cs="Arial" w:eastAsia="Arial" w:hAnsi="Arial"/>
          <w:sz w:val="16"/>
          <w:szCs w:val="16"/>
          <w:color w:val="auto"/>
        </w:rPr>
        <w:t>Quorum; Action.</w:t>
      </w:r>
    </w:p>
    <w:p>
      <w:pPr>
        <w:spacing w:after="0" w:line="225" w:lineRule="exact"/>
        <w:rPr>
          <w:sz w:val="20"/>
          <w:szCs w:val="20"/>
          <w:color w:val="auto"/>
        </w:rPr>
      </w:pPr>
    </w:p>
    <w:p>
      <w:pPr>
        <w:ind w:firstLine="414"/>
        <w:spacing w:after="0" w:line="291" w:lineRule="auto"/>
        <w:rPr>
          <w:sz w:val="20"/>
          <w:szCs w:val="20"/>
          <w:color w:val="auto"/>
        </w:rPr>
      </w:pPr>
      <w:r>
        <w:rPr>
          <w:rFonts w:ascii="Arial" w:cs="Arial" w:eastAsia="Arial" w:hAnsi="Arial"/>
          <w:sz w:val="16"/>
          <w:szCs w:val="16"/>
          <w:color w:val="auto"/>
        </w:rPr>
        <w:t>The Persons entitled to vote a majority in aggregate principal amount of the Outstanding Securities of a given series shall constitute a quorum with respect to a meeting of holders of Outstanding Securities of such series.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8.07(a) hereof, except that such notice need be given only once and not less than five days prior to the date on which the meeting is scheduled to be reconvened.</w:t>
      </w:r>
    </w:p>
    <w:p>
      <w:pPr>
        <w:spacing w:after="0" w:line="167" w:lineRule="exact"/>
        <w:rPr>
          <w:sz w:val="20"/>
          <w:szCs w:val="20"/>
          <w:color w:val="auto"/>
        </w:rPr>
      </w:pPr>
    </w:p>
    <w:p>
      <w:pPr>
        <w:ind w:right="160" w:firstLine="414"/>
        <w:spacing w:after="0" w:line="259" w:lineRule="auto"/>
        <w:rPr>
          <w:sz w:val="20"/>
          <w:szCs w:val="20"/>
          <w:color w:val="auto"/>
        </w:rPr>
      </w:pPr>
      <w:r>
        <w:rPr>
          <w:rFonts w:ascii="Arial" w:cs="Arial" w:eastAsia="Arial" w:hAnsi="Arial"/>
          <w:sz w:val="18"/>
          <w:szCs w:val="18"/>
          <w:color w:val="auto"/>
        </w:rPr>
        <w:t>At a meeting or an adjourned meeting duly reconvened and at which a quorum is present as aforesaid, any resolution and all matters (except as limited by the proviso to the first paragraph of Section 9.02 hereof) shall be effectively passed and decided if passed or decided by the Persons entitled to vote not less than a majority in aggregate principal amount of Outstanding Securities of a series represented and voting at such meeting with respect to a meeting of holders of Outstanding Securities of such series.</w:t>
      </w:r>
    </w:p>
    <w:p>
      <w:pPr>
        <w:spacing w:after="0" w:line="187" w:lineRule="exact"/>
        <w:rPr>
          <w:sz w:val="20"/>
          <w:szCs w:val="20"/>
          <w:color w:val="auto"/>
        </w:rPr>
      </w:pPr>
    </w:p>
    <w:p>
      <w:pPr>
        <w:ind w:right="300" w:firstLine="414"/>
        <w:spacing w:after="0" w:line="277" w:lineRule="auto"/>
        <w:rPr>
          <w:sz w:val="20"/>
          <w:szCs w:val="20"/>
          <w:color w:val="auto"/>
        </w:rPr>
      </w:pPr>
      <w:r>
        <w:rPr>
          <w:rFonts w:ascii="Arial" w:cs="Arial" w:eastAsia="Arial" w:hAnsi="Arial"/>
          <w:sz w:val="18"/>
          <w:szCs w:val="18"/>
          <w:color w:val="auto"/>
        </w:rPr>
        <w:t>Any resolution passed or decisions taken at any meeting of holders of Securities duly held in accordance with this Section shall be binding on all the holders of Securities of such series, whether or not present or represented at the meeting.</w:t>
      </w:r>
    </w:p>
    <w:p>
      <w:pPr>
        <w:spacing w:after="0" w:line="170"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8.10</w:t>
      </w:r>
      <w:r>
        <w:rPr>
          <w:sz w:val="20"/>
          <w:szCs w:val="20"/>
          <w:color w:val="auto"/>
        </w:rPr>
        <w:tab/>
      </w:r>
      <w:r>
        <w:rPr>
          <w:rFonts w:ascii="Arial" w:cs="Arial" w:eastAsia="Arial" w:hAnsi="Arial"/>
          <w:sz w:val="16"/>
          <w:szCs w:val="16"/>
          <w:color w:val="auto"/>
        </w:rPr>
        <w:t>Determination of Voting Rights; Conduct and Adjournment of Meetings.</w:t>
      </w:r>
    </w:p>
    <w:p>
      <w:pPr>
        <w:spacing w:after="0" w:line="225" w:lineRule="exact"/>
        <w:rPr>
          <w:sz w:val="20"/>
          <w:szCs w:val="20"/>
          <w:color w:val="auto"/>
        </w:rPr>
      </w:pPr>
    </w:p>
    <w:p>
      <w:pPr>
        <w:ind w:left="840" w:right="100" w:hanging="413"/>
        <w:spacing w:after="0" w:line="259" w:lineRule="auto"/>
        <w:tabs>
          <w:tab w:leader="none" w:pos="8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Notwithstanding any other provisions of this Indenture, the Trustee may make such reasonable regulations as it may deem advisable for any meeting of holders of Securities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w:t>
      </w:r>
    </w:p>
    <w:p>
      <w:pPr>
        <w:spacing w:after="0" w:line="186" w:lineRule="exact"/>
        <w:rPr>
          <w:rFonts w:ascii="Arial" w:cs="Arial" w:eastAsia="Arial" w:hAnsi="Arial"/>
          <w:sz w:val="18"/>
          <w:szCs w:val="18"/>
          <w:color w:val="auto"/>
        </w:rPr>
      </w:pPr>
    </w:p>
    <w:p>
      <w:pPr>
        <w:ind w:left="840" w:hanging="413"/>
        <w:spacing w:after="0" w:line="257" w:lineRule="auto"/>
        <w:tabs>
          <w:tab w:leader="none" w:pos="8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Trustee shall, by an instrument in writing, appoint a temporary chairman (which may be the Trustee) of the meeting, unless the meeting shall have been called by the Company or by holders of Securities of a given series as provided in Section 8.07(b) hereof, in which case the Company or the holders of Securities of such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88" w:lineRule="exact"/>
        <w:rPr>
          <w:rFonts w:ascii="Arial" w:cs="Arial" w:eastAsia="Arial" w:hAnsi="Arial"/>
          <w:sz w:val="18"/>
          <w:szCs w:val="18"/>
          <w:color w:val="auto"/>
        </w:rPr>
      </w:pPr>
    </w:p>
    <w:p>
      <w:pPr>
        <w:ind w:left="840" w:right="200" w:hanging="413"/>
        <w:spacing w:after="0" w:line="279" w:lineRule="auto"/>
        <w:tabs>
          <w:tab w:leader="none" w:pos="8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At any meeting, each holder of a Security of the series in respect of which such meeting is being held or proxy shall be entitled to one vote for each $1,000 principal amount of Securities of such series held or represented by him; provided, however, that no vote shall be cast or counted at any meeting in respect of any Security of such series challenged as not Outstanding and ruled by the chairman of the meeting to be not Outstanding. The chairman of the meeting shall have no right to vote, except as a holder of a Security of such series or proxy.</w:t>
      </w:r>
    </w:p>
    <w:p>
      <w:pPr>
        <w:spacing w:after="0" w:line="171" w:lineRule="exact"/>
        <w:rPr>
          <w:rFonts w:ascii="Arial" w:cs="Arial" w:eastAsia="Arial" w:hAnsi="Arial"/>
          <w:sz w:val="17"/>
          <w:szCs w:val="17"/>
          <w:color w:val="auto"/>
        </w:rPr>
      </w:pPr>
    </w:p>
    <w:p>
      <w:pPr>
        <w:ind w:left="840" w:right="20" w:hanging="413"/>
        <w:spacing w:after="0" w:line="264" w:lineRule="auto"/>
        <w:tabs>
          <w:tab w:leader="none" w:pos="8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meeting of holders of Securities duly called pursuant to Section 8.07 hereof at which a quorum is present may be adjourned from time to time by Persons entitled to vote a majority in principal amount of the Outstanding Securities of the series in respect of which such meeting is being held represented at the meeting, and the meeting may be held as so adjourned without further notice.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41" w:name="page142"/>
    <w:bookmarkEnd w:id="141"/>
    <w:p>
      <w:pPr>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SECTION 8.11</w:t>
      </w:r>
      <w:r>
        <w:rPr>
          <w:sz w:val="20"/>
          <w:szCs w:val="20"/>
          <w:color w:val="auto"/>
        </w:rPr>
        <w:tab/>
      </w:r>
      <w:r>
        <w:rPr>
          <w:rFonts w:ascii="Arial" w:cs="Arial" w:eastAsia="Arial" w:hAnsi="Arial"/>
          <w:sz w:val="16"/>
          <w:szCs w:val="16"/>
          <w:color w:val="auto"/>
        </w:rPr>
        <w:t>Counting Votes and Recording Action of Meetings.</w:t>
      </w:r>
    </w:p>
    <w:p>
      <w:pPr>
        <w:spacing w:after="0" w:line="225" w:lineRule="exact"/>
        <w:rPr>
          <w:sz w:val="20"/>
          <w:szCs w:val="20"/>
          <w:color w:val="auto"/>
        </w:rPr>
      </w:pPr>
    </w:p>
    <w:p>
      <w:pPr>
        <w:ind w:firstLine="414"/>
        <w:spacing w:after="0" w:line="288" w:lineRule="auto"/>
        <w:rPr>
          <w:sz w:val="20"/>
          <w:szCs w:val="20"/>
          <w:color w:val="auto"/>
        </w:rPr>
      </w:pPr>
      <w:r>
        <w:rPr>
          <w:rFonts w:ascii="Arial" w:cs="Arial" w:eastAsia="Arial" w:hAnsi="Arial"/>
          <w:sz w:val="16"/>
          <w:szCs w:val="16"/>
          <w:color w:val="auto"/>
        </w:rPr>
        <w:t>The vote upon any resolution submitted to any meeting of holders of Securities of a given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such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8.07 hereof and, if applicable, Section 8.09 hereof.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SUPPLEMENTAL INDENTURES</w:t>
      </w: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color w:val="auto"/>
        </w:rPr>
        <w:t>Supplemental Indentures Without the Consent of Securityholders.</w:t>
      </w:r>
    </w:p>
    <w:p>
      <w:pPr>
        <w:spacing w:after="0" w:line="225" w:lineRule="exact"/>
        <w:rPr>
          <w:sz w:val="20"/>
          <w:szCs w:val="20"/>
          <w:color w:val="auto"/>
        </w:rPr>
      </w:pPr>
    </w:p>
    <w:p>
      <w:pPr>
        <w:ind w:right="100" w:firstLine="414"/>
        <w:spacing w:after="0" w:line="264" w:lineRule="auto"/>
        <w:rPr>
          <w:sz w:val="20"/>
          <w:szCs w:val="20"/>
          <w:color w:val="auto"/>
        </w:rPr>
      </w:pPr>
      <w:r>
        <w:rPr>
          <w:rFonts w:ascii="Arial" w:cs="Arial" w:eastAsia="Arial" w:hAnsi="Arial"/>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81" w:lineRule="exact"/>
        <w:rPr>
          <w:sz w:val="20"/>
          <w:szCs w:val="20"/>
          <w:color w:val="auto"/>
        </w:rPr>
      </w:pPr>
    </w:p>
    <w:p>
      <w:pPr>
        <w:ind w:left="860" w:right="20" w:hanging="447"/>
        <w:spacing w:after="0" w:line="286" w:lineRule="auto"/>
        <w:tabs>
          <w:tab w:leader="none" w:pos="8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cure any ambiguity, correct or supplement any provision herein which may be inconsistent with any other provision herein or which is otherwise defective, or make any other provisions with respect to matters or questions arising under this Indenture which the Company and the Trustee may deem necessary or desirable and which shall not be inconsistent with the provisions of this Indenture;</w:t>
      </w:r>
    </w:p>
    <w:p>
      <w:pPr>
        <w:spacing w:after="0" w:line="165" w:lineRule="exact"/>
        <w:rPr>
          <w:rFonts w:ascii="Arial" w:cs="Arial" w:eastAsia="Arial" w:hAnsi="Arial"/>
          <w:sz w:val="17"/>
          <w:szCs w:val="17"/>
          <w:color w:val="auto"/>
        </w:rPr>
      </w:pPr>
    </w:p>
    <w:p>
      <w:pPr>
        <w:ind w:left="860" w:hanging="447"/>
        <w:spacing w:after="0"/>
        <w:tabs>
          <w:tab w:leader="none" w:pos="8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comply with Article X;</w:t>
      </w:r>
    </w:p>
    <w:p>
      <w:pPr>
        <w:spacing w:after="0" w:line="225" w:lineRule="exact"/>
        <w:rPr>
          <w:rFonts w:ascii="Arial" w:cs="Arial" w:eastAsia="Arial" w:hAnsi="Arial"/>
          <w:sz w:val="18"/>
          <w:szCs w:val="18"/>
          <w:color w:val="auto"/>
        </w:rPr>
      </w:pPr>
    </w:p>
    <w:p>
      <w:pPr>
        <w:ind w:left="860" w:hanging="447"/>
        <w:spacing w:after="0"/>
        <w:tabs>
          <w:tab w:leader="none" w:pos="8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jc w:val="both"/>
        <w:ind w:left="860" w:right="340" w:hanging="447"/>
        <w:spacing w:after="0" w:line="264" w:lineRule="auto"/>
        <w:tabs>
          <w:tab w:leader="none" w:pos="8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w:t>
      </w:r>
    </w:p>
    <w:p>
      <w:pPr>
        <w:spacing w:after="0" w:line="181" w:lineRule="exact"/>
        <w:rPr>
          <w:rFonts w:ascii="Arial" w:cs="Arial" w:eastAsia="Arial" w:hAnsi="Arial"/>
          <w:sz w:val="18"/>
          <w:szCs w:val="18"/>
          <w:color w:val="auto"/>
        </w:rPr>
      </w:pPr>
    </w:p>
    <w:p>
      <w:pPr>
        <w:ind w:left="860" w:right="80" w:hanging="447"/>
        <w:spacing w:after="0" w:line="277" w:lineRule="auto"/>
        <w:tabs>
          <w:tab w:leader="none" w:pos="8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Securities, as herein set forth;</w:t>
      </w:r>
    </w:p>
    <w:p>
      <w:pPr>
        <w:spacing w:after="0" w:line="170" w:lineRule="exact"/>
        <w:rPr>
          <w:rFonts w:ascii="Arial" w:cs="Arial" w:eastAsia="Arial" w:hAnsi="Arial"/>
          <w:sz w:val="18"/>
          <w:szCs w:val="18"/>
          <w:color w:val="auto"/>
        </w:rPr>
      </w:pPr>
    </w:p>
    <w:p>
      <w:pPr>
        <w:ind w:left="860" w:hanging="447"/>
        <w:spacing w:after="0"/>
        <w:tabs>
          <w:tab w:leader="none" w:pos="8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 in any material respect;</w:t>
      </w:r>
    </w:p>
    <w:p>
      <w:pPr>
        <w:spacing w:after="0" w:line="225" w:lineRule="exact"/>
        <w:rPr>
          <w:rFonts w:ascii="Arial" w:cs="Arial" w:eastAsia="Arial" w:hAnsi="Arial"/>
          <w:sz w:val="18"/>
          <w:szCs w:val="18"/>
          <w:color w:val="auto"/>
        </w:rPr>
      </w:pPr>
    </w:p>
    <w:p>
      <w:pPr>
        <w:ind w:left="860" w:right="80" w:hanging="447"/>
        <w:spacing w:after="0" w:line="264" w:lineRule="auto"/>
        <w:tabs>
          <w:tab w:leader="none" w:pos="8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or</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06" w:right="299" w:bottom="1440" w:gutter="0" w:footer="0" w:header="0"/>
        </w:sectPr>
      </w:pPr>
    </w:p>
    <w:bookmarkStart w:id="142" w:name="page143"/>
    <w:bookmarkEnd w:id="142"/>
    <w:p>
      <w:pPr>
        <w:ind w:left="860" w:hanging="447"/>
        <w:spacing w:after="0"/>
        <w:tabs>
          <w:tab w:leader="none" w:pos="8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26035"/>
                    </a:xfrm>
                    <a:prstGeom prst="rect">
                      <a:avLst/>
                    </a:prstGeom>
                    <a:noFill/>
                  </pic:spPr>
                </pic:pic>
              </a:graphicData>
            </a:graphic>
          </wp:anchor>
        </w:drawing>
        <w:t>comply with the requirements of the Commission in order to effect or maintain the qualification of this Indenture under the Trust Indenture Act.</w:t>
      </w:r>
    </w:p>
    <w:p>
      <w:pPr>
        <w:spacing w:after="0" w:line="248" w:lineRule="exact"/>
        <w:rPr>
          <w:sz w:val="20"/>
          <w:szCs w:val="20"/>
          <w:color w:val="auto"/>
        </w:rPr>
      </w:pPr>
    </w:p>
    <w:p>
      <w:pPr>
        <w:ind w:right="60" w:firstLine="414"/>
        <w:spacing w:after="0" w:line="264" w:lineRule="auto"/>
        <w:rPr>
          <w:sz w:val="20"/>
          <w:szCs w:val="20"/>
          <w:color w:val="auto"/>
        </w:rPr>
      </w:pPr>
      <w:r>
        <w:rPr>
          <w:rFonts w:ascii="Arial" w:cs="Arial" w:eastAsia="Arial" w:hAnsi="Arial"/>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81" w:lineRule="exact"/>
        <w:rPr>
          <w:sz w:val="20"/>
          <w:szCs w:val="20"/>
          <w:color w:val="auto"/>
        </w:rPr>
      </w:pPr>
    </w:p>
    <w:p>
      <w:pPr>
        <w:ind w:right="240" w:firstLine="414"/>
        <w:spacing w:after="0" w:line="277" w:lineRule="auto"/>
        <w:rPr>
          <w:sz w:val="20"/>
          <w:szCs w:val="20"/>
          <w:color w:val="auto"/>
        </w:rPr>
      </w:pPr>
      <w:r>
        <w:rPr>
          <w:rFonts w:ascii="Arial" w:cs="Arial" w:eastAsia="Arial" w:hAnsi="Arial"/>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70"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color w:val="auto"/>
        </w:rPr>
        <w:t>Supplemental Indentures With Consent of Securityholders.</w:t>
      </w:r>
    </w:p>
    <w:p>
      <w:pPr>
        <w:spacing w:after="0" w:line="225" w:lineRule="exact"/>
        <w:rPr>
          <w:sz w:val="20"/>
          <w:szCs w:val="20"/>
          <w:color w:val="auto"/>
        </w:rPr>
      </w:pPr>
    </w:p>
    <w:p>
      <w:pPr>
        <w:ind w:right="60" w:firstLine="414"/>
        <w:spacing w:after="0" w:line="269" w:lineRule="auto"/>
        <w:rPr>
          <w:sz w:val="20"/>
          <w:szCs w:val="20"/>
          <w:color w:val="auto"/>
        </w:rPr>
      </w:pPr>
      <w:r>
        <w:rPr>
          <w:rFonts w:ascii="Arial" w:cs="Arial" w:eastAsia="Arial" w:hAnsi="Arial"/>
          <w:sz w:val="17"/>
          <w:szCs w:val="17"/>
          <w:color w:val="auto"/>
        </w:rPr>
        <w:t>With the written consent of the holders of at least a majority in aggregate principal amount of the Outstanding Securities of any series or by action at a meeting of holders of the Securities of such series in accordance with Section 8.09, by the holders of a majority in aggregate principal amount of the Securities of such series then Outstanding represented at such meeting, the Company, when authorized by Board Resolutions,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(i) extend the fixed maturity of any Securities of any series, or reduce the principal amount thereof, or reduce the rate or extend the time of payment of interest thereon, or reduce any premium payable upon the redemption thereof, (ii) reduce the aforesaid percentage of Securities, the holders of which are required to consent to any such supplemental indenture, or any consent or waiver, (iii) reduce the principal amount of discount securities payable upon acceleration of the maturity of any Securities of any series or (iv) make the principal of or premium or interest on any Security of a series payable in currency or currency units other than that stated in the Securities of such series.</w:t>
      </w:r>
    </w:p>
    <w:p>
      <w:pPr>
        <w:spacing w:after="0" w:line="180" w:lineRule="exact"/>
        <w:rPr>
          <w:sz w:val="20"/>
          <w:szCs w:val="20"/>
          <w:color w:val="auto"/>
        </w:rPr>
      </w:pPr>
    </w:p>
    <w:p>
      <w:pPr>
        <w:ind w:right="300" w:firstLine="414"/>
        <w:spacing w:after="0" w:line="277" w:lineRule="auto"/>
        <w:rPr>
          <w:sz w:val="20"/>
          <w:szCs w:val="20"/>
          <w:color w:val="auto"/>
        </w:rPr>
      </w:pPr>
      <w:r>
        <w:rPr>
          <w:rFonts w:ascii="Arial" w:cs="Arial" w:eastAsia="Arial" w:hAnsi="Arial"/>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70"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color w:val="auto"/>
        </w:rPr>
        <w:t>Effect of Supplemental Indentures.</w:t>
      </w:r>
    </w:p>
    <w:p>
      <w:pPr>
        <w:spacing w:after="0" w:line="225" w:lineRule="exact"/>
        <w:rPr>
          <w:sz w:val="20"/>
          <w:szCs w:val="20"/>
          <w:color w:val="auto"/>
        </w:rPr>
      </w:pPr>
    </w:p>
    <w:p>
      <w:pPr>
        <w:ind w:right="280" w:firstLine="414"/>
        <w:spacing w:after="0" w:line="297" w:lineRule="auto"/>
        <w:rPr>
          <w:sz w:val="20"/>
          <w:szCs w:val="20"/>
          <w:color w:val="auto"/>
        </w:rPr>
      </w:pPr>
      <w:r>
        <w:rPr>
          <w:rFonts w:ascii="Arial" w:cs="Arial" w:eastAsia="Arial" w:hAnsi="Arial"/>
          <w:sz w:val="16"/>
          <w:szCs w:val="16"/>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58"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color w:val="auto"/>
        </w:rPr>
        <w:t>Securities Affected by Supplemental Indentures.</w:t>
      </w:r>
    </w:p>
    <w:p>
      <w:pPr>
        <w:spacing w:after="0" w:line="225" w:lineRule="exact"/>
        <w:rPr>
          <w:sz w:val="20"/>
          <w:szCs w:val="20"/>
          <w:color w:val="auto"/>
        </w:rPr>
      </w:pPr>
    </w:p>
    <w:p>
      <w:pPr>
        <w:ind w:firstLine="414"/>
        <w:spacing w:after="0" w:line="255" w:lineRule="auto"/>
        <w:rPr>
          <w:sz w:val="20"/>
          <w:szCs w:val="20"/>
          <w:color w:val="auto"/>
        </w:rPr>
      </w:pPr>
      <w:r>
        <w:rPr>
          <w:rFonts w:ascii="Arial" w:cs="Arial" w:eastAsia="Arial" w:hAnsi="Arial"/>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exchange upon which such series may be listed, as to any matter provided for in such supplemental indenture. If the Company shall so determine, new Securities of that series so modified as to conform, in the opinion of the Board of Directors of the Company, to any modification of this Indenture contained in any such supplemental indenture may be prepared by the Company, authenticated by the Trustee and delivered in exchange for the Securities of that series then Outstanding.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43" w:name="page144"/>
    <w:bookmarkEnd w:id="143"/>
    <w:p>
      <w:pPr>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SECTION 9.05</w:t>
      </w:r>
      <w:r>
        <w:rPr>
          <w:sz w:val="20"/>
          <w:szCs w:val="20"/>
          <w:color w:val="auto"/>
        </w:rPr>
        <w:tab/>
      </w:r>
      <w:r>
        <w:rPr>
          <w:rFonts w:ascii="Arial" w:cs="Arial" w:eastAsia="Arial" w:hAnsi="Arial"/>
          <w:sz w:val="16"/>
          <w:szCs w:val="16"/>
          <w:color w:val="auto"/>
        </w:rPr>
        <w:t>Execution of Supplemental Indentures.</w:t>
      </w:r>
    </w:p>
    <w:p>
      <w:pPr>
        <w:spacing w:after="0" w:line="225" w:lineRule="exact"/>
        <w:rPr>
          <w:sz w:val="20"/>
          <w:szCs w:val="20"/>
          <w:color w:val="auto"/>
        </w:rPr>
      </w:pPr>
    </w:p>
    <w:p>
      <w:pPr>
        <w:ind w:right="160" w:firstLine="414"/>
        <w:spacing w:after="0" w:line="271" w:lineRule="auto"/>
        <w:rPr>
          <w:sz w:val="20"/>
          <w:szCs w:val="20"/>
          <w:color w:val="auto"/>
        </w:rPr>
      </w:pPr>
      <w:r>
        <w:rPr>
          <w:rFonts w:ascii="Arial" w:cs="Arial" w:eastAsia="Arial" w:hAnsi="Arial"/>
          <w:sz w:val="17"/>
          <w:szCs w:val="17"/>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may receive an Opinion of Counsel as conclusive evidence that any supplemental indenture executed pursuant to this Article is authorized or permitted by, and conforms to, the terms of this Article and that it is proper for the Trustee under the provisions of this Article to join in the execution thereof; provided, however, that such Opinion of Counsel need not be provided in connection with the execution of a supplemental indenture that establishes the terms of a series of Securities pursuant to Section 2.01 hereof.</w:t>
      </w:r>
    </w:p>
    <w:p>
      <w:pPr>
        <w:spacing w:after="0" w:line="179" w:lineRule="exact"/>
        <w:rPr>
          <w:sz w:val="20"/>
          <w:szCs w:val="20"/>
          <w:color w:val="auto"/>
        </w:rPr>
      </w:pPr>
    </w:p>
    <w:p>
      <w:pPr>
        <w:ind w:right="20" w:firstLine="414"/>
        <w:spacing w:after="0" w:line="279" w:lineRule="auto"/>
        <w:rPr>
          <w:sz w:val="20"/>
          <w:szCs w:val="20"/>
          <w:color w:val="auto"/>
        </w:rPr>
      </w:pPr>
      <w:r>
        <w:rPr>
          <w:rFonts w:ascii="Arial" w:cs="Arial" w:eastAsia="Arial" w:hAnsi="Arial"/>
          <w:sz w:val="17"/>
          <w:szCs w:val="17"/>
          <w:color w:val="auto"/>
        </w:rPr>
        <w:t>Promptly after the execution by the Company and the Trustee of any supplemental indenture pursuant to the provisions of this Section, the Trustee shall transmit by mail, first class postage prepaid, a notice, setting forth in general terms the substance of such supplemental indenture, to the Securityholders of all series affected thereby as their names and addresses appear upon the Security Register. Any failure of the Trustee to mail such notice, or any defect therein, shall not, however, in any way impair or affect the validity of any such supplemental indenture.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SUCCESSOR ENTITY</w:t>
      </w:r>
    </w:p>
    <w:p>
      <w:pPr>
        <w:spacing w:after="0" w:line="22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6"/>
          <w:szCs w:val="16"/>
          <w:color w:val="auto"/>
        </w:rPr>
        <w:t>Company May Consolidate, Etc.</w:t>
      </w:r>
    </w:p>
    <w:p>
      <w:pPr>
        <w:spacing w:after="0" w:line="225" w:lineRule="exact"/>
        <w:rPr>
          <w:sz w:val="20"/>
          <w:szCs w:val="20"/>
          <w:color w:val="auto"/>
        </w:rPr>
      </w:pPr>
    </w:p>
    <w:p>
      <w:pPr>
        <w:ind w:firstLine="414"/>
        <w:spacing w:after="0" w:line="287" w:lineRule="auto"/>
        <w:rPr>
          <w:sz w:val="20"/>
          <w:szCs w:val="20"/>
          <w:color w:val="auto"/>
        </w:rPr>
      </w:pPr>
      <w:r>
        <w:rPr>
          <w:rFonts w:ascii="Arial" w:cs="Arial" w:eastAsia="Arial" w:hAnsi="Arial"/>
          <w:sz w:val="16"/>
          <w:szCs w:val="16"/>
          <w:color w:val="auto"/>
        </w:rPr>
        <w:t>Nothing contained in this Indenture or in any of the Securities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satisfactory in form to the Trustee executed and delivered to the Trustee by the entity formed by such consolidation, or into which the Company shall have been merged, or by the entity which shall have acquired such property.</w:t>
      </w:r>
    </w:p>
    <w:p>
      <w:pPr>
        <w:spacing w:after="0" w:line="173"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6"/>
          <w:szCs w:val="16"/>
          <w:color w:val="auto"/>
        </w:rPr>
        <w:t>Successor Entity Substituted.</w:t>
      </w:r>
    </w:p>
    <w:p>
      <w:pPr>
        <w:spacing w:after="0" w:line="225" w:lineRule="exact"/>
        <w:rPr>
          <w:sz w:val="20"/>
          <w:szCs w:val="20"/>
          <w:color w:val="auto"/>
        </w:rPr>
      </w:pPr>
    </w:p>
    <w:p>
      <w:pPr>
        <w:ind w:left="840" w:right="80" w:hanging="413"/>
        <w:spacing w:after="0" w:line="255" w:lineRule="auto"/>
        <w:tabs>
          <w:tab w:leader="none" w:pos="8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due and punctual payment of the principal of, premium, if any, and interest on all of the Securities of all series Outstanding and the due and punctual performance of all of the covenants and conditions of this Indenture or established with respect to each series of the Securities pursuant to Section 2.01 to be performed by the Company with respect to each series,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sectPr>
      </w:pPr>
    </w:p>
    <w:bookmarkStart w:id="144" w:name="page145"/>
    <w:bookmarkEnd w:id="144"/>
    <w:p>
      <w:pPr>
        <w:ind w:left="840" w:right="580" w:hanging="413"/>
        <w:spacing w:after="0" w:line="277" w:lineRule="auto"/>
        <w:tabs>
          <w:tab w:leader="none" w:pos="8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26035"/>
                    </a:xfrm>
                    <a:prstGeom prst="rect">
                      <a:avLst/>
                    </a:prstGeom>
                    <a:noFill/>
                  </pic:spPr>
                </pic:pic>
              </a:graphicData>
            </a:graphic>
          </wp:anchor>
        </w:drawing>
        <w:t>In case of any such consolidation, merger, sale, conveyance, transfer or other disposition such changes in phraseology and form (but not in substance) may be made in the Securities thereafter to be issued as may be appropriate.</w:t>
      </w:r>
    </w:p>
    <w:p>
      <w:pPr>
        <w:spacing w:after="0" w:line="170" w:lineRule="exact"/>
        <w:rPr>
          <w:rFonts w:ascii="Arial" w:cs="Arial" w:eastAsia="Arial" w:hAnsi="Arial"/>
          <w:sz w:val="18"/>
          <w:szCs w:val="18"/>
          <w:color w:val="auto"/>
        </w:rPr>
      </w:pPr>
    </w:p>
    <w:p>
      <w:pPr>
        <w:ind w:left="840" w:right="140" w:hanging="413"/>
        <w:spacing w:after="0" w:line="264" w:lineRule="auto"/>
        <w:tabs>
          <w:tab w:leader="none" w:pos="8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8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10.03</w:t>
      </w:r>
      <w:r>
        <w:rPr>
          <w:sz w:val="20"/>
          <w:szCs w:val="20"/>
          <w:color w:val="auto"/>
        </w:rPr>
        <w:tab/>
      </w:r>
      <w:r>
        <w:rPr>
          <w:rFonts w:ascii="Arial" w:cs="Arial" w:eastAsia="Arial" w:hAnsi="Arial"/>
          <w:sz w:val="16"/>
          <w:szCs w:val="16"/>
          <w:color w:val="auto"/>
        </w:rPr>
        <w:t>Evidence of Consolidation, Etc. to Trustee.</w:t>
      </w:r>
    </w:p>
    <w:p>
      <w:pPr>
        <w:spacing w:after="0" w:line="225" w:lineRule="exact"/>
        <w:rPr>
          <w:sz w:val="20"/>
          <w:szCs w:val="20"/>
          <w:color w:val="auto"/>
        </w:rPr>
      </w:pPr>
    </w:p>
    <w:p>
      <w:pPr>
        <w:ind w:right="160" w:firstLine="414"/>
        <w:spacing w:after="0" w:line="277" w:lineRule="auto"/>
        <w:rPr>
          <w:sz w:val="20"/>
          <w:szCs w:val="20"/>
          <w:color w:val="auto"/>
        </w:rPr>
      </w:pPr>
      <w:r>
        <w:rPr>
          <w:rFonts w:ascii="Arial" w:cs="Arial" w:eastAsia="Arial" w:hAnsi="Arial"/>
          <w:sz w:val="18"/>
          <w:szCs w:val="18"/>
          <w:color w:val="auto"/>
        </w:rPr>
        <w:t>The Trustee, subject to the provisions of Section 7.01, may receive an Opinion of Counsel as conclusive evidence that any such consolidation, merger, sale, conveyance, transfer or other disposition, and any such assumption, comply with the provisions of this Article.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SATISFACTION AND DISCHARGE</w:t>
      </w:r>
    </w:p>
    <w:p>
      <w:pPr>
        <w:spacing w:after="0" w:line="22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color w:val="auto"/>
        </w:rPr>
        <w:t>Satisfaction and Discharge of Indenture.</w:t>
      </w:r>
    </w:p>
    <w:p>
      <w:pPr>
        <w:spacing w:after="0" w:line="225" w:lineRule="exact"/>
        <w:rPr>
          <w:sz w:val="20"/>
          <w:szCs w:val="20"/>
          <w:color w:val="auto"/>
        </w:rPr>
      </w:pPr>
    </w:p>
    <w:p>
      <w:pPr>
        <w:ind w:right="20" w:firstLine="414"/>
        <w:spacing w:after="0" w:line="286" w:lineRule="auto"/>
        <w:rPr>
          <w:sz w:val="20"/>
          <w:szCs w:val="20"/>
          <w:color w:val="auto"/>
        </w:rPr>
      </w:pPr>
      <w:r>
        <w:rPr>
          <w:rFonts w:ascii="Arial" w:cs="Arial" w:eastAsia="Arial" w:hAnsi="Arial"/>
          <w:sz w:val="16"/>
          <w:szCs w:val="16"/>
          <w:color w:val="auto"/>
        </w:rPr>
        <w:t>If at any time: (a) the Company shall have delivered to the Trustee for cancellation all Securities of a series theretofore authenticated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sufficient or a combination thereof, sufficient (assuming that no tax liability will be imposed on the Trustee)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6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color w:val="auto"/>
        </w:rPr>
        <w:t>Discharge of Obligations.</w:t>
      </w:r>
    </w:p>
    <w:p>
      <w:pPr>
        <w:spacing w:after="0" w:line="225" w:lineRule="exact"/>
        <w:rPr>
          <w:sz w:val="20"/>
          <w:szCs w:val="20"/>
          <w:color w:val="auto"/>
        </w:rPr>
      </w:pPr>
    </w:p>
    <w:p>
      <w:pPr>
        <w:ind w:firstLine="414"/>
        <w:spacing w:after="0" w:line="290" w:lineRule="auto"/>
        <w:rPr>
          <w:sz w:val="20"/>
          <w:szCs w:val="20"/>
          <w:color w:val="auto"/>
        </w:rPr>
      </w:pPr>
      <w:r>
        <w:rPr>
          <w:rFonts w:ascii="Arial" w:cs="Arial" w:eastAsia="Arial" w:hAnsi="Arial"/>
          <w:sz w:val="16"/>
          <w:szCs w:val="16"/>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 Thereafter, Sections 7.06 and 11.05 shall survive.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sectPr>
      </w:pPr>
    </w:p>
    <w:bookmarkStart w:id="145" w:name="page146"/>
    <w:bookmarkEnd w:id="145"/>
    <w:p>
      <w:pPr>
        <w:spacing w:after="0"/>
        <w:tabs>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SECTION 11.03</w:t>
      </w:r>
      <w:r>
        <w:rPr>
          <w:sz w:val="20"/>
          <w:szCs w:val="20"/>
          <w:color w:val="auto"/>
        </w:rPr>
        <w:tab/>
      </w:r>
      <w:r>
        <w:rPr>
          <w:rFonts w:ascii="Arial" w:cs="Arial" w:eastAsia="Arial" w:hAnsi="Arial"/>
          <w:sz w:val="16"/>
          <w:szCs w:val="16"/>
          <w:color w:val="auto"/>
        </w:rPr>
        <w:t>Deposited Moneys to be Held in Trust.</w:t>
      </w:r>
    </w:p>
    <w:p>
      <w:pPr>
        <w:spacing w:after="0" w:line="225" w:lineRule="exact"/>
        <w:rPr>
          <w:sz w:val="20"/>
          <w:szCs w:val="20"/>
          <w:color w:val="auto"/>
        </w:rPr>
      </w:pPr>
    </w:p>
    <w:p>
      <w:pPr>
        <w:jc w:val="both"/>
        <w:ind w:firstLine="414"/>
        <w:spacing w:after="0" w:line="312" w:lineRule="auto"/>
        <w:rPr>
          <w:sz w:val="20"/>
          <w:szCs w:val="20"/>
          <w:color w:val="auto"/>
        </w:rPr>
      </w:pPr>
      <w:r>
        <w:rPr>
          <w:rFonts w:ascii="Arial" w:cs="Arial" w:eastAsia="Arial" w:hAnsi="Arial"/>
          <w:sz w:val="16"/>
          <w:szCs w:val="16"/>
          <w:color w:val="auto"/>
        </w:rPr>
        <w:t>Subject to Section 11.05, 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47"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11.04</w:t>
      </w:r>
      <w:r>
        <w:rPr>
          <w:sz w:val="20"/>
          <w:szCs w:val="20"/>
          <w:color w:val="auto"/>
        </w:rPr>
        <w:tab/>
      </w:r>
      <w:r>
        <w:rPr>
          <w:rFonts w:ascii="Arial" w:cs="Arial" w:eastAsia="Arial" w:hAnsi="Arial"/>
          <w:sz w:val="16"/>
          <w:szCs w:val="16"/>
          <w:color w:val="auto"/>
        </w:rPr>
        <w:t>Payment of Moneys Held by Paying Agents.</w:t>
      </w:r>
    </w:p>
    <w:p>
      <w:pPr>
        <w:spacing w:after="0" w:line="225" w:lineRule="exact"/>
        <w:rPr>
          <w:sz w:val="20"/>
          <w:szCs w:val="20"/>
          <w:color w:val="auto"/>
        </w:rPr>
      </w:pPr>
    </w:p>
    <w:p>
      <w:pPr>
        <w:jc w:val="both"/>
        <w:ind w:right="300" w:firstLine="414"/>
        <w:spacing w:after="0" w:line="264" w:lineRule="auto"/>
        <w:rPr>
          <w:sz w:val="20"/>
          <w:szCs w:val="20"/>
          <w:color w:val="auto"/>
        </w:rPr>
      </w:pPr>
      <w:r>
        <w:rPr>
          <w:rFonts w:ascii="Arial" w:cs="Arial" w:eastAsia="Arial" w:hAnsi="Arial"/>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8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11.05</w:t>
      </w:r>
      <w:r>
        <w:rPr>
          <w:sz w:val="20"/>
          <w:szCs w:val="20"/>
          <w:color w:val="auto"/>
        </w:rPr>
        <w:tab/>
      </w:r>
      <w:r>
        <w:rPr>
          <w:rFonts w:ascii="Arial" w:cs="Arial" w:eastAsia="Arial" w:hAnsi="Arial"/>
          <w:sz w:val="16"/>
          <w:szCs w:val="16"/>
          <w:color w:val="auto"/>
        </w:rPr>
        <w:t>Repayment to Company.</w:t>
      </w:r>
    </w:p>
    <w:p>
      <w:pPr>
        <w:spacing w:after="0" w:line="225" w:lineRule="exact"/>
        <w:rPr>
          <w:sz w:val="20"/>
          <w:szCs w:val="20"/>
          <w:color w:val="auto"/>
        </w:rPr>
      </w:pPr>
    </w:p>
    <w:p>
      <w:pPr>
        <w:ind w:right="20" w:firstLine="414"/>
        <w:spacing w:after="0" w:line="272" w:lineRule="auto"/>
        <w:rPr>
          <w:sz w:val="20"/>
          <w:szCs w:val="20"/>
          <w:color w:val="auto"/>
        </w:rPr>
      </w:pPr>
      <w:r>
        <w:rPr>
          <w:rFonts w:ascii="Arial" w:cs="Arial" w:eastAsia="Arial" w:hAnsi="Arial"/>
          <w:sz w:val="17"/>
          <w:szCs w:val="17"/>
          <w:color w:val="auto"/>
        </w:rPr>
        <w:t>Any moneys or Governmental Obligations deposited with any paying agent or the Trustee, or then held by the Company, in trust for payment of principal of or premium or interest on the Securities of a particular series that are not applied but remain unclaimed by the holders of such Securities for two years after the date upon which the principal of (and premium, if any) or interest on such Securities shall have respectively become due and payable, shall be repaid to the Company or (if then held by the Company) shall be discharged from such trust in each case, promptly after the end of any such two-year period or, at the request of the Company, on a later date specified by the Company; and thereupon the paying agent and the Trustee shall be released from all further liability with respect to such moneys or Governmental Obligations, and the holder of any of the Securities entitled to receive such payment shall thereafter, as an unsecured general creditor, look only to the Company for the payment thereof.</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XII</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IMMUNITY OF INCORPORATORS, STOCKHOLDERS, OFFICERS AND DIRECTORS</w:t>
      </w:r>
    </w:p>
    <w:p>
      <w:pPr>
        <w:spacing w:after="0" w:line="22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12.01</w:t>
      </w:r>
      <w:r>
        <w:rPr>
          <w:sz w:val="20"/>
          <w:szCs w:val="20"/>
          <w:color w:val="auto"/>
        </w:rPr>
        <w:tab/>
      </w:r>
      <w:r>
        <w:rPr>
          <w:rFonts w:ascii="Arial" w:cs="Arial" w:eastAsia="Arial" w:hAnsi="Arial"/>
          <w:sz w:val="16"/>
          <w:szCs w:val="16"/>
          <w:color w:val="auto"/>
        </w:rPr>
        <w:t>No Recourse.</w:t>
      </w:r>
    </w:p>
    <w:p>
      <w:pPr>
        <w:spacing w:after="0" w:line="225" w:lineRule="exact"/>
        <w:rPr>
          <w:sz w:val="20"/>
          <w:szCs w:val="20"/>
          <w:color w:val="auto"/>
        </w:rPr>
      </w:pPr>
    </w:p>
    <w:p>
      <w:pPr>
        <w:ind w:right="20" w:firstLine="414"/>
        <w:spacing w:after="0" w:line="269" w:lineRule="auto"/>
        <w:rPr>
          <w:sz w:val="20"/>
          <w:szCs w:val="20"/>
          <w:color w:val="auto"/>
        </w:rPr>
      </w:pPr>
      <w:r>
        <w:rPr>
          <w:rFonts w:ascii="Arial" w:cs="Arial" w:eastAsia="Arial" w:hAnsi="Arial"/>
          <w:sz w:val="17"/>
          <w:szCs w:val="17"/>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sectPr>
      </w:pPr>
    </w:p>
    <w:bookmarkStart w:id="146" w:name="page147"/>
    <w:bookmarkEnd w:id="14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26035"/>
                    </a:xfrm>
                    <a:prstGeom prst="rect">
                      <a:avLst/>
                    </a:prstGeom>
                    <a:noFill/>
                  </pic:spPr>
                </pic:pic>
              </a:graphicData>
            </a:graphic>
          </wp:anchor>
        </w:drawing>
        <w:t>ARTICLE XIII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 PROVISIONS</w:t>
      </w:r>
    </w:p>
    <w:p>
      <w:pPr>
        <w:spacing w:after="0" w:line="22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13.01</w:t>
      </w:r>
      <w:r>
        <w:rPr>
          <w:sz w:val="20"/>
          <w:szCs w:val="20"/>
          <w:color w:val="auto"/>
        </w:rPr>
        <w:tab/>
      </w:r>
      <w:r>
        <w:rPr>
          <w:rFonts w:ascii="Arial" w:cs="Arial" w:eastAsia="Arial" w:hAnsi="Arial"/>
          <w:sz w:val="15"/>
          <w:szCs w:val="15"/>
          <w:color w:val="auto"/>
        </w:rPr>
        <w:t>Effect on Successors and Assigns.</w:t>
      </w:r>
    </w:p>
    <w:p>
      <w:pPr>
        <w:spacing w:after="0" w:line="225" w:lineRule="exact"/>
        <w:rPr>
          <w:sz w:val="20"/>
          <w:szCs w:val="20"/>
          <w:color w:val="auto"/>
        </w:rPr>
      </w:pPr>
    </w:p>
    <w:p>
      <w:pPr>
        <w:ind w:right="520" w:firstLine="414"/>
        <w:spacing w:after="0" w:line="277" w:lineRule="auto"/>
        <w:rPr>
          <w:sz w:val="20"/>
          <w:szCs w:val="20"/>
          <w:color w:val="auto"/>
        </w:rPr>
      </w:pPr>
      <w:r>
        <w:rPr>
          <w:rFonts w:ascii="Arial" w:cs="Arial" w:eastAsia="Arial" w:hAnsi="Arial"/>
          <w:sz w:val="18"/>
          <w:szCs w:val="18"/>
          <w:color w:val="auto"/>
        </w:rPr>
        <w:t>All the covenants, stipulations, promises and agreements in this Indenture contained by or on behalf of the Company shall bind its successors and assigns, whether so expressed or not.</w:t>
      </w:r>
    </w:p>
    <w:p>
      <w:pPr>
        <w:spacing w:after="0" w:line="17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13.02</w:t>
      </w:r>
      <w:r>
        <w:rPr>
          <w:sz w:val="20"/>
          <w:szCs w:val="20"/>
          <w:color w:val="auto"/>
        </w:rPr>
        <w:tab/>
      </w:r>
      <w:r>
        <w:rPr>
          <w:rFonts w:ascii="Arial" w:cs="Arial" w:eastAsia="Arial" w:hAnsi="Arial"/>
          <w:sz w:val="16"/>
          <w:szCs w:val="16"/>
          <w:color w:val="auto"/>
        </w:rPr>
        <w:t>Actions by Successor.</w:t>
      </w:r>
    </w:p>
    <w:p>
      <w:pPr>
        <w:spacing w:after="0" w:line="225" w:lineRule="exact"/>
        <w:rPr>
          <w:sz w:val="20"/>
          <w:szCs w:val="20"/>
          <w:color w:val="auto"/>
        </w:rPr>
      </w:pPr>
    </w:p>
    <w:p>
      <w:pPr>
        <w:ind w:firstLine="414"/>
        <w:spacing w:after="0" w:line="264" w:lineRule="auto"/>
        <w:rPr>
          <w:sz w:val="20"/>
          <w:szCs w:val="20"/>
          <w:color w:val="auto"/>
        </w:rPr>
      </w:pPr>
      <w:r>
        <w:rPr>
          <w:rFonts w:ascii="Arial" w:cs="Arial" w:eastAsia="Arial" w:hAnsi="Arial"/>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81"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13.03</w:t>
      </w:r>
      <w:r>
        <w:rPr>
          <w:sz w:val="20"/>
          <w:szCs w:val="20"/>
          <w:color w:val="auto"/>
        </w:rPr>
        <w:tab/>
      </w:r>
      <w:r>
        <w:rPr>
          <w:rFonts w:ascii="Arial" w:cs="Arial" w:eastAsia="Arial" w:hAnsi="Arial"/>
          <w:sz w:val="16"/>
          <w:szCs w:val="16"/>
          <w:color w:val="auto"/>
        </w:rPr>
        <w:t>Surrender of Company Powers.</w:t>
      </w:r>
    </w:p>
    <w:p>
      <w:pPr>
        <w:spacing w:after="0" w:line="225" w:lineRule="exact"/>
        <w:rPr>
          <w:sz w:val="20"/>
          <w:szCs w:val="20"/>
          <w:color w:val="auto"/>
        </w:rPr>
      </w:pPr>
    </w:p>
    <w:p>
      <w:pPr>
        <w:ind w:right="320" w:firstLine="414"/>
        <w:spacing w:after="0" w:line="342" w:lineRule="auto"/>
        <w:rPr>
          <w:sz w:val="20"/>
          <w:szCs w:val="20"/>
          <w:color w:val="auto"/>
        </w:rPr>
      </w:pPr>
      <w:r>
        <w:rPr>
          <w:rFonts w:ascii="Arial" w:cs="Arial" w:eastAsia="Arial" w:hAnsi="Arial"/>
          <w:sz w:val="16"/>
          <w:szCs w:val="16"/>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24"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13.04</w:t>
      </w:r>
      <w:r>
        <w:rPr>
          <w:sz w:val="20"/>
          <w:szCs w:val="20"/>
          <w:color w:val="auto"/>
        </w:rPr>
        <w:tab/>
      </w:r>
      <w:r>
        <w:rPr>
          <w:rFonts w:ascii="Arial" w:cs="Arial" w:eastAsia="Arial" w:hAnsi="Arial"/>
          <w:sz w:val="16"/>
          <w:szCs w:val="16"/>
          <w:color w:val="auto"/>
        </w:rPr>
        <w:t>Notices.</w:t>
      </w:r>
    </w:p>
    <w:p>
      <w:pPr>
        <w:spacing w:after="0" w:line="225" w:lineRule="exact"/>
        <w:rPr>
          <w:sz w:val="20"/>
          <w:szCs w:val="20"/>
          <w:color w:val="auto"/>
        </w:rPr>
      </w:pPr>
    </w:p>
    <w:p>
      <w:pPr>
        <w:ind w:right="40" w:firstLine="414"/>
        <w:spacing w:after="0" w:line="270" w:lineRule="auto"/>
        <w:rPr>
          <w:sz w:val="20"/>
          <w:szCs w:val="20"/>
          <w:color w:val="auto"/>
        </w:rPr>
      </w:pPr>
      <w:r>
        <w:rPr>
          <w:rFonts w:ascii="Arial" w:cs="Arial" w:eastAsia="Arial" w:hAnsi="Arial"/>
          <w:sz w:val="17"/>
          <w:szCs w:val="17"/>
          <w:color w:val="auto"/>
        </w:rPr>
        <w:t>Except as otherwise expressly provided herein any notice or demand that by any provision of this Indenture is required or permitted to be given or served by the Trustee or by the holders of Securities to or on the Company may be given or served by being deposited first class postage prepaid in a post-office letterbox addressed (until another address is filed in writing by the Company with the Trustee), as follows: [ ]. Any notice, election, request or demand by the Company or any Securityholder to or upon the Trustee shall be deemed to have been sufficiently given or made, for all purposes, if given or made in writing at the Corporate Trust Office of the Trustee. Any notice or communication to a holder shall be mailed by first-class mail to his address shown on the Security Register kept by the Security Registrar. Failure to mail a notice or communication to a holder or any defect in such notice or communication shall not affect its sufficiency with respect to other holders. If a notice or communication is mailed or sent in the manner provided above within the time prescribed, it is duly given as of the date it is mailed, whether or not the addressee receives it, except that notice to the Trustee or the Company shall only be effective upon receipt thereof by the Trustee or the Company, respectively. If the Company mails a notice or communication to holders of Securities, it shall mail a copy to the Trustee at the same time.</w:t>
      </w:r>
    </w:p>
    <w:p>
      <w:pPr>
        <w:spacing w:after="0" w:line="178"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13.05</w:t>
      </w:r>
      <w:r>
        <w:rPr>
          <w:sz w:val="20"/>
          <w:szCs w:val="20"/>
          <w:color w:val="auto"/>
        </w:rPr>
        <w:tab/>
      </w:r>
      <w:r>
        <w:rPr>
          <w:rFonts w:ascii="Arial" w:cs="Arial" w:eastAsia="Arial" w:hAnsi="Arial"/>
          <w:sz w:val="16"/>
          <w:szCs w:val="16"/>
          <w:color w:val="auto"/>
        </w:rPr>
        <w:t>Governing Law.</w:t>
      </w:r>
    </w:p>
    <w:p>
      <w:pPr>
        <w:spacing w:after="0" w:line="225" w:lineRule="exact"/>
        <w:rPr>
          <w:sz w:val="20"/>
          <w:szCs w:val="20"/>
          <w:color w:val="auto"/>
        </w:rPr>
      </w:pPr>
    </w:p>
    <w:p>
      <w:pPr>
        <w:ind w:right="180" w:firstLine="414"/>
        <w:spacing w:after="0" w:line="277" w:lineRule="auto"/>
        <w:rPr>
          <w:sz w:val="20"/>
          <w:szCs w:val="20"/>
          <w:color w:val="auto"/>
        </w:rPr>
      </w:pPr>
      <w:r>
        <w:rPr>
          <w:rFonts w:ascii="Arial" w:cs="Arial" w:eastAsia="Arial" w:hAnsi="Arial"/>
          <w:sz w:val="18"/>
          <w:szCs w:val="18"/>
          <w:color w:val="auto"/>
        </w:rPr>
        <w:t>This Indenture and each Security shall be deemed to be a contract made under the internal laws of the State of New York, and for all purposes shall be construed in accordance with the laws of said State.</w:t>
      </w:r>
    </w:p>
    <w:p>
      <w:pPr>
        <w:spacing w:after="0" w:line="17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13.06</w:t>
      </w:r>
      <w:r>
        <w:rPr>
          <w:sz w:val="20"/>
          <w:szCs w:val="20"/>
          <w:color w:val="auto"/>
        </w:rPr>
        <w:tab/>
      </w:r>
      <w:r>
        <w:rPr>
          <w:rFonts w:ascii="Arial" w:cs="Arial" w:eastAsia="Arial" w:hAnsi="Arial"/>
          <w:sz w:val="16"/>
          <w:szCs w:val="16"/>
          <w:color w:val="auto"/>
        </w:rPr>
        <w:t>Treatment of Securities as Debt.</w:t>
      </w:r>
    </w:p>
    <w:p>
      <w:pPr>
        <w:spacing w:after="0" w:line="225" w:lineRule="exact"/>
        <w:rPr>
          <w:sz w:val="20"/>
          <w:szCs w:val="20"/>
          <w:color w:val="auto"/>
        </w:rPr>
      </w:pPr>
    </w:p>
    <w:p>
      <w:pPr>
        <w:ind w:right="100" w:firstLine="414"/>
        <w:spacing w:after="0" w:line="277" w:lineRule="auto"/>
        <w:rPr>
          <w:sz w:val="20"/>
          <w:szCs w:val="20"/>
          <w:color w:val="auto"/>
        </w:rPr>
      </w:pPr>
      <w:r>
        <w:rPr>
          <w:rFonts w:ascii="Arial" w:cs="Arial" w:eastAsia="Arial" w:hAnsi="Arial"/>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7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13.07</w:t>
      </w:r>
      <w:r>
        <w:rPr>
          <w:sz w:val="20"/>
          <w:szCs w:val="20"/>
          <w:color w:val="auto"/>
        </w:rPr>
        <w:tab/>
      </w:r>
      <w:r>
        <w:rPr>
          <w:rFonts w:ascii="Arial" w:cs="Arial" w:eastAsia="Arial" w:hAnsi="Arial"/>
          <w:sz w:val="16"/>
          <w:szCs w:val="16"/>
          <w:color w:val="auto"/>
        </w:rPr>
        <w:t>Compliance Certificates and Opinions.</w:t>
      </w:r>
    </w:p>
    <w:p>
      <w:pPr>
        <w:spacing w:after="0" w:line="225" w:lineRule="exact"/>
        <w:rPr>
          <w:sz w:val="20"/>
          <w:szCs w:val="20"/>
          <w:color w:val="auto"/>
        </w:rPr>
      </w:pPr>
    </w:p>
    <w:p>
      <w:pPr>
        <w:ind w:left="840" w:right="120" w:hanging="413"/>
        <w:spacing w:after="0" w:line="297" w:lineRule="auto"/>
        <w:tabs>
          <w:tab w:leader="none" w:pos="8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147" w:name="page148"/>
    <w:bookmarkEnd w:id="147"/>
    <w:p>
      <w:pPr>
        <w:ind w:left="840" w:hanging="413"/>
        <w:spacing w:after="0" w:line="273" w:lineRule="auto"/>
        <w:tabs>
          <w:tab w:leader="none" w:pos="8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26035"/>
                    </a:xfrm>
                    <a:prstGeom prst="rect">
                      <a:avLst/>
                    </a:prstGeom>
                    <a:noFill/>
                  </pic:spPr>
                </pic:pic>
              </a:graphicData>
            </a:graphic>
          </wp:anchor>
        </w:drawing>
        <w:t>Each certificate or opinion provided for in this Indenture and delivered to the Trustee with respect to compliance with a condition or covenant in this Indenture shall include (1) a statement that the Person making such certificate or opinion has read such covenant or condition; (2) a brief statement as to the nature and scope of the examination or investigation upon which the statements or opinions contained in such certificate or opinion are based; (3) a statement that, in the opinion of such Person, he has made such examination or investigation as is necessary to enable him to express an informed opinion as to whether or not such covenant or condition has been complied with; and (4) a statement as to whether or not, in the opinion of such Person, such condition or covenant has been complied with.</w:t>
      </w:r>
    </w:p>
    <w:p>
      <w:pPr>
        <w:spacing w:after="0" w:line="178"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13.08</w:t>
      </w:r>
      <w:r>
        <w:rPr>
          <w:sz w:val="20"/>
          <w:szCs w:val="20"/>
          <w:color w:val="auto"/>
        </w:rPr>
        <w:tab/>
      </w:r>
      <w:r>
        <w:rPr>
          <w:rFonts w:ascii="Arial" w:cs="Arial" w:eastAsia="Arial" w:hAnsi="Arial"/>
          <w:sz w:val="15"/>
          <w:szCs w:val="15"/>
          <w:color w:val="auto"/>
        </w:rPr>
        <w:t>Payments on Business Days.</w:t>
      </w:r>
    </w:p>
    <w:p>
      <w:pPr>
        <w:spacing w:after="0" w:line="225" w:lineRule="exact"/>
        <w:rPr>
          <w:sz w:val="20"/>
          <w:szCs w:val="20"/>
          <w:color w:val="auto"/>
        </w:rPr>
      </w:pPr>
    </w:p>
    <w:p>
      <w:pPr>
        <w:ind w:right="60" w:firstLine="414"/>
        <w:spacing w:after="0" w:line="302" w:lineRule="auto"/>
        <w:rPr>
          <w:sz w:val="20"/>
          <w:szCs w:val="20"/>
          <w:color w:val="auto"/>
        </w:rPr>
      </w:pPr>
      <w:r>
        <w:rPr>
          <w:rFonts w:ascii="Arial" w:cs="Arial" w:eastAsia="Arial" w:hAnsi="Arial"/>
          <w:sz w:val="16"/>
          <w:szCs w:val="16"/>
          <w:color w:val="auto"/>
        </w:rPr>
        <w:t>Except as provided pursuant to Section 2.01 pursuant to a Board Resolution, and as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54"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13.09</w:t>
      </w:r>
      <w:r>
        <w:rPr>
          <w:sz w:val="20"/>
          <w:szCs w:val="20"/>
          <w:color w:val="auto"/>
        </w:rPr>
        <w:tab/>
      </w:r>
      <w:r>
        <w:rPr>
          <w:rFonts w:ascii="Arial" w:cs="Arial" w:eastAsia="Arial" w:hAnsi="Arial"/>
          <w:sz w:val="17"/>
          <w:szCs w:val="17"/>
          <w:color w:val="auto"/>
        </w:rPr>
        <w:t>Conflict with Trust Indenture Act.</w:t>
      </w:r>
    </w:p>
    <w:p>
      <w:pPr>
        <w:spacing w:after="0" w:line="225" w:lineRule="exact"/>
        <w:rPr>
          <w:sz w:val="20"/>
          <w:szCs w:val="20"/>
          <w:color w:val="auto"/>
        </w:rPr>
      </w:pPr>
    </w:p>
    <w:p>
      <w:pPr>
        <w:ind w:right="300" w:firstLine="414"/>
        <w:spacing w:after="0" w:line="277" w:lineRule="auto"/>
        <w:rPr>
          <w:sz w:val="20"/>
          <w:szCs w:val="20"/>
          <w:color w:val="auto"/>
        </w:rPr>
      </w:pPr>
      <w:r>
        <w:rPr>
          <w:rFonts w:ascii="Arial" w:cs="Arial" w:eastAsia="Arial" w:hAnsi="Arial"/>
          <w:sz w:val="18"/>
          <w:szCs w:val="18"/>
          <w:color w:val="auto"/>
        </w:rPr>
        <w:t>If and to the extent that any provision of this Indenture limits, qualifies or conflicts with the duties imposed by Sections 310 to 317, inclusive, of the Trust Indenture Act, such imposed duties shall control.</w:t>
      </w:r>
    </w:p>
    <w:p>
      <w:pPr>
        <w:spacing w:after="0" w:line="17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13.10</w:t>
      </w:r>
      <w:r>
        <w:rPr>
          <w:sz w:val="20"/>
          <w:szCs w:val="20"/>
          <w:color w:val="auto"/>
        </w:rPr>
        <w:tab/>
      </w:r>
      <w:r>
        <w:rPr>
          <w:rFonts w:ascii="Arial" w:cs="Arial" w:eastAsia="Arial" w:hAnsi="Arial"/>
          <w:sz w:val="16"/>
          <w:szCs w:val="16"/>
          <w:color w:val="auto"/>
        </w:rPr>
        <w:t>Counterparts.</w:t>
      </w:r>
    </w:p>
    <w:p>
      <w:pPr>
        <w:spacing w:after="0" w:line="225" w:lineRule="exact"/>
        <w:rPr>
          <w:sz w:val="20"/>
          <w:szCs w:val="20"/>
          <w:color w:val="auto"/>
        </w:rPr>
      </w:pPr>
    </w:p>
    <w:p>
      <w:pPr>
        <w:ind w:right="240" w:firstLine="414"/>
        <w:spacing w:after="0" w:line="277" w:lineRule="auto"/>
        <w:rPr>
          <w:sz w:val="20"/>
          <w:szCs w:val="20"/>
          <w:color w:val="auto"/>
        </w:rPr>
      </w:pPr>
      <w:r>
        <w:rPr>
          <w:rFonts w:ascii="Arial" w:cs="Arial" w:eastAsia="Arial" w:hAnsi="Arial"/>
          <w:sz w:val="18"/>
          <w:szCs w:val="18"/>
          <w:color w:val="auto"/>
        </w:rPr>
        <w:t>This Indenture may be executed in any number of counterparts, each of which shall be an original, but such counterparts shall together constitute but one and the same instrument.</w:t>
      </w:r>
    </w:p>
    <w:p>
      <w:pPr>
        <w:spacing w:after="0" w:line="17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13.11</w:t>
      </w:r>
      <w:r>
        <w:rPr>
          <w:sz w:val="20"/>
          <w:szCs w:val="20"/>
          <w:color w:val="auto"/>
        </w:rPr>
        <w:tab/>
      </w:r>
      <w:r>
        <w:rPr>
          <w:rFonts w:ascii="Arial" w:cs="Arial" w:eastAsia="Arial" w:hAnsi="Arial"/>
          <w:sz w:val="16"/>
          <w:szCs w:val="16"/>
          <w:color w:val="auto"/>
        </w:rPr>
        <w:t>Separability.</w:t>
      </w:r>
    </w:p>
    <w:p>
      <w:pPr>
        <w:spacing w:after="0" w:line="225" w:lineRule="exact"/>
        <w:rPr>
          <w:sz w:val="20"/>
          <w:szCs w:val="20"/>
          <w:color w:val="auto"/>
        </w:rPr>
      </w:pPr>
    </w:p>
    <w:p>
      <w:pPr>
        <w:jc w:val="both"/>
        <w:ind w:right="120" w:firstLine="414"/>
        <w:spacing w:after="0" w:line="312" w:lineRule="auto"/>
        <w:rPr>
          <w:sz w:val="20"/>
          <w:szCs w:val="20"/>
          <w:color w:val="auto"/>
        </w:rPr>
      </w:pPr>
      <w:r>
        <w:rPr>
          <w:rFonts w:ascii="Arial" w:cs="Arial" w:eastAsia="Arial" w:hAnsi="Arial"/>
          <w:sz w:val="16"/>
          <w:szCs w:val="16"/>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47"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13.12</w:t>
      </w:r>
      <w:r>
        <w:rPr>
          <w:sz w:val="20"/>
          <w:szCs w:val="20"/>
          <w:color w:val="auto"/>
        </w:rPr>
        <w:tab/>
      </w:r>
      <w:r>
        <w:rPr>
          <w:rFonts w:ascii="Arial" w:cs="Arial" w:eastAsia="Arial" w:hAnsi="Arial"/>
          <w:sz w:val="16"/>
          <w:szCs w:val="16"/>
          <w:color w:val="auto"/>
        </w:rPr>
        <w:t>Assignment.</w:t>
      </w:r>
    </w:p>
    <w:p>
      <w:pPr>
        <w:spacing w:after="0" w:line="225" w:lineRule="exact"/>
        <w:rPr>
          <w:sz w:val="20"/>
          <w:szCs w:val="20"/>
          <w:color w:val="auto"/>
        </w:rPr>
      </w:pPr>
    </w:p>
    <w:p>
      <w:pPr>
        <w:ind w:right="200" w:firstLine="414"/>
        <w:spacing w:after="0" w:line="259" w:lineRule="auto"/>
        <w:rPr>
          <w:sz w:val="20"/>
          <w:szCs w:val="20"/>
          <w:color w:val="auto"/>
        </w:rPr>
      </w:pPr>
      <w:r>
        <w:rPr>
          <w:rFonts w:ascii="Arial" w:cs="Arial" w:eastAsia="Arial" w:hAnsi="Arial"/>
          <w:sz w:val="18"/>
          <w:szCs w:val="18"/>
          <w:color w:val="auto"/>
        </w:rPr>
        <w:t>The Company will have the right at all times to assign any of its rights or obligations under this Indenture to a direct or indirect wholly-owned Subsidiary of the Company, provided that, in the event of any such assignment, the Company, will remain liable for all such obligations. Subject to the foregoing, this Indenture is binding upon and inures to the benefit of the parties thereto and their respective successors and assigns. This Indenture may not otherwise be assigned by the parties thereto.</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sectPr>
      </w:pPr>
    </w:p>
    <w:bookmarkStart w:id="148" w:name="page149"/>
    <w:bookmarkEnd w:id="148"/>
    <w:p>
      <w:pPr>
        <w:jc w:val="center"/>
        <w:ind w:right="-1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26035"/>
                    </a:xfrm>
                    <a:prstGeom prst="rect">
                      <a:avLst/>
                    </a:prstGeom>
                    <a:noFill/>
                  </pic:spPr>
                </pic:pic>
              </a:graphicData>
            </a:graphic>
          </wp:anchor>
        </w:drawing>
        <w:t>ARTICLE XIV</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SUBORDINATION OF SECURITIES</w:t>
      </w:r>
    </w:p>
    <w:p>
      <w:pPr>
        <w:spacing w:after="0" w:line="22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SECTION 14.01</w:t>
      </w:r>
      <w:r>
        <w:rPr>
          <w:sz w:val="20"/>
          <w:szCs w:val="20"/>
          <w:color w:val="auto"/>
        </w:rPr>
        <w:tab/>
      </w:r>
      <w:r>
        <w:rPr>
          <w:rFonts w:ascii="Arial" w:cs="Arial" w:eastAsia="Arial" w:hAnsi="Arial"/>
          <w:sz w:val="16"/>
          <w:szCs w:val="16"/>
          <w:color w:val="auto"/>
        </w:rPr>
        <w:t>Subordination Terms.</w:t>
      </w:r>
    </w:p>
    <w:p>
      <w:pPr>
        <w:spacing w:after="0" w:line="225" w:lineRule="exact"/>
        <w:rPr>
          <w:sz w:val="20"/>
          <w:szCs w:val="20"/>
          <w:color w:val="auto"/>
        </w:rPr>
      </w:pPr>
    </w:p>
    <w:p>
      <w:pPr>
        <w:ind w:firstLine="414"/>
        <w:spacing w:after="0" w:line="277" w:lineRule="auto"/>
        <w:rPr>
          <w:sz w:val="20"/>
          <w:szCs w:val="20"/>
          <w:color w:val="auto"/>
        </w:rPr>
      </w:pPr>
      <w:r>
        <w:rPr>
          <w:rFonts w:ascii="Arial" w:cs="Arial" w:eastAsia="Arial" w:hAnsi="Arial"/>
          <w:sz w:val="18"/>
          <w:szCs w:val="18"/>
          <w:color w:val="auto"/>
        </w:rPr>
        <w:t>The payment by the Company of the principal of, premium, if any, and interest on any series of Securities issued hereunder shall be subordinated to the extent set forth in an indenture supplemental hereto relating to the Securities of such series.</w:t>
      </w: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706"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26035"/>
                    </a:xfrm>
                    <a:prstGeom prst="rect">
                      <a:avLst/>
                    </a:prstGeom>
                    <a:noFill/>
                  </pic:spPr>
                </pic:pic>
              </a:graphicData>
            </a:graphic>
          </wp:anchor>
        </w:drawing>
        <w:t>IN WITNESS WHEREOF, the parties hereto have caused this Indenture to be duly executed all as of the day and year first above written.</w:t>
      </w:r>
    </w:p>
    <w:p>
      <w:pPr>
        <w:spacing w:after="0" w:line="200" w:lineRule="exact"/>
        <w:rPr>
          <w:sz w:val="20"/>
          <w:szCs w:val="20"/>
          <w:color w:val="auto"/>
        </w:rPr>
      </w:pPr>
    </w:p>
    <w:p>
      <w:pPr>
        <w:spacing w:after="0" w:line="241" w:lineRule="exact"/>
        <w:rPr>
          <w:sz w:val="20"/>
          <w:szCs w:val="20"/>
          <w:color w:val="auto"/>
        </w:rPr>
      </w:pPr>
    </w:p>
    <w:tbl>
      <w:tblPr>
        <w:tblLayout w:type="fixed"/>
        <w:tblInd w:w="656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VRINGO, INC.</w:t>
            </w:r>
          </w:p>
        </w:tc>
        <w:tc>
          <w:tcPr>
            <w:tcW w:w="308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By:</w:t>
            </w:r>
          </w:p>
        </w:tc>
        <w:tc>
          <w:tcPr>
            <w:tcW w:w="3080" w:type="dxa"/>
            <w:vAlign w:val="bottom"/>
            <w:tcBorders>
              <w:bottom w:val="single" w:sz="8" w:color="auto"/>
            </w:tcBorders>
          </w:tcPr>
          <w:p>
            <w:pPr>
              <w:spacing w:after="0"/>
              <w:rPr>
                <w:sz w:val="24"/>
                <w:szCs w:val="24"/>
                <w:color w:val="auto"/>
              </w:rPr>
            </w:pPr>
          </w:p>
        </w:tc>
      </w:tr>
      <w:tr>
        <w:trPr>
          <w:trHeight w:val="195"/>
        </w:trPr>
        <w:tc>
          <w:tcPr>
            <w:tcW w:w="1360" w:type="dxa"/>
            <w:vAlign w:val="bottom"/>
          </w:tcPr>
          <w:p>
            <w:pPr>
              <w:spacing w:after="0"/>
              <w:rPr>
                <w:sz w:val="16"/>
                <w:szCs w:val="16"/>
                <w:color w:val="auto"/>
              </w:rPr>
            </w:pPr>
          </w:p>
        </w:tc>
        <w:tc>
          <w:tcPr>
            <w:tcW w:w="3080" w:type="dxa"/>
            <w:vAlign w:val="bottom"/>
          </w:tcPr>
          <w:p>
            <w:pPr>
              <w:spacing w:after="0" w:line="195" w:lineRule="exact"/>
              <w:rPr>
                <w:sz w:val="20"/>
                <w:szCs w:val="20"/>
                <w:color w:val="auto"/>
              </w:rPr>
            </w:pPr>
            <w:r>
              <w:rPr>
                <w:rFonts w:ascii="Arial" w:cs="Arial" w:eastAsia="Arial" w:hAnsi="Arial"/>
                <w:sz w:val="18"/>
                <w:szCs w:val="18"/>
                <w:color w:val="auto"/>
              </w:rPr>
              <w:t>Name:</w:t>
            </w:r>
          </w:p>
        </w:tc>
      </w:tr>
      <w:tr>
        <w:trPr>
          <w:trHeight w:val="230"/>
        </w:trPr>
        <w:tc>
          <w:tcPr>
            <w:tcW w:w="136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Title:</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tcPr>
          <w:p>
            <w:pPr>
              <w:ind w:left="540"/>
              <w:spacing w:after="0"/>
              <w:rPr>
                <w:sz w:val="20"/>
                <w:szCs w:val="20"/>
                <w:color w:val="auto"/>
              </w:rPr>
            </w:pPr>
            <w:r>
              <w:rPr>
                <w:rFonts w:ascii="Arial" w:cs="Arial" w:eastAsia="Arial" w:hAnsi="Arial"/>
                <w:sz w:val="18"/>
                <w:szCs w:val="18"/>
                <w:color w:val="auto"/>
              </w:rPr>
              <w:t>],</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As Trustee</w:t>
            </w:r>
          </w:p>
        </w:tc>
        <w:tc>
          <w:tcPr>
            <w:tcW w:w="308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By:</w:t>
            </w:r>
          </w:p>
        </w:tc>
        <w:tc>
          <w:tcPr>
            <w:tcW w:w="3080" w:type="dxa"/>
            <w:vAlign w:val="bottom"/>
            <w:tcBorders>
              <w:bottom w:val="single" w:sz="8" w:color="auto"/>
            </w:tcBorders>
          </w:tcPr>
          <w:p>
            <w:pPr>
              <w:spacing w:after="0"/>
              <w:rPr>
                <w:sz w:val="24"/>
                <w:szCs w:val="24"/>
                <w:color w:val="auto"/>
              </w:rPr>
            </w:pPr>
          </w:p>
        </w:tc>
      </w:tr>
      <w:tr>
        <w:trPr>
          <w:trHeight w:val="195"/>
        </w:trPr>
        <w:tc>
          <w:tcPr>
            <w:tcW w:w="1360" w:type="dxa"/>
            <w:vAlign w:val="bottom"/>
          </w:tcPr>
          <w:p>
            <w:pPr>
              <w:spacing w:after="0"/>
              <w:rPr>
                <w:sz w:val="16"/>
                <w:szCs w:val="16"/>
                <w:color w:val="auto"/>
              </w:rPr>
            </w:pPr>
          </w:p>
        </w:tc>
        <w:tc>
          <w:tcPr>
            <w:tcW w:w="3080" w:type="dxa"/>
            <w:vAlign w:val="bottom"/>
          </w:tcPr>
          <w:p>
            <w:pPr>
              <w:spacing w:after="0" w:line="195" w:lineRule="exact"/>
              <w:rPr>
                <w:sz w:val="20"/>
                <w:szCs w:val="20"/>
                <w:color w:val="auto"/>
              </w:rPr>
            </w:pPr>
            <w:r>
              <w:rPr>
                <w:rFonts w:ascii="Arial" w:cs="Arial" w:eastAsia="Arial" w:hAnsi="Arial"/>
                <w:sz w:val="18"/>
                <w:szCs w:val="18"/>
                <w:color w:val="auto"/>
              </w:rPr>
              <w:t>Name:</w:t>
            </w:r>
          </w:p>
        </w:tc>
      </w:tr>
      <w:tr>
        <w:trPr>
          <w:trHeight w:val="230"/>
        </w:trPr>
        <w:tc>
          <w:tcPr>
            <w:tcW w:w="136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Title:</w:t>
            </w:r>
          </w:p>
        </w:tc>
      </w:tr>
    </w:tbl>
    <w:p>
      <w:pPr>
        <w:spacing w:after="0" w:line="200" w:lineRule="exact"/>
        <w:rPr>
          <w:sz w:val="20"/>
          <w:szCs w:val="20"/>
          <w:color w:val="auto"/>
        </w:rPr>
      </w:pPr>
    </w:p>
    <w:p>
      <w:pPr>
        <w:spacing w:after="0" w:line="2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14605</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660" w:top="706"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22"/>
          <w:szCs w:val="22"/>
          <w:b w:val="1"/>
          <w:bCs w:val="1"/>
          <w:color w:val="auto"/>
        </w:rPr>
        <w:t>Exhibit 5.1</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Chrysler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869440" cy="3086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869440" cy="30861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666 Third Avenue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212-935-3000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212-983-3115 fax</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www.mintz.com</w:t>
      </w:r>
    </w:p>
    <w:p>
      <w:pPr>
        <w:spacing w:after="0" w:line="200" w:lineRule="exact"/>
        <w:rPr>
          <w:sz w:val="20"/>
          <w:szCs w:val="20"/>
          <w:color w:val="auto"/>
        </w:rPr>
      </w:pPr>
    </w:p>
    <w:p>
      <w:pPr>
        <w:spacing w:after="0" w:line="227" w:lineRule="exact"/>
        <w:rPr>
          <w:sz w:val="20"/>
          <w:szCs w:val="20"/>
          <w:color w:val="auto"/>
        </w:rPr>
      </w:pPr>
    </w:p>
    <w:p>
      <w:pPr>
        <w:ind w:left="9080"/>
        <w:spacing w:after="0"/>
        <w:rPr>
          <w:sz w:val="20"/>
          <w:szCs w:val="20"/>
          <w:color w:val="auto"/>
        </w:rPr>
      </w:pPr>
      <w:r>
        <w:rPr>
          <w:rFonts w:ascii="Arial" w:cs="Arial" w:eastAsia="Arial" w:hAnsi="Arial"/>
          <w:sz w:val="18"/>
          <w:szCs w:val="18"/>
          <w:color w:val="auto"/>
        </w:rPr>
        <w:t>June 26, 2015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Vringo, Inc.</w:t>
      </w:r>
    </w:p>
    <w:p>
      <w:pPr>
        <w:spacing w:after="0" w:line="186" w:lineRule="auto"/>
        <w:rPr>
          <w:sz w:val="20"/>
          <w:szCs w:val="20"/>
          <w:color w:val="auto"/>
        </w:rPr>
      </w:pPr>
      <w:r>
        <w:rPr>
          <w:rFonts w:ascii="Arial" w:cs="Arial" w:eastAsia="Arial" w:hAnsi="Arial"/>
          <w:sz w:val="18"/>
          <w:szCs w:val="18"/>
          <w:color w:val="auto"/>
        </w:rPr>
        <w:t>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10017</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60" w:firstLine="414"/>
        <w:spacing w:after="0" w:line="290" w:lineRule="auto"/>
        <w:rPr>
          <w:sz w:val="20"/>
          <w:szCs w:val="20"/>
          <w:color w:val="auto"/>
        </w:rPr>
      </w:pPr>
      <w:r>
        <w:rPr>
          <w:rFonts w:ascii="Arial" w:cs="Arial" w:eastAsia="Arial" w:hAnsi="Arial"/>
          <w:sz w:val="16"/>
          <w:szCs w:val="16"/>
          <w:color w:val="auto"/>
        </w:rPr>
        <w:t>We have acted as legal counsel to Vringo, Inc., a Delaware corporation (the “Company”), in connection with the preparation and filing with the Securities and Exchange Commission (the “Commission”) of a Registration Statement on Form S-3 (the “Registration Statement”), filed by the Company under the Securities Act of 1933, as amended (the “Securities Act”). The Company has provided us with two prospectuses, which form part of the Registration Statement: a base prospectus (the “Base Prospectus”); and a warrant exercise prospectus (the “Warrant Exercise Prospectus”) for the offering, issuance and sale of up to 5,375,000 shares of the Company’s common stock, par value $0.01 per share (the “Warrant Exercise Shares”) pursuant to the exercise of currently outstanding warrants (the “Outstanding Warrants”). The Base Prospectus provides that it will be supplemented in the future by one or more prospectus supplements (each, a “Prospectus Supplement”). The Registration Statement, including the Base Prospectus (as supplemented from time to time by one or more Prospectus Supplements) and the Warrant Exercise Prospectus, will provide for the registration by the Company of the following:</w:t>
      </w:r>
    </w:p>
    <w:p>
      <w:pPr>
        <w:spacing w:after="0" w:line="166" w:lineRule="exact"/>
        <w:rPr>
          <w:sz w:val="20"/>
          <w:szCs w:val="20"/>
          <w:color w:val="auto"/>
        </w:rPr>
      </w:pPr>
    </w:p>
    <w:p>
      <w:pPr>
        <w:ind w:left="880" w:right="120" w:hanging="453"/>
        <w:spacing w:after="0" w:line="277" w:lineRule="auto"/>
        <w:tabs>
          <w:tab w:leader="none" w:pos="8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shares of common stock, par value $0.01 per share (the “Common Stock”), issuable pursuant to the Base Prospectus (as supplemented from time to time by one or more Prospectus Supplements);</w:t>
      </w:r>
    </w:p>
    <w:p>
      <w:pPr>
        <w:spacing w:after="0" w:line="170" w:lineRule="exact"/>
        <w:rPr>
          <w:rFonts w:ascii="Arial" w:cs="Arial" w:eastAsia="Arial" w:hAnsi="Arial"/>
          <w:sz w:val="18"/>
          <w:szCs w:val="18"/>
          <w:color w:val="auto"/>
        </w:rPr>
      </w:pPr>
    </w:p>
    <w:p>
      <w:pPr>
        <w:ind w:left="880" w:hanging="453"/>
        <w:spacing w:after="0"/>
        <w:tabs>
          <w:tab w:leader="none" w:pos="8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Warrant Exercise Shares;</w:t>
      </w:r>
    </w:p>
    <w:p>
      <w:pPr>
        <w:spacing w:after="0" w:line="252" w:lineRule="exact"/>
        <w:rPr>
          <w:rFonts w:ascii="Arial" w:cs="Arial" w:eastAsia="Arial" w:hAnsi="Arial"/>
          <w:sz w:val="18"/>
          <w:szCs w:val="18"/>
          <w:color w:val="auto"/>
        </w:rPr>
      </w:pPr>
    </w:p>
    <w:p>
      <w:pPr>
        <w:ind w:left="880" w:right="100" w:hanging="453"/>
        <w:spacing w:after="0" w:line="277" w:lineRule="auto"/>
        <w:tabs>
          <w:tab w:leader="none" w:pos="8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shares of preferred stock, $0.01 par value per share (the “Preferred Stock”), issuable pursuant to the Base Prospectus (as supplemented from time to time by one or more Prospectus Supplements);</w:t>
      </w:r>
    </w:p>
    <w:p>
      <w:pPr>
        <w:spacing w:after="0" w:line="170" w:lineRule="exact"/>
        <w:rPr>
          <w:rFonts w:ascii="Arial" w:cs="Arial" w:eastAsia="Arial" w:hAnsi="Arial"/>
          <w:sz w:val="18"/>
          <w:szCs w:val="18"/>
          <w:color w:val="auto"/>
        </w:rPr>
      </w:pPr>
    </w:p>
    <w:p>
      <w:pPr>
        <w:ind w:left="880" w:right="40" w:hanging="453"/>
        <w:spacing w:after="0" w:line="302" w:lineRule="auto"/>
        <w:tabs>
          <w:tab w:leader="none" w:pos="8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senior debt securities, in one or more series (the “Senior Debt Securities”), which may be issued pursuant to an indenture to be dated on or about the date of the first issuance of Senior Debt Securities thereunder, by and between the Company and a trustee to be selected by the Company, in the form attached as Exhibit 4.7 to the Registration Statement (as such indenture may be amended or supplemented from time to time, the “Senior Indenture”), issuable pursuant to the Base Prospectus (as supplemented from time to time by one or more Prospectus Supplements);</w:t>
      </w:r>
    </w:p>
    <w:p>
      <w:pPr>
        <w:spacing w:after="0" w:line="154" w:lineRule="exact"/>
        <w:rPr>
          <w:rFonts w:ascii="Arial" w:cs="Arial" w:eastAsia="Arial" w:hAnsi="Arial"/>
          <w:sz w:val="16"/>
          <w:szCs w:val="16"/>
          <w:color w:val="auto"/>
        </w:rPr>
      </w:pPr>
    </w:p>
    <w:p>
      <w:pPr>
        <w:ind w:left="880" w:right="200" w:hanging="453"/>
        <w:spacing w:after="0" w:line="276" w:lineRule="auto"/>
        <w:tabs>
          <w:tab w:leader="none" w:pos="8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subordinated debt securities, in one or more series (the “Subordinated Debt Securities” and, together with the Senior Debt Securities, the “Debt Securities”), which may be issued pursuant to an indenture to be dated on or about the date of the first issuance of Subordinated Debt Securities thereunder, by and between the Company and a trustee to be selected by the Company, in the form attached as Exhibit 4.8 to the Registration Statement (as such indenture may be amended or supplemented from time to time, the “Subordinated Indenture”), issuable pursuant to the Base Prospectus (as supplemented from time to time by one or more Prospectus Supplements);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w:t>
      </w:r>
      <w:r>
        <w:rPr>
          <w:rFonts w:ascii="Arial" w:cs="Arial" w:eastAsia="Arial" w:hAnsi="Arial"/>
          <w:sz w:val="9"/>
          <w:szCs w:val="9"/>
          <w:color w:val="auto"/>
        </w:rPr>
        <w:t>OSTON</w:t>
      </w:r>
      <w:r>
        <w:rPr>
          <w:rFonts w:ascii="Arial" w:cs="Arial" w:eastAsia="Arial" w:hAnsi="Arial"/>
          <w:sz w:val="14"/>
          <w:szCs w:val="14"/>
          <w:color w:val="auto"/>
        </w:rPr>
        <w:t xml:space="preserve"> | W</w:t>
      </w:r>
      <w:r>
        <w:rPr>
          <w:rFonts w:ascii="Arial" w:cs="Arial" w:eastAsia="Arial" w:hAnsi="Arial"/>
          <w:sz w:val="9"/>
          <w:szCs w:val="9"/>
          <w:color w:val="auto"/>
        </w:rPr>
        <w:t>ASHINGTON</w:t>
      </w:r>
      <w:r>
        <w:rPr>
          <w:rFonts w:ascii="Arial" w:cs="Arial" w:eastAsia="Arial" w:hAnsi="Arial"/>
          <w:sz w:val="14"/>
          <w:szCs w:val="14"/>
          <w:color w:val="auto"/>
        </w:rPr>
        <w:t xml:space="preserve"> | N</w:t>
      </w:r>
      <w:r>
        <w:rPr>
          <w:rFonts w:ascii="Arial" w:cs="Arial" w:eastAsia="Arial" w:hAnsi="Arial"/>
          <w:sz w:val="9"/>
          <w:szCs w:val="9"/>
          <w:color w:val="auto"/>
        </w:rPr>
        <w:t>EW</w:t>
      </w:r>
      <w:r>
        <w:rPr>
          <w:rFonts w:ascii="Arial" w:cs="Arial" w:eastAsia="Arial" w:hAnsi="Arial"/>
          <w:sz w:val="14"/>
          <w:szCs w:val="14"/>
          <w:color w:val="auto"/>
        </w:rPr>
        <w:t xml:space="preserve"> Y</w:t>
      </w:r>
      <w:r>
        <w:rPr>
          <w:rFonts w:ascii="Arial" w:cs="Arial" w:eastAsia="Arial" w:hAnsi="Arial"/>
          <w:sz w:val="9"/>
          <w:szCs w:val="9"/>
          <w:color w:val="auto"/>
        </w:rPr>
        <w:t>ORK</w:t>
      </w:r>
      <w:r>
        <w:rPr>
          <w:rFonts w:ascii="Arial" w:cs="Arial" w:eastAsia="Arial" w:hAnsi="Arial"/>
          <w:sz w:val="14"/>
          <w:szCs w:val="14"/>
          <w:color w:val="auto"/>
        </w:rPr>
        <w:t xml:space="preserve"> | S</w:t>
      </w:r>
      <w:r>
        <w:rPr>
          <w:rFonts w:ascii="Arial" w:cs="Arial" w:eastAsia="Arial" w:hAnsi="Arial"/>
          <w:sz w:val="9"/>
          <w:szCs w:val="9"/>
          <w:color w:val="auto"/>
        </w:rPr>
        <w:t>TAMFORD</w:t>
      </w:r>
      <w:r>
        <w:rPr>
          <w:rFonts w:ascii="Arial" w:cs="Arial" w:eastAsia="Arial" w:hAnsi="Arial"/>
          <w:sz w:val="14"/>
          <w:szCs w:val="14"/>
          <w:color w:val="auto"/>
        </w:rPr>
        <w:t xml:space="preserve"> | L</w:t>
      </w:r>
      <w:r>
        <w:rPr>
          <w:rFonts w:ascii="Arial" w:cs="Arial" w:eastAsia="Arial" w:hAnsi="Arial"/>
          <w:sz w:val="9"/>
          <w:szCs w:val="9"/>
          <w:color w:val="auto"/>
        </w:rPr>
        <w:t>OS</w:t>
      </w:r>
      <w:r>
        <w:rPr>
          <w:rFonts w:ascii="Arial" w:cs="Arial" w:eastAsia="Arial" w:hAnsi="Arial"/>
          <w:sz w:val="14"/>
          <w:szCs w:val="14"/>
          <w:color w:val="auto"/>
        </w:rPr>
        <w:t xml:space="preserve"> A</w:t>
      </w:r>
      <w:r>
        <w:rPr>
          <w:rFonts w:ascii="Arial" w:cs="Arial" w:eastAsia="Arial" w:hAnsi="Arial"/>
          <w:sz w:val="9"/>
          <w:szCs w:val="9"/>
          <w:color w:val="auto"/>
        </w:rPr>
        <w:t>NGELES</w:t>
      </w:r>
      <w:r>
        <w:rPr>
          <w:rFonts w:ascii="Arial" w:cs="Arial" w:eastAsia="Arial" w:hAnsi="Arial"/>
          <w:sz w:val="14"/>
          <w:szCs w:val="14"/>
          <w:color w:val="auto"/>
        </w:rPr>
        <w:t xml:space="preserve"> | S</w:t>
      </w:r>
      <w:r>
        <w:rPr>
          <w:rFonts w:ascii="Arial" w:cs="Arial" w:eastAsia="Arial" w:hAnsi="Arial"/>
          <w:sz w:val="9"/>
          <w:szCs w:val="9"/>
          <w:color w:val="auto"/>
        </w:rPr>
        <w:t>AN</w:t>
      </w:r>
      <w:r>
        <w:rPr>
          <w:rFonts w:ascii="Arial" w:cs="Arial" w:eastAsia="Arial" w:hAnsi="Arial"/>
          <w:sz w:val="14"/>
          <w:szCs w:val="14"/>
          <w:color w:val="auto"/>
        </w:rPr>
        <w:t xml:space="preserve"> D</w:t>
      </w:r>
      <w:r>
        <w:rPr>
          <w:rFonts w:ascii="Arial" w:cs="Arial" w:eastAsia="Arial" w:hAnsi="Arial"/>
          <w:sz w:val="9"/>
          <w:szCs w:val="9"/>
          <w:color w:val="auto"/>
        </w:rPr>
        <w:t>IEGO</w:t>
      </w:r>
      <w:r>
        <w:rPr>
          <w:rFonts w:ascii="Arial" w:cs="Arial" w:eastAsia="Arial" w:hAnsi="Arial"/>
          <w:sz w:val="14"/>
          <w:szCs w:val="14"/>
          <w:color w:val="auto"/>
        </w:rPr>
        <w:t xml:space="preserve"> | S</w:t>
      </w:r>
      <w:r>
        <w:rPr>
          <w:rFonts w:ascii="Arial" w:cs="Arial" w:eastAsia="Arial" w:hAnsi="Arial"/>
          <w:sz w:val="9"/>
          <w:szCs w:val="9"/>
          <w:color w:val="auto"/>
        </w:rPr>
        <w:t>AN</w:t>
      </w:r>
      <w:r>
        <w:rPr>
          <w:rFonts w:ascii="Arial" w:cs="Arial" w:eastAsia="Arial" w:hAnsi="Arial"/>
          <w:sz w:val="14"/>
          <w:szCs w:val="14"/>
          <w:color w:val="auto"/>
        </w:rPr>
        <w:t xml:space="preserve"> F</w:t>
      </w:r>
      <w:r>
        <w:rPr>
          <w:rFonts w:ascii="Arial" w:cs="Arial" w:eastAsia="Arial" w:hAnsi="Arial"/>
          <w:sz w:val="9"/>
          <w:szCs w:val="9"/>
          <w:color w:val="auto"/>
        </w:rPr>
        <w:t>RANCISCO</w:t>
      </w:r>
      <w:r>
        <w:rPr>
          <w:rFonts w:ascii="Arial" w:cs="Arial" w:eastAsia="Arial" w:hAnsi="Arial"/>
          <w:sz w:val="14"/>
          <w:szCs w:val="14"/>
          <w:color w:val="auto"/>
        </w:rPr>
        <w:t xml:space="preserve"> | L</w:t>
      </w:r>
      <w:r>
        <w:rPr>
          <w:rFonts w:ascii="Arial" w:cs="Arial" w:eastAsia="Arial" w:hAnsi="Arial"/>
          <w:sz w:val="9"/>
          <w:szCs w:val="9"/>
          <w:color w:val="auto"/>
        </w:rPr>
        <w:t>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t>MINTZ, LEVIN, COHN, FERRIS, GLOVSKY AND POPEO,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26,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left="880" w:hanging="453"/>
        <w:spacing w:after="0" w:line="259" w:lineRule="auto"/>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warrants to purchase Common Stock, Preferred Stock, and/or Debt Securities (the “Warrants”), which may be issued under warrant agreements, to be dated on or about the date of the first issuance of the applicable Warrants thereunder, by and between the Company and a warrant agent to be selected by the Company (each, a “Warrant Agreement”), issuable pursuant to the Base Prospectus (as supplemented from time to time by one or more Prospectus Supplements);</w:t>
      </w:r>
    </w:p>
    <w:p>
      <w:pPr>
        <w:spacing w:after="0" w:line="186" w:lineRule="exact"/>
        <w:rPr>
          <w:rFonts w:ascii="Arial" w:cs="Arial" w:eastAsia="Arial" w:hAnsi="Arial"/>
          <w:sz w:val="18"/>
          <w:szCs w:val="18"/>
          <w:color w:val="auto"/>
        </w:rPr>
      </w:pPr>
    </w:p>
    <w:p>
      <w:pPr>
        <w:ind w:left="880" w:right="360" w:hanging="453"/>
        <w:spacing w:after="0" w:line="259" w:lineRule="auto"/>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rights to purchase Common Stock, Preferred Stock or Debt Securities (the “Rights”), which may be issued pursuant to a rights agreement and certificates issued thereunder, to be dated on or about the date of the first issuance of the applicable Rights thereunder, by and between the Company and a rights agent to be selected by the Company (each, a “Rights Agreement”), issuable pursuant to the Base Prospectus (as supplemented from time to time by one or more Prospectus Supplements);</w:t>
      </w:r>
    </w:p>
    <w:p>
      <w:pPr>
        <w:spacing w:after="0" w:line="186" w:lineRule="exact"/>
        <w:rPr>
          <w:rFonts w:ascii="Arial" w:cs="Arial" w:eastAsia="Arial" w:hAnsi="Arial"/>
          <w:sz w:val="18"/>
          <w:szCs w:val="18"/>
          <w:color w:val="auto"/>
        </w:rPr>
      </w:pPr>
    </w:p>
    <w:p>
      <w:pPr>
        <w:ind w:left="900" w:right="40" w:hanging="460"/>
        <w:spacing w:after="0" w:line="257" w:lineRule="auto"/>
        <w:tabs>
          <w:tab w:leader="none" w:pos="90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purchase contracts, including contracts obligating holders to purchase from the Company and for the Company to sell to such holders, or obligating the Company to purchase from holders and for such holders to sell to the Company, a specific or variable number of the Debt Securities, shares of Common Stock, Preferred Stock, Warrants or Rights, or securities of an entity unaffiliated with the Company, or any combination thereof, at a future date or dates (each, a “Purchase Contract”), issuable pursuant to the Base Prospectus (as supplemented from time to time by one or more Prospectus Supplements); and</w:t>
      </w:r>
    </w:p>
    <w:p>
      <w:pPr>
        <w:spacing w:after="0" w:line="188" w:lineRule="exact"/>
        <w:rPr>
          <w:rFonts w:ascii="Arial" w:cs="Arial" w:eastAsia="Arial" w:hAnsi="Arial"/>
          <w:sz w:val="18"/>
          <w:szCs w:val="18"/>
          <w:color w:val="auto"/>
        </w:rPr>
      </w:pPr>
    </w:p>
    <w:p>
      <w:pPr>
        <w:jc w:val="both"/>
        <w:ind w:left="900" w:right="40" w:hanging="460"/>
        <w:spacing w:after="0" w:line="279" w:lineRule="auto"/>
        <w:tabs>
          <w:tab w:leader="none" w:pos="900" w:val="left"/>
        </w:tabs>
        <w:numPr>
          <w:ilvl w:val="1"/>
          <w:numId w:val="123"/>
        </w:numPr>
        <w:rPr>
          <w:rFonts w:ascii="Arial" w:cs="Arial" w:eastAsia="Arial" w:hAnsi="Arial"/>
          <w:sz w:val="17"/>
          <w:szCs w:val="17"/>
          <w:color w:val="auto"/>
        </w:rPr>
      </w:pPr>
      <w:r>
        <w:rPr>
          <w:rFonts w:ascii="Arial" w:cs="Arial" w:eastAsia="Arial" w:hAnsi="Arial"/>
          <w:sz w:val="17"/>
          <w:szCs w:val="17"/>
          <w:color w:val="auto"/>
        </w:rPr>
        <w:t>units comprised of one or more Debt Securities, shares of Common Stock, shares of Preferred Stock, Rights, Purchase Contracts and Warrants, in any combination (the “Units”), which may be issued under unit agreements, to be dated on or about the date of the first issuance of the applicable Units thereunder, by and between the Company and a unit agent to be selected by the Company (each, a “Unit Agreement”), issuable pursuant to the Base Prospectus (as supplemented from time to time by one or more Prospectus Supplements).</w:t>
      </w:r>
    </w:p>
    <w:p>
      <w:pPr>
        <w:spacing w:after="0" w:line="171" w:lineRule="exact"/>
        <w:rPr>
          <w:sz w:val="20"/>
          <w:szCs w:val="20"/>
          <w:color w:val="auto"/>
        </w:rPr>
      </w:pPr>
    </w:p>
    <w:p>
      <w:pPr>
        <w:ind w:right="60" w:firstLine="414"/>
        <w:spacing w:after="0" w:line="293" w:lineRule="auto"/>
        <w:rPr>
          <w:sz w:val="20"/>
          <w:szCs w:val="20"/>
          <w:color w:val="auto"/>
        </w:rPr>
      </w:pPr>
      <w:r>
        <w:rPr>
          <w:rFonts w:ascii="Arial" w:cs="Arial" w:eastAsia="Arial" w:hAnsi="Arial"/>
          <w:sz w:val="16"/>
          <w:szCs w:val="16"/>
          <w:color w:val="auto"/>
        </w:rPr>
        <w:t>The Common Stock, the Preferred Stock, the Debt Securities, the Warrants, the Rights, the Purchase Contracts and the Units are collectively referred to herein as the “Securities.” The Registration Statement relates to the registration of the Securities and the Warrant Exercise Shares are being registered for offer and sale by the Company from time to time on a delayed or continuous basis pursuant to Rule 415 under the Securities Act. The maximum aggregate public offering price of the Securities being registered will be $50,000,000 and the aggregate public offering price of the Warrant Exercise Shares being registered will be $5,375,000. This opinion is being rendered in connection with the filing of the Registration Statement with the Commission. All capitalized terms used herein and not otherwise defined shall have the respective meanings given to them in the Registration Statement.</w:t>
      </w:r>
    </w:p>
    <w:p>
      <w:pPr>
        <w:spacing w:after="0" w:line="165" w:lineRule="exact"/>
        <w:rPr>
          <w:sz w:val="20"/>
          <w:szCs w:val="20"/>
          <w:color w:val="auto"/>
        </w:rPr>
      </w:pPr>
    </w:p>
    <w:p>
      <w:pPr>
        <w:ind w:right="140" w:firstLine="414"/>
        <w:spacing w:after="0" w:line="264" w:lineRule="auto"/>
        <w:rPr>
          <w:sz w:val="20"/>
          <w:szCs w:val="20"/>
          <w:color w:val="auto"/>
        </w:rPr>
      </w:pPr>
      <w:r>
        <w:rPr>
          <w:rFonts w:ascii="Arial" w:cs="Arial" w:eastAsia="Arial" w:hAnsi="Arial"/>
          <w:sz w:val="18"/>
          <w:szCs w:val="18"/>
          <w:color w:val="auto"/>
        </w:rPr>
        <w:t>In connection with this opinion, we have examined the Company’s Certificate of Incorporation and Bylaws, each as currently in effect; such other records of the corporate proceedings of the Company and certificates of the Company’s officers as we have deemed relevant; and the Registration Statement and the exhibits thereto.</w:t>
      </w:r>
    </w:p>
    <w:p>
      <w:pPr>
        <w:spacing w:after="0" w:line="181" w:lineRule="exact"/>
        <w:rPr>
          <w:sz w:val="20"/>
          <w:szCs w:val="20"/>
          <w:color w:val="auto"/>
        </w:rPr>
      </w:pPr>
    </w:p>
    <w:p>
      <w:pPr>
        <w:jc w:val="both"/>
        <w:ind w:firstLine="414"/>
        <w:spacing w:after="0" w:line="264" w:lineRule="auto"/>
        <w:rPr>
          <w:sz w:val="20"/>
          <w:szCs w:val="20"/>
          <w:color w:val="auto"/>
        </w:rPr>
      </w:pPr>
      <w:r>
        <w:rPr>
          <w:rFonts w:ascii="Arial" w:cs="Arial" w:eastAsia="Arial" w:hAnsi="Arial"/>
          <w:sz w:val="18"/>
          <w:szCs w:val="18"/>
          <w:color w:val="auto"/>
        </w:rPr>
        <w:t>In our examination, we have assumed the genuineness of all signatures, the legal capacity of natural persons, the authenticity of all documents submitted to us as originals, the conformity to original documents of all documents submitted to us as certified or photostatic copies and the authenticity of the originals of such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t>MINTZ, LEVIN, COHN, FERRIS, GLOVSKY AND POPEO,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26,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ind w:right="60" w:firstLine="414"/>
        <w:spacing w:after="0" w:line="259" w:lineRule="auto"/>
        <w:rPr>
          <w:sz w:val="20"/>
          <w:szCs w:val="20"/>
          <w:color w:val="auto"/>
        </w:rPr>
      </w:pPr>
      <w:r>
        <w:rPr>
          <w:rFonts w:ascii="Arial" w:cs="Arial" w:eastAsia="Arial" w:hAnsi="Arial"/>
          <w:sz w:val="18"/>
          <w:szCs w:val="18"/>
          <w:color w:val="auto"/>
        </w:rPr>
        <w:t>In our capacity as counsel to the Company in connection with such registration, we are familiar with the proceedings taken and proposed to be taken by the Company in connection with the authorization and issuance of the Securities and the Warrant Exercise Shares. For purposes of this opinion, we have assumed that such proceedings will be timely and properly completed, in accordance with all requirements of applicable federal and Delaware laws, in the manner presently proposed.</w:t>
      </w:r>
    </w:p>
    <w:p>
      <w:pPr>
        <w:spacing w:after="0" w:line="187" w:lineRule="exact"/>
        <w:rPr>
          <w:sz w:val="20"/>
          <w:szCs w:val="20"/>
          <w:color w:val="auto"/>
        </w:rPr>
      </w:pPr>
    </w:p>
    <w:p>
      <w:pPr>
        <w:ind w:firstLine="414"/>
        <w:spacing w:after="0" w:line="291" w:lineRule="auto"/>
        <w:rPr>
          <w:sz w:val="20"/>
          <w:szCs w:val="20"/>
          <w:color w:val="auto"/>
        </w:rPr>
      </w:pPr>
      <w:r>
        <w:rPr>
          <w:rFonts w:ascii="Arial" w:cs="Arial" w:eastAsia="Arial" w:hAnsi="Arial"/>
          <w:sz w:val="16"/>
          <w:szCs w:val="16"/>
          <w:color w:val="auto"/>
        </w:rPr>
        <w:t>The opinions set forth below are subject to the following exceptions, limitations and qualifications: (i) the effect of bankruptcy, insolvency, reorganization, fraudulent conveyance, moratorium or other similar laws now or hereafter in effect relating to or affecting the rights and remedies of creditors;</w:t>
      </w:r>
    </w:p>
    <w:p>
      <w:pPr>
        <w:ind w:right="40" w:firstLine="8"/>
        <w:spacing w:after="0" w:line="252" w:lineRule="auto"/>
        <w:tabs>
          <w:tab w:leader="none" w:pos="26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effect of general principles of equity, whether enforcement is considered in a proceeding in equity or at law, and the discretion of the court before which any proceeding therefor may be brought; (iii) the unenforceability under certain circumstances under law or court decisions of provisions providing for the indemnification of, or contribution to, a party with respect to a liability where such indemnification or contribution is contrary to public policy; (iv) we express no opinion concerning the enforceability of any waiver of rights or defenses with respect to stay, extension or usury laws; and (v) we express no opinion with respect to whether acceleration of any Debt Securities may affect the ability to collect any portion of the stated principal amount thereof which might be determined to constitute unearned interest thereon.</w:t>
      </w:r>
    </w:p>
    <w:p>
      <w:pPr>
        <w:spacing w:after="0" w:line="194" w:lineRule="exact"/>
        <w:rPr>
          <w:sz w:val="20"/>
          <w:szCs w:val="20"/>
          <w:color w:val="auto"/>
        </w:rPr>
      </w:pPr>
    </w:p>
    <w:p>
      <w:pPr>
        <w:ind w:firstLine="414"/>
        <w:spacing w:after="0" w:line="285" w:lineRule="auto"/>
        <w:rPr>
          <w:sz w:val="20"/>
          <w:szCs w:val="20"/>
          <w:color w:val="auto"/>
        </w:rPr>
      </w:pPr>
      <w:r>
        <w:rPr>
          <w:rFonts w:ascii="Arial" w:cs="Arial" w:eastAsia="Arial" w:hAnsi="Arial"/>
          <w:sz w:val="16"/>
          <w:szCs w:val="16"/>
          <w:color w:val="auto"/>
        </w:rPr>
        <w:t>We have relied as to certain matters on information obtained from public officials, officers of the Company, and other sources believed by us to be responsible and we have assumed that the Senior Indenture and the Subordinated Indenture will be duly authorized, executed, and delivered by the respective trustees thereunder and the Warrant Agreement, Rights Agreement and Unit Agreement will be duly authorized, executed, and delivered by the warrant agent, rights agent and unit agent, respectively, thereunder and the Purchase Contracts will be duly authorized, executed, and delivered by the other parties thereto. With respect to our opinion as to the Common Stock and securities convertible into or exercisable for shares of Common Stock, we have assumed that, at the time of issuance and sale, a sufficient number of shares of Common Stock are authorized and available for issuance under the Company’s Certificate of Incorporation as then in effect and that the consideration for the issuance and sale of the Common Stock (or Purchase Contracts, Preferred Stock, Debt Securities convertible into Common Stock or Warrants or Rights exercisable for Common Stock or any Units of such Securities) is in an amount that is not less than the par value of the Common Stock. With respect to our opinion as to the Warrant Exercise Shares to be issued upon exercise of the Outstanding Warrants, we express no opinion to the extent that, notwithstanding its current reservation of shares of Common Stock, future issuances of securities, including the Warrant Exercise Shares, of the Company and/or adjustments to outstanding securities, including the Outstanding Warrants, of the Company may cause the Outstanding Warrants to be exercisable for more shares of Common Stock than the number that remain authorized but unissued. Further, we have assumed the exercise price of the Outstanding Warrants will not be adjusted to an amount below the par value per share of the Common Stock. With respect to our opinion as to the Preferred Stock and Securities convertible into or exercisable for shares of Preferred Stock, we have assumed that, at the time of issuance and sale, a sufficient number of shares of Preferred Stock are authorized, designated and available for issuance and that the consideration for the issuance and sale of the Preferred Stock (or Purchase Contracts, Debt Securities convertible into Preferred Stock or Warrants or Rights exercisable for Preferred Stock or any Units of such Securities) is in an amount that is not less than the par value of the Preferred Stock. We have also assumed that any Warrants, Rights, Purchase Contracts and Units offered under the Registration Statement, and the related Warrant Agreement, Rights Agreement, Purchase Contract and Unit Agreement, as applicable, will be executed in the forms to be filed as exhibits to the Registration Statement or incorporated by reference therein. We have not independently verified any of the foregoing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t>MINTZ, LEVIN, COHN, FERRIS, GLOVSKY AND POPEO,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26,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ind w:right="20" w:firstLine="414"/>
        <w:spacing w:after="0" w:line="277" w:lineRule="auto"/>
        <w:rPr>
          <w:sz w:val="20"/>
          <w:szCs w:val="20"/>
          <w:color w:val="auto"/>
        </w:rPr>
      </w:pPr>
      <w:r>
        <w:rPr>
          <w:rFonts w:ascii="Arial" w:cs="Arial" w:eastAsia="Arial" w:hAnsi="Arial"/>
          <w:sz w:val="18"/>
          <w:szCs w:val="18"/>
          <w:color w:val="auto"/>
        </w:rPr>
        <w:t>It is understood that this opinion is to be used only in connection with the offer and sale of Securities while the Registration Statement is effective under the Securities Act.</w:t>
      </w:r>
    </w:p>
    <w:p>
      <w:pPr>
        <w:spacing w:after="0" w:line="170" w:lineRule="exact"/>
        <w:rPr>
          <w:sz w:val="20"/>
          <w:szCs w:val="20"/>
          <w:color w:val="auto"/>
        </w:rPr>
      </w:pPr>
    </w:p>
    <w:p>
      <w:pPr>
        <w:ind w:right="140" w:firstLine="414"/>
        <w:spacing w:after="0" w:line="312" w:lineRule="auto"/>
        <w:rPr>
          <w:sz w:val="20"/>
          <w:szCs w:val="20"/>
          <w:color w:val="auto"/>
        </w:rPr>
      </w:pPr>
      <w:r>
        <w:rPr>
          <w:rFonts w:ascii="Arial" w:cs="Arial" w:eastAsia="Arial" w:hAnsi="Arial"/>
          <w:sz w:val="16"/>
          <w:szCs w:val="16"/>
          <w:color w:val="auto"/>
        </w:rPr>
        <w:t>Our opinion is limited to the General Corporation Law of the State of Delaware and the laws of the State of New York. Without limiting the generality of the foregoing, we express no opinion with respect to (i) the qualification of the Common Stock under the securities or blue sky laws of any state or any foreign jurisdiction or (ii) the compliance with any federal or state law, rule or regulation relating to securities, or to the sale or issuance thereof.</w:t>
      </w:r>
    </w:p>
    <w:p>
      <w:pPr>
        <w:spacing w:after="0" w:line="147" w:lineRule="exact"/>
        <w:rPr>
          <w:sz w:val="20"/>
          <w:szCs w:val="20"/>
          <w:color w:val="auto"/>
        </w:rPr>
      </w:pPr>
    </w:p>
    <w:p>
      <w:pPr>
        <w:ind w:right="140" w:firstLine="414"/>
        <w:spacing w:after="0" w:line="259" w:lineRule="auto"/>
        <w:rPr>
          <w:sz w:val="20"/>
          <w:szCs w:val="20"/>
          <w:color w:val="auto"/>
        </w:rPr>
      </w:pPr>
      <w:r>
        <w:rPr>
          <w:rFonts w:ascii="Arial" w:cs="Arial" w:eastAsia="Arial" w:hAnsi="Arial"/>
          <w:sz w:val="18"/>
          <w:szCs w:val="18"/>
          <w:color w:val="auto"/>
        </w:rPr>
        <w:t>Please note that we are opining only as to the matters expressly set forth herein, and no opinion should be inferred as to any other matters. The Securities may be issued from time to time on a delayed or continuous basis, but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Based upon the foregoing, we are of the opinion that:</w:t>
      </w:r>
    </w:p>
    <w:p>
      <w:pPr>
        <w:spacing w:after="0" w:line="225" w:lineRule="exact"/>
        <w:rPr>
          <w:sz w:val="20"/>
          <w:szCs w:val="20"/>
          <w:color w:val="auto"/>
        </w:rPr>
      </w:pPr>
    </w:p>
    <w:p>
      <w:pPr>
        <w:ind w:right="100" w:firstLine="422"/>
        <w:spacing w:after="0" w:line="284" w:lineRule="auto"/>
        <w:tabs>
          <w:tab w:leader="none" w:pos="594" w:val="left"/>
        </w:tabs>
        <w:numPr>
          <w:ilvl w:val="1"/>
          <w:numId w:val="125"/>
        </w:numPr>
        <w:rPr>
          <w:rFonts w:ascii="Arial" w:cs="Arial" w:eastAsia="Arial" w:hAnsi="Arial"/>
          <w:sz w:val="16"/>
          <w:szCs w:val="16"/>
          <w:color w:val="auto"/>
        </w:rPr>
      </w:pPr>
      <w:r>
        <w:rPr>
          <w:rFonts w:ascii="Arial" w:cs="Arial" w:eastAsia="Arial" w:hAnsi="Arial"/>
          <w:sz w:val="16"/>
          <w:szCs w:val="16"/>
          <w:color w:val="auto"/>
        </w:rPr>
        <w:t>With respect to the Common Stock, when (i) specifically authorized for issuance by the Company’s Board of Directors or an authorized committee thereof (the “Authorizing Resolutions”), (ii) the Registration Statement, as finally amended (including all post-effective amendments), has become effective under the Securities Act, (iii) an appropriate prospectus supplement with respect to the applicable shares of Common Stock has been prepared, delivered and filed in compliance with the Securities Act and the applicable rules and regulations thereunder, (iv) if the applicable shares of Common Stock are to be sold pursuant to a purchase, underwriting or similar agreement (an “Underwriting Agreement”), such Underwriting Agreement with respect to the applicable shares of Common Stock in the form filed as an exhibit to the Registration Statement, any post-effective amendment thereto or to a Current Report on Form</w:t>
      </w:r>
    </w:p>
    <w:p>
      <w:pPr>
        <w:spacing w:after="0" w:line="4" w:lineRule="exact"/>
        <w:rPr>
          <w:rFonts w:ascii="Arial" w:cs="Arial" w:eastAsia="Arial" w:hAnsi="Arial"/>
          <w:sz w:val="16"/>
          <w:szCs w:val="16"/>
          <w:color w:val="auto"/>
        </w:rPr>
      </w:pPr>
    </w:p>
    <w:p>
      <w:pPr>
        <w:spacing w:after="0" w:line="270" w:lineRule="auto"/>
        <w:rPr>
          <w:rFonts w:ascii="Arial" w:cs="Arial" w:eastAsia="Arial" w:hAnsi="Arial"/>
          <w:sz w:val="16"/>
          <w:szCs w:val="16"/>
          <w:color w:val="auto"/>
        </w:rPr>
      </w:pPr>
      <w:r>
        <w:rPr>
          <w:rFonts w:ascii="Arial" w:cs="Arial" w:eastAsia="Arial" w:hAnsi="Arial"/>
          <w:sz w:val="17"/>
          <w:szCs w:val="17"/>
          <w:color w:val="auto"/>
        </w:rPr>
        <w:t>8-K, has been duly authorized, executed and delivered by the Company and the other parties thereto, (v) the terms of the sale of the Common Stock have been duly established in conformity with the Company’s then operative Certificate of Incorporation and By-laws and do not violate any applicable law or result in a default under or breach of any agreement or instrument binding on the Company and comply with any requirement or restriction imposed by any court or governmental body having jurisdiction over the Company, (vi) the Common Stock has been issued and sold as contemplated by the Registration Statement and the prospectus included therein, and (vii) the Company has received the consideration provided for in the Authorizing Resolutions and, if applicable, the Underwriting Agreement, the Common Stock will be validly issued, fully paid and nonassessable.</w:t>
      </w:r>
    </w:p>
    <w:p>
      <w:pPr>
        <w:spacing w:after="0" w:line="178" w:lineRule="exact"/>
        <w:rPr>
          <w:rFonts w:ascii="Arial" w:cs="Arial" w:eastAsia="Arial" w:hAnsi="Arial"/>
          <w:sz w:val="16"/>
          <w:szCs w:val="16"/>
          <w:color w:val="auto"/>
        </w:rPr>
      </w:pPr>
    </w:p>
    <w:p>
      <w:pPr>
        <w:ind w:right="540" w:firstLine="422"/>
        <w:spacing w:after="0" w:line="264" w:lineRule="auto"/>
        <w:tabs>
          <w:tab w:leader="none" w:pos="594"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With respect to the Warrant Exercise Shares when issued and paid for in accordance with the Outstanding Warrants and as contemplated in the Registration Statement and the Warrant Exercise Prospectus, the Warrant Exercise Shares will be duly authorized, validly issued, fully paid and nonassessable.</w:t>
      </w:r>
    </w:p>
    <w:p>
      <w:pPr>
        <w:spacing w:after="0" w:line="181" w:lineRule="exact"/>
        <w:rPr>
          <w:rFonts w:ascii="Arial" w:cs="Arial" w:eastAsia="Arial" w:hAnsi="Arial"/>
          <w:sz w:val="18"/>
          <w:szCs w:val="18"/>
          <w:color w:val="auto"/>
        </w:rPr>
      </w:pPr>
    </w:p>
    <w:p>
      <w:pPr>
        <w:ind w:right="40" w:firstLine="422"/>
        <w:spacing w:after="0" w:line="283" w:lineRule="auto"/>
        <w:tabs>
          <w:tab w:leader="none" w:pos="594" w:val="left"/>
        </w:tabs>
        <w:numPr>
          <w:ilvl w:val="1"/>
          <w:numId w:val="125"/>
        </w:numPr>
        <w:rPr>
          <w:rFonts w:ascii="Arial" w:cs="Arial" w:eastAsia="Arial" w:hAnsi="Arial"/>
          <w:sz w:val="16"/>
          <w:szCs w:val="16"/>
          <w:color w:val="auto"/>
        </w:rPr>
      </w:pPr>
      <w:r>
        <w:rPr>
          <w:rFonts w:ascii="Arial" w:cs="Arial" w:eastAsia="Arial" w:hAnsi="Arial"/>
          <w:sz w:val="16"/>
          <w:szCs w:val="16"/>
          <w:color w:val="auto"/>
        </w:rPr>
        <w:t>With respect to the Preferred Stock, when (i) specifically authorized for issuance by the Authorizing Resolutions, (ii) the Registration Statement, as finally amended (including all post-effective amendments), has become effective under the Securities Act, (iii) an appropriate prospectus supplement with respect to the applicable shares of Preferred Stock has been prepared, delivered and filed in compliance with the Securities Act and the applicable rules and regulations thereunder, (iv) if the applicable shares of Preferred Stock are to be sold pursuant to an Underwriting Agreement, such Underwriting Agreement with respect to the applicable shares of Preferred Stock in the form filed as an exhibit to the Registration Statement, any post-effective amendment thereto or to a Current Report on Form 8-K, has been duly authorized, executed and delivered by the Company and the other parties thereto, (v) an appropriate Certificate or Certificates of Amendment or Designation relating to a class or series of the Preferred Stock to be sold under the Registration Statement has been duly authorized and adopted and filed with the Secretary of State of the State of Delaware prior to the issuance of the Preferred Stock, (vi) the terms of issuance and sale of shares of such class or series of Preferred Stock have been duly established in conformity with the Company’s then operative Certificate of Incorporation and By-laws and do not violate any applicable law or result in a default under or breach of any agreement or instrument binding upon the Company and comply with any requirement or restriction imposed by any court or governmental body having jurisdiction over the Company, (vii) shares of such class or series of Preferred Stock have been duly issued and sold as contemplated by the Registration Statement and the prospectus included therein, and</w:t>
      </w:r>
    </w:p>
    <w:p>
      <w:pPr>
        <w:spacing w:after="0" w:line="3" w:lineRule="exact"/>
        <w:rPr>
          <w:rFonts w:ascii="Arial" w:cs="Arial" w:eastAsia="Arial" w:hAnsi="Arial"/>
          <w:sz w:val="16"/>
          <w:szCs w:val="16"/>
          <w:color w:val="auto"/>
        </w:rPr>
      </w:pPr>
    </w:p>
    <w:p>
      <w:pPr>
        <w:ind w:right="120" w:firstLine="8"/>
        <w:spacing w:after="0" w:line="261" w:lineRule="auto"/>
        <w:tabs>
          <w:tab w:leader="none" w:pos="40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Company has received the consideration provided for in the Authorizing Resolutions and, if applicable, the Underwriting Agreement, the Preferred Stock will be validly issued,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t>MINTZ, LEVIN, COHN, FERRIS, GLOVSKY AND POPEO,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26,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11" w:lineRule="exact"/>
        <w:rPr>
          <w:sz w:val="20"/>
          <w:szCs w:val="20"/>
          <w:color w:val="auto"/>
        </w:rPr>
      </w:pPr>
    </w:p>
    <w:p>
      <w:pPr>
        <w:ind w:right="80" w:firstLine="422"/>
        <w:spacing w:after="0" w:line="284" w:lineRule="auto"/>
        <w:tabs>
          <w:tab w:leader="none" w:pos="59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With respect to the Debt Securities, when (i) specifically authorized for issuance by the Authorizing Resolutions, (ii) the Registration Statement, as finally amended (including all post-effective amendments), has become effective under the Securities Act, (iii) the Senior Indenture or the Subordinated Indenture, whichever the case may be, has been duly authorized, executed and delivered by the Company, (iv) an appropriate prospectus supplement with respect to the applicable Debt Securities has been prepared, delivered and filed in compliance with the Securities Act and the applicable rules and regulations thereunder, (v) if the applicable Debt Securities are to be sold pursuant to an Underwriting Agreement, such Underwriting Agreement with respect to the applicable Debt Securities in the form filed as an exhibit to the Registration Statement, any post-effective amendment thereto or to a Current Report on Form</w:t>
      </w:r>
    </w:p>
    <w:p>
      <w:pPr>
        <w:spacing w:after="0" w:line="4" w:lineRule="exact"/>
        <w:rPr>
          <w:rFonts w:ascii="Arial" w:cs="Arial" w:eastAsia="Arial" w:hAnsi="Arial"/>
          <w:sz w:val="16"/>
          <w:szCs w:val="16"/>
          <w:color w:val="auto"/>
        </w:rPr>
      </w:pPr>
    </w:p>
    <w:p>
      <w:pPr>
        <w:spacing w:after="0" w:line="287" w:lineRule="auto"/>
        <w:rPr>
          <w:rFonts w:ascii="Arial" w:cs="Arial" w:eastAsia="Arial" w:hAnsi="Arial"/>
          <w:sz w:val="16"/>
          <w:szCs w:val="16"/>
          <w:color w:val="auto"/>
        </w:rPr>
      </w:pPr>
      <w:r>
        <w:rPr>
          <w:rFonts w:ascii="Arial" w:cs="Arial" w:eastAsia="Arial" w:hAnsi="Arial"/>
          <w:sz w:val="16"/>
          <w:szCs w:val="16"/>
          <w:color w:val="auto"/>
        </w:rPr>
        <w:t>8-K, has been duly authorized, executed and delivered by the Company and the other parties thereto; (vi) the terms of the Debt Securities and of their issuance and sale have been duly established in conformity with the Senior Indenture or the Subordinated Indenture, whichever the case may be, and do not violate any applicable law or result in a default under or breach of any agreement or instrument binding upon the Company and comply with any requirement or restriction imposed by any court or governmental body having jurisdiction over the Company, (vii) such Debt Securities have been duly executed and authenticated in accordance with the Senior Indenture or the Subordinated Indenture, whichever the case may be, and issued and sold as contemplated in the Registration Statement and the prospectus included therein, (viii) the Senior Indenture or the Subordinated Indenture, whichever the case may be, relating to the Debt Securities has been qualified under the Trust Indenture Act of 1939, as amended, and (ix) the Company has received the consideration provided for in the Authorizing Resolutions and, if applicable, the Underwriting Agreement, the Debt Securities will constitute binding obligations of the Company.</w:t>
      </w:r>
    </w:p>
    <w:p>
      <w:pPr>
        <w:spacing w:after="0" w:line="170" w:lineRule="exact"/>
        <w:rPr>
          <w:rFonts w:ascii="Arial" w:cs="Arial" w:eastAsia="Arial" w:hAnsi="Arial"/>
          <w:sz w:val="16"/>
          <w:szCs w:val="16"/>
          <w:color w:val="auto"/>
        </w:rPr>
      </w:pPr>
    </w:p>
    <w:p>
      <w:pPr>
        <w:ind w:firstLine="422"/>
        <w:spacing w:after="0" w:line="287" w:lineRule="auto"/>
        <w:tabs>
          <w:tab w:leader="none" w:pos="594"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With respect to the Warrants, when (i) specifically authorized for issuance by the Authorizing Resolutions, (ii) the Registration Statement, as finally amended (including all post-effective amendments), has become effective under the Securities Act, (iii) the Warrant Agreement relating to the Warrants has been duly authorized, executed, and delivered by the Company, (iv) an appropriate prospectus supplement with respect to the applicable Warrants has been prepared, delivered and filed in compliance with the Securities Act and the applicable rules and regulations thereunder, (v) if the applicable Warrants are to be sold pursuant to an Underwriting Agreement, such Underwriting Agreement with respect to the applicable Warrants in the form filed as an exhibit to the Registration Statement, any post-effective amendment thereto or to a Current Report on Form 8-K, has been duly authorized, executed and delivered by the Company and the other parties thereto, (vi) the terms of the Warrants and of their issuance and sale have been duly established in conformity with the Warrant Agreement and do not violate any applicable law or result in a default under or breach of any agreement or instrument binding upon the Company and comply with any requirement or restriction imposed by any court or governmental body having jurisdiction over the Company, (vii) the Warrants have been duly executed and countersigned in accordance with the Warrant Agreement and issued and sold as contemplated by the Registration Statement and the prospectus included therein, and (viii) the Company has received the consideration provided for in the Authorizing Resolutions and, if applicable, the Underwriting Agreement, the Warrants will constitute binding obligations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MINTZ, LEVIN, COHN, FERRIS, GLOVSKY AND POPEO,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26,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11" w:lineRule="exact"/>
        <w:rPr>
          <w:sz w:val="20"/>
          <w:szCs w:val="20"/>
          <w:color w:val="auto"/>
        </w:rPr>
      </w:pPr>
    </w:p>
    <w:p>
      <w:pPr>
        <w:ind w:right="40" w:firstLine="422"/>
        <w:spacing w:after="0" w:line="287" w:lineRule="auto"/>
        <w:tabs>
          <w:tab w:leader="none" w:pos="594" w:val="left"/>
        </w:tabs>
        <w:numPr>
          <w:ilvl w:val="0"/>
          <w:numId w:val="128"/>
        </w:numPr>
        <w:rPr>
          <w:rFonts w:ascii="Arial" w:cs="Arial" w:eastAsia="Arial" w:hAnsi="Arial"/>
          <w:sz w:val="16"/>
          <w:szCs w:val="16"/>
          <w:color w:val="auto"/>
        </w:rPr>
      </w:pPr>
      <w:r>
        <w:rPr>
          <w:rFonts w:ascii="Arial" w:cs="Arial" w:eastAsia="Arial" w:hAnsi="Arial"/>
          <w:sz w:val="16"/>
          <w:szCs w:val="16"/>
          <w:color w:val="auto"/>
        </w:rPr>
        <w:t>With respect to the Rights, when (i) specifically authorized for issuance by the Authorizing Resolutions, (ii) the Registration Statement, as finally amended (including all post-effective amendments), has become effective under the Securities Act, (iii) the Rights Agreement and any certificates relating to the Rights have been duly authorized, executed, and delivered by the Company, (iv) an appropriate prospectus supplement with respect to the applicable Rights has been prepared, delivered and filed in compliance with the Securities Act and the applicable rules and regulations thereunder, (v) if the applicable Rights are to be sold pursuant to an Underwriting Agreement, such Underwriting Agreement with respect to the applicable Rights in the form filed as an exhibit to the Registration Statement, any post-effective amendment thereto or to a Current Report on Form 8-K, has been duly authorized, executed and delivered by the Company and the other parties thereto, (vi) the terms of the Rights and of their issuance and sale have been duly established in conformity with the Rights Agreement and any rights certificates and do not violate any applicable law or result in a default under or breach of any agreement or instrument binding upon the Company and comply with any requirement or restriction imposed by any court or governmental body having jurisdiction over the Company, (vii) the Rights have been duly executed and countersigned in accordance with the Rights Agreement and issued and sold as contemplated by the Registration Statement and the prospectus included therein, and (viii) the Company has received the consideration provided for in the Authorizing Resolutions and, if applicable, the Underwriting Agreement, the Rights will constitute binding obligations of the Company.</w:t>
      </w:r>
    </w:p>
    <w:p>
      <w:pPr>
        <w:spacing w:after="0" w:line="168" w:lineRule="exact"/>
        <w:rPr>
          <w:rFonts w:ascii="Arial" w:cs="Arial" w:eastAsia="Arial" w:hAnsi="Arial"/>
          <w:sz w:val="16"/>
          <w:szCs w:val="16"/>
          <w:color w:val="auto"/>
        </w:rPr>
      </w:pPr>
    </w:p>
    <w:p>
      <w:pPr>
        <w:ind w:firstLine="422"/>
        <w:spacing w:after="0" w:line="287" w:lineRule="auto"/>
        <w:tabs>
          <w:tab w:leader="none" w:pos="594" w:val="left"/>
        </w:tabs>
        <w:numPr>
          <w:ilvl w:val="0"/>
          <w:numId w:val="128"/>
        </w:numPr>
        <w:rPr>
          <w:rFonts w:ascii="Arial" w:cs="Arial" w:eastAsia="Arial" w:hAnsi="Arial"/>
          <w:sz w:val="16"/>
          <w:szCs w:val="16"/>
          <w:color w:val="auto"/>
        </w:rPr>
      </w:pPr>
      <w:r>
        <w:rPr>
          <w:rFonts w:ascii="Arial" w:cs="Arial" w:eastAsia="Arial" w:hAnsi="Arial"/>
          <w:sz w:val="16"/>
          <w:szCs w:val="16"/>
          <w:color w:val="auto"/>
        </w:rPr>
        <w:t>With respect to the Purchase Contracts, when (i) specifically authorized for issuance by the Authorizing Resolutions, (ii) the Registration Statement, as finally amended (including all post-effective amendments), has become effective under the Securities Act, (iii) the Purchase Contracts have been duly authorized, executed, and delivered by the Company, (iv) an appropriate prospectus supplement with respect to the applicable Purchase Contracts has been prepared, delivered and filed in compliance with the Securities Act and the applicable rules and regulations thereunder, (v) if the applicable Purchase Contracts are to be sold pursuant to an Underwriting Agreement, such Underwriting Agreement with respect to the applicable Purchase Contracts in the form filed as an exhibit to the Registration Statement, any post-effective amendment thereto or to a Current Report on Form 8-K, has been duly authorized, executed and delivered by the Company and the other parties thereto, (vi) the terms of the Purchase Contracts and of their issuance and sale have been duly established in conformity with the Purchase Contracts and do not violate any applicable law or result in a default under or breach of any agreement or instrument binding upon the Company and comply with any requirement or restriction imposed by any court or governmental body having jurisdiction over the Company, (vii) the Purchase Contracts have been duly executed, countersigned, issued and sold as contemplated by the Registration Statement and the prospectus included therein, and (viii) the Company has received the consideration provided for in the Authorizing Resolutions and, if applicable, the Underwriting Agreement, the Purchase Contracts will constitute binding obligations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2466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MINTZ, LEVIN, COHN, FERRIS, GLOVSKY AND POPEO,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26,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11" w:lineRule="exact"/>
        <w:rPr>
          <w:sz w:val="20"/>
          <w:szCs w:val="20"/>
          <w:color w:val="auto"/>
        </w:rPr>
      </w:pPr>
    </w:p>
    <w:p>
      <w:pPr>
        <w:ind w:right="20" w:firstLine="422"/>
        <w:spacing w:after="0" w:line="269" w:lineRule="auto"/>
        <w:tabs>
          <w:tab w:leader="none" w:pos="594" w:val="left"/>
        </w:tabs>
        <w:numPr>
          <w:ilvl w:val="0"/>
          <w:numId w:val="129"/>
        </w:numPr>
        <w:rPr>
          <w:rFonts w:ascii="Arial" w:cs="Arial" w:eastAsia="Arial" w:hAnsi="Arial"/>
          <w:sz w:val="17"/>
          <w:szCs w:val="17"/>
          <w:color w:val="auto"/>
        </w:rPr>
      </w:pPr>
      <w:r>
        <w:rPr>
          <w:rFonts w:ascii="Arial" w:cs="Arial" w:eastAsia="Arial" w:hAnsi="Arial"/>
          <w:sz w:val="17"/>
          <w:szCs w:val="17"/>
          <w:color w:val="auto"/>
        </w:rPr>
        <w:t>With respect to the Units, when (i) specifically authorized for issuance by the Authorizing Resolutions, (ii) the Registration Statement, as finally amended (including all post-effective amendments), has become effective under the Securities Act, (iii) the Unit Agreement relating to the Units has been duly authorized, executed, and delivered by the Company, (iv) an appropriate prospectus supplement with respect to the applicable Units has been prepared, delivered and filed in compliance with the Securities Act and the applicable rules and regulations thereunder, (v) if the applicable Units are to be sold pursuant to an Underwriting Agreement, such Underwriting Agreement with respect to the applicable Units in the form filed as an exhibit to the Registration Statement, any post-effective amendment thereto or to a Current Report on Form 8-K, has been duly authorized, executed and delivered by the Company and the other parties thereto, (vi) the terms of the Units and of their issuance and sale have been duly established in conformity with the Unit Agreement and do not violate any applicable law or result in a default under or breach of any agreement or instrument binding upon the Company and comply with any requirement or restriction imposed by any court or governmental body having jurisdiction over the Company, (vii) the Units have been duly executed and countersigned in accordance with the Unit Agreement and issued and sold as contemplated by the Registration Statement and the prospectus included therein, and (viii) the Company has received the consideration provided for in the Authorizing Resolutions and, if applicable, the Underwriting Agreement, the Units will constitute binding obligations of the Company.</w:t>
      </w:r>
    </w:p>
    <w:p>
      <w:pPr>
        <w:spacing w:after="0" w:line="180" w:lineRule="exact"/>
        <w:rPr>
          <w:sz w:val="20"/>
          <w:szCs w:val="20"/>
          <w:color w:val="auto"/>
        </w:rPr>
      </w:pPr>
    </w:p>
    <w:p>
      <w:pPr>
        <w:ind w:firstLine="414"/>
        <w:spacing w:after="0" w:line="302" w:lineRule="auto"/>
        <w:rPr>
          <w:sz w:val="20"/>
          <w:szCs w:val="20"/>
          <w:color w:val="auto"/>
        </w:rPr>
      </w:pPr>
      <w:r>
        <w:rPr>
          <w:rFonts w:ascii="Arial" w:cs="Arial" w:eastAsia="Arial" w:hAnsi="Arial"/>
          <w:sz w:val="16"/>
          <w:szCs w:val="16"/>
          <w:color w:val="auto"/>
        </w:rPr>
        <w:t>We understand that you wish to file this opinion with the Commission as an exhibit to the Registration Statement in accordance with the requirements of Item 601(b)(5) of Regulation S-K promulgated under the Securities Act and to reference the firm’s name under the caption “Legal Matters” in the prospectus which forms part of the Registration Statement, and we hereby consent thereto. In giving this consent, we do not admit that we are within the category of persons whose consent is required under Section 7 of the Securities Act or the rules and regulations of the Commission promulgated thereunder.</w:t>
      </w:r>
    </w:p>
    <w:p>
      <w:pPr>
        <w:spacing w:after="0" w:line="15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Mintz, Levin, Cohn, Ferris,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5715</wp:posOffset>
            </wp:positionV>
            <wp:extent cx="361886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Mintz, Levin, Cohn, Ferris,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Vringo, Inc.:</w:t>
      </w:r>
    </w:p>
    <w:p>
      <w:pPr>
        <w:spacing w:after="0" w:line="211"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We consent to the use of our reports dated March 16, 2015, with respect to the consolidated balance sheet of Vringo, Inc. and subsidiaries as of December 31, 2014, and the related consolidated statements of operations, stockholders' equity, and cash flows for the year then ended and the effectiveness of internal control over financial reporting as of December 31, 2014, incorporated herein by reference and to the references our firm under the heading "Experts" in the registration statement dated June 26, 2015.</w:t>
      </w:r>
    </w:p>
    <w:p>
      <w:pPr>
        <w:spacing w:after="0" w:line="187"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Our report on the consolidated financial statements dated March 16, 2015 contains an explanatory paragraph that the Company has suffered recurring losses from operations and negative cash flows from operating activities and may not have sufficient cash or available sources of liquidity to support operating requirements that raises substantial doubt about its ability to continue as a going concern. The consolidated financial statements do not include any adjustments that might result from the outcome of this uncertainty.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417195</wp:posOffset>
            </wp:positionV>
            <wp:extent cx="72466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consent to the use of our report dated March 10, 2014, with respect to the consolidated balance sheets of Vringo Inc. and subsidiaries as of December 31, 2013, and the related consolidated statements of operations, changes in stockholders’ equity, and cash flows for each of the years in the two-year period ended December 31, 2013, incorporated herein by reference and to the reference to our firm under the heading “Experts” in the prospectus.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Somekh Chaikin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(Isr.)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KPMG 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Jerusalem,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F305DEF"/>
    <w:multiLevelType w:val="hybridMultilevel"/>
    <w:lvl w:ilvl="0">
      <w:lvlJc w:val="left"/>
      <w:lvlText w:val="(%1)"/>
      <w:numFmt w:val="decimal"/>
      <w:start w:val="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
      <w:numFmt w:val="bullet"/>
      <w:start w:val="1"/>
    </w:lvl>
  </w:abstractNum>
  <w:abstractNum w:abstractNumId="3">
    <w:nsid w:val="4AD084E9"/>
    <w:multiLevelType w:val="hybridMultilevel"/>
    <w:lvl w:ilvl="0">
      <w:lvlJc w:val="left"/>
      <w:lvlText w:val="·"/>
      <w:numFmt w:val="bullet"/>
      <w:start w:val="1"/>
    </w:lvl>
  </w:abstractNum>
  <w:abstractNum w:abstractNumId="4">
    <w:nsid w:val="1F48EAA1"/>
    <w:multiLevelType w:val="hybridMultilevel"/>
    <w:lvl w:ilvl="0">
      <w:lvlJc w:val="left"/>
      <w:lvlText w:val="·"/>
      <w:numFmt w:val="bullet"/>
      <w:start w:val="1"/>
    </w:lvl>
  </w:abstractNum>
  <w:abstractNum w:abstractNumId="5">
    <w:nsid w:val="1381823A"/>
    <w:multiLevelType w:val="hybridMultilevel"/>
    <w:lvl w:ilvl="0">
      <w:lvlJc w:val="left"/>
      <w:lvlText w:val="·"/>
      <w:numFmt w:val="bullet"/>
      <w:start w:val="1"/>
    </w:lvl>
  </w:abstractNum>
  <w:abstractNum w:abstractNumId="6">
    <w:nsid w:val="5DB70AE5"/>
    <w:multiLevelType w:val="hybridMultilevel"/>
    <w:lvl w:ilvl="0">
      <w:lvlJc w:val="left"/>
      <w:lvlText w:val="·"/>
      <w:numFmt w:val="bullet"/>
      <w:start w:val="1"/>
    </w:lvl>
  </w:abstractNum>
  <w:abstractNum w:abstractNumId="7">
    <w:nsid w:val="100F8FCA"/>
    <w:multiLevelType w:val="hybridMultilevel"/>
    <w:lvl w:ilvl="0">
      <w:lvlJc w:val="left"/>
      <w:lvlText w:val="·"/>
      <w:numFmt w:val="bullet"/>
      <w:start w:val="1"/>
    </w:lvl>
  </w:abstractNum>
  <w:abstractNum w:abstractNumId="8">
    <w:nsid w:val="6590700B"/>
    <w:multiLevelType w:val="hybridMultilevel"/>
    <w:lvl w:ilvl="0">
      <w:lvlJc w:val="left"/>
      <w:lvlText w:val="·"/>
      <w:numFmt w:val="bullet"/>
      <w:start w:val="1"/>
    </w:lvl>
  </w:abstractNum>
  <w:abstractNum w:abstractNumId="9">
    <w:nsid w:val="15014ACB"/>
    <w:multiLevelType w:val="hybridMultilevel"/>
    <w:lvl w:ilvl="0">
      <w:lvlJc w:val="left"/>
      <w:lvlText w:val="·"/>
      <w:numFmt w:val="bullet"/>
      <w:start w:val="1"/>
    </w:lvl>
  </w:abstractNum>
  <w:abstractNum w:abstractNumId="10">
    <w:nsid w:val="5F5E7FD0"/>
    <w:multiLevelType w:val="hybridMultilevel"/>
    <w:lvl w:ilvl="0">
      <w:lvlJc w:val="left"/>
      <w:lvlText w:val="·"/>
      <w:numFmt w:val="bullet"/>
      <w:start w:val="1"/>
    </w:lvl>
  </w:abstractNum>
  <w:abstractNum w:abstractNumId="11">
    <w:nsid w:val="98A3148"/>
    <w:multiLevelType w:val="hybridMultilevel"/>
    <w:lvl w:ilvl="0">
      <w:lvlJc w:val="left"/>
      <w:lvlText w:val="·"/>
      <w:numFmt w:val="bullet"/>
      <w:start w:val="1"/>
    </w:lvl>
  </w:abstractNum>
  <w:abstractNum w:abstractNumId="12">
    <w:nsid w:val="799D0247"/>
    <w:multiLevelType w:val="hybridMultilevel"/>
    <w:lvl w:ilvl="0">
      <w:lvlJc w:val="left"/>
      <w:lvlText w:val="·"/>
      <w:numFmt w:val="bullet"/>
      <w:start w:val="1"/>
    </w:lvl>
  </w:abstractNum>
  <w:abstractNum w:abstractNumId="13">
    <w:nsid w:val="6B94764"/>
    <w:multiLevelType w:val="hybridMultilevel"/>
    <w:lvl w:ilvl="0">
      <w:lvlJc w:val="left"/>
      <w:lvlText w:val="·"/>
      <w:numFmt w:val="bullet"/>
      <w:start w:val="1"/>
    </w:lvl>
  </w:abstractNum>
  <w:abstractNum w:abstractNumId="14">
    <w:nsid w:val="42C296BD"/>
    <w:multiLevelType w:val="hybridMultilevel"/>
    <w:lvl w:ilvl="0">
      <w:lvlJc w:val="left"/>
      <w:lvlText w:val="·"/>
      <w:numFmt w:val="bullet"/>
      <w:start w:val="1"/>
    </w:lvl>
  </w:abstractNum>
  <w:abstractNum w:abstractNumId="15">
    <w:nsid w:val="168E121F"/>
    <w:multiLevelType w:val="hybridMultilevel"/>
    <w:lvl w:ilvl="0">
      <w:lvlJc w:val="left"/>
      <w:lvlText w:val="·"/>
      <w:numFmt w:val="bullet"/>
      <w:start w:val="1"/>
    </w:lvl>
  </w:abstractNum>
  <w:abstractNum w:abstractNumId="16">
    <w:nsid w:val="1EBA5D23"/>
    <w:multiLevelType w:val="hybridMultilevel"/>
    <w:lvl w:ilvl="0">
      <w:lvlJc w:val="left"/>
      <w:lvlText w:val="·"/>
      <w:numFmt w:val="bullet"/>
      <w:start w:val="1"/>
    </w:lvl>
  </w:abstractNum>
  <w:abstractNum w:abstractNumId="17">
    <w:nsid w:val="661E3F1E"/>
    <w:multiLevelType w:val="hybridMultilevel"/>
    <w:lvl w:ilvl="0">
      <w:lvlJc w:val="left"/>
      <w:lvlText w:val="·"/>
      <w:numFmt w:val="bullet"/>
      <w:start w:val="1"/>
    </w:lvl>
  </w:abstractNum>
  <w:abstractNum w:abstractNumId="18">
    <w:nsid w:val="5DC79EA8"/>
    <w:multiLevelType w:val="hybridMultilevel"/>
    <w:lvl w:ilvl="0">
      <w:lvlJc w:val="left"/>
      <w:lvlText w:val="·"/>
      <w:numFmt w:val="bullet"/>
      <w:start w:val="1"/>
    </w:lvl>
  </w:abstractNum>
  <w:abstractNum w:abstractNumId="19">
    <w:nsid w:val="540A471C"/>
    <w:multiLevelType w:val="hybridMultilevel"/>
    <w:lvl w:ilvl="0">
      <w:lvlJc w:val="left"/>
      <w:lvlText w:val="·"/>
      <w:numFmt w:val="bullet"/>
      <w:start w:val="1"/>
    </w:lvl>
  </w:abstractNum>
  <w:abstractNum w:abstractNumId="20">
    <w:nsid w:val="7BD3EE7B"/>
    <w:multiLevelType w:val="hybridMultilevel"/>
    <w:lvl w:ilvl="0">
      <w:lvlJc w:val="left"/>
      <w:lvlText w:val="·"/>
      <w:numFmt w:val="bullet"/>
      <w:start w:val="1"/>
    </w:lvl>
  </w:abstractNum>
  <w:abstractNum w:abstractNumId="21">
    <w:nsid w:val="51D9C564"/>
    <w:multiLevelType w:val="hybridMultilevel"/>
    <w:lvl w:ilvl="0">
      <w:lvlJc w:val="left"/>
      <w:lvlText w:val="·"/>
      <w:numFmt w:val="bullet"/>
      <w:start w:val="1"/>
    </w:lvl>
  </w:abstractNum>
  <w:abstractNum w:abstractNumId="22">
    <w:nsid w:val="613EFDC5"/>
    <w:multiLevelType w:val="hybridMultilevel"/>
    <w:lvl w:ilvl="0">
      <w:lvlJc w:val="left"/>
      <w:lvlText w:val="·"/>
      <w:numFmt w:val="bullet"/>
      <w:start w:val="1"/>
    </w:lvl>
  </w:abstractNum>
  <w:abstractNum w:abstractNumId="23">
    <w:nsid w:val="BF72B14"/>
    <w:multiLevelType w:val="hybridMultilevel"/>
    <w:lvl w:ilvl="0">
      <w:lvlJc w:val="left"/>
      <w:lvlText w:val="·"/>
      <w:numFmt w:val="bullet"/>
      <w:start w:val="1"/>
    </w:lvl>
  </w:abstractNum>
  <w:abstractNum w:abstractNumId="24">
    <w:nsid w:val="11447B73"/>
    <w:multiLevelType w:val="hybridMultilevel"/>
    <w:lvl w:ilvl="0">
      <w:lvlJc w:val="left"/>
      <w:lvlText w:val="·"/>
      <w:numFmt w:val="bullet"/>
      <w:start w:val="1"/>
    </w:lvl>
  </w:abstractNum>
  <w:abstractNum w:abstractNumId="25">
    <w:nsid w:val="42963E5A"/>
    <w:multiLevelType w:val="hybridMultilevel"/>
    <w:lvl w:ilvl="0">
      <w:lvlJc w:val="left"/>
      <w:lvlText w:val="·"/>
      <w:numFmt w:val="bullet"/>
      <w:start w:val="1"/>
    </w:lvl>
  </w:abstractNum>
  <w:abstractNum w:abstractNumId="26">
    <w:nsid w:val="A0382C5"/>
    <w:multiLevelType w:val="hybridMultilevel"/>
    <w:lvl w:ilvl="0">
      <w:lvlJc w:val="left"/>
      <w:lvlText w:val="·"/>
      <w:numFmt w:val="bullet"/>
      <w:start w:val="1"/>
    </w:lvl>
  </w:abstractNum>
  <w:abstractNum w:abstractNumId="27">
    <w:nsid w:val="8F2B15E"/>
    <w:multiLevelType w:val="hybridMultilevel"/>
    <w:lvl w:ilvl="0">
      <w:lvlJc w:val="left"/>
      <w:lvlText w:val="·"/>
      <w:numFmt w:val="bullet"/>
      <w:start w:val="1"/>
    </w:lvl>
  </w:abstractNum>
  <w:abstractNum w:abstractNumId="28">
    <w:nsid w:val="1A32234B"/>
    <w:multiLevelType w:val="hybridMultilevel"/>
    <w:lvl w:ilvl="0">
      <w:lvlJc w:val="left"/>
      <w:lvlText w:val="·"/>
      <w:numFmt w:val="bullet"/>
      <w:start w:val="1"/>
    </w:lvl>
  </w:abstractNum>
  <w:abstractNum w:abstractNumId="29">
    <w:nsid w:val="3B0FD379"/>
    <w:multiLevelType w:val="hybridMultilevel"/>
    <w:lvl w:ilvl="0">
      <w:lvlJc w:val="left"/>
      <w:lvlText w:val="·"/>
      <w:numFmt w:val="bullet"/>
      <w:start w:val="1"/>
    </w:lvl>
  </w:abstractNum>
  <w:abstractNum w:abstractNumId="30">
    <w:nsid w:val="68EB2F63"/>
    <w:multiLevelType w:val="hybridMultilevel"/>
    <w:lvl w:ilvl="0">
      <w:lvlJc w:val="left"/>
      <w:lvlText w:val="(%1)"/>
      <w:numFmt w:val="lowerLetter"/>
      <w:start w:val="1"/>
    </w:lvl>
    <w:lvl w:ilvl="1">
      <w:lvlJc w:val="left"/>
      <w:lvlText w:val="(%2)"/>
      <w:numFmt w:val="lowerRoman"/>
      <w:start w:val="1"/>
    </w:lvl>
  </w:abstractNum>
  <w:abstractNum w:abstractNumId="31">
    <w:nsid w:val="4962813B"/>
    <w:multiLevelType w:val="hybridMultilevel"/>
    <w:lvl w:ilvl="0">
      <w:lvlJc w:val="left"/>
      <w:lvlText w:val="(%1)"/>
      <w:numFmt w:val="lowerLetter"/>
      <w:start w:val="2"/>
    </w:lvl>
    <w:lvl w:ilvl="1">
      <w:lvlJc w:val="left"/>
      <w:lvlText w:val="(%2)"/>
      <w:numFmt w:val="lowerRoman"/>
      <w:start w:val="1"/>
    </w:lvl>
  </w:abstractNum>
  <w:abstractNum w:abstractNumId="32">
    <w:nsid w:val="60B6DF70"/>
    <w:multiLevelType w:val="hybridMultilevel"/>
    <w:lvl w:ilvl="0">
      <w:lvlJc w:val="left"/>
      <w:lvlText w:val="(%1)"/>
      <w:numFmt w:val="lowerLetter"/>
      <w:start w:val="6"/>
    </w:lvl>
  </w:abstractNum>
  <w:abstractNum w:abstractNumId="33">
    <w:nsid w:val="6A5EE64"/>
    <w:multiLevelType w:val="hybridMultilevel"/>
    <w:lvl w:ilvl="0">
      <w:lvlJc w:val="left"/>
      <w:lvlText w:val="*"/>
      <w:numFmt w:val="bullet"/>
      <w:start w:val="1"/>
    </w:lvl>
  </w:abstractNum>
  <w:abstractNum w:abstractNumId="34">
    <w:nsid w:val="14330624"/>
    <w:multiLevelType w:val="hybridMultilevel"/>
    <w:lvl w:ilvl="0">
      <w:lvlJc w:val="left"/>
      <w:lvlText w:val="["/>
      <w:numFmt w:val="bullet"/>
      <w:start w:val="1"/>
    </w:lvl>
  </w:abstractNum>
  <w:abstractNum w:abstractNumId="35">
    <w:nsid w:val="7FFFCA11"/>
    <w:multiLevelType w:val="hybridMultilevel"/>
    <w:lvl w:ilvl="0">
      <w:lvlJc w:val="left"/>
      <w:lvlText w:val="(%1)"/>
      <w:numFmt w:val="decimal"/>
      <w:start w:val="1"/>
    </w:lvl>
  </w:abstractNum>
  <w:abstractNum w:abstractNumId="36">
    <w:nsid w:val="1A27709E"/>
    <w:multiLevelType w:val="hybridMultilevel"/>
    <w:lvl w:ilvl="0">
      <w:lvlJc w:val="left"/>
      <w:lvlText w:val="(%1)"/>
      <w:numFmt w:val="decimal"/>
      <w:start w:val="2"/>
    </w:lvl>
  </w:abstractNum>
  <w:abstractNum w:abstractNumId="37">
    <w:nsid w:val="71EA1109"/>
    <w:multiLevelType w:val="hybridMultilevel"/>
    <w:lvl w:ilvl="0">
      <w:lvlJc w:val="left"/>
      <w:lvlText w:val="(%1)"/>
      <w:numFmt w:val="lowerLetter"/>
      <w:start w:val="1"/>
    </w:lvl>
    <w:lvl w:ilvl="1">
      <w:lvlJc w:val="left"/>
      <w:lvlText w:val="(%2)"/>
      <w:numFmt w:val="decimal"/>
      <w:start w:val="1"/>
    </w:lvl>
  </w:abstractNum>
  <w:abstractNum w:abstractNumId="38">
    <w:nsid w:val="100F59DC"/>
    <w:multiLevelType w:val="hybridMultilevel"/>
    <w:lvl w:ilvl="0">
      <w:lvlJc w:val="left"/>
      <w:lvlText w:val="(%1)"/>
      <w:numFmt w:val="decimal"/>
      <w:start w:val="10"/>
    </w:lvl>
  </w:abstractNum>
  <w:abstractNum w:abstractNumId="39">
    <w:nsid w:val="7FB7E0AA"/>
    <w:multiLevelType w:val="hybridMultilevel"/>
    <w:lvl w:ilvl="0">
      <w:lvlJc w:val="left"/>
      <w:lvlText w:val="(%1)"/>
      <w:numFmt w:val="decimal"/>
      <w:start w:val="1"/>
    </w:lvl>
  </w:abstractNum>
  <w:abstractNum w:abstractNumId="40">
    <w:nsid w:val="6EB5BD4"/>
    <w:multiLevelType w:val="hybridMultilevel"/>
    <w:lvl w:ilvl="0">
      <w:lvlJc w:val="left"/>
      <w:lvlText w:val="(%1)"/>
      <w:numFmt w:val="lowerLetter"/>
      <w:start w:val="1"/>
    </w:lvl>
  </w:abstractNum>
  <w:abstractNum w:abstractNumId="41">
    <w:nsid w:val="6F6DD9AC"/>
    <w:multiLevelType w:val="hybridMultilevel"/>
    <w:lvl w:ilvl="0">
      <w:lvlJc w:val="left"/>
      <w:lvlText w:val="(%1)"/>
      <w:numFmt w:val="lowerLetter"/>
      <w:start w:val="2"/>
    </w:lvl>
  </w:abstractNum>
  <w:abstractNum w:abstractNumId="42">
    <w:nsid w:val="94211F2"/>
    <w:multiLevelType w:val="hybridMultilevel"/>
    <w:lvl w:ilvl="0">
      <w:lvlJc w:val="left"/>
      <w:lvlText w:val="(%1)"/>
      <w:numFmt w:val="lowerLetter"/>
      <w:start w:val="3"/>
    </w:lvl>
  </w:abstractNum>
  <w:abstractNum w:abstractNumId="43">
    <w:nsid w:val="885E1B"/>
    <w:multiLevelType w:val="hybridMultilevel"/>
    <w:lvl w:ilvl="0">
      <w:lvlJc w:val="left"/>
      <w:lvlText w:val="(%1)"/>
      <w:numFmt w:val="lowerLetter"/>
      <w:start w:val="1"/>
    </w:lvl>
  </w:abstractNum>
  <w:abstractNum w:abstractNumId="44">
    <w:nsid w:val="76272110"/>
    <w:multiLevelType w:val="hybridMultilevel"/>
    <w:lvl w:ilvl="0">
      <w:lvlJc w:val="left"/>
      <w:lvlText w:val="(%1)"/>
      <w:numFmt w:val="lowerLetter"/>
      <w:start w:val="1"/>
    </w:lvl>
  </w:abstractNum>
  <w:abstractNum w:abstractNumId="45">
    <w:nsid w:val="4C04A8AF"/>
    <w:multiLevelType w:val="hybridMultilevel"/>
    <w:lvl w:ilvl="0">
      <w:lvlJc w:val="left"/>
      <w:lvlText w:val="(%1)"/>
      <w:numFmt w:val="lowerLetter"/>
      <w:start w:val="2"/>
    </w:lvl>
  </w:abstractNum>
  <w:abstractNum w:abstractNumId="46">
    <w:nsid w:val="1716703B"/>
    <w:multiLevelType w:val="hybridMultilevel"/>
    <w:lvl w:ilvl="0">
      <w:lvlJc w:val="left"/>
      <w:lvlText w:val="(%1)"/>
      <w:numFmt w:val="lowerLetter"/>
      <w:start w:val="1"/>
    </w:lvl>
  </w:abstractNum>
  <w:abstractNum w:abstractNumId="47">
    <w:nsid w:val="14E17E33"/>
    <w:multiLevelType w:val="hybridMultilevel"/>
    <w:lvl w:ilvl="0">
      <w:lvlJc w:val="left"/>
      <w:lvlText w:val="(%1)"/>
      <w:numFmt w:val="lowerRoman"/>
      <w:start w:val="1"/>
    </w:lvl>
  </w:abstractNum>
  <w:abstractNum w:abstractNumId="48">
    <w:nsid w:val="3222E7CD"/>
    <w:multiLevelType w:val="hybridMultilevel"/>
    <w:lvl w:ilvl="0">
      <w:lvlJc w:val="left"/>
      <w:lvlText w:val="(%1)"/>
      <w:numFmt w:val="lowerLetter"/>
      <w:start w:val="1"/>
    </w:lvl>
    <w:lvl w:ilvl="1">
      <w:lvlJc w:val="left"/>
      <w:lvlText w:val="(%2)"/>
      <w:numFmt w:val="decimal"/>
      <w:start w:val="1"/>
    </w:lvl>
  </w:abstractNum>
  <w:abstractNum w:abstractNumId="49">
    <w:nsid w:val="74DE0EE3"/>
    <w:multiLevelType w:val="hybridMultilevel"/>
    <w:lvl w:ilvl="0">
      <w:lvlJc w:val="left"/>
      <w:lvlText w:val="(%1)"/>
      <w:numFmt w:val="lowerLetter"/>
      <w:start w:val="2"/>
    </w:lvl>
  </w:abstractNum>
  <w:abstractNum w:abstractNumId="50">
    <w:nsid w:val="68EBC550"/>
    <w:multiLevelType w:val="hybridMultilevel"/>
    <w:lvl w:ilvl="0">
      <w:lvlJc w:val="left"/>
      <w:lvlText w:val="(%1)"/>
      <w:numFmt w:val="lowerLetter"/>
      <w:start w:val="1"/>
    </w:lvl>
  </w:abstractNum>
  <w:abstractNum w:abstractNumId="51">
    <w:nsid w:val="2DF6D648"/>
    <w:multiLevelType w:val="hybridMultilevel"/>
    <w:lvl w:ilvl="0">
      <w:lvlJc w:val="left"/>
      <w:lvlText w:val="(%1)"/>
      <w:numFmt w:val="lowerLetter"/>
      <w:start w:val="2"/>
    </w:lvl>
  </w:abstractNum>
  <w:abstractNum w:abstractNumId="52">
    <w:nsid w:val="46B7D447"/>
    <w:multiLevelType w:val="hybridMultilevel"/>
    <w:lvl w:ilvl="0">
      <w:lvlJc w:val="left"/>
      <w:lvlText w:val="(%1)"/>
      <w:numFmt w:val="lowerLetter"/>
      <w:start w:val="1"/>
    </w:lvl>
  </w:abstractNum>
  <w:abstractNum w:abstractNumId="53">
    <w:nsid w:val="4A2AC315"/>
    <w:multiLevelType w:val="hybridMultilevel"/>
    <w:lvl w:ilvl="0">
      <w:lvlJc w:val="left"/>
      <w:lvlText w:val="(%1)"/>
      <w:numFmt w:val="lowerLetter"/>
      <w:start w:val="1"/>
    </w:lvl>
  </w:abstractNum>
  <w:abstractNum w:abstractNumId="54">
    <w:nsid w:val="39EE015C"/>
    <w:multiLevelType w:val="hybridMultilevel"/>
    <w:lvl w:ilvl="0">
      <w:lvlJc w:val="left"/>
      <w:lvlText w:val="(%1)"/>
      <w:numFmt w:val="lowerLetter"/>
      <w:start w:val="1"/>
    </w:lvl>
    <w:lvl w:ilvl="1">
      <w:lvlJc w:val="left"/>
      <w:lvlText w:val="(%2)"/>
      <w:numFmt w:val="decimal"/>
      <w:start w:val="1"/>
    </w:lvl>
  </w:abstractNum>
  <w:abstractNum w:abstractNumId="55">
    <w:nsid w:val="57FC4FBB"/>
    <w:multiLevelType w:val="hybridMultilevel"/>
    <w:lvl w:ilvl="0">
      <w:lvlJc w:val="left"/>
      <w:lvlText w:val="(%1)"/>
      <w:numFmt w:val="lowerLetter"/>
      <w:start w:val="3"/>
    </w:lvl>
  </w:abstractNum>
  <w:abstractNum w:abstractNumId="56">
    <w:nsid w:val="CC1016F"/>
    <w:multiLevelType w:val="hybridMultilevel"/>
    <w:lvl w:ilvl="0">
      <w:lvlJc w:val="left"/>
      <w:lvlText w:val="(%1)"/>
      <w:numFmt w:val="lowerLetter"/>
      <w:start w:val="1"/>
    </w:lvl>
  </w:abstractNum>
  <w:abstractNum w:abstractNumId="57">
    <w:nsid w:val="43F18422"/>
    <w:multiLevelType w:val="hybridMultilevel"/>
    <w:lvl w:ilvl="0">
      <w:lvlJc w:val="left"/>
      <w:lvlText w:val="(%1)"/>
      <w:numFmt w:val="lowerLetter"/>
      <w:start w:val="4"/>
    </w:lvl>
  </w:abstractNum>
  <w:abstractNum w:abstractNumId="58">
    <w:nsid w:val="60EF0119"/>
    <w:multiLevelType w:val="hybridMultilevel"/>
    <w:lvl w:ilvl="0">
      <w:lvlJc w:val="left"/>
      <w:lvlText w:val="(%1)"/>
      <w:numFmt w:val="lowerLetter"/>
      <w:start w:val="1"/>
    </w:lvl>
  </w:abstractNum>
  <w:abstractNum w:abstractNumId="59">
    <w:nsid w:val="26F324B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0">
    <w:nsid w:val="7F01579B"/>
    <w:multiLevelType w:val="hybridMultilevel"/>
    <w:lvl w:ilvl="0">
      <w:lvlJc w:val="left"/>
      <w:lvlText w:val="%1"/>
      <w:numFmt w:val="decimal"/>
      <w:start w:val="1"/>
    </w:lvl>
    <w:lvl w:ilvl="1">
      <w:lvlJc w:val="left"/>
      <w:lvlText w:val="(%2)"/>
      <w:numFmt w:val="lowerRoman"/>
      <w:start w:val="2"/>
    </w:lvl>
  </w:abstractNum>
  <w:abstractNum w:abstractNumId="61">
    <w:nsid w:val="49DA307D"/>
    <w:multiLevelType w:val="hybridMultilevel"/>
    <w:lvl w:ilvl="0">
      <w:lvlJc w:val="left"/>
      <w:lvlText w:val="(%1)"/>
      <w:numFmt w:val="decimal"/>
      <w:start w:val="2"/>
    </w:lvl>
    <w:lvl w:ilvl="1">
      <w:lvlJc w:val="left"/>
      <w:lvlText w:val="%2"/>
      <w:numFmt w:val="lowerRoman"/>
      <w:start w:val="1"/>
    </w:lvl>
  </w:abstractNum>
  <w:abstractNum w:abstractNumId="62">
    <w:nsid w:val="7055A5F5"/>
    <w:multiLevelType w:val="hybridMultilevel"/>
    <w:lvl w:ilvl="0">
      <w:lvlJc w:val="left"/>
      <w:lvlText w:val="(%1)"/>
      <w:numFmt w:val="lowerLetter"/>
      <w:start w:val="1"/>
    </w:lvl>
  </w:abstractNum>
  <w:abstractNum w:abstractNumId="63">
    <w:nsid w:val="5FB8370B"/>
    <w:multiLevelType w:val="hybridMultilevel"/>
    <w:lvl w:ilvl="0">
      <w:lvlJc w:val="left"/>
      <w:lvlText w:val="(%1)"/>
      <w:numFmt w:val="lowerLetter"/>
      <w:start w:val="5"/>
    </w:lvl>
  </w:abstractNum>
  <w:abstractNum w:abstractNumId="64">
    <w:nsid w:val="50801EE1"/>
    <w:multiLevelType w:val="hybridMultilevel"/>
    <w:lvl w:ilvl="0">
      <w:lvlJc w:val="left"/>
      <w:lvlText w:val="(%1)"/>
      <w:numFmt w:val="lowerLetter"/>
      <w:start w:val="1"/>
    </w:lvl>
  </w:abstractNum>
  <w:abstractNum w:abstractNumId="65">
    <w:nsid w:val="488AC1A"/>
    <w:multiLevelType w:val="hybridMultilevel"/>
    <w:lvl w:ilvl="0">
      <w:lvlJc w:val="left"/>
      <w:lvlText w:val="(%1)"/>
      <w:numFmt w:val="lowerLetter"/>
      <w:start w:val="1"/>
    </w:lvl>
  </w:abstractNum>
  <w:abstractNum w:abstractNumId="66">
    <w:nsid w:val="5FB8011C"/>
    <w:multiLevelType w:val="hybridMultilevel"/>
    <w:lvl w:ilvl="0">
      <w:lvlJc w:val="left"/>
      <w:lvlText w:val="(%1)"/>
      <w:numFmt w:val="lowerLetter"/>
      <w:start w:val="1"/>
    </w:lvl>
    <w:lvl w:ilvl="1">
      <w:lvlJc w:val="left"/>
      <w:lvlText w:val="(%2)"/>
      <w:numFmt w:val="decimal"/>
      <w:start w:val="1"/>
    </w:lvl>
  </w:abstractNum>
  <w:abstractNum w:abstractNumId="67">
    <w:nsid w:val="6AA78F7F"/>
    <w:multiLevelType w:val="hybridMultilevel"/>
    <w:lvl w:ilvl="0">
      <w:lvlJc w:val="left"/>
      <w:lvlText w:val="(%1)"/>
      <w:numFmt w:val="lowerLetter"/>
      <w:start w:val="1"/>
    </w:lvl>
  </w:abstractNum>
  <w:abstractNum w:abstractNumId="68">
    <w:nsid w:val="7672BD23"/>
    <w:multiLevelType w:val="hybridMultilevel"/>
    <w:lvl w:ilvl="0">
      <w:lvlJc w:val="left"/>
      <w:lvlText w:val="(%1)"/>
      <w:numFmt w:val="lowerLetter"/>
      <w:start w:val="2"/>
    </w:lvl>
  </w:abstractNum>
  <w:abstractNum w:abstractNumId="69">
    <w:nsid w:val="6FC75AF8"/>
    <w:multiLevelType w:val="hybridMultilevel"/>
    <w:lvl w:ilvl="0">
      <w:lvlJc w:val="left"/>
      <w:lvlText w:val="(%1)"/>
      <w:numFmt w:val="lowerLetter"/>
      <w:start w:val="1"/>
    </w:lvl>
  </w:abstractNum>
  <w:abstractNum w:abstractNumId="70">
    <w:nsid w:val="6A5F7029"/>
    <w:multiLevelType w:val="hybridMultilevel"/>
    <w:lvl w:ilvl="0">
      <w:lvlJc w:val="left"/>
      <w:lvlText w:val="(%1)"/>
      <w:numFmt w:val="lowerLetter"/>
      <w:start w:val="1"/>
    </w:lvl>
  </w:abstractNum>
  <w:abstractNum w:abstractNumId="71">
    <w:nsid w:val="7D5E18F8"/>
    <w:multiLevelType w:val="hybridMultilevel"/>
    <w:lvl w:ilvl="0">
      <w:lvlJc w:val="left"/>
      <w:lvlText w:val="(%1)"/>
      <w:numFmt w:val="lowerLetter"/>
      <w:start w:val="2"/>
    </w:lvl>
  </w:abstractNum>
  <w:abstractNum w:abstractNumId="72">
    <w:nsid w:val="5F3534A4"/>
    <w:multiLevelType w:val="hybridMultilevel"/>
    <w:lvl w:ilvl="0">
      <w:lvlJc w:val="left"/>
      <w:lvlText w:val="(%1)"/>
      <w:numFmt w:val="lowerLetter"/>
      <w:start w:val="1"/>
    </w:lvl>
  </w:abstractNum>
  <w:abstractNum w:abstractNumId="73">
    <w:nsid w:val="73A1821B"/>
    <w:multiLevelType w:val="hybridMultilevel"/>
    <w:lvl w:ilvl="0">
      <w:lvlJc w:val="left"/>
      <w:lvlText w:val="(%1)"/>
      <w:numFmt w:val="lowerLetter"/>
      <w:start w:val="2"/>
    </w:lvl>
  </w:abstractNum>
  <w:abstractNum w:abstractNumId="74">
    <w:nsid w:val="7DE67713"/>
    <w:multiLevelType w:val="hybridMultilevel"/>
    <w:lvl w:ilvl="0">
      <w:lvlJc w:val="left"/>
      <w:lvlText w:val="(%1)"/>
      <w:numFmt w:val="lowerLetter"/>
      <w:start w:val="1"/>
    </w:lvl>
  </w:abstractNum>
  <w:abstractNum w:abstractNumId="75">
    <w:nsid w:val="555C55B5"/>
    <w:multiLevelType w:val="hybridMultilevel"/>
    <w:lvl w:ilvl="0">
      <w:lvlJc w:val="left"/>
      <w:lvlText w:val="(%1)"/>
      <w:numFmt w:val="lowerLetter"/>
      <w:start w:val="2"/>
    </w:lvl>
  </w:abstractNum>
  <w:abstractNum w:abstractNumId="76">
    <w:nsid w:val="3FA62ACA"/>
    <w:multiLevelType w:val="hybridMultilevel"/>
    <w:lvl w:ilvl="0">
      <w:lvlJc w:val="left"/>
      <w:lvlText w:val="(%1)"/>
      <w:numFmt w:val="lowerLetter"/>
      <w:start w:val="1"/>
    </w:lvl>
  </w:abstractNum>
  <w:abstractNum w:abstractNumId="77">
    <w:nsid w:val="14FCE74E"/>
    <w:multiLevelType w:val="hybridMultilevel"/>
    <w:lvl w:ilvl="0">
      <w:lvlJc w:val="left"/>
      <w:lvlText w:val="(%1)"/>
      <w:numFmt w:val="lowerLetter"/>
      <w:start w:val="1"/>
    </w:lvl>
  </w:abstractNum>
  <w:abstractNum w:abstractNumId="78">
    <w:nsid w:val="6A3DD3E8"/>
    <w:multiLevelType w:val="hybridMultilevel"/>
    <w:lvl w:ilvl="0">
      <w:lvlJc w:val="left"/>
      <w:lvlText w:val="["/>
      <w:numFmt w:val="bullet"/>
      <w:start w:val="1"/>
    </w:lvl>
  </w:abstractNum>
  <w:abstractNum w:abstractNumId="79">
    <w:nsid w:val="71C91298"/>
    <w:multiLevelType w:val="hybridMultilevel"/>
    <w:lvl w:ilvl="0">
      <w:lvlJc w:val="left"/>
      <w:lvlText w:val="(%1)"/>
      <w:numFmt w:val="decimal"/>
      <w:start w:val="1"/>
    </w:lvl>
  </w:abstractNum>
  <w:abstractNum w:abstractNumId="80">
    <w:nsid w:val="9DAF632"/>
    <w:multiLevelType w:val="hybridMultilevel"/>
    <w:lvl w:ilvl="0">
      <w:lvlJc w:val="left"/>
      <w:lvlText w:val="(%1)"/>
      <w:numFmt w:val="decimal"/>
      <w:start w:val="2"/>
    </w:lvl>
  </w:abstractNum>
  <w:abstractNum w:abstractNumId="81">
    <w:nsid w:val="53299938"/>
    <w:multiLevelType w:val="hybridMultilevel"/>
    <w:lvl w:ilvl="0">
      <w:lvlJc w:val="left"/>
      <w:lvlText w:val="(%1)"/>
      <w:numFmt w:val="lowerLetter"/>
      <w:start w:val="1"/>
    </w:lvl>
    <w:lvl w:ilvl="1">
      <w:lvlJc w:val="left"/>
      <w:lvlText w:val="(%2)"/>
      <w:numFmt w:val="decimal"/>
      <w:start w:val="1"/>
    </w:lvl>
  </w:abstractNum>
  <w:abstractNum w:abstractNumId="82">
    <w:nsid w:val="1FBFE8E0"/>
    <w:multiLevelType w:val="hybridMultilevel"/>
    <w:lvl w:ilvl="0">
      <w:lvlJc w:val="left"/>
      <w:lvlText w:val="(%1)"/>
      <w:numFmt w:val="decimal"/>
      <w:start w:val="8"/>
    </w:lvl>
  </w:abstractNum>
  <w:abstractNum w:abstractNumId="83">
    <w:nsid w:val="5092CA79"/>
    <w:multiLevelType w:val="hybridMultilevel"/>
    <w:lvl w:ilvl="0">
      <w:lvlJc w:val="left"/>
      <w:lvlText w:val="(%1)"/>
      <w:numFmt w:val="decimal"/>
      <w:start w:val="1"/>
    </w:lvl>
  </w:abstractNum>
  <w:abstractNum w:abstractNumId="84">
    <w:nsid w:val="1D545C4D"/>
    <w:multiLevelType w:val="hybridMultilevel"/>
    <w:lvl w:ilvl="0">
      <w:lvlJc w:val="left"/>
      <w:lvlText w:val="(%1)"/>
      <w:numFmt w:val="decimal"/>
      <w:start w:val="2"/>
    </w:lvl>
  </w:abstractNum>
  <w:abstractNum w:abstractNumId="85">
    <w:nsid w:val="59ADEA3D"/>
    <w:multiLevelType w:val="hybridMultilevel"/>
    <w:lvl w:ilvl="0">
      <w:lvlJc w:val="left"/>
      <w:lvlText w:val="(%1)"/>
      <w:numFmt w:val="lowerLetter"/>
      <w:start w:val="1"/>
    </w:lvl>
  </w:abstractNum>
  <w:abstractNum w:abstractNumId="86">
    <w:nsid w:val="288F1A34"/>
    <w:multiLevelType w:val="hybridMultilevel"/>
    <w:lvl w:ilvl="0">
      <w:lvlJc w:val="left"/>
      <w:lvlText w:val="(%1)"/>
      <w:numFmt w:val="lowerLetter"/>
      <w:start w:val="1"/>
    </w:lvl>
  </w:abstractNum>
  <w:abstractNum w:abstractNumId="87">
    <w:nsid w:val="2A155DBC"/>
    <w:multiLevelType w:val="hybridMultilevel"/>
    <w:lvl w:ilvl="0">
      <w:lvlJc w:val="left"/>
      <w:lvlText w:val="(%1)"/>
      <w:numFmt w:val="lowerLetter"/>
      <w:start w:val="3"/>
    </w:lvl>
  </w:abstractNum>
  <w:abstractNum w:abstractNumId="88">
    <w:nsid w:val="1D9F6E5F"/>
    <w:multiLevelType w:val="hybridMultilevel"/>
    <w:lvl w:ilvl="0">
      <w:lvlJc w:val="left"/>
      <w:lvlText w:val="(%1)"/>
      <w:numFmt w:val="lowerLetter"/>
      <w:start w:val="1"/>
    </w:lvl>
  </w:abstractNum>
  <w:abstractNum w:abstractNumId="89">
    <w:nsid w:val="97E1B4E"/>
    <w:multiLevelType w:val="hybridMultilevel"/>
    <w:lvl w:ilvl="0">
      <w:lvlJc w:val="left"/>
      <w:lvlText w:val="(%1)"/>
      <w:numFmt w:val="lowerLetter"/>
      <w:start w:val="2"/>
    </w:lvl>
  </w:abstractNum>
  <w:abstractNum w:abstractNumId="90">
    <w:nsid w:val="51088277"/>
    <w:multiLevelType w:val="hybridMultilevel"/>
    <w:lvl w:ilvl="0">
      <w:lvlJc w:val="left"/>
      <w:lvlText w:val="(%1)"/>
      <w:numFmt w:val="lowerLetter"/>
      <w:start w:val="1"/>
    </w:lvl>
  </w:abstractNum>
  <w:abstractNum w:abstractNumId="91">
    <w:nsid w:val="1CA0C5FA"/>
    <w:multiLevelType w:val="hybridMultilevel"/>
    <w:lvl w:ilvl="0">
      <w:lvlJc w:val="left"/>
      <w:lvlText w:val="(%1)"/>
      <w:numFmt w:val="lowerRoman"/>
      <w:start w:val="1"/>
    </w:lvl>
  </w:abstractNum>
  <w:abstractNum w:abstractNumId="92">
    <w:nsid w:val="53584BCB"/>
    <w:multiLevelType w:val="hybridMultilevel"/>
    <w:lvl w:ilvl="0">
      <w:lvlJc w:val="left"/>
      <w:lvlText w:val="(%1)"/>
      <w:numFmt w:val="lowerLetter"/>
      <w:start w:val="1"/>
    </w:lvl>
    <w:lvl w:ilvl="1">
      <w:lvlJc w:val="left"/>
      <w:lvlText w:val="(%2)"/>
      <w:numFmt w:val="decimal"/>
      <w:start w:val="1"/>
    </w:lvl>
  </w:abstractNum>
  <w:abstractNum w:abstractNumId="93">
    <w:nsid w:val="415E286C"/>
    <w:multiLevelType w:val="hybridMultilevel"/>
    <w:lvl w:ilvl="0">
      <w:lvlJc w:val="left"/>
      <w:lvlText w:val="%1"/>
      <w:numFmt w:val="lowerLetter"/>
      <w:start w:val="1"/>
    </w:lvl>
    <w:lvl w:ilvl="1">
      <w:lvlJc w:val="left"/>
      <w:lvlText w:val="(%2)"/>
      <w:numFmt w:val="decimal"/>
      <w:start w:val="2"/>
    </w:lvl>
  </w:abstractNum>
  <w:abstractNum w:abstractNumId="94">
    <w:nsid w:val="7C58FD05"/>
    <w:multiLevelType w:val="hybridMultilevel"/>
    <w:lvl w:ilvl="0">
      <w:lvlJc w:val="left"/>
      <w:lvlText w:val="(%1)"/>
      <w:numFmt w:val="lowerLetter"/>
      <w:start w:val="2"/>
    </w:lvl>
    <w:lvl w:ilvl="1">
      <w:lvlJc w:val="left"/>
      <w:lvlText w:val="%2"/>
      <w:numFmt w:val="decimal"/>
      <w:start w:val="1"/>
    </w:lvl>
  </w:abstractNum>
  <w:abstractNum w:abstractNumId="95">
    <w:nsid w:val="23D86AAC"/>
    <w:multiLevelType w:val="hybridMultilevel"/>
    <w:lvl w:ilvl="0">
      <w:lvlJc w:val="left"/>
      <w:lvlText w:val="(%1)"/>
      <w:numFmt w:val="lowerLetter"/>
      <w:start w:val="1"/>
    </w:lvl>
  </w:abstractNum>
  <w:abstractNum w:abstractNumId="96">
    <w:nsid w:val="45E6D486"/>
    <w:multiLevelType w:val="hybridMultilevel"/>
    <w:lvl w:ilvl="0">
      <w:lvlJc w:val="left"/>
      <w:lvlText w:val="(%1)"/>
      <w:numFmt w:val="lowerLetter"/>
      <w:start w:val="1"/>
    </w:lvl>
  </w:abstractNum>
  <w:abstractNum w:abstractNumId="97">
    <w:nsid w:val="5C10FE21"/>
    <w:multiLevelType w:val="hybridMultilevel"/>
    <w:lvl w:ilvl="0">
      <w:lvlJc w:val="left"/>
      <w:lvlText w:val="(%1)"/>
      <w:numFmt w:val="lowerLetter"/>
      <w:start w:val="1"/>
    </w:lvl>
  </w:abstractNum>
  <w:abstractNum w:abstractNumId="98">
    <w:nsid w:val="E7FFA2B"/>
    <w:multiLevelType w:val="hybridMultilevel"/>
    <w:lvl w:ilvl="0">
      <w:lvlJc w:val="left"/>
      <w:lvlText w:val="(%1)"/>
      <w:numFmt w:val="lowerLetter"/>
      <w:start w:val="1"/>
    </w:lvl>
    <w:lvl w:ilvl="1">
      <w:lvlJc w:val="left"/>
      <w:lvlText w:val="(%2)"/>
      <w:numFmt w:val="decimal"/>
      <w:start w:val="1"/>
    </w:lvl>
  </w:abstractNum>
  <w:abstractNum w:abstractNumId="99">
    <w:nsid w:val="3C5991AA"/>
    <w:multiLevelType w:val="hybridMultilevel"/>
    <w:lvl w:ilvl="0">
      <w:lvlJc w:val="left"/>
      <w:lvlText w:val="%1"/>
      <w:numFmt w:val="lowerLetter"/>
      <w:start w:val="1"/>
    </w:lvl>
    <w:lvl w:ilvl="1">
      <w:lvlJc w:val="left"/>
      <w:lvlText w:val="(%2)"/>
      <w:numFmt w:val="decimal"/>
      <w:start w:val="5"/>
    </w:lvl>
  </w:abstractNum>
  <w:abstractNum w:abstractNumId="100">
    <w:nsid w:val="4BD8591A"/>
    <w:multiLevelType w:val="hybridMultilevel"/>
    <w:lvl w:ilvl="0">
      <w:lvlJc w:val="left"/>
      <w:lvlText w:val="(%1)"/>
      <w:numFmt w:val="lowerLetter"/>
      <w:start w:val="2"/>
    </w:lvl>
    <w:lvl w:ilvl="1">
      <w:lvlJc w:val="left"/>
      <w:lvlText w:val="%2"/>
      <w:numFmt w:val="decimal"/>
      <w:start w:val="1"/>
    </w:lvl>
  </w:abstractNum>
  <w:abstractNum w:abstractNumId="101">
    <w:nsid w:val="78DF6A55"/>
    <w:multiLevelType w:val="hybridMultilevel"/>
    <w:lvl w:ilvl="0">
      <w:lvlJc w:val="left"/>
      <w:lvlText w:val="(%1)"/>
      <w:numFmt w:val="lowerLetter"/>
      <w:start w:val="1"/>
    </w:lvl>
  </w:abstractNum>
  <w:abstractNum w:abstractNumId="102">
    <w:nsid w:val="39B7AAA2"/>
    <w:multiLevelType w:val="hybridMultilevel"/>
    <w:lvl w:ilvl="0">
      <w:lvlJc w:val="left"/>
      <w:lvlText w:val="(%1)"/>
      <w:numFmt w:val="lowerLetter"/>
      <w:start w:val="1"/>
    </w:lvl>
  </w:abstractNum>
  <w:abstractNum w:abstractNumId="103">
    <w:nsid w:val="2B0D8DB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04">
    <w:nsid w:val="6C80EC70"/>
    <w:multiLevelType w:val="hybridMultilevel"/>
    <w:lvl w:ilvl="0">
      <w:lvlJc w:val="left"/>
      <w:lvlText w:val="(%1)"/>
      <w:numFmt w:val="lowerLetter"/>
      <w:start w:val="1"/>
    </w:lvl>
  </w:abstractNum>
  <w:abstractNum w:abstractNumId="105">
    <w:nsid w:val="379E21B5"/>
    <w:multiLevelType w:val="hybridMultilevel"/>
    <w:lvl w:ilvl="0">
      <w:lvlJc w:val="left"/>
      <w:lvlText w:val="(%1)"/>
      <w:numFmt w:val="lowerLetter"/>
      <w:start w:val="1"/>
    </w:lvl>
  </w:abstractNum>
  <w:abstractNum w:abstractNumId="106">
    <w:nsid w:val="69E373"/>
    <w:multiLevelType w:val="hybridMultilevel"/>
    <w:lvl w:ilvl="0">
      <w:lvlJc w:val="left"/>
      <w:lvlText w:val="(%1)"/>
      <w:numFmt w:val="lowerLetter"/>
      <w:start w:val="1"/>
    </w:lvl>
  </w:abstractNum>
  <w:abstractNum w:abstractNumId="107">
    <w:nsid w:val="2C27173B"/>
    <w:multiLevelType w:val="hybridMultilevel"/>
    <w:lvl w:ilvl="0">
      <w:lvlJc w:val="left"/>
      <w:lvlText w:val="(%1)"/>
      <w:numFmt w:val="lowerLetter"/>
      <w:start w:val="1"/>
    </w:lvl>
    <w:lvl w:ilvl="1">
      <w:lvlJc w:val="left"/>
      <w:lvlText w:val="(%2)"/>
      <w:numFmt w:val="decimal"/>
      <w:start w:val="1"/>
    </w:lvl>
  </w:abstractNum>
  <w:abstractNum w:abstractNumId="108">
    <w:nsid w:val="4C9B0904"/>
    <w:multiLevelType w:val="hybridMultilevel"/>
    <w:lvl w:ilvl="0">
      <w:lvlJc w:val="left"/>
      <w:lvlText w:val="%1"/>
      <w:numFmt w:val="lowerLetter"/>
      <w:start w:val="1"/>
    </w:lvl>
    <w:lvl w:ilvl="1">
      <w:lvlJc w:val="left"/>
      <w:lvlText w:val="(%2)"/>
      <w:numFmt w:val="decimal"/>
      <w:start w:val="3"/>
    </w:lvl>
  </w:abstractNum>
  <w:abstractNum w:abstractNumId="109">
    <w:nsid w:val="6AA7B75C"/>
    <w:multiLevelType w:val="hybridMultilevel"/>
    <w:lvl w:ilvl="0">
      <w:lvlJc w:val="left"/>
      <w:lvlText w:val="(%1)"/>
      <w:numFmt w:val="lowerLetter"/>
      <w:start w:val="3"/>
    </w:lvl>
    <w:lvl w:ilvl="1">
      <w:lvlJc w:val="left"/>
      <w:lvlText w:val="%2"/>
      <w:numFmt w:val="decimal"/>
      <w:start w:val="1"/>
    </w:lvl>
  </w:abstractNum>
  <w:abstractNum w:abstractNumId="110">
    <w:nsid w:val="1DF029D3"/>
    <w:multiLevelType w:val="hybridMultilevel"/>
    <w:lvl w:ilvl="0">
      <w:lvlJc w:val="left"/>
      <w:lvlText w:val="(%1)"/>
      <w:numFmt w:val="lowerLetter"/>
      <w:start w:val="1"/>
    </w:lvl>
  </w:abstractNum>
  <w:abstractNum w:abstractNumId="111">
    <w:nsid w:val="5675FF36"/>
    <w:multiLevelType w:val="hybridMultilevel"/>
    <w:lvl w:ilvl="0">
      <w:lvlJc w:val="left"/>
      <w:lvlText w:val="(%1)"/>
      <w:numFmt w:val="lowerLetter"/>
      <w:start w:val="3"/>
    </w:lvl>
  </w:abstractNum>
  <w:abstractNum w:abstractNumId="112">
    <w:nsid w:val="3DD15094"/>
    <w:multiLevelType w:val="hybridMultilevel"/>
    <w:lvl w:ilvl="0">
      <w:lvlJc w:val="left"/>
      <w:lvlText w:val="(%1)"/>
      <w:numFmt w:val="lowerLetter"/>
      <w:start w:val="1"/>
    </w:lvl>
  </w:abstractNum>
  <w:abstractNum w:abstractNumId="113">
    <w:nsid w:val="3DB012B3"/>
    <w:multiLevelType w:val="hybridMultilevel"/>
    <w:lvl w:ilvl="0">
      <w:lvlJc w:val="left"/>
      <w:lvlText w:val="(%1)"/>
      <w:numFmt w:val="lowerLetter"/>
      <w:start w:val="1"/>
    </w:lvl>
  </w:abstractNum>
  <w:abstractNum w:abstractNumId="114">
    <w:nsid w:val="2708C9AF"/>
    <w:multiLevelType w:val="hybridMultilevel"/>
    <w:lvl w:ilvl="0">
      <w:lvlJc w:val="left"/>
      <w:lvlText w:val="(%1)"/>
      <w:numFmt w:val="lowerLetter"/>
      <w:start w:val="1"/>
    </w:lvl>
  </w:abstractNum>
  <w:abstractNum w:abstractNumId="115">
    <w:nsid w:val="5B25ACE2"/>
    <w:multiLevelType w:val="hybridMultilevel"/>
    <w:lvl w:ilvl="0">
      <w:lvlJc w:val="left"/>
      <w:lvlText w:val="(%1)"/>
      <w:numFmt w:val="lowerLetter"/>
      <w:start w:val="1"/>
    </w:lvl>
  </w:abstractNum>
  <w:abstractNum w:abstractNumId="116">
    <w:nsid w:val="175DFCF0"/>
    <w:multiLevelType w:val="hybridMultilevel"/>
    <w:lvl w:ilvl="0">
      <w:lvlJc w:val="left"/>
      <w:lvlText w:val="(%1)"/>
      <w:numFmt w:val="lowerLetter"/>
      <w:start w:val="8"/>
    </w:lvl>
  </w:abstractNum>
  <w:abstractNum w:abstractNumId="117">
    <w:nsid w:val="4F97E3E4"/>
    <w:multiLevelType w:val="hybridMultilevel"/>
    <w:lvl w:ilvl="0">
      <w:lvlJc w:val="left"/>
      <w:lvlText w:val="(%1)"/>
      <w:numFmt w:val="lowerLetter"/>
      <w:start w:val="1"/>
    </w:lvl>
  </w:abstractNum>
  <w:abstractNum w:abstractNumId="118">
    <w:nsid w:val="53B0A9E"/>
    <w:multiLevelType w:val="hybridMultilevel"/>
    <w:lvl w:ilvl="0">
      <w:lvlJc w:val="left"/>
      <w:lvlText w:val="(%1)"/>
      <w:numFmt w:val="lowerLetter"/>
      <w:start w:val="2"/>
    </w:lvl>
  </w:abstractNum>
  <w:abstractNum w:abstractNumId="119">
    <w:nsid w:val="34FD6B4F"/>
    <w:multiLevelType w:val="hybridMultilevel"/>
    <w:lvl w:ilvl="0">
      <w:lvlJc w:val="left"/>
      <w:lvlText w:val="(%1)"/>
      <w:numFmt w:val="lowerLetter"/>
      <w:start w:val="1"/>
    </w:lvl>
  </w:abstractNum>
  <w:abstractNum w:abstractNumId="120">
    <w:nsid w:val="5915FF32"/>
    <w:multiLevelType w:val="hybridMultilevel"/>
    <w:lvl w:ilvl="0">
      <w:lvlJc w:val="left"/>
      <w:lvlText w:val="(%1)"/>
      <w:numFmt w:val="lowerLetter"/>
      <w:start w:val="2"/>
    </w:lvl>
  </w:abstractNum>
  <w:abstractNum w:abstractNumId="121">
    <w:nsid w:val="56438D15"/>
    <w:multiLevelType w:val="hybridMultilevel"/>
    <w:lvl w:ilvl="0">
      <w:lvlJc w:val="left"/>
      <w:lvlText w:val="(%1)"/>
      <w:numFmt w:val="lowerRoman"/>
      <w:start w:val="1"/>
    </w:lvl>
  </w:abstractNum>
  <w:abstractNum w:abstractNumId="122">
    <w:nsid w:val="519E3149"/>
    <w:multiLevelType w:val="hybridMultilevel"/>
    <w:lvl w:ilvl="0">
      <w:lvlJc w:val="left"/>
      <w:lvlText w:val="(%1)"/>
      <w:numFmt w:val="lowerRoman"/>
      <w:start w:val="6"/>
    </w:lvl>
    <w:lvl w:ilvl="1">
      <w:lvlJc w:val="left"/>
      <w:lvlText w:val="(%2)"/>
      <w:numFmt w:val="lowerRoman"/>
      <w:start w:val="8"/>
    </w:lvl>
  </w:abstractNum>
  <w:abstractNum w:abstractNumId="123">
    <w:nsid w:val="2C6E4AFD"/>
    <w:multiLevelType w:val="hybridMultilevel"/>
    <w:lvl w:ilvl="0">
      <w:lvlJc w:val="left"/>
      <w:lvlText w:val="(%1)"/>
      <w:numFmt w:val="lowerRoman"/>
      <w:start w:val="2"/>
    </w:lvl>
  </w:abstractNum>
  <w:abstractNum w:abstractNumId="124">
    <w:nsid w:val="17A1B582"/>
    <w:multiLevelType w:val="hybridMultilevel"/>
    <w:lvl w:ilvl="0">
      <w:lvlJc w:val="left"/>
      <w:lvlText w:val="%1"/>
      <w:numFmt w:val="lowerRoman"/>
      <w:start w:val="1"/>
    </w:lvl>
    <w:lvl w:ilvl="1">
      <w:lvlJc w:val="left"/>
      <w:lvlText w:val="%2."/>
      <w:numFmt w:val="decimal"/>
      <w:start w:val="1"/>
    </w:lvl>
  </w:abstractNum>
  <w:abstractNum w:abstractNumId="125">
    <w:nsid w:val="4DF72E4E"/>
    <w:multiLevelType w:val="hybridMultilevel"/>
    <w:lvl w:ilvl="0">
      <w:lvlJc w:val="left"/>
      <w:lvlText w:val="(%1)"/>
      <w:numFmt w:val="lowerRoman"/>
      <w:start w:val="8"/>
    </w:lvl>
    <w:lvl w:ilvl="1">
      <w:lvlJc w:val="left"/>
      <w:lvlText w:val="%2"/>
      <w:numFmt w:val="decimal"/>
      <w:start w:val="1"/>
    </w:lvl>
  </w:abstractNum>
  <w:abstractNum w:abstractNumId="126">
    <w:nsid w:val="5046B5A9"/>
    <w:multiLevelType w:val="hybridMultilevel"/>
    <w:lvl w:ilvl="0">
      <w:lvlJc w:val="left"/>
      <w:lvlText w:val="%1."/>
      <w:numFmt w:val="decimal"/>
      <w:start w:val="4"/>
    </w:lvl>
  </w:abstractNum>
  <w:abstractNum w:abstractNumId="127">
    <w:nsid w:val="5D888A08"/>
    <w:multiLevelType w:val="hybridMultilevel"/>
    <w:lvl w:ilvl="0">
      <w:lvlJc w:val="left"/>
      <w:lvlText w:val="%1."/>
      <w:numFmt w:val="decimal"/>
      <w:start w:val="6"/>
    </w:lvl>
  </w:abstractNum>
  <w:abstractNum w:abstractNumId="128">
    <w:nsid w:val="2A082C70"/>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2019-12-08T19:40:55Z</dcterms:created>
  <dcterms:modified xsi:type="dcterms:W3CDTF">2019-12-08T19:40:55Z</dcterms:modified>
</cp:coreProperties>
</file>