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4451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44512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Lang Andrew Kennedy</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VRINGO,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780 THIRD AVENUE, 15TH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Vringo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VRNG</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98"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07/08/2013</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023"/>
        <w:spacing w:after="0"/>
        <w:rPr>
          <w:sz w:val="20"/>
          <w:szCs w:val="20"/>
          <w:color w:val="auto"/>
        </w:rPr>
      </w:pPr>
      <w:r>
        <w:rPr>
          <w:rFonts w:ascii="Arial" w:cs="Arial" w:eastAsia="Arial" w:hAnsi="Arial"/>
          <w:sz w:val="18"/>
          <w:szCs w:val="18"/>
          <w:color w:val="0000FF"/>
        </w:rPr>
        <w:t>President &amp; CTO</w:t>
      </w:r>
    </w:p>
    <w:p>
      <w:pPr>
        <w:spacing w:after="0" w:line="409"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228"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10017</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61"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480" w:type="dxa"/>
            <w:vAlign w:val="bottom"/>
          </w:tcPr>
          <w:p>
            <w:pPr>
              <w:spacing w:after="0"/>
              <w:rPr>
                <w:sz w:val="14"/>
                <w:szCs w:val="14"/>
                <w:color w:val="auto"/>
              </w:rPr>
            </w:pP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80" w:type="dxa"/>
            <w:vAlign w:val="bottom"/>
          </w:tcPr>
          <w:p>
            <w:pPr>
              <w:spacing w:after="0"/>
              <w:rPr>
                <w:sz w:val="6"/>
                <w:szCs w:val="6"/>
                <w:color w:val="auto"/>
              </w:rPr>
            </w:pPr>
          </w:p>
        </w:tc>
        <w:tc>
          <w:tcPr>
            <w:tcW w:w="660" w:type="dxa"/>
            <w:vAlign w:val="bottom"/>
          </w:tcPr>
          <w:p>
            <w:pPr>
              <w:spacing w:after="0"/>
              <w:rPr>
                <w:sz w:val="6"/>
                <w:szCs w:val="6"/>
                <w:color w:val="auto"/>
              </w:rPr>
            </w:pPr>
          </w:p>
        </w:tc>
        <w:tc>
          <w:tcPr>
            <w:tcW w:w="48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gridSpan w:val="2"/>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660" w:type="dxa"/>
            <w:vAlign w:val="bottom"/>
          </w:tcPr>
          <w:p>
            <w:pPr>
              <w:spacing w:after="0"/>
              <w:rPr>
                <w:sz w:val="3"/>
                <w:szCs w:val="3"/>
                <w:color w:val="auto"/>
              </w:rPr>
            </w:pPr>
          </w:p>
        </w:tc>
        <w:tc>
          <w:tcPr>
            <w:tcW w:w="4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(A) or</w:t>
            </w:r>
          </w:p>
        </w:tc>
        <w:tc>
          <w:tcPr>
            <w:tcW w:w="60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0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80" w:type="dxa"/>
            <w:vAlign w:val="bottom"/>
          </w:tcPr>
          <w:p>
            <w:pPr>
              <w:spacing w:after="0"/>
              <w:rPr>
                <w:sz w:val="5"/>
                <w:szCs w:val="5"/>
                <w:color w:val="auto"/>
              </w:rPr>
            </w:pPr>
          </w:p>
        </w:tc>
        <w:tc>
          <w:tcPr>
            <w:tcW w:w="660" w:type="dxa"/>
            <w:vAlign w:val="bottom"/>
          </w:tcPr>
          <w:p>
            <w:pPr>
              <w:spacing w:after="0"/>
              <w:rPr>
                <w:sz w:val="5"/>
                <w:szCs w:val="5"/>
                <w:color w:val="auto"/>
              </w:rPr>
            </w:pPr>
          </w:p>
        </w:tc>
        <w:tc>
          <w:tcPr>
            <w:tcW w:w="48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8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180" w:type="dxa"/>
            <w:vAlign w:val="bottom"/>
            <w:tcBorders>
              <w:bottom w:val="single" w:sz="8" w:color="2C2C2C"/>
            </w:tcBorders>
            <w:gridSpan w:val="4"/>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18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0000FF"/>
                <w:w w:val="91"/>
              </w:rPr>
              <w:t>Common Stock, $0.01 par value per share</w:t>
            </w:r>
          </w:p>
        </w:tc>
        <w:tc>
          <w:tcPr>
            <w:tcW w:w="1140" w:type="dxa"/>
            <w:vAlign w:val="bottom"/>
            <w:tcBorders>
              <w:bottom w:val="single" w:sz="8" w:color="2C2C2C"/>
            </w:tcBorders>
            <w:gridSpan w:val="2"/>
          </w:tcPr>
          <w:p>
            <w:pPr>
              <w:ind w:left="200"/>
              <w:spacing w:after="0"/>
              <w:rPr>
                <w:sz w:val="20"/>
                <w:szCs w:val="20"/>
                <w:color w:val="auto"/>
              </w:rPr>
            </w:pPr>
            <w:r>
              <w:rPr>
                <w:rFonts w:ascii="Arial" w:cs="Arial" w:eastAsia="Arial" w:hAnsi="Arial"/>
                <w:sz w:val="18"/>
                <w:szCs w:val="18"/>
                <w:color w:val="0000FF"/>
              </w:rPr>
              <w:t>07/08/2013</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S</w:t>
            </w:r>
          </w:p>
        </w:tc>
        <w:tc>
          <w:tcPr>
            <w:tcW w:w="74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rPr>
              <w:t>6,510</w:t>
            </w:r>
          </w:p>
        </w:tc>
        <w:tc>
          <w:tcPr>
            <w:tcW w:w="50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rPr>
              <w:t>D</w:t>
            </w:r>
          </w:p>
        </w:tc>
        <w:tc>
          <w:tcPr>
            <w:tcW w:w="800" w:type="dxa"/>
            <w:vAlign w:val="bottom"/>
            <w:tcBorders>
              <w:bottom w:val="single" w:sz="8" w:color="2C2C2C"/>
            </w:tcBorders>
            <w:gridSpan w:val="2"/>
          </w:tcPr>
          <w:p>
            <w:pPr>
              <w:ind w:left="160"/>
              <w:spacing w:after="0"/>
              <w:rPr>
                <w:sz w:val="20"/>
                <w:szCs w:val="20"/>
                <w:color w:val="auto"/>
              </w:rPr>
            </w:pPr>
            <w:r>
              <w:rPr>
                <w:rFonts w:ascii="Arial" w:cs="Arial" w:eastAsia="Arial" w:hAnsi="Arial"/>
                <w:sz w:val="18"/>
                <w:szCs w:val="18"/>
                <w:color w:val="auto"/>
                <w:w w:val="95"/>
              </w:rPr>
              <w:t>$</w:t>
            </w:r>
            <w:r>
              <w:rPr>
                <w:rFonts w:ascii="Arial" w:cs="Arial" w:eastAsia="Arial" w:hAnsi="Arial"/>
                <w:sz w:val="18"/>
                <w:szCs w:val="18"/>
                <w:color w:val="0000FF"/>
                <w:w w:val="95"/>
              </w:rPr>
              <w:t>3.0304</w:t>
            </w:r>
          </w:p>
        </w:tc>
        <w:tc>
          <w:tcPr>
            <w:tcW w:w="1200" w:type="dxa"/>
            <w:vAlign w:val="bottom"/>
            <w:tcBorders>
              <w:bottom w:val="single" w:sz="8" w:color="2C2C2C"/>
            </w:tcBorders>
            <w:gridSpan w:val="2"/>
          </w:tcPr>
          <w:p>
            <w:pPr>
              <w:jc w:val="center"/>
              <w:ind w:right="99"/>
              <w:spacing w:after="0"/>
              <w:rPr>
                <w:sz w:val="20"/>
                <w:szCs w:val="20"/>
                <w:color w:val="auto"/>
              </w:rPr>
            </w:pPr>
            <w:r>
              <w:rPr>
                <w:rFonts w:ascii="Arial" w:cs="Arial" w:eastAsia="Arial" w:hAnsi="Arial"/>
                <w:sz w:val="18"/>
                <w:szCs w:val="18"/>
                <w:color w:val="0000FF"/>
              </w:rPr>
              <w:t>2,778,421</w:t>
            </w:r>
            <w:r>
              <w:rPr>
                <w:rFonts w:ascii="Arial" w:cs="Arial" w:eastAsia="Arial" w:hAnsi="Arial"/>
                <w:sz w:val="22"/>
                <w:szCs w:val="22"/>
                <w:color w:val="008000"/>
                <w:vertAlign w:val="superscript"/>
              </w:rPr>
              <w:t>(1)</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D</w:t>
            </w:r>
          </w:p>
        </w:tc>
        <w:tc>
          <w:tcPr>
            <w:tcW w:w="8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60" w:type="dxa"/>
            <w:vAlign w:val="bottom"/>
            <w:gridSpan w:val="2"/>
          </w:tcPr>
          <w:p>
            <w:pPr>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4"/>
            <w:vMerge w:val="restart"/>
          </w:tcPr>
          <w:p>
            <w:pPr>
              <w:ind w:left="60"/>
              <w:spacing w:after="0"/>
              <w:rPr>
                <w:sz w:val="20"/>
                <w:szCs w:val="20"/>
                <w:color w:val="auto"/>
              </w:rPr>
            </w:pPr>
            <w:r>
              <w:rPr>
                <w:rFonts w:ascii="Arial" w:cs="Arial" w:eastAsia="Arial" w:hAnsi="Arial"/>
                <w:sz w:val="18"/>
                <w:szCs w:val="18"/>
                <w:color w:val="0000FF"/>
                <w:w w:val="91"/>
              </w:rPr>
              <w:t>Common Stock, $0.01 par value per share</w:t>
            </w:r>
          </w:p>
        </w:tc>
        <w:tc>
          <w:tcPr>
            <w:tcW w:w="6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vMerge w:val="restart"/>
          </w:tcPr>
          <w:p>
            <w:pPr>
              <w:jc w:val="right"/>
              <w:ind w:right="199"/>
              <w:spacing w:after="0"/>
              <w:rPr>
                <w:sz w:val="20"/>
                <w:szCs w:val="20"/>
                <w:color w:val="auto"/>
              </w:rPr>
            </w:pPr>
            <w:r>
              <w:rPr>
                <w:rFonts w:ascii="Arial" w:cs="Arial" w:eastAsia="Arial" w:hAnsi="Arial"/>
                <w:sz w:val="18"/>
                <w:szCs w:val="18"/>
                <w:color w:val="0000FF"/>
              </w:rPr>
              <w:t>2,931,752</w:t>
            </w:r>
          </w:p>
        </w:tc>
        <w:tc>
          <w:tcPr>
            <w:tcW w:w="300" w:type="dxa"/>
            <w:vAlign w:val="bottom"/>
          </w:tcPr>
          <w:p>
            <w:pPr>
              <w:spacing w:after="0"/>
              <w:rPr>
                <w:sz w:val="18"/>
                <w:szCs w:val="18"/>
                <w:color w:val="auto"/>
              </w:rPr>
            </w:pPr>
          </w:p>
        </w:tc>
        <w:tc>
          <w:tcPr>
            <w:tcW w:w="700" w:type="dxa"/>
            <w:vAlign w:val="bottom"/>
            <w:vMerge w:val="restart"/>
          </w:tcPr>
          <w:p>
            <w:pPr>
              <w:ind w:left="140"/>
              <w:spacing w:after="0"/>
              <w:rPr>
                <w:sz w:val="20"/>
                <w:szCs w:val="20"/>
                <w:color w:val="auto"/>
              </w:rPr>
            </w:pPr>
            <w:r>
              <w:rPr>
                <w:rFonts w:ascii="Arial" w:cs="Arial" w:eastAsia="Arial" w:hAnsi="Arial"/>
                <w:sz w:val="18"/>
                <w:szCs w:val="18"/>
                <w:color w:val="0000FF"/>
              </w:rPr>
              <w:t>I</w:t>
            </w:r>
          </w:p>
        </w:tc>
        <w:tc>
          <w:tcPr>
            <w:tcW w:w="860" w:type="dxa"/>
            <w:vAlign w:val="bottom"/>
            <w:gridSpan w:val="2"/>
          </w:tcPr>
          <w:p>
            <w:pPr>
              <w:spacing w:after="0"/>
              <w:rPr>
                <w:sz w:val="20"/>
                <w:szCs w:val="20"/>
                <w:color w:val="auto"/>
              </w:rPr>
            </w:pPr>
            <w:r>
              <w:rPr>
                <w:rFonts w:ascii="Arial" w:cs="Arial" w:eastAsia="Arial" w:hAnsi="Arial"/>
                <w:sz w:val="18"/>
                <w:szCs w:val="18"/>
                <w:color w:val="0000FF"/>
              </w:rPr>
              <w:t>Innovation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180" w:type="dxa"/>
            <w:vAlign w:val="bottom"/>
            <w:gridSpan w:val="4"/>
            <w:vMerge w:val="continue"/>
          </w:tcPr>
          <w:p>
            <w:pPr>
              <w:spacing w:after="0"/>
              <w:rPr>
                <w:sz w:val="9"/>
                <w:szCs w:val="9"/>
                <w:color w:val="auto"/>
              </w:rPr>
            </w:pPr>
          </w:p>
        </w:tc>
        <w:tc>
          <w:tcPr>
            <w:tcW w:w="660" w:type="dxa"/>
            <w:vAlign w:val="bottom"/>
          </w:tcPr>
          <w:p>
            <w:pPr>
              <w:spacing w:after="0"/>
              <w:rPr>
                <w:sz w:val="9"/>
                <w:szCs w:val="9"/>
                <w:color w:val="auto"/>
              </w:rPr>
            </w:pPr>
          </w:p>
        </w:tc>
        <w:tc>
          <w:tcPr>
            <w:tcW w:w="48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4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860" w:type="dxa"/>
            <w:vAlign w:val="bottom"/>
            <w:gridSpan w:val="2"/>
            <w:vMerge w:val="restart"/>
          </w:tcPr>
          <w:p>
            <w:pPr>
              <w:spacing w:after="0"/>
              <w:rPr>
                <w:sz w:val="20"/>
                <w:szCs w:val="20"/>
                <w:color w:val="auto"/>
              </w:rPr>
            </w:pPr>
            <w:r>
              <w:rPr>
                <w:rFonts w:ascii="Arial" w:cs="Arial" w:eastAsia="Arial" w:hAnsi="Arial"/>
                <w:sz w:val="18"/>
                <w:szCs w:val="18"/>
                <w:color w:val="0000FF"/>
              </w:rPr>
              <w:t>Spring</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74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86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30"/>
        </w:trPr>
        <w:tc>
          <w:tcPr>
            <w:tcW w:w="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2"/>
          </w:tcPr>
          <w:p>
            <w:pPr>
              <w:spacing w:after="0"/>
              <w:rPr>
                <w:sz w:val="20"/>
                <w:szCs w:val="20"/>
                <w:color w:val="auto"/>
              </w:rPr>
            </w:pPr>
            <w:r>
              <w:rPr>
                <w:rFonts w:ascii="Arial" w:cs="Arial" w:eastAsia="Arial" w:hAnsi="Arial"/>
                <w:sz w:val="18"/>
                <w:szCs w:val="18"/>
                <w:color w:val="0000FF"/>
              </w:rPr>
              <w:t>LLC</w:t>
            </w:r>
            <w:r>
              <w:rPr>
                <w:rFonts w:ascii="Arial" w:cs="Arial" w:eastAsia="Arial" w:hAnsi="Arial"/>
                <w:sz w:val="22"/>
                <w:szCs w:val="22"/>
                <w:color w:val="008000"/>
                <w:vertAlign w:val="superscript"/>
              </w:rPr>
              <w:t>(2)</w:t>
            </w: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2"/>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64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960" w:type="dxa"/>
            <w:vAlign w:val="bottom"/>
            <w:gridSpan w:val="8"/>
          </w:tcPr>
          <w:p>
            <w:pPr>
              <w:ind w:left="10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2"/>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9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9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80" w:type="dxa"/>
            <w:vAlign w:val="bottom"/>
          </w:tcPr>
          <w:p>
            <w:pPr>
              <w:spacing w:after="0"/>
              <w:rPr>
                <w:sz w:val="4"/>
                <w:szCs w:val="4"/>
                <w:color w:val="auto"/>
              </w:rPr>
            </w:pPr>
          </w:p>
        </w:tc>
        <w:tc>
          <w:tcPr>
            <w:tcW w:w="660" w:type="dxa"/>
            <w:vAlign w:val="bottom"/>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560" w:type="dxa"/>
            <w:vAlign w:val="bottom"/>
          </w:tcPr>
          <w:p>
            <w:pPr>
              <w:spacing w:after="0"/>
              <w:rPr>
                <w:sz w:val="4"/>
                <w:szCs w:val="4"/>
                <w:color w:val="auto"/>
              </w:rPr>
            </w:pPr>
          </w:p>
        </w:tc>
        <w:tc>
          <w:tcPr>
            <w:tcW w:w="64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Of which, 127,605 shares of common stock are represented by unvested restricted stock units.</w:t>
      </w:r>
    </w:p>
    <w:p>
      <w:pPr>
        <w:spacing w:after="0" w:line="41" w:lineRule="exact"/>
        <w:rPr>
          <w:rFonts w:ascii="Arial" w:cs="Arial" w:eastAsia="Arial" w:hAnsi="Arial"/>
          <w:sz w:val="14"/>
          <w:szCs w:val="14"/>
          <w:color w:val="008000"/>
        </w:rPr>
      </w:pPr>
    </w:p>
    <w:p>
      <w:pPr>
        <w:ind w:left="40" w:right="8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Mr. Lang is the manager of Innovation Spring LLC ("Innovation Spring") and has the sole power to dispose or direct the disposition of the securities held by Innovation Spring. Innovation Spring Trust is the sole member and 100% owner of Innovation Spring and has the sole power to vote or direct the vote over the securities held by Innovation Spring. Mr. Lang does not have power to vote or direct the vote over the securities held by Innovation Spring.</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The transactions reported in this Form 4 were effected pursuant to a Rule 10b5-1 trading plan adopted by the reporting person on June 21, 2013.</w:t>
      </w:r>
    </w:p>
    <w:p>
      <w:pPr>
        <w:spacing w:after="0" w:line="48" w:lineRule="exact"/>
        <w:rPr>
          <w:sz w:val="24"/>
          <w:szCs w:val="24"/>
          <w:color w:val="auto"/>
        </w:rPr>
      </w:pPr>
    </w:p>
    <w:tbl>
      <w:tblPr>
        <w:tblLayout w:type="fixed"/>
        <w:tblInd w:w="40" w:type="dxa"/>
        <w:tblCellMar>
          <w:top w:w="0" w:type="dxa"/>
          <w:left w:w="0" w:type="dxa"/>
          <w:bottom w:w="0" w:type="dxa"/>
          <w:right w:w="0" w:type="dxa"/>
        </w:tblCellMar>
      </w:tblPr>
      <w:tr>
        <w:trPr>
          <w:trHeight w:val="207"/>
        </w:trPr>
        <w:tc>
          <w:tcPr>
            <w:tcW w:w="6820" w:type="dxa"/>
            <w:vAlign w:val="bottom"/>
          </w:tcPr>
          <w:p>
            <w:pPr>
              <w:spacing w:after="0"/>
              <w:rPr>
                <w:sz w:val="18"/>
                <w:szCs w:val="18"/>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0000FF"/>
              </w:rPr>
              <w:t>/s/ Andrew Kennedy Lang</w:t>
            </w: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07/10/2013</w:t>
            </w:r>
          </w:p>
        </w:tc>
      </w:tr>
      <w:tr>
        <w:trPr>
          <w:trHeight w:val="20"/>
        </w:trPr>
        <w:tc>
          <w:tcPr>
            <w:tcW w:w="6820" w:type="dxa"/>
            <w:vAlign w:val="bottom"/>
          </w:tcPr>
          <w:p>
            <w:pPr>
              <w:spacing w:after="0" w:line="20" w:lineRule="exact"/>
              <w:rPr>
                <w:sz w:val="1"/>
                <w:szCs w:val="1"/>
                <w:color w:val="auto"/>
              </w:rPr>
            </w:pPr>
          </w:p>
        </w:tc>
        <w:tc>
          <w:tcPr>
            <w:tcW w:w="18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6820" w:type="dxa"/>
            <w:vAlign w:val="bottom"/>
          </w:tcPr>
          <w:p>
            <w:pPr>
              <w:spacing w:after="0"/>
              <w:rPr>
                <w:sz w:val="20"/>
                <w:szCs w:val="20"/>
                <w:color w:val="auto"/>
              </w:rPr>
            </w:pPr>
          </w:p>
        </w:tc>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r>
        <w:trPr>
          <w:trHeight w:val="203"/>
        </w:trPr>
        <w:tc>
          <w:tcPr>
            <w:tcW w:w="8940" w:type="dxa"/>
            <w:vAlign w:val="bottom"/>
            <w:gridSpan w:val="3"/>
          </w:tcPr>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8940" w:type="dxa"/>
            <w:vAlign w:val="bottom"/>
            <w:gridSpan w:val="3"/>
          </w:tcPr>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r>
    </w:tbl>
    <w:p>
      <w:pPr>
        <w:spacing w:after="0" w:line="26"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54675" TargetMode="External"/><Relationship Id="rId13" Type="http://schemas.openxmlformats.org/officeDocument/2006/relationships/hyperlink" Target="http://www.sec.gov/cgi-bin/browse-edgar?action=getcompany&amp;CIK=000141042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2019-12-17T07:32:56Z</dcterms:created>
  <dcterms:modified xsi:type="dcterms:W3CDTF">2019-12-17T07:32:56Z</dcterms:modified>
</cp:coreProperties>
</file>