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4740" w:type="dxa"/>
            <w:vAlign w:val="bottom"/>
            <w:gridSpan w:val="3"/>
          </w:tcPr>
          <w:p>
            <w:pPr>
              <w:jc w:val="center"/>
              <w:ind w:right="6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454"/>
        </w:trPr>
        <w:tc>
          <w:tcPr>
            <w:tcW w:w="650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4740" w:type="dxa"/>
            <w:vAlign w:val="bottom"/>
            <w:gridSpan w:val="3"/>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10001</w:t>
            </w:r>
          </w:p>
        </w:tc>
        <w:tc>
          <w:tcPr>
            <w:tcW w:w="0" w:type="dxa"/>
            <w:vAlign w:val="bottom"/>
          </w:tcPr>
          <w:p>
            <w:pPr>
              <w:spacing w:after="0"/>
              <w:rPr>
                <w:sz w:val="1"/>
                <w:szCs w:val="1"/>
                <w:color w:val="auto"/>
              </w:rPr>
            </w:pPr>
          </w:p>
        </w:tc>
      </w:tr>
      <w:tr>
        <w:trPr>
          <w:trHeight w:val="228"/>
        </w:trPr>
        <w:tc>
          <w:tcPr>
            <w:tcW w:w="6500" w:type="dxa"/>
            <w:vAlign w:val="bottom"/>
            <w:tcBorders>
              <w:top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vMerge w:val="continue"/>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XSPA</w:t>
            </w:r>
          </w:p>
        </w:tc>
        <w:tc>
          <w:tcPr>
            <w:tcW w:w="100" w:type="dxa"/>
            <w:vAlign w:val="bottom"/>
            <w:vMerge w:val="continue"/>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On October 28, 2020, XpresSpa Group, Inc. (the “Company”) held its 2020 Annual Meeting of Stockholders (the “Annual Meeting”). At the Annual Meeting, the Company’s stockholders voted on the five proposals described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As of the record date for the Annual Meeting, there were 68,793,193 shares of common stock outstanding and entitled to vote on each matter presented for vote at the Annual Meeting. At the Annual Meeting, 38,733,351 (56.30% of the total outstanding) shares of common stock were represented in person or by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final results for each of the matters submitted to a vote of stockholders at the Annual Meeting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color w:val="212529"/>
              </w:rPr>
              <w:t>Item 1: Election of directors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12"/>
        </w:trPr>
        <w:tc>
          <w:tcPr>
            <w:tcW w:w="480" w:type="dxa"/>
            <w:vAlign w:val="bottom"/>
            <w:tcBorders>
              <w:top w:val="single" w:sz="8" w:color="212529"/>
            </w:tcBorders>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212529"/>
                <w:w w:val="97"/>
              </w:rPr>
              <w:t>Name</w:t>
            </w:r>
          </w:p>
        </w:tc>
        <w:tc>
          <w:tcPr>
            <w:tcW w:w="1120" w:type="dxa"/>
            <w:vAlign w:val="bottom"/>
          </w:tcPr>
          <w:p>
            <w:pPr>
              <w:spacing w:after="0"/>
              <w:rPr>
                <w:sz w:val="24"/>
                <w:szCs w:val="24"/>
                <w:color w:val="auto"/>
              </w:rPr>
            </w:pPr>
          </w:p>
        </w:tc>
        <w:tc>
          <w:tcPr>
            <w:tcW w:w="15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212529"/>
                <w:w w:val="95"/>
              </w:rPr>
              <w:t>For</w:t>
            </w:r>
          </w:p>
        </w:tc>
        <w:tc>
          <w:tcPr>
            <w:tcW w:w="26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212529"/>
              </w:rPr>
              <w:t>Withheld</w:t>
            </w:r>
          </w:p>
        </w:tc>
        <w:tc>
          <w:tcPr>
            <w:tcW w:w="222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212529"/>
                <w:w w:val="98"/>
              </w:rPr>
              <w:t>Broker Non-Votes</w:t>
            </w:r>
          </w:p>
        </w:tc>
      </w:tr>
      <w:tr>
        <w:trPr>
          <w:trHeight w:val="20"/>
        </w:trPr>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212529"/>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21252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shd w:val="clear" w:color="auto" w:fill="21252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shd w:val="clear" w:color="auto" w:fill="212529"/>
          </w:tcPr>
          <w:p>
            <w:pPr>
              <w:spacing w:after="0" w:line="20" w:lineRule="exact"/>
              <w:rPr>
                <w:sz w:val="1"/>
                <w:szCs w:val="1"/>
                <w:color w:val="auto"/>
              </w:rPr>
            </w:pPr>
          </w:p>
        </w:tc>
      </w:tr>
      <w:tr>
        <w:trPr>
          <w:trHeight w:val="218"/>
        </w:trPr>
        <w:tc>
          <w:tcPr>
            <w:tcW w:w="480" w:type="dxa"/>
            <w:vAlign w:val="bottom"/>
          </w:tcPr>
          <w:p>
            <w:pPr>
              <w:spacing w:after="0"/>
              <w:rPr>
                <w:sz w:val="18"/>
                <w:szCs w:val="18"/>
                <w:color w:val="auto"/>
              </w:rPr>
            </w:pPr>
          </w:p>
        </w:tc>
        <w:tc>
          <w:tcPr>
            <w:tcW w:w="25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212529"/>
                <w:w w:val="99"/>
              </w:rPr>
              <w:t>Douglas Satzman</w:t>
            </w:r>
          </w:p>
        </w:tc>
        <w:tc>
          <w:tcPr>
            <w:tcW w:w="26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212529"/>
                <w:w w:val="99"/>
              </w:rPr>
              <w:t>7,732,819</w:t>
            </w:r>
          </w:p>
        </w:tc>
        <w:tc>
          <w:tcPr>
            <w:tcW w:w="17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212529"/>
                <w:w w:val="99"/>
              </w:rPr>
              <w:t>890,128</w:t>
            </w:r>
          </w:p>
        </w:tc>
        <w:tc>
          <w:tcPr>
            <w:tcW w:w="920" w:type="dxa"/>
            <w:vAlign w:val="bottom"/>
          </w:tcPr>
          <w:p>
            <w:pPr>
              <w:spacing w:after="0"/>
              <w:rPr>
                <w:sz w:val="18"/>
                <w:szCs w:val="18"/>
                <w:color w:val="auto"/>
              </w:rPr>
            </w:pPr>
          </w:p>
        </w:tc>
        <w:tc>
          <w:tcPr>
            <w:tcW w:w="222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212529"/>
                <w:w w:val="98"/>
              </w:rPr>
              <w:t>30,110,404</w:t>
            </w:r>
          </w:p>
        </w:tc>
      </w:tr>
      <w:tr>
        <w:trPr>
          <w:trHeight w:val="216"/>
        </w:trPr>
        <w:tc>
          <w:tcPr>
            <w:tcW w:w="480" w:type="dxa"/>
            <w:vAlign w:val="bottom"/>
          </w:tcPr>
          <w:p>
            <w:pPr>
              <w:spacing w:after="0"/>
              <w:rPr>
                <w:sz w:val="18"/>
                <w:szCs w:val="18"/>
                <w:color w:val="auto"/>
              </w:rPr>
            </w:pPr>
          </w:p>
        </w:tc>
        <w:tc>
          <w:tcPr>
            <w:tcW w:w="25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212529"/>
                <w:w w:val="98"/>
              </w:rPr>
              <w:t>Bruce T. Bernstein</w:t>
            </w:r>
          </w:p>
        </w:tc>
        <w:tc>
          <w:tcPr>
            <w:tcW w:w="26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212529"/>
                <w:w w:val="99"/>
              </w:rPr>
              <w:t>5,555,376</w:t>
            </w:r>
          </w:p>
        </w:tc>
        <w:tc>
          <w:tcPr>
            <w:tcW w:w="2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212529"/>
                <w:w w:val="99"/>
              </w:rPr>
              <w:t>3,067,571</w:t>
            </w:r>
          </w:p>
        </w:tc>
        <w:tc>
          <w:tcPr>
            <w:tcW w:w="222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212529"/>
                <w:w w:val="98"/>
              </w:rPr>
              <w:t>30,110,404</w:t>
            </w:r>
          </w:p>
        </w:tc>
      </w:tr>
      <w:tr>
        <w:trPr>
          <w:trHeight w:val="216"/>
        </w:trPr>
        <w:tc>
          <w:tcPr>
            <w:tcW w:w="480" w:type="dxa"/>
            <w:vAlign w:val="bottom"/>
          </w:tcPr>
          <w:p>
            <w:pPr>
              <w:spacing w:after="0"/>
              <w:rPr>
                <w:sz w:val="18"/>
                <w:szCs w:val="18"/>
                <w:color w:val="auto"/>
              </w:rPr>
            </w:pPr>
          </w:p>
        </w:tc>
        <w:tc>
          <w:tcPr>
            <w:tcW w:w="25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212529"/>
                <w:w w:val="99"/>
              </w:rPr>
              <w:t>Robert Weinstein</w:t>
            </w:r>
          </w:p>
        </w:tc>
        <w:tc>
          <w:tcPr>
            <w:tcW w:w="26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212529"/>
                <w:w w:val="99"/>
              </w:rPr>
              <w:t>7,473,874</w:t>
            </w:r>
          </w:p>
        </w:tc>
        <w:tc>
          <w:tcPr>
            <w:tcW w:w="2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212529"/>
                <w:w w:val="99"/>
              </w:rPr>
              <w:t>1,149,073</w:t>
            </w:r>
          </w:p>
        </w:tc>
        <w:tc>
          <w:tcPr>
            <w:tcW w:w="222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212529"/>
                <w:w w:val="98"/>
              </w:rPr>
              <w:t>30,110,404</w:t>
            </w:r>
          </w:p>
        </w:tc>
      </w:tr>
      <w:tr>
        <w:trPr>
          <w:trHeight w:val="216"/>
        </w:trPr>
        <w:tc>
          <w:tcPr>
            <w:tcW w:w="480" w:type="dxa"/>
            <w:vAlign w:val="bottom"/>
          </w:tcPr>
          <w:p>
            <w:pPr>
              <w:spacing w:after="0"/>
              <w:rPr>
                <w:sz w:val="18"/>
                <w:szCs w:val="18"/>
                <w:color w:val="auto"/>
              </w:rPr>
            </w:pPr>
          </w:p>
        </w:tc>
        <w:tc>
          <w:tcPr>
            <w:tcW w:w="25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212529"/>
                <w:w w:val="98"/>
              </w:rPr>
              <w:t>Donald E. Stout</w:t>
            </w:r>
          </w:p>
        </w:tc>
        <w:tc>
          <w:tcPr>
            <w:tcW w:w="26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212529"/>
                <w:w w:val="99"/>
              </w:rPr>
              <w:t>7,078,497</w:t>
            </w:r>
          </w:p>
        </w:tc>
        <w:tc>
          <w:tcPr>
            <w:tcW w:w="2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212529"/>
                <w:w w:val="99"/>
              </w:rPr>
              <w:t>1,544,450</w:t>
            </w:r>
          </w:p>
        </w:tc>
        <w:tc>
          <w:tcPr>
            <w:tcW w:w="222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212529"/>
                <w:w w:val="98"/>
              </w:rPr>
              <w:t>30,110,404</w:t>
            </w:r>
          </w:p>
        </w:tc>
      </w:tr>
      <w:tr>
        <w:trPr>
          <w:trHeight w:val="234"/>
        </w:trPr>
        <w:tc>
          <w:tcPr>
            <w:tcW w:w="480" w:type="dxa"/>
            <w:vAlign w:val="bottom"/>
          </w:tcPr>
          <w:p>
            <w:pPr>
              <w:spacing w:after="0"/>
              <w:rPr>
                <w:sz w:val="20"/>
                <w:szCs w:val="20"/>
                <w:color w:val="auto"/>
              </w:rPr>
            </w:pPr>
          </w:p>
        </w:tc>
        <w:tc>
          <w:tcPr>
            <w:tcW w:w="25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212529"/>
                <w:w w:val="98"/>
              </w:rPr>
              <w:t>Michael Lebowitz</w:t>
            </w:r>
          </w:p>
        </w:tc>
        <w:tc>
          <w:tcPr>
            <w:tcW w:w="26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212529"/>
                <w:w w:val="99"/>
              </w:rPr>
              <w:t>7,625,449</w:t>
            </w:r>
          </w:p>
        </w:tc>
        <w:tc>
          <w:tcPr>
            <w:tcW w:w="17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212529"/>
                <w:w w:val="99"/>
              </w:rPr>
              <w:t>997,498</w:t>
            </w:r>
          </w:p>
        </w:tc>
        <w:tc>
          <w:tcPr>
            <w:tcW w:w="920" w:type="dxa"/>
            <w:vAlign w:val="bottom"/>
          </w:tcPr>
          <w:p>
            <w:pPr>
              <w:spacing w:after="0"/>
              <w:rPr>
                <w:sz w:val="20"/>
                <w:szCs w:val="20"/>
                <w:color w:val="auto"/>
              </w:rPr>
            </w:pPr>
          </w:p>
        </w:tc>
        <w:tc>
          <w:tcPr>
            <w:tcW w:w="222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212529"/>
                <w:w w:val="98"/>
              </w:rPr>
              <w:t>30,110,404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Item 2</w:t>
      </w:r>
      <w:r>
        <w:rPr>
          <w:rFonts w:ascii="Times New Roman" w:cs="Times New Roman" w:eastAsia="Times New Roman" w:hAnsi="Times New Roman"/>
          <w:sz w:val="18"/>
          <w:szCs w:val="18"/>
          <w:color w:val="212529"/>
        </w:rPr>
        <w:t>: Ratification of Friedman LLP as the Company’s independent registered public accounting firm for the fiscal year ending December 31, 2020</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rPr>
              <w:t>For</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w w:val="99"/>
              </w:rPr>
              <w:t>Against</w:t>
            </w:r>
          </w:p>
        </w:tc>
        <w:tc>
          <w:tcPr>
            <w:tcW w:w="2100" w:type="dxa"/>
            <w:vAlign w:val="bottom"/>
          </w:tcPr>
          <w:p>
            <w:pPr>
              <w:spacing w:after="0"/>
              <w:rPr>
                <w:sz w:val="17"/>
                <w:szCs w:val="17"/>
                <w:color w:val="auto"/>
              </w:rPr>
            </w:pPr>
          </w:p>
        </w:tc>
        <w:tc>
          <w:tcPr>
            <w:tcW w:w="8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w w:val="99"/>
              </w:rPr>
              <w:t>Abstentions</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w w:val="98"/>
              </w:rPr>
              <w:t>Broker Non-Votes</w:t>
            </w:r>
          </w:p>
        </w:tc>
      </w:tr>
      <w:tr>
        <w:trPr>
          <w:trHeight w:val="237"/>
        </w:trPr>
        <w:tc>
          <w:tcPr>
            <w:tcW w:w="18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212529"/>
                <w:w w:val="98"/>
              </w:rPr>
              <w:t>36,219,680</w:t>
            </w:r>
          </w:p>
        </w:tc>
        <w:tc>
          <w:tcPr>
            <w:tcW w:w="3760" w:type="dxa"/>
            <w:vAlign w:val="bottom"/>
            <w:gridSpan w:val="3"/>
          </w:tcPr>
          <w:p>
            <w:pPr>
              <w:jc w:val="right"/>
              <w:ind w:right="2020"/>
              <w:spacing w:after="0"/>
              <w:rPr>
                <w:sz w:val="20"/>
                <w:szCs w:val="20"/>
                <w:color w:val="auto"/>
              </w:rPr>
            </w:pPr>
            <w:r>
              <w:rPr>
                <w:rFonts w:ascii="Times New Roman" w:cs="Times New Roman" w:eastAsia="Times New Roman" w:hAnsi="Times New Roman"/>
                <w:sz w:val="18"/>
                <w:szCs w:val="18"/>
                <w:color w:val="212529"/>
              </w:rPr>
              <w:t>1,256,828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1,256,843</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Item 3</w:t>
      </w:r>
      <w:r>
        <w:rPr>
          <w:rFonts w:ascii="Times New Roman" w:cs="Times New Roman" w:eastAsia="Times New Roman" w:hAnsi="Times New Roman"/>
          <w:sz w:val="18"/>
          <w:szCs w:val="18"/>
          <w:color w:val="212529"/>
        </w:rPr>
        <w:t>: Approval of the XpresSpa Group, Inc. 2020 Equity Incentive Plan</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rPr>
              <w:t>For</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w w:val="99"/>
              </w:rPr>
              <w:t>Against</w:t>
            </w:r>
          </w:p>
        </w:tc>
        <w:tc>
          <w:tcPr>
            <w:tcW w:w="2100" w:type="dxa"/>
            <w:vAlign w:val="bottom"/>
          </w:tcPr>
          <w:p>
            <w:pPr>
              <w:spacing w:after="0"/>
              <w:rPr>
                <w:sz w:val="17"/>
                <w:szCs w:val="17"/>
                <w:color w:val="auto"/>
              </w:rPr>
            </w:pPr>
          </w:p>
        </w:tc>
        <w:tc>
          <w:tcPr>
            <w:tcW w:w="8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w w:val="99"/>
              </w:rPr>
              <w:t>Abstentions</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w w:val="98"/>
              </w:rPr>
              <w:t>Broker Non-Votes</w:t>
            </w:r>
          </w:p>
        </w:tc>
      </w:tr>
      <w:tr>
        <w:trPr>
          <w:trHeight w:val="237"/>
        </w:trPr>
        <w:tc>
          <w:tcPr>
            <w:tcW w:w="17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212529"/>
                <w:w w:val="97"/>
              </w:rPr>
              <w:t>6,474,877</w:t>
            </w:r>
          </w:p>
        </w:tc>
        <w:tc>
          <w:tcPr>
            <w:tcW w:w="3780" w:type="dxa"/>
            <w:vAlign w:val="bottom"/>
            <w:gridSpan w:val="3"/>
          </w:tcPr>
          <w:p>
            <w:pPr>
              <w:jc w:val="right"/>
              <w:ind w:right="2020"/>
              <w:spacing w:after="0"/>
              <w:rPr>
                <w:sz w:val="20"/>
                <w:szCs w:val="20"/>
                <w:color w:val="auto"/>
              </w:rPr>
            </w:pPr>
            <w:r>
              <w:rPr>
                <w:rFonts w:ascii="Times New Roman" w:cs="Times New Roman" w:eastAsia="Times New Roman" w:hAnsi="Times New Roman"/>
                <w:sz w:val="18"/>
                <w:szCs w:val="18"/>
                <w:color w:val="212529"/>
              </w:rPr>
              <w:t>1,935,237</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12529"/>
              </w:rPr>
              <w:t>212,833</w:t>
            </w:r>
          </w:p>
        </w:tc>
        <w:tc>
          <w:tcPr>
            <w:tcW w:w="860" w:type="dxa"/>
            <w:vAlign w:val="bottom"/>
          </w:tcPr>
          <w:p>
            <w:pPr>
              <w:spacing w:after="0"/>
              <w:rPr>
                <w:sz w:val="20"/>
                <w:szCs w:val="20"/>
                <w:color w:val="auto"/>
              </w:rPr>
            </w:pPr>
          </w:p>
        </w:tc>
        <w:tc>
          <w:tcPr>
            <w:tcW w:w="2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212529"/>
              </w:rPr>
              <w:t>30,110,404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Item 4</w:t>
      </w:r>
      <w:r>
        <w:rPr>
          <w:rFonts w:ascii="Times New Roman" w:cs="Times New Roman" w:eastAsia="Times New Roman" w:hAnsi="Times New Roman"/>
          <w:sz w:val="18"/>
          <w:szCs w:val="18"/>
          <w:color w:val="212529"/>
        </w:rPr>
        <w:t>: Approval, by an advisory vote, of the compensation of XpresSpa Group’s named executive officers</w:t>
      </w: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2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rPr>
              <w:t>For</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w w:val="99"/>
              </w:rPr>
              <w:t>Against</w:t>
            </w:r>
          </w:p>
        </w:tc>
        <w:tc>
          <w:tcPr>
            <w:tcW w:w="2100" w:type="dxa"/>
            <w:vAlign w:val="bottom"/>
          </w:tcPr>
          <w:p>
            <w:pPr>
              <w:spacing w:after="0"/>
              <w:rPr>
                <w:sz w:val="18"/>
                <w:szCs w:val="18"/>
                <w:color w:val="auto"/>
              </w:rPr>
            </w:pPr>
          </w:p>
        </w:tc>
        <w:tc>
          <w:tcPr>
            <w:tcW w:w="86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w w:val="99"/>
              </w:rPr>
              <w:t>Abstentions</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Borders>
              <w:bottom w:val="single" w:sz="8" w:color="212529"/>
            </w:tcBorders>
          </w:tcPr>
          <w:p>
            <w:pPr>
              <w:jc w:val="center"/>
              <w:spacing w:after="0"/>
              <w:rPr>
                <w:sz w:val="20"/>
                <w:szCs w:val="20"/>
                <w:color w:val="auto"/>
              </w:rPr>
            </w:pPr>
            <w:r>
              <w:rPr>
                <w:rFonts w:ascii="Times New Roman" w:cs="Times New Roman" w:eastAsia="Times New Roman" w:hAnsi="Times New Roman"/>
                <w:sz w:val="18"/>
                <w:szCs w:val="18"/>
                <w:color w:val="212529"/>
                <w:w w:val="98"/>
              </w:rPr>
              <w:t>Broker Non-Votes</w:t>
            </w:r>
          </w:p>
        </w:tc>
      </w:tr>
      <w:tr>
        <w:trPr>
          <w:trHeight w:val="237"/>
        </w:trPr>
        <w:tc>
          <w:tcPr>
            <w:tcW w:w="17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212529"/>
                <w:w w:val="97"/>
              </w:rPr>
              <w:t>5,941,410</w:t>
            </w:r>
          </w:p>
        </w:tc>
        <w:tc>
          <w:tcPr>
            <w:tcW w:w="3780" w:type="dxa"/>
            <w:vAlign w:val="bottom"/>
            <w:gridSpan w:val="3"/>
          </w:tcPr>
          <w:p>
            <w:pPr>
              <w:jc w:val="right"/>
              <w:ind w:right="2020"/>
              <w:spacing w:after="0"/>
              <w:rPr>
                <w:sz w:val="20"/>
                <w:szCs w:val="20"/>
                <w:color w:val="auto"/>
              </w:rPr>
            </w:pPr>
            <w:r>
              <w:rPr>
                <w:rFonts w:ascii="Times New Roman" w:cs="Times New Roman" w:eastAsia="Times New Roman" w:hAnsi="Times New Roman"/>
                <w:sz w:val="18"/>
                <w:szCs w:val="18"/>
                <w:color w:val="212529"/>
              </w:rPr>
              <w:t>2,423,782</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12529"/>
              </w:rPr>
              <w:t>257,755</w:t>
            </w:r>
          </w:p>
        </w:tc>
        <w:tc>
          <w:tcPr>
            <w:tcW w:w="860" w:type="dxa"/>
            <w:vAlign w:val="bottom"/>
          </w:tcPr>
          <w:p>
            <w:pPr>
              <w:spacing w:after="0"/>
              <w:rPr>
                <w:sz w:val="20"/>
                <w:szCs w:val="20"/>
                <w:color w:val="auto"/>
              </w:rPr>
            </w:pPr>
          </w:p>
        </w:tc>
        <w:tc>
          <w:tcPr>
            <w:tcW w:w="2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212529"/>
              </w:rPr>
              <w:t>30,110,404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Item 5</w:t>
      </w:r>
      <w:r>
        <w:rPr>
          <w:rFonts w:ascii="Times New Roman" w:cs="Times New Roman" w:eastAsia="Times New Roman" w:hAnsi="Times New Roman"/>
          <w:sz w:val="18"/>
          <w:szCs w:val="18"/>
          <w:color w:val="212529"/>
        </w:rPr>
        <w:t>: Adjournment of the Annual Meeting, if necessary, to solicit additional proxies if there are not sufficient votes to approve Items 2 through 4</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212529"/>
              </w:rPr>
              <w:t>For</w:t>
            </w:r>
          </w:p>
        </w:tc>
        <w:tc>
          <w:tcPr>
            <w:tcW w:w="1220" w:type="dxa"/>
            <w:vAlign w:val="bottom"/>
          </w:tcPr>
          <w:p>
            <w:pPr>
              <w:spacing w:after="0"/>
              <w:rPr>
                <w:sz w:val="18"/>
                <w:szCs w:val="18"/>
                <w:color w:val="auto"/>
              </w:rPr>
            </w:pPr>
          </w:p>
        </w:tc>
        <w:tc>
          <w:tcPr>
            <w:tcW w:w="38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212529"/>
                <w:w w:val="97"/>
              </w:rPr>
              <w:t>Votes Against</w:t>
            </w:r>
          </w:p>
        </w:tc>
        <w:tc>
          <w:tcPr>
            <w:tcW w:w="17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212529"/>
                <w:w w:val="99"/>
              </w:rPr>
              <w:t>Abstentions</w:t>
            </w:r>
          </w:p>
        </w:tc>
        <w:tc>
          <w:tcPr>
            <w:tcW w:w="218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212529"/>
                <w:w w:val="98"/>
              </w:rPr>
              <w:t>Broker Non-Votes</w:t>
            </w: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212529"/>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shd w:val="clear" w:color="auto" w:fill="212529"/>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shd w:val="clear" w:color="auto" w:fill="21252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shd w:val="clear" w:color="auto" w:fill="212529"/>
          </w:tcPr>
          <w:p>
            <w:pPr>
              <w:spacing w:after="0" w:line="20" w:lineRule="exact"/>
              <w:rPr>
                <w:sz w:val="1"/>
                <w:szCs w:val="1"/>
                <w:color w:val="auto"/>
              </w:rPr>
            </w:pPr>
          </w:p>
        </w:tc>
      </w:tr>
      <w:tr>
        <w:trPr>
          <w:trHeight w:val="237"/>
        </w:trPr>
        <w:tc>
          <w:tcPr>
            <w:tcW w:w="17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212529"/>
                <w:w w:val="98"/>
              </w:rPr>
              <w:t>32,516,884</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12529"/>
              </w:rPr>
              <w:t>5,137,489</w:t>
            </w:r>
          </w:p>
        </w:tc>
        <w:tc>
          <w:tcPr>
            <w:tcW w:w="18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12529"/>
              </w:rPr>
              <w:t>1,078,978</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w:t>
            </w: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NumberDescription</w:t>
      </w:r>
    </w:p>
    <w:p>
      <w:pPr>
        <w:spacing w:after="0" w:line="207" w:lineRule="exact"/>
        <w:rPr>
          <w:sz w:val="20"/>
          <w:szCs w:val="20"/>
          <w:color w:val="auto"/>
        </w:rPr>
      </w:pPr>
    </w:p>
    <w:p>
      <w:pPr>
        <w:ind w:left="660"/>
        <w:spacing w:after="0"/>
        <w:tabs>
          <w:tab w:leader="none" w:pos="160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7"/>
            <w:szCs w:val="17"/>
            <w:u w:val="single" w:color="auto"/>
            <w:color w:val="0000EE"/>
          </w:rPr>
          <w:t>XpresSpa Group, Inc. 2020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690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XpresSpa Group, Inc.</w:t>
            </w:r>
          </w:p>
        </w:tc>
      </w:tr>
      <w:tr>
        <w:trPr>
          <w:trHeight w:val="43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2020</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Douglas Satzman</w:t>
            </w:r>
          </w:p>
        </w:tc>
      </w:tr>
      <w:tr>
        <w:trPr>
          <w:trHeight w:val="191"/>
        </w:trPr>
        <w:tc>
          <w:tcPr>
            <w:tcW w:w="4340" w:type="dxa"/>
            <w:vAlign w:val="bottom"/>
          </w:tcPr>
          <w:p>
            <w:pPr>
              <w:spacing w:after="0"/>
              <w:rPr>
                <w:sz w:val="16"/>
                <w:szCs w:val="16"/>
                <w:color w:val="auto"/>
              </w:rPr>
            </w:pPr>
          </w:p>
        </w:tc>
        <w:tc>
          <w:tcPr>
            <w:tcW w:w="3200" w:type="dxa"/>
            <w:vAlign w:val="bottom"/>
          </w:tcPr>
          <w:p>
            <w:pPr>
              <w:ind w:left="2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Satzman</w:t>
            </w:r>
          </w:p>
        </w:tc>
      </w:tr>
      <w:tr>
        <w:trPr>
          <w:trHeight w:val="234"/>
        </w:trPr>
        <w:tc>
          <w:tcPr>
            <w:tcW w:w="4340" w:type="dxa"/>
            <w:vAlign w:val="bottom"/>
          </w:tcPr>
          <w:p>
            <w:pPr>
              <w:spacing w:after="0"/>
              <w:rPr>
                <w:sz w:val="20"/>
                <w:szCs w:val="20"/>
                <w:color w:val="auto"/>
              </w:rPr>
            </w:pP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4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07"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1.1 </w:t>
      </w:r>
      <w:r>
        <w:rPr>
          <w:rFonts w:ascii="Times New Roman" w:cs="Times New Roman" w:eastAsia="Times New Roman" w:hAnsi="Times New Roman"/>
          <w:sz w:val="18"/>
          <w:szCs w:val="18"/>
          <w:u w:val="single" w:color="auto"/>
          <w:color w:val="000000"/>
        </w:rPr>
        <w:t>General Purpose</w:t>
      </w:r>
      <w:r>
        <w:rPr>
          <w:rFonts w:ascii="Times New Roman" w:cs="Times New Roman" w:eastAsia="Times New Roman" w:hAnsi="Times New Roman"/>
          <w:sz w:val="18"/>
          <w:szCs w:val="18"/>
          <w:color w:val="000000"/>
        </w:rPr>
        <w:t>. The name of this plan is the XpresSpa Group, Inc. 2020 Equity Incentive Plan. The purposes of the Plan are to (a) enable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XpresSpa Group, Inc., a Delaware corporation, and any Affiliate to attract and retain the types of Employees, Consultants and Directors who will contribute to the Company’s long range success; (b) provide incentives that align the interests of Employees, Consultants and Directors with those of the stockholders of the Company; and (c) promote the success of the Company’s business.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1.2 </w:t>
      </w:r>
      <w:r>
        <w:rPr>
          <w:rFonts w:ascii="Times New Roman" w:cs="Times New Roman" w:eastAsia="Times New Roman" w:hAnsi="Times New Roman"/>
          <w:sz w:val="18"/>
          <w:szCs w:val="18"/>
          <w:u w:val="single" w:color="auto"/>
          <w:color w:val="000000"/>
        </w:rPr>
        <w:t>Eligible Award Recipients</w:t>
      </w:r>
      <w:r>
        <w:rPr>
          <w:rFonts w:ascii="Times New Roman" w:cs="Times New Roman" w:eastAsia="Times New Roman" w:hAnsi="Times New Roman"/>
          <w:sz w:val="18"/>
          <w:szCs w:val="18"/>
          <w:color w:val="000000"/>
        </w:rPr>
        <w:t>. The persons eligible to receive Awards are the Employees, Consultants and Directors of the Company and its Affiliates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such other individuals designated by the Committee who are reasonably expected to become Employees, Consultants and Directors after the receipt of Awards.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010000"/>
        </w:rPr>
        <w:t xml:space="preserve">1.3 </w:t>
      </w:r>
      <w:r>
        <w:rPr>
          <w:rFonts w:ascii="Times New Roman" w:cs="Times New Roman" w:eastAsia="Times New Roman" w:hAnsi="Times New Roman"/>
          <w:sz w:val="18"/>
          <w:szCs w:val="18"/>
          <w:u w:val="single" w:color="auto"/>
          <w:color w:val="000000"/>
        </w:rPr>
        <w:t>Available Awards</w:t>
      </w:r>
      <w:r>
        <w:rPr>
          <w:rFonts w:ascii="Times New Roman" w:cs="Times New Roman" w:eastAsia="Times New Roman" w:hAnsi="Times New Roman"/>
          <w:sz w:val="18"/>
          <w:szCs w:val="18"/>
          <w:color w:val="000000"/>
        </w:rPr>
        <w:t>. Awards that may be granted under the Plan include: (a) Incentive Stock Options, (b) Non-Qualified Stock Options, (c) Stock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Appreciation Rights, (d) Restricted Awards, (e) Performance Stock Awards, (f) Cash Awards, and (g) Other Equity-Based Awards.</w:t>
      </w:r>
    </w:p>
    <w:p>
      <w:pPr>
        <w:spacing w:after="0" w:line="162"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corporation or other entity that, directly or through one or more intermediaries, controls, is controlled by or is under common control with, the Company.</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right granted under the Plan, including an Incentive Stock Option, a Non-Qualified Stock Option, a Stock Appreciation Right, a Restricted Award, a Performance Stock Award, a Cash Award, or an Other Equity-Based Award.</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at any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“Cash Award” </w:t>
      </w:r>
      <w:r>
        <w:rPr>
          <w:rFonts w:ascii="Times New Roman" w:cs="Times New Roman" w:eastAsia="Times New Roman" w:hAnsi="Times New Roman"/>
          <w:sz w:val="18"/>
          <w:szCs w:val="18"/>
          <w:color w:val="auto"/>
        </w:rPr>
        <w:t>means an Award denominated in cash that is granted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Committee as to the existence of Cause will be conclusive on the Participant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with respect to any Participant shall have the meaning specified in the Participant’s Award Agreement. In the absence of any such definition, a “Change in Control” shall mean the occurrence of any of the following:</w:t>
      </w:r>
    </w:p>
    <w:p>
      <w:pPr>
        <w:spacing w:after="0" w:line="157" w:lineRule="exact"/>
        <w:rPr>
          <w:sz w:val="20"/>
          <w:szCs w:val="20"/>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Any “Person” (as such term is used in Sections 13(d) and 14(d) of the Exchange Act) becomes the “Beneficial Owner”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Merger/Sale of Assets</w:t>
      </w:r>
      <w:r>
        <w:rPr>
          <w:rFonts w:ascii="Times New Roman" w:cs="Times New Roman" w:eastAsia="Times New Roman" w:hAnsi="Times New Roman"/>
          <w:sz w:val="18"/>
          <w:szCs w:val="18"/>
          <w:color w:val="auto"/>
        </w:rPr>
        <w:t>. (A) A merger or consolidation of the Company whether or not approved by the Board of Directors, other than a merger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Board Composition</w:t>
      </w:r>
      <w:r>
        <w:rPr>
          <w:rFonts w:ascii="Times New Roman" w:cs="Times New Roman" w:eastAsia="Times New Roman" w:hAnsi="Times New Roman"/>
          <w:sz w:val="18"/>
          <w:szCs w:val="18"/>
          <w:color w:val="auto"/>
        </w:rPr>
        <w:t>. A change in the composition of the Board of Directors, as a result of which fewer than a majority of the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8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it may be amended from time to time. Any reference to a section of the Code shall be deemed to include a reference to any regulations promulgated thereunder.</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means a committee of one or more members of the Board appointed by the Board to administer the Plan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or any Officers of the Company to whom it has delegated authority as permitted under Section 3.3.</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shares of the Company’s common stock, $0.01 par value per share, or such other securities of the Company as may be designated by the Committee from time to time in substitution thereof.</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XpresSpa Group, Inc., and any successor thereto.</w:t>
      </w:r>
    </w:p>
    <w:p>
      <w:pPr>
        <w:spacing w:after="0" w:line="225" w:lineRule="exact"/>
        <w:rPr>
          <w:sz w:val="20"/>
          <w:szCs w:val="20"/>
          <w:color w:val="auto"/>
        </w:rPr>
      </w:pPr>
    </w:p>
    <w:p>
      <w:pPr>
        <w:jc w:val="both"/>
        <w:ind w:right="20"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individual or entity which performs bona fide services to the Company or an Affiliate, other than as an Employee or Director, and who may be offered securities registerable pursuant to a registration statement on Form S-8 under the Securities Act or any successor form thereto.</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there is no interruption or termination of the Participant’s Continuous Service;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Stock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unless the applicable Award Agreement says otherwise, permanent and total disability as defined in Section 22(e)(3) of the Code.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the date as of which this Plan is adopted by the Board.</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means any person, including an Officer or Director, employed as an employee by the Company or an Affiliate;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In the absence of an established market for the Common Stock, the Fair Market Value shall be determined in good faith by the Committee and such determination shall be conclusive and binding on all persons. Notwithstanding the foregoing, the Committee may also determine the Fair Market Value upon the average selling price of the 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means the Company’s fiscal year.</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is designated by the Committee as an incentive stock option within the meaning of Section 422 of the Code and that meets the requirements set out in the Plan.</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who is a “non-employee director” within the meaning of Rule 16b-3 and an “independent director” as defined in the Marketplace Rules of The NASDAQ Stock Market LLC.</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Non-Qualified Stock Option granted pursuant to the Plan.</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Exercise Price</w:t>
      </w:r>
      <w:r>
        <w:rPr>
          <w:rFonts w:ascii="Times New Roman" w:cs="Times New Roman" w:eastAsia="Times New Roman" w:hAnsi="Times New Roman"/>
          <w:sz w:val="18"/>
          <w:szCs w:val="18"/>
          <w:color w:val="auto"/>
        </w:rPr>
        <w:t>” means the price at which a share of Common Stock may be purchased upon the exercise of an Option.</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Equity-Based Award” </w:t>
      </w:r>
      <w:r>
        <w:rPr>
          <w:rFonts w:ascii="Times New Roman" w:cs="Times New Roman" w:eastAsia="Times New Roman" w:hAnsi="Times New Roman"/>
          <w:sz w:val="18"/>
          <w:szCs w:val="18"/>
          <w:color w:val="auto"/>
        </w:rPr>
        <w:t>means an Award that is not an Option, Stock Appreciation Right, Restricted Stock, Restricted Stock Unit,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Performance Stock Award that is granted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is payable by delivery of Common Stock and/or which is measured by reference to the value of Common Stock.</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person to whom an Award is granted pursuant to the Plan or, if applicable, such other person who holds an outstanding Award.</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for a Performance Period, the one or more goals established by the Committee for the Performance Period based upon business criteria or other performance measures determined by the Committee in its discretion.</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one or more periods of time, as the Committee may select, over which the attainment of one or more Performance Goals will be measured for the purpose of determining a Participant’s right to and the payment of a Performance Stock Award or a Cash Award.</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Stock Award</w:t>
      </w:r>
      <w:r>
        <w:rPr>
          <w:rFonts w:ascii="Times New Roman" w:cs="Times New Roman" w:eastAsia="Times New Roman" w:hAnsi="Times New Roman"/>
          <w:sz w:val="18"/>
          <w:szCs w:val="18"/>
          <w:color w:val="auto"/>
        </w:rPr>
        <w:t xml:space="preserve">” means any Award granted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Stock</w:t>
      </w:r>
      <w:r>
        <w:rPr>
          <w:rFonts w:ascii="Times New Roman" w:cs="Times New Roman" w:eastAsia="Times New Roman" w:hAnsi="Times New Roman"/>
          <w:sz w:val="18"/>
          <w:szCs w:val="18"/>
          <w:color w:val="auto"/>
        </w:rPr>
        <w:t>” means the grant of a right to receive a number of actual shares of Common Stock or stock units based upon the performance of the Company during a Performance Period, as determined by the Committee.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 person as defined in Section 13(d)(3) of the Exchange 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XpresSpa Group, Inc. 2020 Equity Incentive Plan, as amended and/or amended and restated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means the Vringo, Inc. 2012 Employee, Director and Consultant Equity Incentive Plan,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Award</w:t>
      </w:r>
      <w:r>
        <w:rPr>
          <w:rFonts w:ascii="Times New Roman" w:cs="Times New Roman" w:eastAsia="Times New Roman" w:hAnsi="Times New Roman"/>
          <w:sz w:val="18"/>
          <w:szCs w:val="18"/>
          <w:color w:val="auto"/>
        </w:rPr>
        <w:t xml:space="preserve">” means any Award granted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xml:space="preserve">” means the right pursuant to an Award granted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to receive, upon exercise, an amount payable in cash or stock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for Stock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“Substitute Award” </w:t>
      </w:r>
      <w:r>
        <w:rPr>
          <w:rFonts w:ascii="Times New Roman" w:cs="Times New Roman" w:eastAsia="Times New Roman" w:hAnsi="Times New Roman"/>
          <w:sz w:val="18"/>
          <w:szCs w:val="18"/>
          <w:color w:val="auto"/>
        </w:rPr>
        <w:t>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shares possessing more than 10% of the total combined voting power of all classes of shares of the Company or of any of its Affiliates.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Share Reserve</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u w:val="single" w:color="auto"/>
          <w:color w:val="000000"/>
        </w:rPr>
        <w:t>Authority of Committee</w:t>
      </w:r>
      <w:r>
        <w:rPr>
          <w:rFonts w:ascii="Times New Roman" w:cs="Times New Roman" w:eastAsia="Times New Roman" w:hAnsi="Times New Roman"/>
          <w:sz w:val="18"/>
          <w:szCs w:val="18"/>
          <w:color w:val="000000"/>
        </w:rPr>
        <w:t>. The Plan shall be administered by the Committee or, in the Board’s sole discretion, by the Board. Subject to the terms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Plan, the Committee’s charter and Applicable Laws, and in addition to other express powers and authorization conferred by the Plan, the Committee shall have the authority:</w:t>
      </w:r>
    </w:p>
    <w:p>
      <w:pPr>
        <w:spacing w:after="0" w:line="176" w:lineRule="exact"/>
        <w:rPr>
          <w:sz w:val="20"/>
          <w:szCs w:val="20"/>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construe and interpret the Plan and apply its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920" w:hanging="264"/>
        <w:spacing w:after="0"/>
        <w:tabs>
          <w:tab w:leader="none" w:pos="92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promulgate, amend, and rescind rules and regulations relating to the administration of the Plan;</w:t>
      </w:r>
    </w:p>
    <w:p>
      <w:pPr>
        <w:spacing w:after="0" w:line="225" w:lineRule="exact"/>
        <w:rPr>
          <w:rFonts w:ascii="Times New Roman" w:cs="Times New Roman" w:eastAsia="Times New Roman" w:hAnsi="Times New Roman"/>
          <w:sz w:val="18"/>
          <w:szCs w:val="18"/>
          <w:color w:val="010000"/>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authorize any person to execute, on behalf of the Company, any instrument required to carry out the purposes of the Plan;</w:t>
      </w:r>
    </w:p>
    <w:p>
      <w:pPr>
        <w:spacing w:after="0" w:line="225" w:lineRule="exact"/>
        <w:rPr>
          <w:rFonts w:ascii="Times New Roman" w:cs="Times New Roman" w:eastAsia="Times New Roman" w:hAnsi="Times New Roman"/>
          <w:sz w:val="18"/>
          <w:szCs w:val="18"/>
          <w:color w:val="010000"/>
        </w:rPr>
      </w:pPr>
    </w:p>
    <w:p>
      <w:pPr>
        <w:ind w:right="20" w:firstLine="656"/>
        <w:spacing w:after="0" w:line="282" w:lineRule="auto"/>
        <w:tabs>
          <w:tab w:leader="none" w:pos="903"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delegate its authority to one or more Officers of the Company with respect to Awards that do not involve “insiders” within the meaning of Section 16 of the Exchange Act;</w:t>
      </w:r>
    </w:p>
    <w:p>
      <w:pPr>
        <w:spacing w:after="0" w:line="161" w:lineRule="exact"/>
        <w:rPr>
          <w:rFonts w:ascii="Times New Roman" w:cs="Times New Roman" w:eastAsia="Times New Roman" w:hAnsi="Times New Roman"/>
          <w:sz w:val="18"/>
          <w:szCs w:val="18"/>
          <w:color w:val="010000"/>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determine when Awards are to be granted under the Plan and the applicable Grant Date;</w:t>
      </w:r>
    </w:p>
    <w:p>
      <w:pPr>
        <w:spacing w:after="0" w:line="225" w:lineRule="exact"/>
        <w:rPr>
          <w:rFonts w:ascii="Times New Roman" w:cs="Times New Roman" w:eastAsia="Times New Roman" w:hAnsi="Times New Roman"/>
          <w:sz w:val="18"/>
          <w:szCs w:val="18"/>
          <w:color w:val="010000"/>
        </w:rPr>
      </w:pPr>
    </w:p>
    <w:p>
      <w:pPr>
        <w:ind w:left="880" w:hanging="224"/>
        <w:spacing w:after="0"/>
        <w:tabs>
          <w:tab w:leader="none" w:pos="88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time to time to select, subject to the limitations set forth in this Plan, those eligible Award recipients to whom Awards shall be granted;</w:t>
      </w:r>
    </w:p>
    <w:p>
      <w:pPr>
        <w:spacing w:after="0" w:line="225" w:lineRule="exact"/>
        <w:rPr>
          <w:rFonts w:ascii="Times New Roman" w:cs="Times New Roman" w:eastAsia="Times New Roman" w:hAnsi="Times New Roman"/>
          <w:sz w:val="18"/>
          <w:szCs w:val="18"/>
          <w:color w:val="010000"/>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determine the number of shares of Common Stock to be made subject to each Award;</w:t>
      </w:r>
    </w:p>
    <w:p>
      <w:pPr>
        <w:spacing w:after="0" w:line="225" w:lineRule="exact"/>
        <w:rPr>
          <w:rFonts w:ascii="Times New Roman" w:cs="Times New Roman" w:eastAsia="Times New Roman" w:hAnsi="Times New Roman"/>
          <w:sz w:val="18"/>
          <w:szCs w:val="18"/>
          <w:color w:val="010000"/>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determine whether each Option is to be an Incentive Stock Option or a Non-Qualified Stock Option;</w:t>
      </w:r>
    </w:p>
    <w:p>
      <w:pPr>
        <w:spacing w:after="0" w:line="225" w:lineRule="exact"/>
        <w:rPr>
          <w:rFonts w:ascii="Times New Roman" w:cs="Times New Roman" w:eastAsia="Times New Roman" w:hAnsi="Times New Roman"/>
          <w:sz w:val="18"/>
          <w:szCs w:val="18"/>
          <w:color w:val="010000"/>
        </w:rPr>
      </w:pPr>
    </w:p>
    <w:p>
      <w:pPr>
        <w:ind w:right="20" w:firstLine="656"/>
        <w:spacing w:after="0" w:line="282" w:lineRule="auto"/>
        <w:tabs>
          <w:tab w:leader="none" w:pos="87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161" w:lineRule="exact"/>
        <w:rPr>
          <w:rFonts w:ascii="Times New Roman" w:cs="Times New Roman" w:eastAsia="Times New Roman" w:hAnsi="Times New Roman"/>
          <w:sz w:val="18"/>
          <w:szCs w:val="18"/>
          <w:color w:val="010000"/>
        </w:rPr>
      </w:pPr>
    </w:p>
    <w:p>
      <w:pPr>
        <w:ind w:right="20" w:firstLine="656"/>
        <w:spacing w:after="0" w:line="282" w:lineRule="auto"/>
        <w:tabs>
          <w:tab w:leader="none" w:pos="863"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determine the target number of Performance Stock to be granted pursuant to a Performance Stock Award, the performance measures that will be used to establish the Performance Goals, the Performance Period(s) and the number of Performance Stock earned by a Participant;</w:t>
      </w:r>
    </w:p>
    <w:p>
      <w:pPr>
        <w:spacing w:after="0" w:line="161" w:lineRule="exact"/>
        <w:rPr>
          <w:rFonts w:ascii="Times New Roman" w:cs="Times New Roman" w:eastAsia="Times New Roman" w:hAnsi="Times New Roman"/>
          <w:sz w:val="18"/>
          <w:szCs w:val="18"/>
          <w:color w:val="010000"/>
        </w:rPr>
      </w:pPr>
    </w:p>
    <w:p>
      <w:pPr>
        <w:jc w:val="both"/>
        <w:ind w:firstLine="656"/>
        <w:spacing w:after="0" w:line="266" w:lineRule="auto"/>
        <w:tabs>
          <w:tab w:leader="none" w:pos="91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7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87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75" w:lineRule="exact"/>
        <w:rPr>
          <w:rFonts w:ascii="Times New Roman" w:cs="Times New Roman" w:eastAsia="Times New Roman" w:hAnsi="Times New Roman"/>
          <w:sz w:val="18"/>
          <w:szCs w:val="18"/>
          <w:color w:val="010000"/>
        </w:rPr>
      </w:pPr>
    </w:p>
    <w:p>
      <w:pPr>
        <w:ind w:right="20" w:firstLine="656"/>
        <w:spacing w:after="0" w:line="282" w:lineRule="auto"/>
        <w:tabs>
          <w:tab w:leader="none" w:pos="953"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make decisions with respect to outstanding Awards that may become necessary upon a change in corporate control or an event that triggers anti-dilution adjustments;</w:t>
      </w:r>
    </w:p>
    <w:p>
      <w:pPr>
        <w:spacing w:after="0" w:line="161" w:lineRule="exact"/>
        <w:rPr>
          <w:rFonts w:ascii="Times New Roman" w:cs="Times New Roman" w:eastAsia="Times New Roman" w:hAnsi="Times New Roman"/>
          <w:sz w:val="18"/>
          <w:szCs w:val="18"/>
          <w:color w:val="010000"/>
        </w:rPr>
      </w:pPr>
    </w:p>
    <w:p>
      <w:pPr>
        <w:ind w:right="20" w:firstLine="656"/>
        <w:spacing w:after="0" w:line="282" w:lineRule="auto"/>
        <w:tabs>
          <w:tab w:leader="none" w:pos="91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interpret, administer, reconcile any inconsistency in, correct any defect in and/or supply any omission in the Plan and any instrument or agreement relating to, or Award granted under, the Plan; and</w:t>
      </w:r>
    </w:p>
    <w:p>
      <w:pPr>
        <w:spacing w:after="0" w:line="161" w:lineRule="exact"/>
        <w:rPr>
          <w:rFonts w:ascii="Times New Roman" w:cs="Times New Roman" w:eastAsia="Times New Roman" w:hAnsi="Times New Roman"/>
          <w:sz w:val="18"/>
          <w:szCs w:val="18"/>
          <w:color w:val="010000"/>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exercise discretion to make any and all other determinations which it determines to be necessary or advisable for the administration of the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Plan.</w:t>
      </w:r>
    </w:p>
    <w:p>
      <w:pPr>
        <w:spacing w:after="0" w:line="205" w:lineRule="exact"/>
        <w:rPr>
          <w:sz w:val="20"/>
          <w:szCs w:val="20"/>
          <w:color w:val="auto"/>
        </w:rPr>
      </w:pPr>
    </w:p>
    <w:p>
      <w:pPr>
        <w:ind w:right="7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Committee also may modify the purchase price or the exercise price of any outstanding Award,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modification effects a repricing, stockholder approval shall be required before the repricing is effective.</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u w:val="single" w:color="auto"/>
          <w:color w:val="000000"/>
        </w:rPr>
        <w:t>Committee Decisions Final</w:t>
      </w:r>
      <w:r>
        <w:rPr>
          <w:rFonts w:ascii="Times New Roman" w:cs="Times New Roman" w:eastAsia="Times New Roman" w:hAnsi="Times New Roman"/>
          <w:sz w:val="18"/>
          <w:szCs w:val="18"/>
          <w:color w:val="000000"/>
        </w:rPr>
        <w:t>. All decisions made by the Committee pursuant to the provisions of the Plan shall be final and binding 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and the Participants, unless such decisions are determined by a court having jurisdiction to be arbitrary and capricious.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010000"/>
        </w:rPr>
        <w:t xml:space="preserve">3.3 </w:t>
      </w:r>
      <w:r>
        <w:rPr>
          <w:rFonts w:ascii="Times New Roman" w:cs="Times New Roman" w:eastAsia="Times New Roman" w:hAnsi="Times New Roman"/>
          <w:sz w:val="18"/>
          <w:szCs w:val="18"/>
          <w:u w:val="single" w:color="auto"/>
          <w:color w:val="000000"/>
        </w:rPr>
        <w:t>Delegation</w:t>
      </w:r>
      <w:r>
        <w:rPr>
          <w:rFonts w:ascii="Times New Roman" w:cs="Times New Roman" w:eastAsia="Times New Roman" w:hAnsi="Times New Roman"/>
          <w:sz w:val="18"/>
          <w:szCs w:val="18"/>
          <w:color w:val="000000"/>
        </w:rPr>
        <w:t>. The Committee or, if no Committee has been appointed, the Board may delegate administration of the Plan to a committee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committees of one or more members of the Board, and the term “</w:t>
      </w:r>
      <w:r>
        <w:rPr>
          <w:rFonts w:ascii="Times New Roman" w:cs="Times New Roman" w:eastAsia="Times New Roman" w:hAnsi="Times New Roman"/>
          <w:sz w:val="18"/>
          <w:szCs w:val="18"/>
          <w:b w:val="1"/>
          <w:bCs w:val="1"/>
          <w:color w:val="000000"/>
        </w:rPr>
        <w:t>Committee</w:t>
      </w:r>
      <w:r>
        <w:rPr>
          <w:rFonts w:ascii="Times New Roman" w:cs="Times New Roman" w:eastAsia="Times New Roman" w:hAnsi="Times New Roman"/>
          <w:sz w:val="18"/>
          <w:szCs w:val="18"/>
          <w:color w:val="000000"/>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324"/>
        <w:spacing w:after="0" w:line="255" w:lineRule="auto"/>
        <w:rPr>
          <w:sz w:val="20"/>
          <w:szCs w:val="20"/>
          <w:color w:val="auto"/>
        </w:rPr>
      </w:pPr>
      <w:r>
        <w:rPr>
          <w:rFonts w:ascii="Times New Roman" w:cs="Times New Roman" w:eastAsia="Times New Roman" w:hAnsi="Times New Roman"/>
          <w:sz w:val="18"/>
          <w:szCs w:val="18"/>
          <w:color w:val="010000"/>
        </w:rPr>
        <w:t xml:space="preserve">3.4 </w:t>
      </w:r>
      <w:r>
        <w:rPr>
          <w:rFonts w:ascii="Times New Roman" w:cs="Times New Roman" w:eastAsia="Times New Roman" w:hAnsi="Times New Roman"/>
          <w:sz w:val="18"/>
          <w:szCs w:val="18"/>
          <w:u w:val="single" w:color="auto"/>
          <w:color w:val="000000"/>
        </w:rPr>
        <w:t>Committee Composition</w:t>
      </w:r>
      <w:r>
        <w:rPr>
          <w:rFonts w:ascii="Times New Roman" w:cs="Times New Roman" w:eastAsia="Times New Roman" w:hAnsi="Times New Roman"/>
          <w:sz w:val="18"/>
          <w:szCs w:val="18"/>
          <w:color w:val="000000"/>
        </w:rPr>
        <w:t>. Except as otherwise determined by the Board, the Committee shall consist solely of two or more Non-Employee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an Officer or Officers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010000"/>
        </w:rPr>
        <w:t xml:space="preserve">3.5 </w:t>
      </w:r>
      <w:r>
        <w:rPr>
          <w:rFonts w:ascii="Times New Roman" w:cs="Times New Roman" w:eastAsia="Times New Roman" w:hAnsi="Times New Roman"/>
          <w:sz w:val="18"/>
          <w:szCs w:val="18"/>
          <w:u w:val="single" w:color="auto"/>
          <w:color w:val="000000"/>
        </w:rPr>
        <w:t>Indemnification</w:t>
      </w:r>
      <w:r>
        <w:rPr>
          <w:rFonts w:ascii="Times New Roman" w:cs="Times New Roman" w:eastAsia="Times New Roman" w:hAnsi="Times New Roman"/>
          <w:sz w:val="18"/>
          <w:szCs w:val="18"/>
          <w:color w:val="000000"/>
        </w:rPr>
        <w:t>. In addition to such other rights of indemnification as they may have as Directors or members of the Committee, and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within 60 days after the institution of any such action, suit or proceeding, such Committee shall, in writing, offer the Company the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opportunity at its own expense to handle and defend such action, suit or proceeding.</w:t>
      </w:r>
    </w:p>
    <w:p>
      <w:pPr>
        <w:spacing w:after="0" w:line="194"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010000"/>
        </w:rPr>
        <w:t xml:space="preserve">4.1 </w:t>
      </w:r>
      <w:r>
        <w:rPr>
          <w:rFonts w:ascii="Times New Roman" w:cs="Times New Roman" w:eastAsia="Times New Roman" w:hAnsi="Times New Roman"/>
          <w:sz w:val="18"/>
          <w:szCs w:val="18"/>
          <w:color w:val="000000"/>
        </w:rPr>
        <w:t>Subject to adjustment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w:t>
      </w:r>
      <w:r>
        <w:rPr>
          <w:rFonts w:ascii="Times New Roman" w:cs="Times New Roman" w:eastAsia="Times New Roman" w:hAnsi="Times New Roman"/>
          <w:sz w:val="18"/>
          <w:szCs w:val="18"/>
          <w:color w:val="000000"/>
        </w:rPr>
        <w:t>, the maximum aggregate number of shares of Common Stock available for issuance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Plan is 5,000,000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 w:cs="Times New Roman" w:eastAsia="Times New Roman" w:hAnsi="Times New Roman"/>
          <w:sz w:val="18"/>
          <w:szCs w:val="18"/>
          <w:b w:val="1"/>
          <w:bCs w:val="1"/>
          <w:color w:val="000000"/>
        </w:rPr>
        <w:t>Total Share Reserve</w:t>
      </w:r>
      <w:r>
        <w:rPr>
          <w:rFonts w:ascii="Times New Roman" w:cs="Times New Roman" w:eastAsia="Times New Roman" w:hAnsi="Times New Roman"/>
          <w:sz w:val="18"/>
          <w:szCs w:val="18"/>
          <w:color w:val="000000"/>
        </w:rPr>
        <w:t>”). During the terms of the Awards, the Company shall keep available at all times the number of shares of Common Stock required to satisfy such Awards. Upon the approval of this Plan by Company stockholders, no additional awards will be granted under the Prior Plan or any predecessor plan; provided that all outstanding awards previously granted under the Prior Plan or predecessor plans as of such approval date shall remain outstanding and shall be administered and settled in accordance with the provisions of the Prior Plan and such other predecessor plans.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010000"/>
        </w:rPr>
        <w:t xml:space="preserve">4.2 </w:t>
      </w:r>
      <w:r>
        <w:rPr>
          <w:rFonts w:ascii="Times New Roman" w:cs="Times New Roman" w:eastAsia="Times New Roman" w:hAnsi="Times New Roman"/>
          <w:sz w:val="18"/>
          <w:szCs w:val="18"/>
          <w:color w:val="000000"/>
        </w:rPr>
        <w:t>Common Stock available for distribution under the Plan may consist, in whole or in part, of authorized and unissued shares, treasury shares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shares reacquired by the Company in any manner.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010000"/>
        </w:rPr>
        <w:t xml:space="preserve">4.3 </w:t>
      </w:r>
      <w:r>
        <w:rPr>
          <w:rFonts w:ascii="Times New Roman" w:cs="Times New Roman" w:eastAsia="Times New Roman" w:hAnsi="Times New Roman"/>
          <w:sz w:val="18"/>
          <w:szCs w:val="18"/>
          <w:color w:val="000000"/>
        </w:rPr>
        <w:t>Subject to adjustment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w:t>
      </w:r>
      <w:r>
        <w:rPr>
          <w:rFonts w:ascii="Times New Roman" w:cs="Times New Roman" w:eastAsia="Times New Roman" w:hAnsi="Times New Roman"/>
          <w:sz w:val="18"/>
          <w:szCs w:val="18"/>
          <w:color w:val="000000"/>
        </w:rPr>
        <w:t>, no more than 5,000,000 shares of Common Stock may be issued in the aggregate pursuant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to the exercise of Incentive Stock Options (the </w:t>
      </w:r>
      <w:r>
        <w:rPr>
          <w:rFonts w:ascii="Times New Roman" w:cs="Times New Roman" w:eastAsia="Times New Roman" w:hAnsi="Times New Roman"/>
          <w:sz w:val="18"/>
          <w:szCs w:val="18"/>
          <w:b w:val="1"/>
          <w:bCs w:val="1"/>
          <w:color w:val="000000"/>
        </w:rPr>
        <w:t>“ISO Limit”</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4.4 </w:t>
      </w:r>
      <w:r>
        <w:rPr>
          <w:rFonts w:ascii="Times New Roman" w:cs="Times New Roman" w:eastAsia="Times New Roman" w:hAnsi="Times New Roman"/>
          <w:sz w:val="18"/>
          <w:szCs w:val="18"/>
          <w:color w:val="000000"/>
        </w:rPr>
        <w:t>The maximum number of shares of Common Stock subject to Awards granted during a single Fiscal Year to any Director who is not an Employee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Consultant during the Fiscal Year shall not exceed a total value of $400,000 (calculating the value of any Awards based on the grant date fair value for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324"/>
        <w:spacing w:after="0" w:line="258" w:lineRule="auto"/>
        <w:rPr>
          <w:sz w:val="20"/>
          <w:szCs w:val="20"/>
          <w:color w:val="auto"/>
        </w:rPr>
      </w:pPr>
      <w:r>
        <w:rPr>
          <w:rFonts w:ascii="Times New Roman" w:cs="Times New Roman" w:eastAsia="Times New Roman" w:hAnsi="Times New Roman"/>
          <w:sz w:val="18"/>
          <w:szCs w:val="18"/>
          <w:color w:val="010000"/>
        </w:rPr>
        <w:t xml:space="preserve">4.5 </w:t>
      </w:r>
      <w:r>
        <w:rPr>
          <w:rFonts w:ascii="Times New Roman" w:cs="Times New Roman" w:eastAsia="Times New Roman" w:hAnsi="Times New Roman"/>
          <w:sz w:val="18"/>
          <w:szCs w:val="18"/>
          <w:color w:val="000000"/>
        </w:rPr>
        <w:t>Any Common Stock subject to an Award that expires or is canceled, forfeited, or terminated without issuance of the full number of shares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010000"/>
        </w:rPr>
        <w:t xml:space="preserve">4.6 </w:t>
      </w:r>
      <w:r>
        <w:rPr>
          <w:rFonts w:ascii="Times New Roman" w:cs="Times New Roman" w:eastAsia="Times New Roman" w:hAnsi="Times New Roman"/>
          <w:sz w:val="18"/>
          <w:szCs w:val="18"/>
          <w:color w:val="000000"/>
        </w:rPr>
        <w:t>Awards may, in the sole discretion of the Committee, be granted under the Plan in assumption of, or in substitution for, outstanding awards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previously granted by an entity acquired by the Company or with which the Company combines (“</w:t>
      </w:r>
      <w:r>
        <w:rPr>
          <w:rFonts w:ascii="Times New Roman" w:cs="Times New Roman" w:eastAsia="Times New Roman" w:hAnsi="Times New Roman"/>
          <w:sz w:val="18"/>
          <w:szCs w:val="18"/>
          <w:b w:val="1"/>
          <w:bCs w:val="1"/>
          <w:color w:val="000000"/>
        </w:rPr>
        <w:t>Substitute Awards</w:t>
      </w:r>
      <w:r>
        <w:rPr>
          <w:rFonts w:ascii="Times New Roman" w:cs="Times New Roman" w:eastAsia="Times New Roman" w:hAnsi="Times New Roman"/>
          <w:sz w:val="18"/>
          <w:szCs w:val="18"/>
          <w:color w:val="000000"/>
        </w:rPr>
        <w:t>”). Substitute Awards shall not be counted against the Total Share Reserve; provided, that, Substitute Awards issued in connection with the assumption of, or in substitution for, outstanding options intended to qualify as Incentive Stock Options shall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4.7 </w:t>
      </w:r>
      <w:r>
        <w:rPr>
          <w:rFonts w:ascii="Times New Roman" w:cs="Times New Roman" w:eastAsia="Times New Roman" w:hAnsi="Times New Roman"/>
          <w:sz w:val="18"/>
          <w:szCs w:val="18"/>
          <w:color w:val="000000"/>
        </w:rPr>
        <w:t>No dividends will be paid to a Participant with respect to any shares subject to an Award prior to the vesting of such Award. For the avoidance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doubt, as described in </w:t>
      </w:r>
      <w:r>
        <w:rPr>
          <w:rFonts w:ascii="Times New Roman" w:cs="Times New Roman" w:eastAsia="Times New Roman" w:hAnsi="Times New Roman"/>
          <w:sz w:val="18"/>
          <w:szCs w:val="18"/>
          <w:u w:val="single" w:color="auto"/>
          <w:color w:val="000000"/>
        </w:rPr>
        <w:t>Section 7.2(b)</w:t>
      </w:r>
      <w:r>
        <w:rPr>
          <w:rFonts w:ascii="Times New Roman" w:cs="Times New Roman" w:eastAsia="Times New Roman" w:hAnsi="Times New Roman"/>
          <w:sz w:val="18"/>
          <w:szCs w:val="18"/>
          <w:color w:val="000000"/>
        </w:rPr>
        <w:t>, any dividends that may be attributable to any particular share of Restricted Stock or any particular Restricted Stock Unit or Deferred Stock Unit shall only be distributed to a Participant upon the release of restrictions on such share of Restricted Stock or the settlement of such Restricted Stock Unit or Deferred Stock Unit, as applicable, and a Participant shall have no right to such dividends if such Award is forfeited.</w:t>
      </w:r>
    </w:p>
    <w:p>
      <w:pPr>
        <w:spacing w:after="0" w:line="180"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5.1 </w:t>
      </w:r>
      <w:r>
        <w:rPr>
          <w:rFonts w:ascii="Times New Roman" w:cs="Times New Roman" w:eastAsia="Times New Roman" w:hAnsi="Times New Roman"/>
          <w:sz w:val="18"/>
          <w:szCs w:val="18"/>
          <w:u w:val="single" w:color="auto"/>
          <w:color w:val="000000"/>
        </w:rPr>
        <w:t>Eligibility for Specific Awards.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Incentive Stock Options may be granted only to Employees. Awards other than Incentive Stock Options may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granted to Employees, Consultants and Directors and those individuals whom the Committee determines are reasonably expected to become Employees, Consultants and Directors following the Grant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5.2 </w:t>
      </w:r>
      <w:r>
        <w:rPr>
          <w:rFonts w:ascii="Times New Roman" w:cs="Times New Roman" w:eastAsia="Times New Roman" w:hAnsi="Times New Roman"/>
          <w:sz w:val="18"/>
          <w:szCs w:val="18"/>
          <w:u w:val="single" w:color="auto"/>
          <w:color w:val="000000"/>
        </w:rPr>
        <w:t>Ten Percent Stockholders</w:t>
      </w:r>
      <w:r>
        <w:rPr>
          <w:rFonts w:ascii="Times New Roman" w:cs="Times New Roman" w:eastAsia="Times New Roman" w:hAnsi="Times New Roman"/>
          <w:sz w:val="18"/>
          <w:szCs w:val="18"/>
          <w:color w:val="000000"/>
        </w:rPr>
        <w:t>. A Ten Percent Stockholder shall not be granted an Incentive Stock Option unless the Option Exercise Price is at least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110% of the Fair Market Value of the Common Stock on the Grant Date and the Option is not exercisable after the expiration of five years from the Grant Date.</w:t>
      </w:r>
    </w:p>
    <w:p>
      <w:pPr>
        <w:spacing w:after="0" w:line="176" w:lineRule="exact"/>
        <w:rPr>
          <w:sz w:val="20"/>
          <w:szCs w:val="20"/>
          <w:color w:val="auto"/>
        </w:rPr>
      </w:pPr>
    </w:p>
    <w:p>
      <w:pPr>
        <w:jc w:val="both"/>
        <w:ind w:firstLine="8"/>
        <w:spacing w:after="0" w:line="254" w:lineRule="auto"/>
        <w:tabs>
          <w:tab w:leader="none" w:pos="3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Provisions</w:t>
      </w:r>
      <w:r>
        <w:rPr>
          <w:rFonts w:ascii="Times New Roman" w:cs="Times New Roman" w:eastAsia="Times New Roman" w:hAnsi="Times New Roman"/>
          <w:sz w:val="18"/>
          <w:szCs w:val="18"/>
          <w:color w:val="auto"/>
        </w:rPr>
        <w:t>. Each Option granted under the Plan shall be evidenced by an Award Agreement. Each Option so granted shall be subject to the conditions set forth in this Section,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6.1 </w:t>
      </w:r>
      <w:r>
        <w:rPr>
          <w:rFonts w:ascii="Times New Roman" w:cs="Times New Roman" w:eastAsia="Times New Roman" w:hAnsi="Times New Roman"/>
          <w:sz w:val="18"/>
          <w:szCs w:val="18"/>
          <w:u w:val="single" w:color="auto"/>
          <w:color w:val="000000"/>
        </w:rPr>
        <w:t>Term</w:t>
      </w:r>
      <w:r>
        <w:rPr>
          <w:rFonts w:ascii="Times New Roman" w:cs="Times New Roman" w:eastAsia="Times New Roman" w:hAnsi="Times New Roman"/>
          <w:sz w:val="18"/>
          <w:szCs w:val="18"/>
          <w:color w:val="000000"/>
        </w:rPr>
        <w:t>. Subject to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regarding Ten Percent Stockholders, no Incentive Stock Option shall be exercisable after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expiration of 10 years from the Grant Date. The term of a Non-Qualified Stock Option granted under the Plan shall be determined by the Committee;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no Non-Qualified Stock Option shall be exercisable after the expiration of 10 years from the Grant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6.2 </w:t>
      </w:r>
      <w:r>
        <w:rPr>
          <w:rFonts w:ascii="Times New Roman" w:cs="Times New Roman" w:eastAsia="Times New Roman" w:hAnsi="Times New Roman"/>
          <w:sz w:val="18"/>
          <w:szCs w:val="18"/>
          <w:u w:val="single" w:color="auto"/>
          <w:color w:val="000000"/>
        </w:rPr>
        <w:t>Exercise Price of an Incentive Stock Option</w:t>
      </w:r>
      <w:r>
        <w:rPr>
          <w:rFonts w:ascii="Times New Roman" w:cs="Times New Roman" w:eastAsia="Times New Roman" w:hAnsi="Times New Roman"/>
          <w:sz w:val="18"/>
          <w:szCs w:val="18"/>
          <w:color w:val="000000"/>
        </w:rPr>
        <w:t>. Subject to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regarding Ten Percent Stockholders, the Option Exercise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6.3 </w:t>
      </w:r>
      <w:r>
        <w:rPr>
          <w:rFonts w:ascii="Times New Roman" w:cs="Times New Roman" w:eastAsia="Times New Roman" w:hAnsi="Times New Roman"/>
          <w:sz w:val="18"/>
          <w:szCs w:val="18"/>
          <w:u w:val="single" w:color="auto"/>
          <w:color w:val="000000"/>
        </w:rPr>
        <w:t>Exercise Price of a Non-Qualified Stock Option</w:t>
      </w:r>
      <w:r>
        <w:rPr>
          <w:rFonts w:ascii="Times New Roman" w:cs="Times New Roman" w:eastAsia="Times New Roman" w:hAnsi="Times New Roman"/>
          <w:sz w:val="18"/>
          <w:szCs w:val="18"/>
          <w:color w:val="000000"/>
        </w:rPr>
        <w:t>. The Option Exercise Price of each Non-Qualified Stock Option shall be not less than 100%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010000"/>
        </w:rPr>
        <w:t xml:space="preserve">6.4 </w:t>
      </w:r>
      <w:r>
        <w:rPr>
          <w:rFonts w:ascii="Times New Roman" w:cs="Times New Roman" w:eastAsia="Times New Roman" w:hAnsi="Times New Roman"/>
          <w:sz w:val="18"/>
          <w:szCs w:val="18"/>
          <w:u w:val="single" w:color="auto"/>
          <w:color w:val="000000"/>
        </w:rPr>
        <w:t>Consideration</w:t>
      </w:r>
      <w:r>
        <w:rPr>
          <w:rFonts w:ascii="Times New Roman" w:cs="Times New Roman" w:eastAsia="Times New Roman" w:hAnsi="Times New Roman"/>
          <w:sz w:val="18"/>
          <w:szCs w:val="18"/>
          <w:color w:val="000000"/>
        </w:rPr>
        <w:t>. The Option Exercise Price of Common Stock acquired pursuant to an Option shall be paid, to the extent permitted by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8"/>
          <w:szCs w:val="18"/>
          <w:b w:val="1"/>
          <w:bCs w:val="1"/>
          <w:color w:val="000000"/>
        </w:rPr>
        <w:t>Stock for Stock</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000000"/>
        </w:rPr>
        <w:t>Exchange</w:t>
      </w:r>
      <w:r>
        <w:rPr>
          <w:rFonts w:ascii="Times New Roman" w:cs="Times New Roman" w:eastAsia="Times New Roman" w:hAnsi="Times New Roman"/>
          <w:sz w:val="18"/>
          <w:szCs w:val="18"/>
          <w:color w:val="000000"/>
        </w:rPr>
        <w:t>”); (ii) if the shares of Common Stock are listed on any established stock exchange or a national market system, through the delivery of</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Option Exercise Price at the time of exercise (i.e., by means of a “net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 Notwithstanding the foregoing, the Committee shall accept only such payment on exercise of an Incentive Stock Option as is permitted by Section 422 of the Code.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6.5 </w:t>
      </w:r>
      <w:r>
        <w:rPr>
          <w:rFonts w:ascii="Times New Roman" w:cs="Times New Roman" w:eastAsia="Times New Roman" w:hAnsi="Times New Roman"/>
          <w:sz w:val="18"/>
          <w:szCs w:val="18"/>
          <w:u w:val="single" w:color="auto"/>
          <w:color w:val="000000"/>
        </w:rPr>
        <w:t>Transferability of an Incentive Stock Option</w:t>
      </w:r>
      <w:r>
        <w:rPr>
          <w:rFonts w:ascii="Times New Roman" w:cs="Times New Roman" w:eastAsia="Times New Roman" w:hAnsi="Times New Roman"/>
          <w:sz w:val="18"/>
          <w:szCs w:val="18"/>
          <w:color w:val="000000"/>
        </w:rPr>
        <w:t>. An Incentive Stock Option shall not be transferable except by will or by the laws of descent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010000"/>
        </w:rPr>
        <w:t xml:space="preserve">6.6 </w:t>
      </w:r>
      <w:r>
        <w:rPr>
          <w:rFonts w:ascii="Times New Roman" w:cs="Times New Roman" w:eastAsia="Times New Roman" w:hAnsi="Times New Roman"/>
          <w:sz w:val="18"/>
          <w:szCs w:val="18"/>
          <w:u w:val="single" w:color="auto"/>
          <w:color w:val="000000"/>
        </w:rPr>
        <w:t>Transferability of a Non-Qualified Stock Option</w:t>
      </w:r>
      <w:r>
        <w:rPr>
          <w:rFonts w:ascii="Times New Roman" w:cs="Times New Roman" w:eastAsia="Times New Roman" w:hAnsi="Times New Roman"/>
          <w:sz w:val="18"/>
          <w:szCs w:val="18"/>
          <w:color w:val="000000"/>
        </w:rPr>
        <w:t>. A Non-Qualified Stock Option may, in the sole discretion of the Committee, be transferable,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6.7 </w:t>
      </w:r>
      <w:r>
        <w:rPr>
          <w:rFonts w:ascii="Times New Roman" w:cs="Times New Roman" w:eastAsia="Times New Roman" w:hAnsi="Times New Roman"/>
          <w:sz w:val="18"/>
          <w:szCs w:val="18"/>
          <w:u w:val="single" w:color="auto"/>
          <w:color w:val="000000"/>
        </w:rPr>
        <w:t>Vesting of Options</w:t>
      </w:r>
      <w:r>
        <w:rPr>
          <w:rFonts w:ascii="Times New Roman" w:cs="Times New Roman" w:eastAsia="Times New Roman" w:hAnsi="Times New Roman"/>
          <w:sz w:val="18"/>
          <w:szCs w:val="18"/>
          <w:color w:val="000000"/>
        </w:rPr>
        <w:t>. Each Option may, but need not, vest and therefore become exercisable in periodic installments that may, but need not,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324"/>
        <w:spacing w:after="0" w:line="255" w:lineRule="auto"/>
        <w:rPr>
          <w:sz w:val="20"/>
          <w:szCs w:val="20"/>
          <w:color w:val="auto"/>
        </w:rPr>
      </w:pPr>
      <w:r>
        <w:rPr>
          <w:rFonts w:ascii="Times New Roman" w:cs="Times New Roman" w:eastAsia="Times New Roman" w:hAnsi="Times New Roman"/>
          <w:sz w:val="18"/>
          <w:szCs w:val="18"/>
          <w:color w:val="010000"/>
        </w:rPr>
        <w:t xml:space="preserve">6.8 </w:t>
      </w:r>
      <w:r>
        <w:rPr>
          <w:rFonts w:ascii="Times New Roman" w:cs="Times New Roman" w:eastAsia="Times New Roman" w:hAnsi="Times New Roman"/>
          <w:sz w:val="18"/>
          <w:szCs w:val="18"/>
          <w:u w:val="single" w:color="auto"/>
          <w:color w:val="000000"/>
        </w:rPr>
        <w:t>Termination of Continuous Service</w:t>
      </w:r>
      <w:r>
        <w:rPr>
          <w:rFonts w:ascii="Times New Roman" w:cs="Times New Roman" w:eastAsia="Times New Roman" w:hAnsi="Times New Roman"/>
          <w:sz w:val="18"/>
          <w:szCs w:val="18"/>
          <w:color w:val="000000"/>
        </w:rPr>
        <w:t>. Unless otherwise provided in an Award Agreement or in an employment agreement the terms of which have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 w:cs="Times New Roman" w:eastAsia="Times New Roman" w:hAnsi="Times New Roman"/>
          <w:sz w:val="18"/>
          <w:szCs w:val="18"/>
          <w:i w:val="1"/>
          <w:iCs w:val="1"/>
          <w:color w:val="000000"/>
        </w:rPr>
        <w:t>provided that</w:t>
      </w:r>
      <w:r>
        <w:rPr>
          <w:rFonts w:ascii="Times New Roman" w:cs="Times New Roman" w:eastAsia="Times New Roman" w:hAnsi="Times New Roman"/>
          <w:sz w:val="18"/>
          <w:szCs w:val="18"/>
          <w:color w:val="000000"/>
        </w:rPr>
        <w: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010000"/>
        </w:rPr>
        <w:t xml:space="preserve">6.9 </w:t>
      </w:r>
      <w:r>
        <w:rPr>
          <w:rFonts w:ascii="Times New Roman" w:cs="Times New Roman" w:eastAsia="Times New Roman" w:hAnsi="Times New Roman"/>
          <w:sz w:val="18"/>
          <w:szCs w:val="18"/>
          <w:u w:val="single" w:color="auto"/>
          <w:color w:val="000000"/>
        </w:rPr>
        <w:t>Extension of Termination Date</w:t>
      </w:r>
      <w:r>
        <w:rPr>
          <w:rFonts w:ascii="Times New Roman" w:cs="Times New Roman" w:eastAsia="Times New Roman" w:hAnsi="Times New Roman"/>
          <w:sz w:val="18"/>
          <w:szCs w:val="18"/>
          <w:color w:val="000000"/>
        </w:rPr>
        <w:t>. An Optionholder’s Award Agreement may also provide that if the exercise of the Option following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010000"/>
        </w:rPr>
        <w:t xml:space="preserve">6.10 </w:t>
      </w:r>
      <w:r>
        <w:rPr>
          <w:rFonts w:ascii="Times New Roman" w:cs="Times New Roman" w:eastAsia="Times New Roman" w:hAnsi="Times New Roman"/>
          <w:sz w:val="18"/>
          <w:szCs w:val="18"/>
          <w:u w:val="single" w:color="auto"/>
          <w:color w:val="000000"/>
        </w:rPr>
        <w:t>Disability of Optionholder</w:t>
      </w:r>
      <w:r>
        <w:rPr>
          <w:rFonts w:ascii="Times New Roman" w:cs="Times New Roman" w:eastAsia="Times New Roman" w:hAnsi="Times New Roman"/>
          <w:sz w:val="18"/>
          <w:szCs w:val="18"/>
          <w:color w:val="000000"/>
        </w:rPr>
        <w:t>. Unless otherwise provided in an Award Agreement, in the event that an Optionholder’s Continuous Service terminates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010000"/>
        </w:rPr>
        <w:t xml:space="preserve">6.11 </w:t>
      </w:r>
      <w:r>
        <w:rPr>
          <w:rFonts w:ascii="Times New Roman" w:cs="Times New Roman" w:eastAsia="Times New Roman" w:hAnsi="Times New Roman"/>
          <w:sz w:val="18"/>
          <w:szCs w:val="18"/>
          <w:u w:val="single" w:color="auto"/>
          <w:color w:val="000000"/>
        </w:rPr>
        <w:t>Death of Optionholder</w:t>
      </w:r>
      <w:r>
        <w:rPr>
          <w:rFonts w:ascii="Times New Roman" w:cs="Times New Roman" w:eastAsia="Times New Roman" w:hAnsi="Times New Roman"/>
          <w:sz w:val="18"/>
          <w:szCs w:val="18"/>
          <w:color w:val="000000"/>
        </w:rPr>
        <w:t>. Unless otherwise provided in an Award Agreement, in the event an Optionholder’s Continuous Service terminates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w:t>
      </w:r>
    </w:p>
    <w:p>
      <w:pPr>
        <w:spacing w:after="0" w:line="3" w:lineRule="exact"/>
        <w:rPr>
          <w:sz w:val="20"/>
          <w:szCs w:val="20"/>
          <w:color w:val="auto"/>
        </w:rPr>
      </w:pPr>
    </w:p>
    <w:p>
      <w:pPr>
        <w:ind w:firstLine="8"/>
        <w:spacing w:after="0" w:line="260"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term of such Option as set forth in the Award Agreement. If, after the Optionholder’s death, the Option is not exercised within the time specified herein or in the Award Agreement, the Option shall terminate.</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6.12 </w:t>
      </w:r>
      <w:r>
        <w:rPr>
          <w:rFonts w:ascii="Times New Roman" w:cs="Times New Roman" w:eastAsia="Times New Roman" w:hAnsi="Times New Roman"/>
          <w:sz w:val="18"/>
          <w:szCs w:val="18"/>
          <w:u w:val="single" w:color="auto"/>
          <w:color w:val="000000"/>
        </w:rPr>
        <w:t>Incentive Stock Option $100,000 Limitation</w:t>
      </w:r>
      <w:r>
        <w:rPr>
          <w:rFonts w:ascii="Times New Roman" w:cs="Times New Roman" w:eastAsia="Times New Roman" w:hAnsi="Times New Roman"/>
          <w:sz w:val="18"/>
          <w:szCs w:val="18"/>
          <w:color w:val="000000"/>
        </w:rPr>
        <w:t>. To the extent that the aggregate Fair Market Value (determined at the time of grant) of Common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10000"/>
        </w:rPr>
        <w:t xml:space="preserve">6.13 </w:t>
      </w:r>
      <w:r>
        <w:rPr>
          <w:rFonts w:ascii="Times New Roman" w:cs="Times New Roman" w:eastAsia="Times New Roman" w:hAnsi="Times New Roman"/>
          <w:sz w:val="18"/>
          <w:szCs w:val="18"/>
          <w:u w:val="single" w:color="auto"/>
          <w:color w:val="000000"/>
        </w:rPr>
        <w:t>Reload Options</w:t>
      </w:r>
      <w:r>
        <w:rPr>
          <w:rFonts w:ascii="Times New Roman" w:cs="Times New Roman" w:eastAsia="Times New Roman" w:hAnsi="Times New Roman"/>
          <w:sz w:val="18"/>
          <w:szCs w:val="18"/>
          <w:color w:val="000000"/>
        </w:rPr>
        <w:t>. No Option may include provisions that "reload" the Option upon exercise.</w:t>
      </w:r>
    </w:p>
    <w:p>
      <w:pPr>
        <w:spacing w:after="0" w:line="225" w:lineRule="exact"/>
        <w:rPr>
          <w:sz w:val="20"/>
          <w:szCs w:val="20"/>
          <w:color w:val="auto"/>
        </w:rPr>
      </w:pPr>
    </w:p>
    <w:p>
      <w:pPr>
        <w:ind w:left="340" w:right="7900" w:hanging="332"/>
        <w:spacing w:after="0" w:line="500" w:lineRule="auto"/>
        <w:tabs>
          <w:tab w:leader="none" w:pos="2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Awards Other Than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000"/>
        </w:rPr>
        <w:t xml:space="preserve">7.1 </w:t>
      </w:r>
      <w:r>
        <w:rPr>
          <w:rFonts w:ascii="Times New Roman" w:cs="Times New Roman" w:eastAsia="Times New Roman" w:hAnsi="Times New Roman"/>
          <w:sz w:val="18"/>
          <w:szCs w:val="18"/>
          <w:u w:val="single" w:color="auto"/>
          <w:color w:val="000000"/>
        </w:rPr>
        <w:t>Stock Appreciation Rights</w:t>
      </w:r>
      <w:r>
        <w:rPr>
          <w:rFonts w:ascii="Times New Roman" w:cs="Times New Roman" w:eastAsia="Times New Roman" w:hAnsi="Times New Roman"/>
          <w:sz w:val="18"/>
          <w:szCs w:val="18"/>
          <w:color w:val="000000"/>
        </w:rPr>
        <w:t>.</w:t>
      </w:r>
    </w:p>
    <w:p>
      <w:pPr>
        <w:spacing w:after="0" w:line="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1"/>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Each Stock Appreciation Right granted under the Plan shall be evidenced by an Award Agreement. Each Stock Appreciation Right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and to such other conditions not inconsistent with the Plan as may be reflected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ind w:left="-340" w:right="20" w:firstLine="656"/>
        <w:spacing w:after="0" w:line="282" w:lineRule="auto"/>
        <w:tabs>
          <w:tab w:leader="none" w:pos="576"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 of Stock Appreciation Rights</w:t>
      </w:r>
      <w:r>
        <w:rPr>
          <w:rFonts w:ascii="Times New Roman" w:cs="Times New Roman" w:eastAsia="Times New Roman" w:hAnsi="Times New Roman"/>
          <w:sz w:val="18"/>
          <w:szCs w:val="18"/>
          <w:color w:val="auto"/>
        </w:rPr>
        <w:t xml:space="preserve">. The term of a Stock Appreciation Right granted under the Plan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Stock Appreciation Right shall be exercisable later than the tenth anniversary of the Grant Date.</w:t>
      </w:r>
    </w:p>
    <w:p>
      <w:pPr>
        <w:spacing w:after="0" w:line="161" w:lineRule="exact"/>
        <w:rPr>
          <w:rFonts w:ascii="Times New Roman" w:cs="Times New Roman" w:eastAsia="Times New Roman" w:hAnsi="Times New Roman"/>
          <w:sz w:val="18"/>
          <w:szCs w:val="18"/>
          <w:color w:val="010000"/>
        </w:rPr>
      </w:pPr>
    </w:p>
    <w:p>
      <w:pPr>
        <w:jc w:val="both"/>
        <w:ind w:left="-340" w:firstLine="656"/>
        <w:spacing w:after="0" w:line="261" w:lineRule="auto"/>
        <w:tabs>
          <w:tab w:leader="none" w:pos="566"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Vesting of Stock Appreciation Rights</w:t>
      </w:r>
      <w:r>
        <w:rPr>
          <w:rFonts w:ascii="Times New Roman" w:cs="Times New Roman" w:eastAsia="Times New Roman" w:hAnsi="Times New Roman"/>
          <w:sz w:val="18"/>
          <w:szCs w:val="18"/>
          <w:color w:val="auto"/>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w:t>
      </w:r>
    </w:p>
    <w:p>
      <w:pPr>
        <w:spacing w:after="0" w:line="179" w:lineRule="exact"/>
        <w:rPr>
          <w:rFonts w:ascii="Times New Roman" w:cs="Times New Roman" w:eastAsia="Times New Roman" w:hAnsi="Times New Roman"/>
          <w:sz w:val="18"/>
          <w:szCs w:val="18"/>
          <w:color w:val="010000"/>
        </w:rPr>
      </w:pPr>
    </w:p>
    <w:p>
      <w:pPr>
        <w:jc w:val="both"/>
        <w:ind w:left="-340" w:firstLine="656"/>
        <w:spacing w:after="0" w:line="256" w:lineRule="auto"/>
        <w:tabs>
          <w:tab w:leader="none" w:pos="563"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 transferability, as determined by the Committee in its sole discretion), cash or a combination thereof, as determined by the Committee.</w:t>
      </w:r>
    </w:p>
    <w:p>
      <w:pPr>
        <w:spacing w:after="0" w:line="187" w:lineRule="exact"/>
        <w:rPr>
          <w:rFonts w:ascii="Times New Roman" w:cs="Times New Roman" w:eastAsia="Times New Roman" w:hAnsi="Times New Roman"/>
          <w:sz w:val="18"/>
          <w:szCs w:val="18"/>
          <w:color w:val="010000"/>
        </w:rPr>
      </w:pPr>
    </w:p>
    <w:p>
      <w:pPr>
        <w:ind w:left="560" w:hanging="244"/>
        <w:spacing w:after="0"/>
        <w:tabs>
          <w:tab w:leader="none" w:pos="560"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 Stock Appreciation Right shall be determined by the Committee.</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010000"/>
        </w:rPr>
        <w:t>7.2</w:t>
      </w:r>
      <w:r>
        <w:rPr>
          <w:sz w:val="20"/>
          <w:szCs w:val="20"/>
          <w:color w:val="auto"/>
        </w:rPr>
        <w:tab/>
      </w:r>
      <w:r>
        <w:rPr>
          <w:rFonts w:ascii="Times New Roman" w:cs="Times New Roman" w:eastAsia="Times New Roman" w:hAnsi="Times New Roman"/>
          <w:sz w:val="17"/>
          <w:szCs w:val="17"/>
          <w:u w:val="single" w:color="auto"/>
          <w:color w:val="auto"/>
        </w:rPr>
        <w:t>Restricted Awards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left="-340" w:firstLine="656"/>
        <w:spacing w:after="0" w:line="257" w:lineRule="auto"/>
        <w:tabs>
          <w:tab w:leader="none" w:pos="566"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 Restricted Award is an Award of actual Common Stock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or hypothetical Common Stock units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Units</w:t>
      </w:r>
      <w:r>
        <w:rPr>
          <w:rFonts w:ascii="Times New Roman" w:cs="Times New Roman" w:eastAsia="Times New Roman" w:hAnsi="Times New Roman"/>
          <w:sz w:val="18"/>
          <w:szCs w:val="18"/>
          <w:color w:val="auto"/>
        </w:rPr>
        <w:t>”) having a value equal to the Fair Market Value of an identical number of shares of Common Stock, which may, but need not, provide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as the Committee shall determine. Each Restricted Award granted under the Plan shall be evidenced by an Award Agreement. Each Restricted Award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to such other conditions not inconsistent with the Plan as may be reflected in the applicable Award Agreement.</w:t>
      </w:r>
    </w:p>
    <w:p>
      <w:pPr>
        <w:spacing w:after="0" w:line="186" w:lineRule="exact"/>
        <w:rPr>
          <w:rFonts w:ascii="Times New Roman" w:cs="Times New Roman" w:eastAsia="Times New Roman" w:hAnsi="Times New Roman"/>
          <w:sz w:val="18"/>
          <w:szCs w:val="18"/>
          <w:color w:val="010000"/>
        </w:rPr>
      </w:pPr>
    </w:p>
    <w:p>
      <w:pPr>
        <w:ind w:left="580" w:hanging="264"/>
        <w:spacing w:after="0"/>
        <w:tabs>
          <w:tab w:leader="none" w:pos="580"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Restricted Stock and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640"/>
        <w:spacing w:after="0" w:line="252" w:lineRule="auto"/>
        <w:tabs>
          <w:tab w:leader="none" w:pos="913" w:val="left"/>
        </w:tabs>
        <w:numPr>
          <w:ilvl w:val="1"/>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291465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688" w:right="339" w:bottom="1440" w:gutter="0" w:footer="0" w:header="0"/>
        </w:sectPr>
      </w:pPr>
    </w:p>
    <w:bookmarkStart w:id="13" w:name="page14"/>
    <w:bookmarkEnd w:id="13"/>
    <w:p>
      <w:pPr>
        <w:jc w:val="both"/>
        <w:ind w:left="324"/>
        <w:spacing w:after="0" w:line="253" w:lineRule="auto"/>
        <w:tabs>
          <w:tab w:leader="none" w:pos="602" w:val="left"/>
        </w:tabs>
        <w:numPr>
          <w:ilvl w:val="1"/>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8"/>
          <w:szCs w:val="18"/>
          <w:b w:val="1"/>
          <w:bCs w:val="1"/>
          <w:color w:val="auto"/>
        </w:rPr>
        <w:t>Deferred Stock Units</w:t>
      </w:r>
      <w:r>
        <w:rPr>
          <w:rFonts w:ascii="Times New Roman" w:cs="Times New Roman" w:eastAsia="Times New Roman" w:hAnsi="Times New Roman"/>
          <w:sz w:val="18"/>
          <w:szCs w:val="18"/>
          <w:color w:val="auto"/>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Dividend Equivalents shall be withheld by the Company and credited to the 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spacing w:after="0" w:line="187" w:lineRule="exact"/>
        <w:rPr>
          <w:rFonts w:ascii="Times New Roman" w:cs="Times New Roman" w:eastAsia="Times New Roman" w:hAnsi="Times New Roman"/>
          <w:sz w:val="18"/>
          <w:szCs w:val="18"/>
          <w:color w:val="010000"/>
        </w:rPr>
      </w:pPr>
    </w:p>
    <w:p>
      <w:pPr>
        <w:ind w:left="244" w:hanging="244"/>
        <w:spacing w:after="0"/>
        <w:tabs>
          <w:tab w:leader="none" w:pos="244"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324"/>
        <w:spacing w:after="0" w:line="256" w:lineRule="auto"/>
        <w:tabs>
          <w:tab w:leader="none" w:pos="584" w:val="left"/>
        </w:tabs>
        <w:numPr>
          <w:ilvl w:val="1"/>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187" w:lineRule="exact"/>
        <w:rPr>
          <w:sz w:val="20"/>
          <w:szCs w:val="20"/>
          <w:color w:val="auto"/>
        </w:rPr>
      </w:pPr>
    </w:p>
    <w:p>
      <w:pPr>
        <w:jc w:val="both"/>
        <w:ind w:left="324"/>
        <w:spacing w:after="0" w:line="258" w:lineRule="auto"/>
        <w:tabs>
          <w:tab w:leader="none" w:pos="602"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83" w:lineRule="exact"/>
        <w:rPr>
          <w:rFonts w:ascii="Times New Roman" w:cs="Times New Roman" w:eastAsia="Times New Roman" w:hAnsi="Times New Roman"/>
          <w:sz w:val="18"/>
          <w:szCs w:val="18"/>
          <w:color w:val="010000"/>
        </w:rPr>
      </w:pPr>
    </w:p>
    <w:p>
      <w:pPr>
        <w:jc w:val="both"/>
        <w:ind w:left="-656" w:firstLine="656"/>
        <w:spacing w:after="0" w:line="266" w:lineRule="auto"/>
        <w:tabs>
          <w:tab w:leader="none" w:pos="247"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w:t>
      </w:r>
    </w:p>
    <w:p>
      <w:pPr>
        <w:spacing w:after="0" w:line="175" w:lineRule="exact"/>
        <w:rPr>
          <w:rFonts w:ascii="Times New Roman" w:cs="Times New Roman" w:eastAsia="Times New Roman" w:hAnsi="Times New Roman"/>
          <w:sz w:val="18"/>
          <w:szCs w:val="18"/>
          <w:color w:val="010000"/>
        </w:rPr>
      </w:pPr>
    </w:p>
    <w:p>
      <w:pPr>
        <w:jc w:val="both"/>
        <w:ind w:left="-656" w:firstLine="656"/>
        <w:spacing w:after="0" w:line="252" w:lineRule="auto"/>
        <w:tabs>
          <w:tab w:leader="none" w:pos="236"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Delivery of Restricted Stock and Settlement of Restricted Stock Units</w:t>
      </w:r>
      <w:r>
        <w:rPr>
          <w:rFonts w:ascii="Times New Roman" w:cs="Times New Roman" w:eastAsia="Times New Roman" w:hAnsi="Times New Roman"/>
          <w:sz w:val="18"/>
          <w:szCs w:val="18"/>
          <w:color w:val="auto"/>
        </w:rPr>
        <w:t xml:space="preserve">. Upon the expiration of the Restricted Period with respect to any shares of Restricted Stock, the restrictions set forth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8"/>
          <w:szCs w:val="18"/>
          <w:b w:val="1"/>
          <w:bCs w:val="1"/>
          <w:color w:val="auto"/>
        </w:rPr>
        <w:t>Vested Unit</w:t>
      </w:r>
      <w:r>
        <w:rPr>
          <w:rFonts w:ascii="Times New Roman" w:cs="Times New Roman" w:eastAsia="Times New Roman" w:hAnsi="Times New Roman"/>
          <w:sz w:val="18"/>
          <w:szCs w:val="18"/>
          <w:color w:val="auto"/>
        </w:rPr>
        <w:t xml:space="preserve">”) and cash equal to any Dividend Equivalents credited with respect to each such Vested Unit in accordance with </w:t>
      </w:r>
      <w:r>
        <w:rPr>
          <w:rFonts w:ascii="Times New Roman" w:cs="Times New Roman" w:eastAsia="Times New Roman" w:hAnsi="Times New Roman"/>
          <w:sz w:val="18"/>
          <w:szCs w:val="18"/>
          <w:u w:val="single" w:color="auto"/>
          <w:color w:val="auto"/>
        </w:rPr>
        <w:t>Section 7.2(b)(ii)</w:t>
      </w:r>
      <w:r>
        <w:rPr>
          <w:rFonts w:ascii="Times New Roman" w:cs="Times New Roman" w:eastAsia="Times New Roman" w:hAnsi="Times New Roman"/>
          <w:sz w:val="18"/>
          <w:szCs w:val="18"/>
          <w:color w:val="auto"/>
        </w:rPr>
        <w:t xml:space="preserve"> hereof and the interest thereon or, at the discretion of the Committee, in Common Stock having a Fair Market Value equal to such Dividend Equivalents and the interest thereon, if 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explicitly provided in the applicable Award Agreement, the Committee may, in its sole discretion, elect to 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4" w:name="page15"/>
    <w:bookmarkEnd w:id="14"/>
    <w:p>
      <w:pPr>
        <w:ind w:right="20" w:firstLine="656"/>
        <w:spacing w:after="0" w:line="282" w:lineRule="auto"/>
        <w:tabs>
          <w:tab w:leader="none" w:pos="945"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Stock Restrictions</w:t>
      </w:r>
      <w:r>
        <w:rPr>
          <w:rFonts w:ascii="Times New Roman" w:cs="Times New Roman" w:eastAsia="Times New Roman" w:hAnsi="Times New Roman"/>
          <w:sz w:val="18"/>
          <w:szCs w:val="18"/>
          <w:color w:val="auto"/>
        </w:rPr>
        <w:t>. Each certificate representing Restricted Stock awarded under the Plan shall bear a legend in such form as the Company deems appropriate.</w:t>
      </w:r>
    </w:p>
    <w:p>
      <w:pPr>
        <w:spacing w:after="0" w:line="16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010000"/>
        </w:rPr>
        <w:t>7.3</w:t>
      </w:r>
      <w:r>
        <w:rPr>
          <w:sz w:val="20"/>
          <w:szCs w:val="20"/>
          <w:color w:val="auto"/>
        </w:rPr>
        <w:tab/>
      </w:r>
      <w:r>
        <w:rPr>
          <w:rFonts w:ascii="Times New Roman" w:cs="Times New Roman" w:eastAsia="Times New Roman" w:hAnsi="Times New Roman"/>
          <w:sz w:val="17"/>
          <w:szCs w:val="17"/>
          <w:u w:val="single" w:color="auto"/>
          <w:color w:val="auto"/>
        </w:rPr>
        <w:t>Performance Stock Awards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8" w:lineRule="auto"/>
        <w:tabs>
          <w:tab w:leader="none" w:pos="892"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Grant of Performance Stock Awards</w:t>
      </w:r>
      <w:r>
        <w:rPr>
          <w:rFonts w:ascii="Times New Roman" w:cs="Times New Roman" w:eastAsia="Times New Roman" w:hAnsi="Times New Roman"/>
          <w:sz w:val="18"/>
          <w:szCs w:val="18"/>
          <w:color w:val="auto"/>
        </w:rPr>
        <w:t xml:space="preserve">. Each Performance Stock Award granted under the Plan shall be evidenced by an Award Agreement. Each Performance Stock Award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and to such other conditions not inconsistent with the Plan as may be reflected in the applicable Award Agreement. The Committee shall have the discretion to determine: (i)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w:t>
      </w:r>
    </w:p>
    <w:p>
      <w:pPr>
        <w:spacing w:after="0" w:line="183" w:lineRule="exact"/>
        <w:rPr>
          <w:rFonts w:ascii="Times New Roman" w:cs="Times New Roman" w:eastAsia="Times New Roman" w:hAnsi="Times New Roman"/>
          <w:sz w:val="18"/>
          <w:szCs w:val="18"/>
          <w:color w:val="010000"/>
        </w:rPr>
      </w:pPr>
    </w:p>
    <w:p>
      <w:pPr>
        <w:ind w:right="20" w:firstLine="656"/>
        <w:spacing w:after="0" w:line="282" w:lineRule="auto"/>
        <w:tabs>
          <w:tab w:leader="none" w:pos="903"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Earning Performance Stock Awards</w:t>
      </w:r>
      <w:r>
        <w:rPr>
          <w:rFonts w:ascii="Times New Roman" w:cs="Times New Roman" w:eastAsia="Times New Roman" w:hAnsi="Times New Roman"/>
          <w:sz w:val="18"/>
          <w:szCs w:val="18"/>
          <w:color w:val="auto"/>
        </w:rPr>
        <w:t>. The number of shares of Performance Stock earned by a Participant will depend on the extent to which the performance goals established by the Committee are attained within the applicable Performance Period, as determined by the Committee.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010000"/>
        </w:rPr>
        <w:t xml:space="preserve">7.4 </w:t>
      </w:r>
      <w:r>
        <w:rPr>
          <w:rFonts w:ascii="Times New Roman" w:cs="Times New Roman" w:eastAsia="Times New Roman" w:hAnsi="Times New Roman"/>
          <w:sz w:val="18"/>
          <w:szCs w:val="18"/>
          <w:u w:val="single" w:color="auto"/>
          <w:color w:val="000000"/>
        </w:rPr>
        <w:t>Other Equity-Based Awards and Cash Awards</w:t>
      </w:r>
      <w:r>
        <w:rPr>
          <w:rFonts w:ascii="Times New Roman" w:cs="Times New Roman" w:eastAsia="Times New Roman" w:hAnsi="Times New Roman"/>
          <w:sz w:val="18"/>
          <w:szCs w:val="18"/>
          <w:color w:val="000000"/>
        </w:rPr>
        <w:t>. The Committee may grant Other Equity-Based Awards, either alone or in tandem with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83" w:lineRule="exact"/>
        <w:rPr>
          <w:sz w:val="20"/>
          <w:szCs w:val="20"/>
          <w:color w:val="auto"/>
        </w:rPr>
      </w:pPr>
    </w:p>
    <w:p>
      <w:pPr>
        <w:jc w:val="both"/>
        <w:ind w:firstLine="8"/>
        <w:spacing w:after="0" w:line="253" w:lineRule="auto"/>
        <w:tabs>
          <w:tab w:leader="none" w:pos="2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xml:space="preserve">. Each Award Agreement shall provide that no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94" w:lineRule="exact"/>
        <w:rPr>
          <w:rFonts w:ascii="Times New Roman" w:cs="Times New Roman" w:eastAsia="Times New Roman" w:hAnsi="Times New Roman"/>
          <w:sz w:val="18"/>
          <w:szCs w:val="18"/>
          <w:color w:val="auto"/>
        </w:rPr>
      </w:pPr>
    </w:p>
    <w:p>
      <w:pPr>
        <w:ind w:firstLine="8"/>
        <w:spacing w:after="0" w:line="282" w:lineRule="auto"/>
        <w:tabs>
          <w:tab w:leader="none" w:pos="2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from Stock</w:t>
      </w:r>
      <w:r>
        <w:rPr>
          <w:rFonts w:ascii="Times New Roman" w:cs="Times New Roman" w:eastAsia="Times New Roman" w:hAnsi="Times New Roman"/>
          <w:sz w:val="18"/>
          <w:szCs w:val="18"/>
          <w:color w:val="auto"/>
        </w:rPr>
        <w:t>. Proceeds from the sale of Common Stock pursuant to Awards, or upon exercise thereof, shall constitute general funds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ind w:left="280" w:hanging="272"/>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010000"/>
        </w:rPr>
        <w:t xml:space="preserve">10.1 </w:t>
      </w:r>
      <w:r>
        <w:rPr>
          <w:rFonts w:ascii="Times New Roman" w:cs="Times New Roman" w:eastAsia="Times New Roman" w:hAnsi="Times New Roman"/>
          <w:sz w:val="18"/>
          <w:szCs w:val="18"/>
          <w:u w:val="single" w:color="auto"/>
          <w:color w:val="000000"/>
        </w:rPr>
        <w:t>Acceleration of Exercisability and Vesting</w:t>
      </w:r>
      <w:r>
        <w:rPr>
          <w:rFonts w:ascii="Times New Roman" w:cs="Times New Roman" w:eastAsia="Times New Roman" w:hAnsi="Times New Roman"/>
          <w:sz w:val="18"/>
          <w:szCs w:val="18"/>
          <w:color w:val="000000"/>
        </w:rPr>
        <w:t>. Notwithstanding anything herein or in the Award to the contrary, the Committee shall have the power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accelerate the time at which an Award may first be exercised or the time during which an Award or any part thereof will vest.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010000"/>
        </w:rPr>
        <w:t xml:space="preserve">10.2 </w:t>
      </w:r>
      <w:r>
        <w:rPr>
          <w:rFonts w:ascii="Times New Roman" w:cs="Times New Roman" w:eastAsia="Times New Roman" w:hAnsi="Times New Roman"/>
          <w:sz w:val="18"/>
          <w:szCs w:val="18"/>
          <w:u w:val="single" w:color="auto"/>
          <w:color w:val="000000"/>
        </w:rPr>
        <w:t>Stockholder Rights</w:t>
      </w:r>
      <w:r>
        <w:rPr>
          <w:rFonts w:ascii="Times New Roman" w:cs="Times New Roman" w:eastAsia="Times New Roman" w:hAnsi="Times New Roman"/>
          <w:sz w:val="18"/>
          <w:szCs w:val="18"/>
          <w:color w:val="000000"/>
        </w:rPr>
        <w:t>. Except as provided in the Plan or an Award Agreement, no Participant shall be deemed to be the holder of, or to have any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 w:cs="Times New Roman" w:eastAsia="Times New Roman" w:hAnsi="Times New Roman"/>
          <w:sz w:val="18"/>
          <w:szCs w:val="18"/>
          <w:u w:val="single" w:color="auto"/>
          <w:color w:val="000000"/>
        </w:rPr>
        <w:t>Section 11</w:t>
      </w:r>
      <w:r>
        <w:rPr>
          <w:rFonts w:ascii="Times New Roman" w:cs="Times New Roman" w:eastAsia="Times New Roman" w:hAnsi="Times New Roman"/>
          <w:sz w:val="18"/>
          <w:szCs w:val="18"/>
          <w:color w:val="000000"/>
        </w:rPr>
        <w:t xml:space="preserve"> hereof.</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010000"/>
        </w:rPr>
        <w:t xml:space="preserve">10.3 </w:t>
      </w:r>
      <w:r>
        <w:rPr>
          <w:rFonts w:ascii="Times New Roman" w:cs="Times New Roman" w:eastAsia="Times New Roman" w:hAnsi="Times New Roman"/>
          <w:sz w:val="18"/>
          <w:szCs w:val="18"/>
          <w:u w:val="single" w:color="auto"/>
          <w:color w:val="000000"/>
        </w:rPr>
        <w:t>No Employment or Other Service Rights</w:t>
      </w:r>
      <w:r>
        <w:rPr>
          <w:rFonts w:ascii="Times New Roman" w:cs="Times New Roman" w:eastAsia="Times New Roman" w:hAnsi="Times New Roman"/>
          <w:sz w:val="18"/>
          <w:szCs w:val="18"/>
          <w:color w:val="000000"/>
        </w:rPr>
        <w:t>. Nothing in the Plan or any instrument executed or Award granted pursuant thereto shall confer upon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010000"/>
        </w:rPr>
        <w:t xml:space="preserve">10.4 </w:t>
      </w:r>
      <w:r>
        <w:rPr>
          <w:rFonts w:ascii="Times New Roman" w:cs="Times New Roman" w:eastAsia="Times New Roman" w:hAnsi="Times New Roman"/>
          <w:sz w:val="18"/>
          <w:szCs w:val="18"/>
          <w:u w:val="single" w:color="auto"/>
          <w:color w:val="000000"/>
        </w:rPr>
        <w:t>Transfer; Approved Leave of Absence</w:t>
      </w:r>
      <w:r>
        <w:rPr>
          <w:rFonts w:ascii="Times New Roman" w:cs="Times New Roman" w:eastAsia="Times New Roman" w:hAnsi="Times New Roman"/>
          <w:sz w:val="18"/>
          <w:szCs w:val="18"/>
          <w:color w:val="000000"/>
        </w:rPr>
        <w:t>. For purposes of the Plan, no termination of employment by an Employee shall be deemed to result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010000"/>
        </w:rPr>
        <w:t xml:space="preserve">10.5 </w:t>
      </w:r>
      <w:r>
        <w:rPr>
          <w:rFonts w:ascii="Times New Roman" w:cs="Times New Roman" w:eastAsia="Times New Roman" w:hAnsi="Times New Roman"/>
          <w:sz w:val="18"/>
          <w:szCs w:val="18"/>
          <w:u w:val="single" w:color="auto"/>
          <w:color w:val="000000"/>
        </w:rPr>
        <w:t>Withholding Obligations</w:t>
      </w:r>
      <w:r>
        <w:rPr>
          <w:rFonts w:ascii="Times New Roman" w:cs="Times New Roman" w:eastAsia="Times New Roman" w:hAnsi="Times New Roman"/>
          <w:sz w:val="18"/>
          <w:szCs w:val="18"/>
          <w:color w:val="000000"/>
        </w:rPr>
        <w:t>. To the extent provided by the terms of an Award Agreement and subject to the discretion of the Committee,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Common Stock from the Common Stock otherwise issuable to the Participant as a result of the exercise or acquisition of Common Stock under the Award,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that no Common Stock is withheld for such purpose with a value exceeding the maximum amount of tax required to be withheld by law; (c) delivering to the Company previously owned and unencumbered Common Stock of the Company; or (d) if the Common Stock is listed on any established stock exchange or a national market system, through the delivery of irrevocable instructions to a broker to deliver promptly to the Company an amount equal to the tax required to be withheld by law (i.e., by means of a “cashless” exercise procedure).</w:t>
      </w:r>
    </w:p>
    <w:p>
      <w:pPr>
        <w:spacing w:after="0" w:line="188" w:lineRule="exact"/>
        <w:rPr>
          <w:sz w:val="20"/>
          <w:szCs w:val="20"/>
          <w:color w:val="auto"/>
        </w:rPr>
      </w:pPr>
    </w:p>
    <w:p>
      <w:pPr>
        <w:jc w:val="both"/>
        <w:ind w:firstLine="8"/>
        <w:spacing w:after="0" w:line="253" w:lineRule="auto"/>
        <w:tabs>
          <w:tab w:leader="none" w:pos="2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Stock</w:t>
      </w:r>
      <w:r>
        <w:rPr>
          <w:rFonts w:ascii="Times New Roman" w:cs="Times New Roman" w:eastAsia="Times New Roman" w:hAnsi="Times New Roman"/>
          <w:sz w:val="18"/>
          <w:szCs w:val="18"/>
          <w:color w:val="auto"/>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will be equitably adjusted or substituted, as to the number, price or kind of Common Stock or other consideration subject to such Awards to the extent necessary to preserve the economic intent of such Award. In the case of adjustments made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unless the Committee specifically determines that such adjustment is in the best interests of the Company or its Affiliates, the Committee shall, in the case of Incentive Stock Options, ensure that any adjustments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will not constitute a modification, extension or renewal of the Incentive Stock Options within the meaning of Section 424(h)(3) of the Code and in the case of Non-Qualified Stock Options, ensure that any adjustments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will not constitute a modification of such Non-Qualified Stock Options within the meaning of Section 409A of the Code. Any adjustments made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8"/>
        <w:spacing w:after="0" w:line="258" w:lineRule="auto"/>
        <w:tabs>
          <w:tab w:leader="none" w:pos="2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in Control</w:t>
      </w:r>
      <w:r>
        <w:rPr>
          <w:rFonts w:ascii="Times New Roman" w:cs="Times New Roman" w:eastAsia="Times New Roman" w:hAnsi="Times New Roman"/>
          <w:sz w:val="18"/>
          <w:szCs w:val="18"/>
          <w:color w:val="auto"/>
        </w:rPr>
        <w:t>. Notwithstanding any other provision of the Plan to the contrary, immediately upon the occurrence of a Change in Control, the following provisions of this Section shall apply except to the extent an Award Agreement provides for a different treatment (in which case the Award Agreement shall govern): all then-outstanding Awards held by a Participant and not previously vested shall become 100% vested; provided that, if the achievement of the performance goals applicable to an Award have not been measured, then such performance goals shall be deemed satisfied as if target performance was achieved.</w:t>
      </w:r>
    </w:p>
    <w:p>
      <w:pPr>
        <w:spacing w:after="0" w:line="18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 and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13.1 </w:t>
      </w:r>
      <w:r>
        <w:rPr>
          <w:rFonts w:ascii="Times New Roman" w:cs="Times New Roman" w:eastAsia="Times New Roman" w:hAnsi="Times New Roman"/>
          <w:sz w:val="18"/>
          <w:szCs w:val="18"/>
          <w:u w:val="single" w:color="auto"/>
          <w:color w:val="000000"/>
        </w:rPr>
        <w:t>Amendment of Plan</w:t>
      </w:r>
      <w:r>
        <w:rPr>
          <w:rFonts w:ascii="Times New Roman" w:cs="Times New Roman" w:eastAsia="Times New Roman" w:hAnsi="Times New Roman"/>
          <w:sz w:val="18"/>
          <w:szCs w:val="18"/>
          <w:color w:val="000000"/>
        </w:rPr>
        <w:t>. The Board at any time, and from time to time, may amend or terminate the Plan. However, except as provided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relating to adjustments upon changes in Common Stock and </w:t>
      </w:r>
      <w:r>
        <w:rPr>
          <w:rFonts w:ascii="Times New Roman" w:cs="Times New Roman" w:eastAsia="Times New Roman" w:hAnsi="Times New Roman"/>
          <w:sz w:val="18"/>
          <w:szCs w:val="18"/>
          <w:u w:val="single" w:color="auto"/>
          <w:color w:val="000000"/>
        </w:rPr>
        <w:t>Section 13.3</w:t>
      </w:r>
      <w:r>
        <w:rPr>
          <w:rFonts w:ascii="Times New Roman" w:cs="Times New Roman" w:eastAsia="Times New Roman" w:hAnsi="Times New Roman"/>
          <w:sz w:val="18"/>
          <w:szCs w:val="18"/>
          <w:color w:val="000000"/>
        </w:rPr>
        <w:t>,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10000"/>
        </w:rPr>
        <w:t xml:space="preserve">13.2 </w:t>
      </w:r>
      <w:r>
        <w:rPr>
          <w:rFonts w:ascii="Times New Roman" w:cs="Times New Roman" w:eastAsia="Times New Roman" w:hAnsi="Times New Roman"/>
          <w:sz w:val="18"/>
          <w:szCs w:val="18"/>
          <w:u w:val="single" w:color="auto"/>
          <w:color w:val="000000"/>
        </w:rPr>
        <w:t>Stockholder Approval</w:t>
      </w:r>
      <w:r>
        <w:rPr>
          <w:rFonts w:ascii="Times New Roman" w:cs="Times New Roman" w:eastAsia="Times New Roman" w:hAnsi="Times New Roman"/>
          <w:sz w:val="18"/>
          <w:szCs w:val="18"/>
          <w:color w:val="000000"/>
        </w:rPr>
        <w:t>. The Board may, in its sole discretion, submit any other amendment to the Plan for stockholder approval.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13.3 </w:t>
      </w:r>
      <w:r>
        <w:rPr>
          <w:rFonts w:ascii="Times New Roman" w:cs="Times New Roman" w:eastAsia="Times New Roman" w:hAnsi="Times New Roman"/>
          <w:sz w:val="18"/>
          <w:szCs w:val="18"/>
          <w:u w:val="single" w:color="auto"/>
          <w:color w:val="000000"/>
        </w:rPr>
        <w:t>Contemplated Amendments</w:t>
      </w:r>
      <w:r>
        <w:rPr>
          <w:rFonts w:ascii="Times New Roman" w:cs="Times New Roman" w:eastAsia="Times New Roman" w:hAnsi="Times New Roman"/>
          <w:sz w:val="18"/>
          <w:szCs w:val="18"/>
          <w:color w:val="000000"/>
        </w:rPr>
        <w:t>. It is expressly contemplated that the Board may amend the Plan in any respect the Board deems necessary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010000"/>
        </w:rPr>
        <w:t xml:space="preserve">13.4 </w:t>
      </w:r>
      <w:r>
        <w:rPr>
          <w:rFonts w:ascii="Times New Roman" w:cs="Times New Roman" w:eastAsia="Times New Roman" w:hAnsi="Times New Roman"/>
          <w:sz w:val="18"/>
          <w:szCs w:val="18"/>
          <w:u w:val="single" w:color="auto"/>
          <w:color w:val="000000"/>
        </w:rPr>
        <w:t>No Impairment of Rights</w:t>
      </w:r>
      <w:r>
        <w:rPr>
          <w:rFonts w:ascii="Times New Roman" w:cs="Times New Roman" w:eastAsia="Times New Roman" w:hAnsi="Times New Roman"/>
          <w:sz w:val="18"/>
          <w:szCs w:val="18"/>
          <w:color w:val="000000"/>
        </w:rPr>
        <w:t>. Rights under any Award granted before amendment of the Plan shall not be impaired by any amendment of the Plan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unless (a) the Company requests the consent of the Participant and (b) the Participant consents in writing.</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010000"/>
        </w:rPr>
        <w:t xml:space="preserve">13.5 </w:t>
      </w:r>
      <w:r>
        <w:rPr>
          <w:rFonts w:ascii="Times New Roman" w:cs="Times New Roman" w:eastAsia="Times New Roman" w:hAnsi="Times New Roman"/>
          <w:sz w:val="18"/>
          <w:szCs w:val="18"/>
          <w:u w:val="single" w:color="auto"/>
          <w:color w:val="000000"/>
        </w:rPr>
        <w:t>Amendment of Awards</w:t>
      </w:r>
      <w:r>
        <w:rPr>
          <w:rFonts w:ascii="Times New Roman" w:cs="Times New Roman" w:eastAsia="Times New Roman" w:hAnsi="Times New Roman"/>
          <w:sz w:val="18"/>
          <w:szCs w:val="18"/>
          <w:color w:val="000000"/>
        </w:rPr>
        <w:t>. The Committee at any time, and from time to time, may amend the terms of any one or more Awards;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the Committee may not make any amendment which would otherwise constitute an impairment of the rights of a Participant under any Award unless the Participant consents in writing.</w:t>
      </w:r>
    </w:p>
    <w:p>
      <w:pPr>
        <w:spacing w:after="0" w:line="175" w:lineRule="exact"/>
        <w:rPr>
          <w:sz w:val="20"/>
          <w:szCs w:val="20"/>
          <w:color w:val="auto"/>
        </w:rPr>
      </w:pPr>
    </w:p>
    <w:p>
      <w:pPr>
        <w:ind w:left="280" w:hanging="272"/>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010000"/>
        </w:rPr>
        <w:t xml:space="preserve">14.1 </w:t>
      </w:r>
      <w:r>
        <w:rPr>
          <w:rFonts w:ascii="Times New Roman" w:cs="Times New Roman" w:eastAsia="Times New Roman" w:hAnsi="Times New Roman"/>
          <w:sz w:val="18"/>
          <w:szCs w:val="18"/>
          <w:u w:val="single" w:color="auto"/>
          <w:color w:val="000000"/>
        </w:rPr>
        <w:t>Forfeiture Events</w:t>
      </w:r>
      <w:r>
        <w:rPr>
          <w:rFonts w:ascii="Times New Roman" w:cs="Times New Roman" w:eastAsia="Times New Roman" w:hAnsi="Times New Roman"/>
          <w:sz w:val="18"/>
          <w:szCs w:val="18"/>
          <w:color w:val="000000"/>
        </w:rPr>
        <w:t>. The Committee may specify in an Award Agreement that the Participant’s rights, payments and benefits with respect to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010000"/>
        </w:rPr>
        <w:t xml:space="preserve">14.2 </w:t>
      </w:r>
      <w:r>
        <w:rPr>
          <w:rFonts w:ascii="Times New Roman" w:cs="Times New Roman" w:eastAsia="Times New Roman" w:hAnsi="Times New Roman"/>
          <w:sz w:val="18"/>
          <w:szCs w:val="18"/>
          <w:u w:val="single" w:color="auto"/>
          <w:color w:val="000000"/>
        </w:rPr>
        <w:t>Clawback</w:t>
      </w:r>
      <w:r>
        <w:rPr>
          <w:rFonts w:ascii="Times New Roman" w:cs="Times New Roman" w:eastAsia="Times New Roman" w:hAnsi="Times New Roman"/>
          <w:sz w:val="18"/>
          <w:szCs w:val="18"/>
          <w:color w:val="000000"/>
        </w:rPr>
        <w:t>. Notwithstanding any other provisions in this Plan, the Company may cancel any Award, require reimbursement of any Award by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Participant, and effect any other right of recoupment of equity or other compensation provided under the Plan in accordance with any Company policies that may be adopted and/or modified from time to time (</w:t>
      </w:r>
      <w:r>
        <w:rPr>
          <w:rFonts w:ascii="Times New Roman" w:cs="Times New Roman" w:eastAsia="Times New Roman" w:hAnsi="Times New Roman"/>
          <w:sz w:val="18"/>
          <w:szCs w:val="18"/>
          <w:b w:val="1"/>
          <w:bCs w:val="1"/>
          <w:color w:val="000000"/>
        </w:rPr>
        <w:t>“Clawback Policy”</w:t>
      </w:r>
      <w:r>
        <w:rPr>
          <w:rFonts w:ascii="Times New Roman" w:cs="Times New Roman" w:eastAsia="Times New Roman" w:hAnsi="Times New Roman"/>
          <w:sz w:val="18"/>
          <w:szCs w:val="18"/>
          <w:color w:val="000000"/>
        </w:rPr>
        <w:t>).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14.3 </w:t>
      </w:r>
      <w:r>
        <w:rPr>
          <w:rFonts w:ascii="Times New Roman" w:cs="Times New Roman" w:eastAsia="Times New Roman" w:hAnsi="Times New Roman"/>
          <w:sz w:val="18"/>
          <w:szCs w:val="18"/>
          <w:u w:val="single" w:color="auto"/>
          <w:color w:val="000000"/>
        </w:rPr>
        <w:t>Other Compensation Arrangements</w:t>
      </w:r>
      <w:r>
        <w:rPr>
          <w:rFonts w:ascii="Times New Roman" w:cs="Times New Roman" w:eastAsia="Times New Roman" w:hAnsi="Times New Roman"/>
          <w:sz w:val="18"/>
          <w:szCs w:val="18"/>
          <w:color w:val="000000"/>
        </w:rPr>
        <w:t>. Nothing contained in this Plan shall prevent the Board from adopting other or additional compensation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arrangements, subject to stockholder approval if such approval is required; and such arrangements may be either generally applicable or applicable only in specific cases.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14.4 </w:t>
      </w:r>
      <w:r>
        <w:rPr>
          <w:rFonts w:ascii="Times New Roman" w:cs="Times New Roman" w:eastAsia="Times New Roman" w:hAnsi="Times New Roman"/>
          <w:sz w:val="18"/>
          <w:szCs w:val="18"/>
          <w:u w:val="single" w:color="auto"/>
          <w:color w:val="000000"/>
        </w:rPr>
        <w:t>Sub-Plans</w:t>
      </w:r>
      <w:r>
        <w:rPr>
          <w:rFonts w:ascii="Times New Roman" w:cs="Times New Roman" w:eastAsia="Times New Roman" w:hAnsi="Times New Roman"/>
          <w:sz w:val="18"/>
          <w:szCs w:val="18"/>
          <w:color w:val="000000"/>
        </w:rPr>
        <w:t>. The Committee may from time to time establish sub-plans under the Plan for purposes of satisfying securities, tax or other laws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010000"/>
        </w:rPr>
        <w:t xml:space="preserve">14.5 </w:t>
      </w:r>
      <w:r>
        <w:rPr>
          <w:rFonts w:ascii="Times New Roman" w:cs="Times New Roman" w:eastAsia="Times New Roman" w:hAnsi="Times New Roman"/>
          <w:sz w:val="18"/>
          <w:szCs w:val="18"/>
          <w:u w:val="single" w:color="auto"/>
          <w:color w:val="000000"/>
        </w:rPr>
        <w:t>Deferral of Awards</w:t>
      </w:r>
      <w:r>
        <w:rPr>
          <w:rFonts w:ascii="Times New Roman" w:cs="Times New Roman" w:eastAsia="Times New Roman" w:hAnsi="Times New Roman"/>
          <w:sz w:val="18"/>
          <w:szCs w:val="18"/>
          <w:color w:val="000000"/>
        </w:rPr>
        <w:t>. The Committee may establish one or more programs under the Plan to permit selected Participants the opportunity to elect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defer receipt of consideration upon exercise of 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010000"/>
        </w:rPr>
        <w:t xml:space="preserve">14.6 </w:t>
      </w:r>
      <w:r>
        <w:rPr>
          <w:rFonts w:ascii="Times New Roman" w:cs="Times New Roman" w:eastAsia="Times New Roman" w:hAnsi="Times New Roman"/>
          <w:sz w:val="18"/>
          <w:szCs w:val="18"/>
          <w:u w:val="single" w:color="auto"/>
          <w:color w:val="000000"/>
        </w:rPr>
        <w:t>Unfunded Plan</w:t>
      </w:r>
      <w:r>
        <w:rPr>
          <w:rFonts w:ascii="Times New Roman" w:cs="Times New Roman" w:eastAsia="Times New Roman" w:hAnsi="Times New Roman"/>
          <w:sz w:val="18"/>
          <w:szCs w:val="18"/>
          <w:color w:val="000000"/>
        </w:rPr>
        <w:t>. The Plan shall be unfunded. Neither the Company, the Board nor the Committee shall be required to establish any special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separate fund or to segregate any assets to assure the performance of its obligations under the Plan.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10000"/>
        </w:rPr>
        <w:t xml:space="preserve">14.7 </w:t>
      </w:r>
      <w:r>
        <w:rPr>
          <w:rFonts w:ascii="Times New Roman" w:cs="Times New Roman" w:eastAsia="Times New Roman" w:hAnsi="Times New Roman"/>
          <w:sz w:val="18"/>
          <w:szCs w:val="18"/>
          <w:u w:val="single" w:color="auto"/>
          <w:color w:val="000000"/>
        </w:rPr>
        <w:t>Recapitalizations</w:t>
      </w:r>
      <w:r>
        <w:rPr>
          <w:rFonts w:ascii="Times New Roman" w:cs="Times New Roman" w:eastAsia="Times New Roman" w:hAnsi="Times New Roman"/>
          <w:sz w:val="18"/>
          <w:szCs w:val="18"/>
          <w:color w:val="000000"/>
        </w:rPr>
        <w:t>. Each Award Agreement may contain provisions to reflect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14.8 </w:t>
      </w:r>
      <w:r>
        <w:rPr>
          <w:rFonts w:ascii="Times New Roman" w:cs="Times New Roman" w:eastAsia="Times New Roman" w:hAnsi="Times New Roman"/>
          <w:sz w:val="18"/>
          <w:szCs w:val="18"/>
          <w:u w:val="single" w:color="auto"/>
          <w:color w:val="000000"/>
        </w:rPr>
        <w:t>Delivery</w:t>
      </w:r>
      <w:r>
        <w:rPr>
          <w:rFonts w:ascii="Times New Roman" w:cs="Times New Roman" w:eastAsia="Times New Roman" w:hAnsi="Times New Roman"/>
          <w:sz w:val="18"/>
          <w:szCs w:val="18"/>
          <w:color w:val="000000"/>
        </w:rPr>
        <w:t>. Upon exercise of a right granted under this Plan, the Company shall issue Common Stock or pay any amounts due within a reasonable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period of time thereafter. Subject to any statutory or regulatory obligations the Company may otherwise have, for purposes of this Plan, 30 days shall be considered a reasonable period of time.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14.9 </w:t>
      </w:r>
      <w:r>
        <w:rPr>
          <w:rFonts w:ascii="Times New Roman" w:cs="Times New Roman" w:eastAsia="Times New Roman" w:hAnsi="Times New Roman"/>
          <w:sz w:val="18"/>
          <w:szCs w:val="18"/>
          <w:u w:val="single" w:color="auto"/>
          <w:color w:val="000000"/>
        </w:rPr>
        <w:t>No Fractional Shares</w:t>
      </w:r>
      <w:r>
        <w:rPr>
          <w:rFonts w:ascii="Times New Roman" w:cs="Times New Roman" w:eastAsia="Times New Roman" w:hAnsi="Times New Roman"/>
          <w:sz w:val="18"/>
          <w:szCs w:val="18"/>
          <w:color w:val="000000"/>
        </w:rPr>
        <w:t>. No fractional Common Stock shall be issued or delivered pursuant to the Plan. The Committee shall determine whether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cash, additional Awards or other securities or property shall be issued or paid in lieu of fractional Common Stock or whether any fractional shares should be rounded, forfeited or otherwise eliminated.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010000"/>
        </w:rPr>
        <w:t xml:space="preserve">14.10 </w:t>
      </w:r>
      <w:r>
        <w:rPr>
          <w:rFonts w:ascii="Times New Roman" w:cs="Times New Roman" w:eastAsia="Times New Roman" w:hAnsi="Times New Roman"/>
          <w:sz w:val="18"/>
          <w:szCs w:val="18"/>
          <w:u w:val="single" w:color="auto"/>
          <w:color w:val="000000"/>
        </w:rPr>
        <w:t>Other Provisions</w:t>
      </w:r>
      <w:r>
        <w:rPr>
          <w:rFonts w:ascii="Times New Roman" w:cs="Times New Roman" w:eastAsia="Times New Roman" w:hAnsi="Times New Roman"/>
          <w:sz w:val="18"/>
          <w:szCs w:val="18"/>
          <w:color w:val="000000"/>
        </w:rPr>
        <w:t>. The Award Agreements authorized under the Plan may contain such other provisions not inconsistent with this Plan, including,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without limitation, restrictions upon the exercise of Awards, as the Committee may deem advisable.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010000"/>
        </w:rPr>
        <w:t xml:space="preserve">14.11 </w:t>
      </w:r>
      <w:r>
        <w:rPr>
          <w:rFonts w:ascii="Times New Roman" w:cs="Times New Roman" w:eastAsia="Times New Roman" w:hAnsi="Times New Roman"/>
          <w:sz w:val="18"/>
          <w:szCs w:val="18"/>
          <w:u w:val="single" w:color="auto"/>
          <w:color w:val="000000"/>
        </w:rPr>
        <w:t>Section 409A</w:t>
      </w:r>
      <w:r>
        <w:rPr>
          <w:rFonts w:ascii="Times New Roman" w:cs="Times New Roman" w:eastAsia="Times New Roman" w:hAnsi="Times New Roman"/>
          <w:sz w:val="18"/>
          <w:szCs w:val="18"/>
          <w:color w:val="000000"/>
        </w:rPr>
        <w:t>. The Plan is intended to comply with Section 409A of the Code to the extent subject thereto, and, accordingly, to the maximum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14.12 </w:t>
      </w:r>
      <w:r>
        <w:rPr>
          <w:rFonts w:ascii="Times New Roman" w:cs="Times New Roman" w:eastAsia="Times New Roman" w:hAnsi="Times New Roman"/>
          <w:sz w:val="18"/>
          <w:szCs w:val="18"/>
          <w:u w:val="single" w:color="auto"/>
          <w:color w:val="000000"/>
        </w:rPr>
        <w:t>Disqualifying Dispositions</w:t>
      </w:r>
      <w:r>
        <w:rPr>
          <w:rFonts w:ascii="Times New Roman" w:cs="Times New Roman" w:eastAsia="Times New Roman" w:hAnsi="Times New Roman"/>
          <w:sz w:val="18"/>
          <w:szCs w:val="18"/>
          <w:color w:val="000000"/>
        </w:rPr>
        <w:t>. Any Participant who shall make a “disposition” (as defined in Section 424 of the Code) of all or any portion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Common Stock acquired upon exercise of an Incentive Stock Option within two years from the Grant Date of such Incentive Stock Option or within one year after the issuance of the Common Stock acquired upon exercise of such Incentive Stock Option (a “</w:t>
      </w:r>
      <w:r>
        <w:rPr>
          <w:rFonts w:ascii="Times New Roman" w:cs="Times New Roman" w:eastAsia="Times New Roman" w:hAnsi="Times New Roman"/>
          <w:sz w:val="18"/>
          <w:szCs w:val="18"/>
          <w:b w:val="1"/>
          <w:bCs w:val="1"/>
          <w:color w:val="000000"/>
        </w:rPr>
        <w:t>Disqualifying Disposition</w:t>
      </w:r>
      <w:r>
        <w:rPr>
          <w:rFonts w:ascii="Times New Roman" w:cs="Times New Roman" w:eastAsia="Times New Roman" w:hAnsi="Times New Roman"/>
          <w:sz w:val="18"/>
          <w:szCs w:val="18"/>
          <w:color w:val="000000"/>
        </w:rPr>
        <w:t>”) shall be required to immediately advise the Company in writing as to the occurrence of the sale and the price realized upon the sale of such Common Stock.</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010000"/>
        </w:rPr>
        <w:t xml:space="preserve">14.13 </w:t>
      </w:r>
      <w:r>
        <w:rPr>
          <w:rFonts w:ascii="Times New Roman" w:cs="Times New Roman" w:eastAsia="Times New Roman" w:hAnsi="Times New Roman"/>
          <w:sz w:val="18"/>
          <w:szCs w:val="18"/>
          <w:u w:val="single" w:color="auto"/>
          <w:color w:val="000000"/>
        </w:rPr>
        <w:t>Section 16</w:t>
      </w:r>
      <w:r>
        <w:rPr>
          <w:rFonts w:ascii="Times New Roman" w:cs="Times New Roman" w:eastAsia="Times New Roman" w:hAnsi="Times New Roman"/>
          <w:sz w:val="18"/>
          <w:szCs w:val="18"/>
          <w:color w:val="000000"/>
        </w:rPr>
        <w:t>. It is the intent of the Company that the Plan satisfy, and be interpreted in a manner that satisfies, the applicable requirements of Rule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such provision to the extent possible shall be interpreted and/or deemed amended so as to avoid such conflict.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010000"/>
        </w:rPr>
        <w:t xml:space="preserve">14.14 </w:t>
      </w:r>
      <w:r>
        <w:rPr>
          <w:rFonts w:ascii="Times New Roman" w:cs="Times New Roman" w:eastAsia="Times New Roman" w:hAnsi="Times New Roman"/>
          <w:sz w:val="18"/>
          <w:szCs w:val="18"/>
          <w:u w:val="single" w:color="auto"/>
          <w:color w:val="000000"/>
        </w:rPr>
        <w:t>Beneficiary Designation</w:t>
      </w:r>
      <w:r>
        <w:rPr>
          <w:rFonts w:ascii="Times New Roman" w:cs="Times New Roman" w:eastAsia="Times New Roman" w:hAnsi="Times New Roman"/>
          <w:sz w:val="18"/>
          <w:szCs w:val="18"/>
          <w:color w:val="000000"/>
        </w:rPr>
        <w:t>. Each Participant under the Plan may from time to time name any beneficiary or beneficiaries by whom any right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10000"/>
        </w:rPr>
        <w:t xml:space="preserve">14.15 </w:t>
      </w:r>
      <w:r>
        <w:rPr>
          <w:rFonts w:ascii="Times New Roman" w:cs="Times New Roman" w:eastAsia="Times New Roman" w:hAnsi="Times New Roman"/>
          <w:sz w:val="18"/>
          <w:szCs w:val="18"/>
          <w:u w:val="single" w:color="auto"/>
          <w:color w:val="000000"/>
        </w:rPr>
        <w:t>Expenses</w:t>
      </w:r>
      <w:r>
        <w:rPr>
          <w:rFonts w:ascii="Times New Roman" w:cs="Times New Roman" w:eastAsia="Times New Roman" w:hAnsi="Times New Roman"/>
          <w:sz w:val="18"/>
          <w:szCs w:val="18"/>
          <w:color w:val="000000"/>
        </w:rPr>
        <w:t>. The costs of administering the Plan shall be paid by the Company.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14.16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If any of the provisions of the Plan or any Award Agreement is held to be invalid, illegal or unenforceable, whether in whole or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 such provision shall be deemed modified to the extent, but only to the extent, of such invalidity, illegality or unenforceability and the remaining provisions shall not be affected thereby.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010000"/>
        </w:rPr>
        <w:t xml:space="preserve">14.17 </w:t>
      </w:r>
      <w:r>
        <w:rPr>
          <w:rFonts w:ascii="Times New Roman" w:cs="Times New Roman" w:eastAsia="Times New Roman" w:hAnsi="Times New Roman"/>
          <w:sz w:val="18"/>
          <w:szCs w:val="18"/>
          <w:u w:val="single" w:color="auto"/>
          <w:color w:val="000000"/>
        </w:rPr>
        <w:t>Plan Headings</w:t>
      </w:r>
      <w:r>
        <w:rPr>
          <w:rFonts w:ascii="Times New Roman" w:cs="Times New Roman" w:eastAsia="Times New Roman" w:hAnsi="Times New Roman"/>
          <w:sz w:val="18"/>
          <w:szCs w:val="18"/>
          <w:color w:val="000000"/>
        </w:rPr>
        <w:t>. The headings in the Plan are for purposes of convenience only and are not intended to define or limit the construction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provisions hereof.</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010000"/>
        </w:rPr>
        <w:t xml:space="preserve">14.18 </w:t>
      </w:r>
      <w:r>
        <w:rPr>
          <w:rFonts w:ascii="Times New Roman" w:cs="Times New Roman" w:eastAsia="Times New Roman" w:hAnsi="Times New Roman"/>
          <w:sz w:val="18"/>
          <w:szCs w:val="18"/>
          <w:u w:val="single" w:color="auto"/>
          <w:color w:val="000000"/>
        </w:rPr>
        <w:t>Non-Uniform Treatment</w:t>
      </w:r>
      <w:r>
        <w:rPr>
          <w:rFonts w:ascii="Times New Roman" w:cs="Times New Roman" w:eastAsia="Times New Roman" w:hAnsi="Times New Roman"/>
          <w:sz w:val="18"/>
          <w:szCs w:val="18"/>
          <w:color w:val="000000"/>
        </w:rPr>
        <w:t>. The Committee’s determinations under the Plan need not be uniform and may be made by it selectively among persons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76" w:lineRule="exact"/>
        <w:rPr>
          <w:sz w:val="20"/>
          <w:szCs w:val="20"/>
          <w:color w:val="auto"/>
        </w:rPr>
      </w:pPr>
    </w:p>
    <w:p>
      <w:pPr>
        <w:jc w:val="both"/>
        <w:ind w:firstLine="8"/>
        <w:spacing w:after="0" w:line="266" w:lineRule="auto"/>
        <w:tabs>
          <w:tab w:leader="none" w:pos="2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Plan</w:t>
      </w:r>
      <w:r>
        <w:rPr>
          <w:rFonts w:ascii="Times New Roman" w:cs="Times New Roman" w:eastAsia="Times New Roman" w:hAnsi="Times New Roman"/>
          <w:sz w:val="18"/>
          <w:szCs w:val="18"/>
          <w:color w:val="auto"/>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Suspension of the Plan</w:t>
      </w:r>
      <w:r>
        <w:rPr>
          <w:rFonts w:ascii="Times New Roman" w:cs="Times New Roman" w:eastAsia="Times New Roman" w:hAnsi="Times New Roman"/>
          <w:sz w:val="18"/>
          <w:szCs w:val="18"/>
          <w:color w:val="auto"/>
        </w:rPr>
        <w:t xml:space="preserve">.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hereof. No Awards may be granted under the Plan while the Plan is suspended or after it is terminated.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law of the State of Delaware shall govern all questions concerning the construction, validity and interpretation of this Plan, without regard to such state’s conflict of law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4"/>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lowerRoman"/>
      <w:start w:val="1"/>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2"/>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5"/>
    </w:lvl>
  </w:abstractNum>
  <w:abstractNum w:abstractNumId="10">
    <w:nsid w:val="7C83E458"/>
    <w:multiLevelType w:val="hybridMultilevel"/>
    <w:lvl w:ilvl="0">
      <w:lvlJc w:val="left"/>
      <w:lvlText w:val="%1."/>
      <w:numFmt w:val="decimal"/>
      <w:start w:val="6"/>
    </w:lvl>
  </w:abstractNum>
  <w:abstractNum w:abstractNumId="11">
    <w:nsid w:val="257130A3"/>
    <w:multiLevelType w:val="hybridMultilevel"/>
    <w:lvl w:ilvl="0">
      <w:lvlJc w:val="left"/>
      <w:lvlText w:val="(%1)"/>
      <w:numFmt w:val="lowerLetter"/>
      <w:start w:val="2"/>
    </w:lvl>
  </w:abstractNum>
  <w:abstractNum w:abstractNumId="12">
    <w:nsid w:val="62BBD95A"/>
    <w:multiLevelType w:val="hybridMultilevel"/>
    <w:lvl w:ilvl="0">
      <w:lvlJc w:val="left"/>
      <w:lvlText w:val="%1."/>
      <w:numFmt w:val="decimal"/>
      <w:start w:val="7"/>
    </w:lvl>
    <w:lvl w:ilvl="1">
      <w:lvlJc w:val="left"/>
      <w:lvlText w:val="(%2)"/>
      <w:numFmt w:val="lowerLetter"/>
      <w:start w:val="1"/>
    </w:lvl>
  </w:abstractNum>
  <w:abstractNum w:abstractNumId="13">
    <w:nsid w:val="436C6125"/>
    <w:multiLevelType w:val="hybridMultilevel"/>
    <w:lvl w:ilvl="0">
      <w:lvlJc w:val="left"/>
      <w:lvlText w:val="(%1)"/>
      <w:numFmt w:val="lowerLetter"/>
      <w:start w:val="2"/>
    </w:lvl>
  </w:abstractNum>
  <w:abstractNum w:abstractNumId="14">
    <w:nsid w:val="628C895D"/>
    <w:multiLevelType w:val="hybridMultilevel"/>
    <w:lvl w:ilvl="0">
      <w:lvlJc w:val="left"/>
      <w:lvlText w:val="(%1)"/>
      <w:numFmt w:val="lowerLetter"/>
      <w:start w:val="1"/>
    </w:lvl>
    <w:lvl w:ilvl="1">
      <w:lvlJc w:val="left"/>
      <w:lvlText w:val="(%2)"/>
      <w:numFmt w:val="lowerLetter"/>
      <w:start w:val="9"/>
    </w:lvl>
  </w:abstractNum>
  <w:abstractNum w:abstractNumId="15">
    <w:nsid w:val="333AB105"/>
    <w:multiLevelType w:val="hybridMultilevel"/>
    <w:lvl w:ilvl="0">
      <w:lvlJc w:val="left"/>
      <w:lvlText w:val="%1"/>
      <w:numFmt w:val="lowerLetter"/>
      <w:start w:val="1"/>
    </w:lvl>
    <w:lvl w:ilvl="1">
      <w:lvlJc w:val="left"/>
      <w:lvlText w:val="(%2)"/>
      <w:numFmt w:val="lowerLetter"/>
      <w:start w:val="35"/>
    </w:lvl>
  </w:abstractNum>
  <w:abstractNum w:abstractNumId="16">
    <w:nsid w:val="721DA317"/>
    <w:multiLevelType w:val="hybridMultilevel"/>
    <w:lvl w:ilvl="0">
      <w:lvlJc w:val="left"/>
      <w:lvlText w:val="(%1)"/>
      <w:numFmt w:val="lowerLetter"/>
      <w:start w:val="3"/>
    </w:lvl>
    <w:lvl w:ilvl="1">
      <w:lvlJc w:val="left"/>
      <w:lvlText w:val="(%2)"/>
      <w:numFmt w:val="lowerLetter"/>
      <w:start w:val="9"/>
    </w:lvl>
  </w:abstractNum>
  <w:abstractNum w:abstractNumId="17">
    <w:nsid w:val="2443A858"/>
    <w:multiLevelType w:val="hybridMultilevel"/>
    <w:lvl w:ilvl="0">
      <w:lvlJc w:val="left"/>
      <w:lvlText w:val="%1"/>
      <w:numFmt w:val="lowerLetter"/>
      <w:start w:val="1"/>
    </w:lvl>
    <w:lvl w:ilvl="1">
      <w:lvlJc w:val="left"/>
      <w:lvlText w:val="(%2)"/>
      <w:numFmt w:val="lowerLetter"/>
      <w:start w:val="35"/>
    </w:lvl>
  </w:abstractNum>
  <w:abstractNum w:abstractNumId="18">
    <w:nsid w:val="2D1D5AE9"/>
    <w:multiLevelType w:val="hybridMultilevel"/>
    <w:lvl w:ilvl="0">
      <w:lvlJc w:val="left"/>
      <w:lvlText w:val="(%1)"/>
      <w:numFmt w:val="lowerLetter"/>
      <w:start w:val="4"/>
    </w:lvl>
    <w:lvl w:ilvl="1">
      <w:lvlJc w:val="left"/>
      <w:lvlText w:val="%2"/>
      <w:numFmt w:val="lowerLetter"/>
      <w:start w:val="1"/>
    </w:lvl>
  </w:abstractNum>
  <w:abstractNum w:abstractNumId="19">
    <w:nsid w:val="6763845E"/>
    <w:multiLevelType w:val="hybridMultilevel"/>
    <w:lvl w:ilvl="0">
      <w:lvlJc w:val="left"/>
      <w:lvlText w:val="(%1)"/>
      <w:numFmt w:val="lowerLetter"/>
      <w:start w:val="6"/>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8"/>
    </w:lvl>
  </w:abstractNum>
  <w:abstractNum w:abstractNumId="22">
    <w:nsid w:val="79838CB2"/>
    <w:multiLevelType w:val="hybridMultilevel"/>
    <w:lvl w:ilvl="0">
      <w:lvlJc w:val="left"/>
      <w:lvlText w:val="%1."/>
      <w:numFmt w:val="decimal"/>
      <w:start w:val="10"/>
    </w:lvl>
  </w:abstractNum>
  <w:abstractNum w:abstractNumId="23">
    <w:nsid w:val="4353D0CD"/>
    <w:multiLevelType w:val="hybridMultilevel"/>
    <w:lvl w:ilvl="0">
      <w:lvlJc w:val="left"/>
      <w:lvlText w:val="%1."/>
      <w:numFmt w:val="decimal"/>
      <w:start w:val="11"/>
    </w:lvl>
  </w:abstractNum>
  <w:abstractNum w:abstractNumId="24">
    <w:nsid w:val="B03E0C6"/>
    <w:multiLevelType w:val="hybridMultilevel"/>
    <w:lvl w:ilvl="0">
      <w:lvlJc w:val="left"/>
      <w:lvlText w:val="%1."/>
      <w:numFmt w:val="decimal"/>
      <w:start w:val="12"/>
    </w:lvl>
  </w:abstractNum>
  <w:abstractNum w:abstractNumId="25">
    <w:nsid w:val="189A769B"/>
    <w:multiLevelType w:val="hybridMultilevel"/>
    <w:lvl w:ilvl="0">
      <w:lvlJc w:val="left"/>
      <w:lvlText w:val="%1."/>
      <w:numFmt w:val="decimal"/>
      <w:start w:val="14"/>
    </w:lvl>
  </w:abstractNum>
  <w:abstractNum w:abstractNumId="26">
    <w:nsid w:val="54E49EB4"/>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2020-10-30T15:20:34Z</dcterms:created>
  <dcterms:modified xsi:type="dcterms:W3CDTF">2020-10-30T15:20:34Z</dcterms:modified>
</cp:coreProperties>
</file>