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28, 2019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XPRESSPA GROUP,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2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780 Third Avenue, 12</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1700" w:type="dxa"/>
            <w:vAlign w:val="bottom"/>
          </w:tcPr>
          <w:p>
            <w:pPr>
              <w:spacing w:after="0"/>
              <w:rPr>
                <w:sz w:val="18"/>
                <w:szCs w:val="18"/>
                <w:color w:val="auto"/>
              </w:rPr>
            </w:pPr>
          </w:p>
        </w:tc>
      </w:tr>
      <w:tr>
        <w:trPr>
          <w:trHeight w:val="238"/>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(646) 525-4319</w:t>
            </w:r>
          </w:p>
        </w:tc>
        <w:tc>
          <w:tcPr>
            <w:tcW w:w="170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9" w:right="25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Attached hereto as Exhibit 99.1 is a copy of a press release of XpresSpa Group, Inc., dated March 28, 2019, announcing certain financial results for the fiscal year ended December 31, 2018. The information in the press release is incorporated by reference into this Item 2.02 of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64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41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64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Exhibits</w:t>
            </w:r>
          </w:p>
        </w:tc>
      </w:tr>
      <w:tr>
        <w:trPr>
          <w:trHeight w:val="392"/>
        </w:trPr>
        <w:tc>
          <w:tcPr>
            <w:tcW w:w="130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1012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March 28, 2019.</w:t>
              </w:r>
            </w:hyperlink>
          </w:p>
        </w:tc>
      </w:tr>
      <w:tr>
        <w:trPr>
          <w:trHeight w:val="480"/>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Borders>
              <w:top w:val="single" w:sz="8" w:color="0000EE"/>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7120" w:type="dxa"/>
            <w:vAlign w:val="bottom"/>
            <w:gridSpan w:val="2"/>
          </w:tcPr>
          <w:p>
            <w:pPr>
              <w:ind w:left="2780"/>
              <w:spacing w:after="0"/>
              <w:rPr>
                <w:sz w:val="20"/>
                <w:szCs w:val="20"/>
                <w:color w:val="auto"/>
              </w:rPr>
            </w:pPr>
            <w:r>
              <w:rPr>
                <w:rFonts w:ascii="Times New Roman" w:cs="Times New Roman" w:eastAsia="Times New Roman" w:hAnsi="Times New Roman"/>
                <w:sz w:val="18"/>
                <w:szCs w:val="18"/>
                <w:b w:val="1"/>
                <w:bCs w:val="1"/>
                <w:color w:val="auto"/>
              </w:rPr>
              <w:t>XPRESSPA GROUP, INC.</w:t>
            </w:r>
          </w:p>
        </w:tc>
      </w:tr>
      <w:tr>
        <w:trPr>
          <w:trHeight w:val="43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 2019</w:t>
            </w:r>
          </w:p>
        </w:tc>
        <w:tc>
          <w:tcPr>
            <w:tcW w:w="712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Douglas Satzman</w:t>
            </w:r>
          </w:p>
        </w:tc>
      </w:tr>
      <w:tr>
        <w:trPr>
          <w:trHeight w:val="191"/>
        </w:trPr>
        <w:tc>
          <w:tcPr>
            <w:tcW w:w="43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Douglas Satzman</w:t>
            </w:r>
          </w:p>
        </w:tc>
      </w:tr>
      <w:tr>
        <w:trPr>
          <w:trHeight w:val="234"/>
        </w:trPr>
        <w:tc>
          <w:tcPr>
            <w:tcW w:w="4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59"/>
        </w:trPr>
        <w:tc>
          <w:tcPr>
            <w:tcW w:w="4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Announces Fourth Quarter and Full Year 2018 Financial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Company’s New CEO Articulates Nearer-Term Priorities and Longer-Term Opportunities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YORK, March 28, 2019 - XpresSpa Group, Inc. (Nasdaq: XSPA), a health and wellness holding company, today announced financial results for the fourth quarter ended December 31, 2018.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Doug Satzman, recently-appointed XpresSpa Group CEO, stated, “Over the past several weeks, I have conducted a ‘listening tour’ that has involved meeting with our Team members and customers so that I can understand the current state of the business and formulate our go-forward plan of action. In doing so, I have been able to identify and prioritize our areas of focus in the near-term with respect to growing sales and managing costs along with what we hope to accomplish over the longer-term in taking our brand and culture to the next level.”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Satzman added, “Our underlying objective is to build a sustainable and enduring business that can capitalize on the growing demand for spa services and related wellness products while leveraging our brand recognition, real estate footprint, and highly desirable customer demographics. While it would be premature to commit to any specific strategic or financial goals at this time, and 2019 will certainly be a transitional year as we focus on improving the core business, I am confident that in due time we can effectively grow sales and optimize costs and thereby position ourselves to achieve positive adjusted EBITDA. In fact, our disappointing performance during the fourth quarter is indicative of the importance and necessity in taking our business in a new direction.”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Nearer-term priorities: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up through recruiting, training, and retention while managing labor costs more effectively;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transactions through scheduling, loyalty, and launching an XpresSpa App;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average ticket by fixing retail supply chain issues and upselling services;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opening high performing new spas including the first franchise spa at Austin-Bergstrom International Airport by the third quarter 2019;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G&amp;A expenditures.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Longer-term opportunities: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Elevating the customer experience;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people first culture;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Activating new partnerships;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Bringing heath and wellness innovation to the spas through new products, services,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Full Year 2018 Highlights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2.6% to $50.1 million from $48.8 million in the prior year. The increase in revenue was mainly due to the timing of the opening of new XpresSpa locations during the fourth quarter of fiscal 2017 and the first three quarters of fiscal 2018, which contributed to an incremental $1.9 million in non-comparable store revenue, partially offset by a 3.2% decrease in comparable store sales.</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Retail sales comprised 17% of revenue for the full year 2018, compared to 20% for the full year 2017.</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margin increased 5.3% to $9.9 million, or 20.2% of total revenue, from store margin of $9.4 million, or 19.4% of total revenue, for full year 2017.</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Labor costs increased due to the opening of new stores during the fourth quarter 2017 and the first three quarters of fiscal 2018.</w:t>
      </w:r>
    </w:p>
    <w:p>
      <w:pPr>
        <w:spacing w:after="0" w:line="9" w:lineRule="exact"/>
        <w:rPr>
          <w:rFonts w:ascii="Times New Roman" w:cs="Times New Roman" w:eastAsia="Times New Roman" w:hAnsi="Times New Roman"/>
          <w:sz w:val="18"/>
          <w:szCs w:val="18"/>
          <w:color w:val="auto"/>
        </w:rPr>
      </w:pPr>
    </w:p>
    <w:p>
      <w:pPr>
        <w:ind w:left="13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Product and operating costs decreased as product sourcing benefitted from having already been fully transitioned to the Company’s strategic partner and careful cost control.</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decreased to $16.2 million from $16.6 million in full year 2017. This decrease is a result of streamlined processes at the corporate level to reduce administrative costs, as well as a $1.8 million reduction in stock-based compensation expense to $0.9 million in fiscal 2018 from $2.7 million in fiscal 2017. The overall decrease in G&amp;A was partially offset by $2.0 million in costs related to non-recurring severance, professional fees, and project costs.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from continuing operations increased to $34.7 million, inclusive of $19.6 million in goodwill impairment and $2.1 million in fixed asset impairment, from $14.7 million in fiscal 2017.</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loss attributable to the Company increased to $37.2 million from $28.8 million in full year 2017.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narrowed by $0.8 million to $2.7 million compared to Adjusted EBITDA loss of $3.5 million for fiscal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2018 Highlights</w:t>
      </w:r>
    </w:p>
    <w:p>
      <w:pPr>
        <w:spacing w:after="0" w:line="229"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decreased to $11.5 million from $11.8 million in the prior year. The revenue decline was due to a 4.6% decrease in comparable store sales along with a slightly lower revenue contribution from non-comparable store locations.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Retail sales comprised 16% of revenue in fourth quarter 2018, compared to 20% in fourth quarter 2017.</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margin decreased 8.4% to $2.2 million, or 19.1% of total revenue, from store margin of $2.4 million, or 20.4% of total revenue, for fourth quarter 2017.</w:t>
      </w:r>
    </w:p>
    <w:p>
      <w:pPr>
        <w:ind w:left="980" w:right="4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Labor costs decreased through greater efficiency in staffing and scheduling. o Product and operating costs increased due to higher outside labor costs.</w:t>
      </w: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to $3.8 million compared to $3.5 million in fourth quarter 2017. While expenditures were relatively flat compared to the year-ago period, fourth quarter 2018 represented the lowest G&amp;A run rate on an absolute dollar basis of the entire fiscal year, and marked a $0.1 million sequential improvement from the third quarter 2018. In fact, the Company made traction throughout the full year 2018 in reducing administrative costs through streamlined processes at the corporate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 w:name="page6"/>
    <w:bookmarkEnd w:id="5"/>
    <w:p>
      <w:pPr>
        <w:jc w:val="both"/>
        <w:ind w:left="660" w:hanging="328"/>
        <w:spacing w:after="0" w:line="25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from continuing operations increased to $5.7 million from $2.7 million in fourth quarter 2017. The fourth quarter 2018 operating loss included $4.1 million of non-cash depreciation, amortization, and impairment of fixed assets, $1.0 million in merger and acquisition, integration and one-time costs, and $0.2 million in stock-based compensation.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of $0.5 million increased $0.9 million compared to Adjusted EBITDA of $0.4 million in fourth quarter 2017.</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2018, XpresSpa completed its issuance of $3 million in preferred stock to Calm.com, Inc. (“Calm”), convertible into shares of common stock at $12.40 per share of common stock. The convertible preferred stock was sold to Calm at a significant premium to the then-current market price and demonstrated Calm’s belief in the Company’s industry leading wellness platform. The proceeds are now being used to raise XpresSpa’s brand profile and enhance the customer experience by elevating the assortment of retail products and upgrading facilities.</w:t>
      </w:r>
    </w:p>
    <w:p>
      <w:pPr>
        <w:spacing w:after="0" w:line="18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 is a non-GAAP financial measure; see "Use of Non-GAAP Financial Measures" below. See tables below for abbreviated financial results for the fourth quarters and full years 2018 and 2017.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the Company had:</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$3.4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assets of $5.8 million;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current liabilities of $16.7 million including $8.1 million in accounts payable, accrued liabilities, and other current liabilities, $6.5 million payable on the Rockmore Debt, and $2.0 million in short-term convertible notes for which, subject to certain conditions, principal repayments may be made in XpresSpa’s common stock at the Company’s discretion.</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will be further detailed in the Company’s Annual Report on Form 10-K, the report of the Company’s independent registered public accounting firm on the Company’s financial statements for the years ended December 31, 2018 and 2017 is expected to include an explanatory paragraph indicating that there is substantial doubt about our ability to continue as a going concern. The</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receipt of this explanatory paragraph with respect to the Company’s financial statements for the years ended December 31, 2018 and 2017 will result in a breach of a covenant under the Rockmore Debt which, if unremedied for a period of 30 days after the date hereof, will constitute an event of default under the Rockmore Debt.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under the Rockmore Debt, Rockmore may, among other things, declare the Rockmore Debt and all accrued and unpaid interest thereon and all other amounts owing under the Rockmore Debt to be due and payable. If the maturity date of the Rockmore Debt is accelerated as a result of the event of default referenced above, an event of default under the outstanding convertible notes would be triggered. If an event of default under the convertible notes occurs, the outstanding principal amount of the convertible notes, liquidated damages and other amounts owing in respect thereof through the date of acceleration, shall become, at the holder’s election, immediately due and payable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While XpresSpa has aggressively reduced operating and overhead expenses and continues to focus on overall profitability, the Company has also continued to generate negative cash flows from operations and expects to incur net losses in the foreseeable future. XpresSpa has taken actions to improve its overall cash position and access to liquidity by exploring valuable strategic partnerships, right-sizing the corporate structure, and stream-lining operations. The Company therefore expects that the actions taken in 2018 and early 2019 will enhance its liquidity and financial environment. In addition, XpresSpa expects to generate additional liquidity through the monetization of certain investments and other assets. These actions will be executed in alignment with the anticipated timing of its liquidity needs. There can be no assurance, however, that any such opportunities will materialize.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XpresSpa Group Inc. will host a conference call today at 4:30 p.m. Eastern Time.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conference call can be accessed live over the phone by dialing (201) 689-8263. A replay will be available after the call and can be accessed by dialing (412) 317-6671; the passcode is 13688925. The replay will be available until April 18, 2019.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webcast can be accessed from the Investor Relations section of the Company’s website at http://xpresspagroup.com. Visitors to the website should select the “Investors” tab and navigate to the “Events” link to access the webcast.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XpresSpa Group,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XpresSpa Group, Inc. (Nasdaq: XSPA) is a health and wellness holding company. XpresSpa Group’s core asset, XpresSpa, is the world’s largest airport spa company, with 56 locations in 23 airports globally, including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Holland, and the United Arab Emirates. XpresSpa Group’s non-core assets include Infomedia and intellectual property assets. To learn more about XpresSpa Group, visit: www.XpresSpaGroup.com. To learn more about XpresSpa, visit www.XpresSpa.com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Raphael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340" w:type="dxa"/>
            <w:vAlign w:val="bottom"/>
          </w:tcPr>
          <w:p>
            <w:pPr>
              <w:spacing w:after="0"/>
              <w:rPr>
                <w:sz w:val="18"/>
                <w:szCs w:val="18"/>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disposal</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340" w:type="dxa"/>
            <w:vAlign w:val="bottom"/>
          </w:tcPr>
          <w:p>
            <w:pPr>
              <w:spacing w:after="0"/>
              <w:rPr>
                <w:sz w:val="18"/>
                <w:szCs w:val="18"/>
                <w:color w:val="auto"/>
              </w:rPr>
            </w:pP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disposal</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6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18)</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$0.01 par value per share; 348 shares authorized; 348 issued and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 outstanding</w:t>
            </w:r>
          </w:p>
        </w:tc>
        <w:tc>
          <w:tcPr>
            <w:tcW w:w="16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$0.01 par value per share, 80,458 shares authorized; 80,458 shares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none outstanding</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Junior Preferred stock, $0.01 par value per share; 15,000 shares authorized; none issued and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tcPr>
          <w:p>
            <w:pPr>
              <w:spacing w:after="0"/>
              <w:rPr>
                <w:sz w:val="20"/>
                <w:szCs w:val="20"/>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 Convertible Preferred Stock, $0.01 par value per share, 25,000 shares authorized; 23,760 shares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21,027 shares outstanding with a liquidation value of $20,186</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E Convertible Preferred Stock, $0.01 par value per share, 73,665 shares authorized; 48,387 shares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outstanding with a liquidation value of $3,023</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7,500,000 shares authorized; 1,761,802 and 1,327,284 shares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2018 and 2017, respectively</w:t>
            </w:r>
          </w:p>
        </w:tc>
        <w:tc>
          <w:tcPr>
            <w:tcW w:w="1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(286,913)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attributable to the Company</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to reflect the impact of the 1:20 reverse stock split that became effective on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and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49,294</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50,094</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Labor</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Occupancy</w:t>
            </w:r>
          </w:p>
        </w:tc>
        <w:tc>
          <w:tcPr>
            <w:tcW w:w="2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 and other operating costs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16,240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84,819</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Extinguishment of debt</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net loss from continuing operations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(35,631</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 before income taxes**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net loss from discontinued operations</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4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net loss from continuing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(35,631)</w:t>
            </w:r>
          </w:p>
        </w:tc>
        <w:tc>
          <w:tcPr>
            <w:tcW w:w="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from continuing operations: foreign currency translation</w:t>
            </w:r>
          </w:p>
        </w:tc>
        <w:tc>
          <w:tcPr>
            <w:tcW w:w="2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continuing operations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(35,808</w:t>
            </w:r>
          </w:p>
        </w:tc>
        <w:tc>
          <w:tcPr>
            <w:tcW w:w="340" w:type="dxa"/>
            <w:vAlign w:val="bottom"/>
            <w:tcBorders>
              <w:top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loss from discontinued operations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from discontinued operations: foreign currency translation</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discontinued operations</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4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(36,923</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per share from 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(24.83)</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per share from discontinued operations</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basic and diluted net loss per share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34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during the year*</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1,453,635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1,114,349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bottom w:val="single" w:sz="8" w:color="CCEEFF"/>
            </w:tcBorders>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1,453,635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1,114,349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**Includes stock-based compensation expense, as follows: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916</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*Adjusted to reflect the impact of the 1:20 reverse stock split that became effective on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a supplemental measure of financial performance that is not required by, or presented in accordance with, GAAP. A reconciliation of operating loss for the year ended December 31, 2018 to Adjusted EBITDA income (loss) is presented in the table below.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 The following table provides a reconciliation of operating loss for the wellness operating segment and corporate to Adjusted EBITDA income (loss) for each of the four quarters of 2018 and the full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Loss From Continuing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Adjusted EBITDA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Quarter-Ended</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 revenue</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49,294,000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(6,210,000)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(6,490,000)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(5,997,000)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(5,672,000)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(24,369,000)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(1,996,000)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(1,902,000)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and other operating costs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(1,443,000)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(1,709,000)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(1,966,000)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(1,756,000)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(39,361,000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margin</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2,087,000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2,679,000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2,963,000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2,204,000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9,933,000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Store margin as a % of total revenue</w:t>
            </w: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(1,047,000)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(1,232,000)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(3,559,000)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(19,630,000)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(4,596,000)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(3,904,000)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(3,943,000)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(3,797,000)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(16,240,000)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revenue and expense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operating revenue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expense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operating revenue, net</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(23,056,000)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(3,068,000)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(5,716,000)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1,653,000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1,843,000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1,879,000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impairment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19,630,000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One-time costs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605,000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(1,461,000)</w:t>
            </w:r>
          </w:p>
        </w:tc>
        <w:tc>
          <w:tcPr>
            <w:tcW w:w="2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(481,000)</w:t>
            </w: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Same Store Sales Growth for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XpresSpa regularly measures comparable store sales, which it defines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A reconciliation between Comp Store Sales and total revenue as reported on the financial statements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187"/>
        </w:trPr>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Non-Comp</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Non-Comp</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12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 Store</w:t>
            </w: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Store</w:t>
            </w:r>
          </w:p>
        </w:tc>
        <w:tc>
          <w:tcPr>
            <w:tcW w:w="26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 Store</w:t>
            </w: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Store</w:t>
            </w: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$42,653,000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6,641,000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49,294,000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4,748,000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48,823,000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 Store Sales decreased 3% during the year ended December 31, 2018 as compared to the same period in 2017. As of December 31, 2018, XpresSpa had 56 open locations; during the year, XpresSpa opened six new locations, and closed six underperforming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2019-12-28T14:07:07Z</dcterms:created>
  <dcterms:modified xsi:type="dcterms:W3CDTF">2019-12-28T14:07:07Z</dcterms:modified>
</cp:coreProperties>
</file>