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580390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820"/>
        <w:spacing w:after="0"/>
        <w:rPr>
          <w:sz w:val="20"/>
          <w:szCs w:val="20"/>
          <w:color w:val="auto"/>
        </w:rPr>
      </w:pPr>
      <w:r>
        <w:rPr>
          <w:rFonts w:ascii="Arial" w:cs="Arial" w:eastAsia="Arial" w:hAnsi="Arial"/>
          <w:sz w:val="20"/>
          <w:szCs w:val="20"/>
          <w:b w:val="1"/>
          <w:bCs w:val="1"/>
          <w:color w:val="auto"/>
        </w:rPr>
        <w:t>UNITED STATES</w:t>
      </w:r>
    </w:p>
    <w:p>
      <w:pPr>
        <w:jc w:val="center"/>
        <w:ind w:right="-820"/>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8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68580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SCHEDULE 14A</w:t>
      </w:r>
    </w:p>
    <w:p>
      <w:pPr>
        <w:spacing w:after="0" w:line="65"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w:t>
      </w:r>
    </w:p>
    <w:p>
      <w:pPr>
        <w:ind w:left="3980"/>
        <w:spacing w:after="0"/>
        <w:rPr>
          <w:sz w:val="20"/>
          <w:szCs w:val="20"/>
          <w:color w:val="auto"/>
        </w:rPr>
      </w:pPr>
      <w:r>
        <w:rPr>
          <w:rFonts w:ascii="Arial" w:cs="Arial" w:eastAsia="Arial" w:hAnsi="Arial"/>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2"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5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XpresSpa Group, Inc.</w:t>
      </w:r>
    </w:p>
    <w:p>
      <w:pPr>
        <w:spacing w:after="0" w:line="6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86360</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28" w:lineRule="exact"/>
        <w:rPr>
          <w:sz w:val="24"/>
          <w:szCs w:val="24"/>
          <w:color w:val="auto"/>
        </w:rPr>
      </w:pPr>
    </w:p>
    <w:p>
      <w:pPr>
        <w:ind w:left="29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8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1480" w:hanging="220"/>
        <w:spacing w:after="0"/>
        <w:tabs>
          <w:tab w:leader="none" w:pos="1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w:t>
      </w:r>
    </w:p>
    <w:p>
      <w:pPr>
        <w:spacing w:after="0" w:line="9"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7"/>
          <w:szCs w:val="17"/>
          <w:color w:val="auto"/>
        </w:rPr>
        <w:t>11 (set forth the amount on which the filing fee is calculated and state how it was determined):</w:t>
      </w:r>
    </w:p>
    <w:p>
      <w:pPr>
        <w:spacing w:after="0" w:line="72" w:lineRule="exact"/>
        <w:rPr>
          <w:rFonts w:ascii="Arial" w:cs="Arial" w:eastAsia="Arial" w:hAnsi="Arial"/>
          <w:sz w:val="17"/>
          <w:szCs w:val="17"/>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620" w:right="499" w:hanging="360"/>
        <w:spacing w:after="0" w:line="235"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rFonts w:ascii="MS PGothic" w:cs="MS PGothic" w:eastAsia="MS PGothic" w:hAnsi="MS PGothic"/>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980" w:hanging="360"/>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-3267710</wp:posOffset>
            </wp:positionV>
            <wp:extent cx="4757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-2916555</wp:posOffset>
            </wp:positionV>
            <wp:extent cx="475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-2616200</wp:posOffset>
            </wp:positionV>
            <wp:extent cx="4757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-2273300</wp:posOffset>
            </wp:positionV>
            <wp:extent cx="4757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-1913255</wp:posOffset>
            </wp:positionV>
            <wp:extent cx="4757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-884555</wp:posOffset>
            </wp:positionV>
            <wp:extent cx="4757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-533400</wp:posOffset>
            </wp:positionV>
            <wp:extent cx="475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-173355</wp:posOffset>
            </wp:positionV>
            <wp:extent cx="4757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177800</wp:posOffset>
            </wp:positionV>
            <wp:extent cx="4757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297815</wp:posOffset>
            </wp:positionV>
            <wp:extent cx="5212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340360</wp:posOffset>
            </wp:positionV>
            <wp:extent cx="5212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953770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494665</wp:posOffset>
            </wp:positionV>
            <wp:extent cx="246888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88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New York, New York 10001</w:t>
      </w:r>
    </w:p>
    <w:p>
      <w:pPr>
        <w:spacing w:after="0" w:line="139"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August 20, 2021</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Stockholders:</w:t>
      </w:r>
    </w:p>
    <w:p>
      <w:pPr>
        <w:spacing w:after="0" w:line="144"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You are cordially invited to attend the 2021 annual meeting of stockholders of XpresSpa Group, Inc. to be held at 11:00 a.m. Eastern time on Thursday, September 30, 2021.</w:t>
      </w:r>
    </w:p>
    <w:p>
      <w:pPr>
        <w:spacing w:after="0" w:line="103"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 xml:space="preserve">As a result of the continuing public health and travel risks and concerns due to COVID-19, the 2021 annual meeting will be a virtual meeting via live webcast on the internet. You will be able to attend the meeting, vote and submit your questions during the meeting by visiting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 and entering the control number on your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or proxy card. You will not be able to attend the annual meeting in person.</w:t>
      </w:r>
    </w:p>
    <w:p>
      <w:pPr>
        <w:spacing w:after="0" w:line="120"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Details regarding the meeting, the business to be conducted at the meeting, and information about XpresSpa Group, Inc. that you should consider when you vote your shares are described in the accompanying proxy statement.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annual meeting, we will ask stockholders to consider the following proposals:</w:t>
      </w:r>
    </w:p>
    <w:p>
      <w:pPr>
        <w:spacing w:after="0" w:line="158" w:lineRule="exact"/>
        <w:rPr>
          <w:sz w:val="20"/>
          <w:szCs w:val="20"/>
          <w:color w:val="auto"/>
        </w:rPr>
      </w:pPr>
    </w:p>
    <w:p>
      <w:pPr>
        <w:ind w:left="1980" w:right="73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Douglas Satzman, Bruce T. Bernstein, Robert Weinstein, Donald E. Stout and Michael Lebowitz to our Board of Directors;</w:t>
      </w:r>
    </w:p>
    <w:p>
      <w:pPr>
        <w:spacing w:after="0" w:line="102"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Friedman LLP as our independent registered public accounting firm for the fiscal year ending December 31, 2021;</w:t>
      </w:r>
    </w:p>
    <w:p>
      <w:pPr>
        <w:spacing w:after="0" w:line="89" w:lineRule="exact"/>
        <w:rPr>
          <w:rFonts w:ascii="Arial" w:cs="Arial" w:eastAsia="Arial" w:hAnsi="Arial"/>
          <w:sz w:val="18"/>
          <w:szCs w:val="18"/>
          <w:color w:val="auto"/>
        </w:rPr>
      </w:pPr>
    </w:p>
    <w:p>
      <w:pPr>
        <w:jc w:val="both"/>
        <w:ind w:left="1980" w:right="419" w:hanging="360"/>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common stock by 100,000,000, from 150,000,000 to 250,000,000;</w:t>
      </w:r>
    </w:p>
    <w:p>
      <w:pPr>
        <w:spacing w:after="0" w:line="116"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the accompanying proxy statement; and</w:t>
      </w:r>
    </w:p>
    <w:p>
      <w:pPr>
        <w:spacing w:after="0" w:line="102" w:lineRule="exact"/>
        <w:rPr>
          <w:rFonts w:ascii="Arial" w:cs="Arial" w:eastAsia="Arial" w:hAnsi="Arial"/>
          <w:sz w:val="18"/>
          <w:szCs w:val="18"/>
          <w:color w:val="auto"/>
        </w:rPr>
      </w:pPr>
    </w:p>
    <w:p>
      <w:pPr>
        <w:ind w:left="1980" w:right="1179" w:hanging="360"/>
        <w:spacing w:after="0" w:line="308"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adjournment of our annual meeting of stockholders, if necessary, to solicit additional proxies if there are not sufficient votes in favor of proposals 2 through 4.</w:t>
      </w:r>
    </w:p>
    <w:p>
      <w:pPr>
        <w:spacing w:after="0" w:line="61" w:lineRule="exact"/>
        <w:rPr>
          <w:sz w:val="20"/>
          <w:szCs w:val="20"/>
          <w:color w:val="auto"/>
        </w:rPr>
      </w:pPr>
    </w:p>
    <w:p>
      <w:pPr>
        <w:ind w:left="1260" w:right="559" w:firstLine="3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transacted as may properly come before the annual meeting.</w:t>
      </w:r>
    </w:p>
    <w:p>
      <w:pPr>
        <w:spacing w:after="0" w:line="98"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Thank you for your continued support of XpresSpa Group, Inc.</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593090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494665</wp:posOffset>
            </wp:positionV>
            <wp:extent cx="246888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88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New York, New York 10001</w:t>
      </w:r>
    </w:p>
    <w:p>
      <w:pPr>
        <w:spacing w:after="0" w:line="58"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August 20, 2021</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81"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11:00 a.m., Eastern time</w:t>
      </w:r>
    </w:p>
    <w:p>
      <w:pPr>
        <w:spacing w:after="0" w:line="50"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30, 2021</w:t>
      </w:r>
    </w:p>
    <w:p>
      <w:pPr>
        <w:spacing w:after="0" w:line="63" w:lineRule="exact"/>
        <w:rPr>
          <w:sz w:val="20"/>
          <w:szCs w:val="20"/>
          <w:color w:val="auto"/>
        </w:rPr>
      </w:pPr>
    </w:p>
    <w:p>
      <w:pPr>
        <w:ind w:left="2120" w:right="479" w:hanging="859"/>
        <w:spacing w:after="0" w:line="231" w:lineRule="auto"/>
        <w:tabs>
          <w:tab w:leader="none" w:pos="2100" w:val="left"/>
        </w:tabs>
        <w:rPr>
          <w:sz w:val="20"/>
          <w:szCs w:val="20"/>
          <w:color w:val="auto"/>
        </w:rPr>
      </w:pPr>
      <w:r>
        <w:rPr>
          <w:rFonts w:ascii="Arial" w:cs="Arial" w:eastAsia="Arial" w:hAnsi="Arial"/>
          <w:sz w:val="18"/>
          <w:szCs w:val="18"/>
          <w:color w:val="auto"/>
        </w:rPr>
        <w:t>ACCESS:</w:t>
        <w:tab/>
        <w:t xml:space="preserve">The 2021 annual meeting will be a virtual meeting via live webcast on the Internet. You will be able to attend the annual meeting, vote and submit your questions during the meeting by visiting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 and entering the control number included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notice of internet availability or proxy card.</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PURPOSES:</w:t>
      </w:r>
    </w:p>
    <w:p>
      <w:pPr>
        <w:spacing w:after="0" w:line="50" w:lineRule="exact"/>
        <w:rPr>
          <w:sz w:val="20"/>
          <w:szCs w:val="20"/>
          <w:color w:val="auto"/>
        </w:rPr>
      </w:pPr>
    </w:p>
    <w:p>
      <w:pPr>
        <w:ind w:left="1980" w:right="739" w:hanging="360"/>
        <w:spacing w:after="0" w:line="246"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Douglas Satzman, Bruce T. Bernstein, Robert Weinstein, Donald E. Stout and Michael Lebowitz to our Board of Directors;</w:t>
      </w:r>
    </w:p>
    <w:p>
      <w:pPr>
        <w:spacing w:after="0" w:line="34" w:lineRule="exact"/>
        <w:rPr>
          <w:rFonts w:ascii="Arial" w:cs="Arial" w:eastAsia="Arial" w:hAnsi="Arial"/>
          <w:sz w:val="18"/>
          <w:szCs w:val="18"/>
          <w:color w:val="auto"/>
        </w:rPr>
      </w:pPr>
    </w:p>
    <w:p>
      <w:pPr>
        <w:ind w:left="1980" w:right="599" w:hanging="360"/>
        <w:spacing w:after="0" w:line="246"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Friedman LLP as our independent registered public accounting firm for the fiscal year ending December 31, 2021;</w:t>
      </w:r>
    </w:p>
    <w:p>
      <w:pPr>
        <w:spacing w:after="0" w:line="21" w:lineRule="exact"/>
        <w:rPr>
          <w:rFonts w:ascii="Arial" w:cs="Arial" w:eastAsia="Arial" w:hAnsi="Arial"/>
          <w:sz w:val="18"/>
          <w:szCs w:val="18"/>
          <w:color w:val="auto"/>
        </w:rPr>
      </w:pPr>
    </w:p>
    <w:p>
      <w:pPr>
        <w:jc w:val="both"/>
        <w:ind w:left="1980" w:right="419" w:hanging="360"/>
        <w:spacing w:after="0" w:line="235"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common stock by 100,000,000, from 150,000,000 to 250,000,000;</w:t>
      </w:r>
    </w:p>
    <w:p>
      <w:pPr>
        <w:spacing w:after="0" w:line="26" w:lineRule="exact"/>
        <w:rPr>
          <w:rFonts w:ascii="Arial" w:cs="Arial" w:eastAsia="Arial" w:hAnsi="Arial"/>
          <w:sz w:val="18"/>
          <w:szCs w:val="18"/>
          <w:color w:val="auto"/>
        </w:rPr>
      </w:pPr>
    </w:p>
    <w:p>
      <w:pPr>
        <w:ind w:left="1980" w:right="599" w:hanging="360"/>
        <w:spacing w:after="0" w:line="246"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the proxy statement; and</w:t>
      </w:r>
    </w:p>
    <w:p>
      <w:pPr>
        <w:spacing w:after="0" w:line="34" w:lineRule="exact"/>
        <w:rPr>
          <w:rFonts w:ascii="Arial" w:cs="Arial" w:eastAsia="Arial" w:hAnsi="Arial"/>
          <w:sz w:val="18"/>
          <w:szCs w:val="18"/>
          <w:color w:val="auto"/>
        </w:rPr>
      </w:pPr>
    </w:p>
    <w:p>
      <w:pPr>
        <w:ind w:left="1980" w:right="1179" w:hanging="360"/>
        <w:spacing w:after="0" w:line="273"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an adjournment of our annual meeting of stockholders, if necessary, to solicit additional proxies if there are not sufficient votes in favor of proposals 2 through 4.</w:t>
      </w:r>
    </w:p>
    <w:p>
      <w:pPr>
        <w:spacing w:after="0" w:line="1" w:lineRule="exact"/>
        <w:rPr>
          <w:sz w:val="20"/>
          <w:szCs w:val="20"/>
          <w:color w:val="auto"/>
        </w:rPr>
      </w:pPr>
    </w:p>
    <w:p>
      <w:pPr>
        <w:ind w:left="1260" w:right="559" w:firstLine="360"/>
        <w:spacing w:after="0" w:line="242" w:lineRule="auto"/>
        <w:rPr>
          <w:sz w:val="20"/>
          <w:szCs w:val="20"/>
          <w:color w:val="auto"/>
        </w:rPr>
      </w:pPr>
      <w:r>
        <w:rPr>
          <w:rFonts w:ascii="Arial" w:cs="Arial" w:eastAsia="Arial" w:hAnsi="Arial"/>
          <w:sz w:val="17"/>
          <w:szCs w:val="17"/>
          <w:color w:val="auto"/>
        </w:rPr>
        <w:t>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(the “Notice”) containing instructions on how to access Annual Meeting materials via the Internet. The Notice also provides instructions on how to obtain paper copies if preferred.</w:t>
      </w:r>
    </w:p>
    <w:p>
      <w:pPr>
        <w:spacing w:after="0" w:line="27" w:lineRule="exact"/>
        <w:rPr>
          <w:sz w:val="20"/>
          <w:szCs w:val="20"/>
          <w:color w:val="auto"/>
        </w:rPr>
      </w:pPr>
    </w:p>
    <w:p>
      <w:pPr>
        <w:ind w:left="1260" w:right="499" w:firstLine="360"/>
        <w:spacing w:after="0" w:line="225" w:lineRule="auto"/>
        <w:rPr>
          <w:sz w:val="20"/>
          <w:szCs w:val="20"/>
          <w:color w:val="auto"/>
        </w:rPr>
      </w:pPr>
      <w:r>
        <w:rPr>
          <w:rFonts w:ascii="Arial" w:cs="Arial" w:eastAsia="Arial" w:hAnsi="Arial"/>
          <w:sz w:val="18"/>
          <w:szCs w:val="18"/>
          <w:color w:val="auto"/>
        </w:rPr>
        <w:t xml:space="preserve">You may vote if you were the record owner of XpresSpa Group, Inc. Common Stock at the close of business on August 13, 2021. A list of stockholders of record will be available for 10 days prior to the annual meeting at our headquarters, 254 West 31st Street, New York, New York 10011. If you would like to view the stockholder list, please contact Omar Haynes, Vice President, Treasury &amp; Finance, at (917) 261-3836 to schedule an appointment or for alternative arrangements to the extent office access is impracticable due to the COVID- 19 pandemic. In addition, a list of stockholders of record will be available during the annual meeting for inspection by stockholders of record for any legally valid purpose related to the annual at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w:t>
      </w:r>
    </w:p>
    <w:p>
      <w:pPr>
        <w:spacing w:after="0" w:line="37" w:lineRule="exact"/>
        <w:rPr>
          <w:sz w:val="20"/>
          <w:szCs w:val="20"/>
          <w:color w:val="auto"/>
        </w:rPr>
      </w:pPr>
    </w:p>
    <w:p>
      <w:pPr>
        <w:ind w:left="1260" w:right="439" w:firstLine="360"/>
        <w:spacing w:after="0" w:line="232"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annual meeting or not, we urge you to vote and submit your proxy by the Internet, telephone or mail in order to ensure the presence of a quorum. </w:t>
      </w:r>
      <w:r>
        <w:rPr>
          <w:rFonts w:ascii="Arial" w:cs="Arial" w:eastAsia="Arial" w:hAnsi="Arial"/>
          <w:sz w:val="18"/>
          <w:szCs w:val="18"/>
          <w:color w:val="auto"/>
        </w:rPr>
        <w:t>You may change or revoke your proxy at any time before it is voted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ORDER OF THE BOARD OF DIRECTORS</w:t>
      </w:r>
    </w:p>
    <w:p>
      <w:pPr>
        <w:spacing w:after="0" w:line="2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Sincerely,</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Douglas Satzman</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610870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SHAREHOLDER MEETING TO BE HELD ON SEPTEMBER 30, 2021</w:t>
      </w:r>
    </w:p>
    <w:p>
      <w:pPr>
        <w:spacing w:after="0" w:line="126"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7"/>
          <w:szCs w:val="17"/>
          <w:b w:val="1"/>
          <w:bCs w:val="1"/>
          <w:color w:val="auto"/>
        </w:rPr>
        <w:t xml:space="preserve">This proxy statement, the Notice of Annual Meeting of Stockholders, and our 2020 Annual Report to stockholders are available for viewing, printing and downloading at </w:t>
      </w:r>
      <w:r>
        <w:rPr>
          <w:rFonts w:ascii="Arial" w:cs="Arial" w:eastAsia="Arial" w:hAnsi="Arial"/>
          <w:sz w:val="17"/>
          <w:szCs w:val="17"/>
          <w:b w:val="1"/>
          <w:bCs w:val="1"/>
          <w:i w:val="1"/>
          <w:iCs w:val="1"/>
          <w:color w:val="auto"/>
        </w:rPr>
        <w:t>www.proxyvote.com</w:t>
      </w:r>
      <w:r>
        <w:rPr>
          <w:rFonts w:ascii="Arial" w:cs="Arial" w:eastAsia="Arial" w:hAnsi="Arial"/>
          <w:sz w:val="17"/>
          <w:szCs w:val="17"/>
          <w:b w:val="1"/>
          <w:bCs w:val="1"/>
          <w:color w:val="auto"/>
        </w:rPr>
        <w:t>. To view these materials please have your 16-digit control number(s) available that appears on your notice of internet availability or proxy card. On this website, you can also elect to receive future distributions of our proxy statements and annual reports to stockholders by electronic delivery.</w:t>
      </w:r>
    </w:p>
    <w:p>
      <w:pPr>
        <w:spacing w:after="0" w:line="100" w:lineRule="exact"/>
        <w:rPr>
          <w:sz w:val="20"/>
          <w:szCs w:val="20"/>
          <w:color w:val="auto"/>
        </w:rPr>
      </w:pPr>
    </w:p>
    <w:p>
      <w:pPr>
        <w:ind w:left="1260" w:right="459" w:firstLine="360"/>
        <w:spacing w:after="0" w:line="314" w:lineRule="auto"/>
        <w:rPr>
          <w:sz w:val="20"/>
          <w:szCs w:val="20"/>
          <w:color w:val="auto"/>
        </w:rPr>
      </w:pPr>
      <w:r>
        <w:rPr>
          <w:rFonts w:ascii="Arial" w:cs="Arial" w:eastAsia="Arial" w:hAnsi="Arial"/>
          <w:sz w:val="15"/>
          <w:szCs w:val="15"/>
          <w:b w:val="1"/>
          <w:bCs w:val="1"/>
          <w:color w:val="auto"/>
        </w:rPr>
        <w:t xml:space="preserve">Additionally, you can find a copy of our Annual Report on Form 10-K, as amended, which includes our financial statements for the fiscal year ended December 31, 2020, on the website of the Securities and Exchange Commission, or the SEC, at </w:t>
      </w:r>
      <w:r>
        <w:rPr>
          <w:rFonts w:ascii="Arial" w:cs="Arial" w:eastAsia="Arial" w:hAnsi="Arial"/>
          <w:sz w:val="15"/>
          <w:szCs w:val="15"/>
          <w:b w:val="1"/>
          <w:bCs w:val="1"/>
          <w:i w:val="1"/>
          <w:iCs w:val="1"/>
          <w:color w:val="auto"/>
        </w:rPr>
        <w:t>www.sec.gov</w:t>
      </w:r>
      <w:r>
        <w:rPr>
          <w:rFonts w:ascii="Arial" w:cs="Arial" w:eastAsia="Arial" w:hAnsi="Arial"/>
          <w:sz w:val="15"/>
          <w:szCs w:val="15"/>
          <w:b w:val="1"/>
          <w:bCs w:val="1"/>
          <w:color w:val="auto"/>
        </w:rPr>
        <w:t xml:space="preserve">, or in the “SEC Filings” section of the “Investors” section of our website at </w:t>
      </w:r>
      <w:r>
        <w:rPr>
          <w:rFonts w:ascii="Arial" w:cs="Arial" w:eastAsia="Arial" w:hAnsi="Arial"/>
          <w:sz w:val="15"/>
          <w:szCs w:val="15"/>
          <w:b w:val="1"/>
          <w:bCs w:val="1"/>
          <w:i w:val="1"/>
          <w:iCs w:val="1"/>
          <w:color w:val="auto"/>
        </w:rPr>
        <w:t>www.xpresspagroup.com</w:t>
      </w:r>
      <w:r>
        <w:rPr>
          <w:rFonts w:ascii="Arial" w:cs="Arial" w:eastAsia="Arial" w:hAnsi="Arial"/>
          <w:sz w:val="15"/>
          <w:szCs w:val="15"/>
          <w:b w:val="1"/>
          <w:bCs w:val="1"/>
          <w:color w:val="auto"/>
        </w:rPr>
        <w:t>. You may also obtain a printed copy of our Annual Report on Form 10-K, as amended, including our financial statements, free of charge, from us by sending a written request to: XpresSpa Group, Inc., 254 West 31st Street, 11th Floor, New York, New York 10001, Attention: Corporate Secretary. Exhibits will be provided upon written request and payment of an appropriate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5999480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PAGE</w:t>
            </w:r>
          </w:p>
        </w:tc>
      </w:tr>
      <w:tr>
        <w:trPr>
          <w:trHeight w:val="26"/>
        </w:trPr>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0000EE"/>
            </w:tcBorders>
            <w:gridSpan w:val="15"/>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IMPORTANT INFORMATION ABOUT THE ANNUAL MEETING AND VOTING</w:t>
              </w:r>
            </w:hyperlink>
          </w:p>
        </w:tc>
        <w:tc>
          <w:tcPr>
            <w:tcW w:w="1400" w:type="dxa"/>
            <w:vAlign w:val="bottom"/>
            <w:tcBorders>
              <w:bottom w:val="single" w:sz="8" w:color="CCEEFF"/>
            </w:tcBorders>
            <w:gridSpan w:val="8"/>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SECURITY OWNERSHIP OF CERTAIN BENEFICIAL OWNERS AND MANAGEMENT</w:t>
              </w:r>
            </w:hyperlink>
          </w:p>
        </w:tc>
        <w:tc>
          <w:tcPr>
            <w:tcW w:w="36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4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24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MANAGEMENT AND CORPORATE GOVERNANCE</w:t>
              </w:r>
            </w:hyperlink>
          </w:p>
        </w:tc>
        <w:tc>
          <w:tcPr>
            <w:tcW w:w="3560" w:type="dxa"/>
            <w:vAlign w:val="bottom"/>
            <w:tcBorders>
              <w:bottom w:val="single" w:sz="8" w:color="CCEEFF"/>
            </w:tcBorders>
            <w:gridSpan w:val="12"/>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10</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AUDIT COMMITTEE</w:t>
              </w:r>
            </w:hyperlink>
          </w:p>
        </w:tc>
        <w:tc>
          <w:tcPr>
            <w:tcW w:w="36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c>
          <w:tcPr>
            <w:tcW w:w="4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DELINQUENT SECTION 16(a) REPORTS</w:t>
              </w:r>
            </w:hyperlink>
          </w:p>
        </w:tc>
        <w:tc>
          <w:tcPr>
            <w:tcW w:w="4480" w:type="dxa"/>
            <w:vAlign w:val="bottom"/>
            <w:tcBorders>
              <w:bottom w:val="single" w:sz="8" w:color="CCEEFF"/>
            </w:tcBorders>
            <w:gridSpan w:val="15"/>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29"/>
        </w:trPr>
        <w:tc>
          <w:tcPr>
            <w:tcW w:w="78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CERTAIN RELATIONSHIPS AND RELATED PERSON TRANSACTIONS</w:t>
              </w:r>
            </w:hyperlink>
          </w:p>
        </w:tc>
        <w:tc>
          <w:tcPr>
            <w:tcW w:w="36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4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800" w:type="dxa"/>
            <w:vAlign w:val="bottom"/>
            <w:gridSpan w:val="23"/>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PROPOSAL 1: ELECTION OF DIRECTORS</w:t>
              </w:r>
            </w:hyperlink>
          </w:p>
        </w:tc>
        <w:tc>
          <w:tcPr>
            <w:tcW w:w="360" w:type="dxa"/>
            <w:vAlign w:val="bottom"/>
            <w:gridSpan w:val="4"/>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4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2: RATIFICATION OF APPOINTMENT OF INDEPENDENT REGISTERED</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PUBLIC ACCOUNTING FIRM</w:t>
              </w:r>
            </w:hyperlink>
          </w:p>
        </w:tc>
        <w:tc>
          <w:tcPr>
            <w:tcW w:w="900" w:type="dxa"/>
            <w:vAlign w:val="bottom"/>
            <w:gridSpan w:val="7"/>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4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8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PROPOSAL 3: APPROVAL OF CHARTER AMENDMENT TO INCREASE AUTHORIZED</w:t>
              </w:r>
            </w:hyperlink>
          </w:p>
        </w:tc>
        <w:tc>
          <w:tcPr>
            <w:tcW w:w="720" w:type="dxa"/>
            <w:vAlign w:val="bottom"/>
            <w:tcBorders>
              <w:bottom w:val="single" w:sz="8" w:color="CCEEFF"/>
            </w:tcBorders>
            <w:gridSpan w:val="4"/>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SHARES OF COMMON STOCK</w:t>
              </w:r>
            </w:hyperlink>
          </w:p>
        </w:tc>
        <w:tc>
          <w:tcPr>
            <w:tcW w:w="5060" w:type="dxa"/>
            <w:vAlign w:val="bottom"/>
            <w:tcBorders>
              <w:bottom w:val="single" w:sz="8" w:color="CCEEFF"/>
            </w:tcBorders>
            <w:gridSpan w:val="18"/>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40" w:type="dxa"/>
            <w:vAlign w:val="bottom"/>
            <w:tcBorders>
              <w:bottom w:val="single" w:sz="8" w:color="CCEEFF"/>
            </w:tcBorders>
            <w:shd w:val="clear" w:color="auto" w:fill="CCEEFF"/>
          </w:tcPr>
          <w:p>
            <w:pPr>
              <w:spacing w:after="0"/>
              <w:rPr>
                <w:sz w:val="20"/>
                <w:szCs w:val="20"/>
                <w:color w:val="auto"/>
              </w:rPr>
            </w:pPr>
          </w:p>
        </w:tc>
      </w:tr>
      <w:tr>
        <w:trPr>
          <w:trHeight w:val="216"/>
        </w:trPr>
        <w:tc>
          <w:tcPr>
            <w:tcW w:w="780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PROPOSAL 4: ADVISORY VOTE ON APPROVAL OF EXECUTIVE COMPENSATION AS</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DISCLOSED IN THIS PROXY STATEMENT.</w:t>
              </w:r>
            </w:hyperlink>
          </w:p>
        </w:tc>
        <w:tc>
          <w:tcPr>
            <w:tcW w:w="660" w:type="dxa"/>
            <w:vAlign w:val="bottom"/>
            <w:gridSpan w:val="3"/>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4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00" w:type="dxa"/>
            <w:vAlign w:val="bottom"/>
            <w:tcBorders>
              <w:bottom w:val="single" w:sz="8" w:color="0000EE"/>
            </w:tcBorders>
            <w:gridSpan w:val="18"/>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PROPOSAL 5: APPROVAL OF THE ADJOURNMENT OF THE ANNUAL MEETING, IF</w:t>
              </w:r>
            </w:hyperlink>
          </w:p>
        </w:tc>
        <w:tc>
          <w:tcPr>
            <w:tcW w:w="800" w:type="dxa"/>
            <w:vAlign w:val="bottom"/>
            <w:tcBorders>
              <w:bottom w:val="single" w:sz="8" w:color="CCEEFF"/>
            </w:tcBorders>
            <w:gridSpan w:val="5"/>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NECESSARY, TO SOLICIT ADDITIONAL PROXIES IF THERE ARE NOT SUFFICIENT</w:t>
              </w:r>
            </w:hyperlink>
          </w:p>
        </w:tc>
        <w:tc>
          <w:tcPr>
            <w:tcW w:w="58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620" w:type="dxa"/>
            <w:vAlign w:val="bottom"/>
            <w:gridSpan w:val="22"/>
            <w:shd w:val="clear" w:color="auto" w:fill="CCEEFF"/>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VOTES IN FAVOR OF PROPOSALS 2 THROUGH 4</w:t>
              </w:r>
            </w:hyperlink>
          </w:p>
        </w:tc>
        <w:tc>
          <w:tcPr>
            <w:tcW w:w="36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4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230"/>
        </w:trPr>
        <w:tc>
          <w:tcPr>
            <w:tcW w:w="78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CODE OF CONDUCT AND ETHICS</w:t>
              </w:r>
            </w:hyperlink>
          </w:p>
        </w:tc>
        <w:tc>
          <w:tcPr>
            <w:tcW w:w="3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4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2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OTHER MATTERS</w:t>
              </w:r>
            </w:hyperlink>
          </w:p>
        </w:tc>
        <w:tc>
          <w:tcPr>
            <w:tcW w:w="6280" w:type="dxa"/>
            <w:vAlign w:val="bottom"/>
            <w:tcBorders>
              <w:bottom w:val="single" w:sz="8" w:color="CCEEFF"/>
            </w:tcBorders>
            <w:gridSpan w:val="20"/>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30"/>
        </w:trPr>
        <w:tc>
          <w:tcPr>
            <w:tcW w:w="78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STOCKHOLDER PROPOSALS AND NOMINATIONS FOR DIRECTOR</w:t>
              </w:r>
            </w:hyperlink>
          </w:p>
        </w:tc>
        <w:tc>
          <w:tcPr>
            <w:tcW w:w="3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4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7800" w:type="dxa"/>
            <w:vAlign w:val="bottom"/>
            <w:gridSpan w:val="23"/>
            <w:shd w:val="clear" w:color="auto" w:fill="CCEEFF"/>
          </w:tcPr>
          <w:p>
            <w:pPr>
              <w:spacing w:after="0"/>
              <w:rPr>
                <w:sz w:val="20"/>
                <w:szCs w:val="20"/>
                <w:color w:val="auto"/>
              </w:rPr>
            </w:pPr>
            <w:r>
              <w:rPr>
                <w:rFonts w:ascii="Arial" w:cs="Arial" w:eastAsia="Arial" w:hAnsi="Arial"/>
                <w:sz w:val="18"/>
                <w:szCs w:val="18"/>
                <w:b w:val="1"/>
                <w:bCs w:val="1"/>
                <w:color w:val="auto"/>
              </w:rPr>
              <w:t>APPENDIX</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1"/>
        </w:trPr>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APPENDIX A – FORM OF CERTIFICATE OF AMENDMENT TO INCREASE AUTHORIZED</w:t>
              </w:r>
            </w:hyperlink>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SHARES</w:t>
              </w:r>
            </w:hyperlink>
          </w:p>
        </w:tc>
        <w:tc>
          <w:tcPr>
            <w:tcW w:w="6900" w:type="dxa"/>
            <w:vAlign w:val="bottom"/>
            <w:gridSpan w:val="21"/>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A-1</w:t>
              </w:r>
            </w:hyperlink>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-3582670</wp:posOffset>
            </wp:positionV>
            <wp:extent cx="4954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XPRESSPA GROUP, INC.</w:t>
      </w:r>
    </w:p>
    <w:p>
      <w:pPr>
        <w:spacing w:after="0" w:line="1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254 West 31st Street, 11th Floor</w:t>
      </w:r>
    </w:p>
    <w:p>
      <w:pPr>
        <w:ind w:left="4360"/>
        <w:spacing w:after="0"/>
        <w:rPr>
          <w:sz w:val="20"/>
          <w:szCs w:val="20"/>
          <w:color w:val="auto"/>
        </w:rPr>
      </w:pPr>
      <w:r>
        <w:rPr>
          <w:rFonts w:ascii="Arial" w:cs="Arial" w:eastAsia="Arial" w:hAnsi="Arial"/>
          <w:sz w:val="18"/>
          <w:szCs w:val="18"/>
          <w:b w:val="1"/>
          <w:bCs w:val="1"/>
          <w:color w:val="auto"/>
        </w:rPr>
        <w:t>New York, New York 10001</w:t>
      </w:r>
    </w:p>
    <w:p>
      <w:pPr>
        <w:spacing w:after="0" w:line="192"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ANNUAL MEETING OF STOCKHOLDERS TO BE HELD ON SEPTEMBER 30, 2021</w:t>
      </w:r>
    </w:p>
    <w:p>
      <w:pPr>
        <w:spacing w:after="0" w:line="11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 xml:space="preserve">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Eastern time, on Thursday, September 30, 2021. As a result of the continuing public health and travel risks and concerns due to COVID -19, the 2021 annual meeting will be a virtual meeting via live webcast on the internet. You will be able to attend the meeting, vote and submit your questions during the annual meeting by visiting </w:t>
      </w:r>
      <w:r>
        <w:rPr>
          <w:rFonts w:ascii="Arial" w:cs="Arial" w:eastAsia="Arial" w:hAnsi="Arial"/>
          <w:sz w:val="17"/>
          <w:szCs w:val="17"/>
          <w:i w:val="1"/>
          <w:iCs w:val="1"/>
          <w:color w:val="auto"/>
        </w:rPr>
        <w:t>www.virtualshareholdermeeting.com/XSPA2021</w:t>
      </w:r>
      <w:r>
        <w:rPr>
          <w:rFonts w:ascii="Arial" w:cs="Arial" w:eastAsia="Arial" w:hAnsi="Arial"/>
          <w:sz w:val="17"/>
          <w:szCs w:val="17"/>
          <w:color w:val="auto"/>
        </w:rPr>
        <w:t>, and entering the control number included on your Notice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proxy card you receive. You will not be able to attend the 2021 annual meeting in person.</w:t>
      </w:r>
    </w:p>
    <w:p>
      <w:pPr>
        <w:spacing w:after="0" w:line="109" w:lineRule="exact"/>
        <w:rPr>
          <w:sz w:val="20"/>
          <w:szCs w:val="20"/>
          <w:color w:val="auto"/>
        </w:rPr>
      </w:pPr>
    </w:p>
    <w:p>
      <w:pPr>
        <w:ind w:left="1260" w:right="739" w:firstLine="360"/>
        <w:spacing w:after="0" w:line="266" w:lineRule="auto"/>
        <w:rPr>
          <w:sz w:val="20"/>
          <w:szCs w:val="20"/>
          <w:color w:val="auto"/>
        </w:rPr>
      </w:pPr>
      <w:r>
        <w:rPr>
          <w:rFonts w:ascii="Arial" w:cs="Arial" w:eastAsia="Arial" w:hAnsi="Arial"/>
          <w:sz w:val="18"/>
          <w:szCs w:val="18"/>
          <w:color w:val="auto"/>
        </w:rPr>
        <w:t>In this proxy statement, we refer to XpresSpa Group, Inc. as “</w:t>
      </w:r>
      <w:r>
        <w:rPr>
          <w:rFonts w:ascii="Arial" w:cs="Arial" w:eastAsia="Arial" w:hAnsi="Arial"/>
          <w:sz w:val="18"/>
          <w:szCs w:val="18"/>
          <w:b w:val="1"/>
          <w:bCs w:val="1"/>
          <w:color w:val="auto"/>
        </w:rPr>
        <w:t>XpresSpa</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99"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SHAREHOLDER MEETING TO BE HELD ON SEPTEMBER 30, 2021</w:t>
      </w:r>
    </w:p>
    <w:p>
      <w:pPr>
        <w:spacing w:after="0" w:line="115"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This proxy statement is available for viewing, printing and downloading at www.proxyvote.com. To view this material please have the control number(s) available that appears on your Notice or proxy card. On this website, you can also elect to receive future distributions of our proxy statements by electronic delivery.</w:t>
      </w:r>
    </w:p>
    <w:p>
      <w:pPr>
        <w:spacing w:after="0" w:line="18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Board of Directors of XpresSpa Group, Inc. is soliciting your proxy to vote at the annual meeting of stockholders to be held virtually on September 30, 2021, at 11:00 a.m. Eastern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22" w:lineRule="exact"/>
        <w:rPr>
          <w:sz w:val="20"/>
          <w:szCs w:val="20"/>
          <w:color w:val="auto"/>
        </w:rPr>
      </w:pPr>
    </w:p>
    <w:p>
      <w:pPr>
        <w:jc w:val="both"/>
        <w:ind w:left="1260" w:right="699" w:firstLine="360"/>
        <w:spacing w:after="0" w:line="259" w:lineRule="auto"/>
        <w:rPr>
          <w:sz w:val="20"/>
          <w:szCs w:val="20"/>
          <w:color w:val="auto"/>
        </w:rPr>
      </w:pPr>
      <w:r>
        <w:rPr>
          <w:rFonts w:ascii="Arial" w:cs="Arial" w:eastAsia="Arial" w:hAnsi="Arial"/>
          <w:sz w:val="17"/>
          <w:szCs w:val="17"/>
          <w:color w:val="auto"/>
        </w:rPr>
        <w:t>We have made available to you on the Internet or have sent you this proxy statement, the Notice of Annual Meeting of Stockholders, the proxy card and a copy of our Annual Report on Form 10-K for the fiscal year ended December 31, 2020, as amended, because you owned shares of our Common Stock, par value $0.01 per share (the “Common Stock”), on the record date. On or about August 20, 2021, we made these materials available to all stockholders entitled to vote at the annual meeting.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4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color w:val="auto"/>
        </w:rPr>
        <w:t>Due to the continuing public health impact of COVID-19 and to support the health and well-being of our stockholders, this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170" w:lineRule="exact"/>
        <w:rPr>
          <w:sz w:val="20"/>
          <w:szCs w:val="20"/>
          <w:color w:val="auto"/>
        </w:rPr>
      </w:pPr>
    </w:p>
    <w:p>
      <w:pPr>
        <w:ind w:left="1260" w:right="519"/>
        <w:spacing w:after="0" w:line="329" w:lineRule="auto"/>
        <w:rPr>
          <w:sz w:val="20"/>
          <w:szCs w:val="20"/>
          <w:color w:val="auto"/>
        </w:rPr>
      </w:pPr>
      <w:r>
        <w:rPr>
          <w:rFonts w:ascii="Arial" w:cs="Arial" w:eastAsia="Arial" w:hAnsi="Arial"/>
          <w:sz w:val="16"/>
          <w:szCs w:val="16"/>
          <w:b w:val="1"/>
          <w:bCs w:val="1"/>
          <w:color w:val="auto"/>
        </w:rPr>
        <w:t>Why is the Company seeking approval for an amendment to the XpresSpa Group, Inc. Amended and Restated Certificate of Incorporation to increase the number of authorized shares of common stock?</w:t>
      </w:r>
    </w:p>
    <w:p>
      <w:pPr>
        <w:spacing w:after="0" w:line="53" w:lineRule="exact"/>
        <w:rPr>
          <w:sz w:val="20"/>
          <w:szCs w:val="20"/>
          <w:color w:val="auto"/>
        </w:rPr>
      </w:pPr>
    </w:p>
    <w:p>
      <w:pPr>
        <w:ind w:left="1260" w:right="639" w:firstLine="360"/>
        <w:spacing w:after="0" w:line="324" w:lineRule="auto"/>
        <w:rPr>
          <w:sz w:val="20"/>
          <w:szCs w:val="20"/>
          <w:color w:val="auto"/>
        </w:rPr>
      </w:pPr>
      <w:r>
        <w:rPr>
          <w:rFonts w:ascii="Arial" w:cs="Arial" w:eastAsia="Arial" w:hAnsi="Arial"/>
          <w:sz w:val="16"/>
          <w:szCs w:val="16"/>
          <w:color w:val="auto"/>
        </w:rPr>
        <w:t>Our amended and restated Certificate of Incorporation authorizes us to issue 150,000,000 shares of common stock. As of August 2, 2021, the Company has 105,569,045 shares of Common Stock issued and</w:t>
      </w: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outstanding and an aggregate of 41,379,153 shares of Common Stock reserved for issuance upon exercise of warrants to purchase shares of Common Stock issued in our previous financing, and for issuance under our various equity incentive plans (inclusive of shares to be issued pursuant to outstanding options and restricted stock units)</w:t>
      </w:r>
      <w:r>
        <w:rPr>
          <w:rFonts w:ascii="Arial" w:cs="Arial" w:eastAsia="Arial" w:hAnsi="Arial"/>
          <w:sz w:val="18"/>
          <w:szCs w:val="18"/>
          <w:b w:val="1"/>
          <w:bCs w:val="1"/>
          <w:color w:val="auto"/>
        </w:rPr>
        <w:t>.</w:t>
      </w:r>
      <w:r>
        <w:rPr>
          <w:rFonts w:ascii="Arial" w:cs="Arial" w:eastAsia="Arial" w:hAnsi="Arial"/>
          <w:sz w:val="18"/>
          <w:szCs w:val="18"/>
          <w:color w:val="auto"/>
        </w:rPr>
        <w:t xml:space="preserve"> We are seeking stockholder approval to increase the number of authorized shares of common stock to 250,000,000 to provide additional authorized shares of Common Stock for use in connection with potential future financings, strategic opportunities, acquisitions, employee benefit plans or for other corporate purposes.</w:t>
      </w:r>
    </w:p>
    <w:p>
      <w:pPr>
        <w:spacing w:after="0" w:line="11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For more information, see “Proposal 3: Charter Amendment to Increase Authorized Shares Of Common Stock” contained elsewhere in this proxy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62"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virtual annual meeting, voting at the annual meeting or submitting questions at the annual meeting.</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w:t>
      </w:r>
    </w:p>
    <w:p>
      <w:pPr>
        <w:spacing w:after="0" w:line="162"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Only stockholders who owned our Common Stock at the close of business on August 13, 2021 are entitled to vote at the annual meeting. On this record date, there were 105,569,045 shares of our Common Stock outstanding and entitled to vote. Our Common Stock is our only class of voting stock.</w:t>
      </w:r>
    </w:p>
    <w:p>
      <w:pPr>
        <w:spacing w:after="0" w:line="8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 or Revoke My</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 below.</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Each share of our Common Stock that you own entitles you to one vote. There is no cumulative voting in the election of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w:t>
      </w:r>
    </w:p>
    <w:p>
      <w:pPr>
        <w:spacing w:after="0" w:line="3" w:lineRule="exact"/>
        <w:rPr>
          <w:sz w:val="20"/>
          <w:szCs w:val="20"/>
          <w:color w:val="auto"/>
        </w:rPr>
      </w:pPr>
    </w:p>
    <w:p>
      <w:pPr>
        <w:ind w:left="1260" w:right="1019"/>
        <w:spacing w:after="0" w:line="260" w:lineRule="auto"/>
        <w:tabs>
          <w:tab w:leader="none" w:pos="1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Trust Company, LLC, or you have stock certificates registered in your name, you are a “registered stockholder”, and you may vote:</w:t>
      </w:r>
    </w:p>
    <w:p>
      <w:pPr>
        <w:spacing w:after="0" w:line="73" w:lineRule="exact"/>
        <w:rPr>
          <w:rFonts w:ascii="Arial" w:cs="Arial" w:eastAsia="Arial" w:hAnsi="Arial"/>
          <w:sz w:val="18"/>
          <w:szCs w:val="18"/>
          <w:color w:val="auto"/>
        </w:rPr>
      </w:pPr>
    </w:p>
    <w:p>
      <w:pPr>
        <w:ind w:left="1800" w:hanging="180"/>
        <w:spacing w:after="0"/>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Over the Internet.  </w:t>
      </w:r>
      <w:r>
        <w:rPr>
          <w:rFonts w:ascii="Arial" w:cs="Arial" w:eastAsia="Arial" w:hAnsi="Arial"/>
          <w:sz w:val="18"/>
          <w:szCs w:val="18"/>
          <w:color w:val="auto"/>
        </w:rPr>
        <w:t>Go to www.proxyvote.com and have your Notice or proxy card available.</w:t>
      </w:r>
    </w:p>
    <w:p>
      <w:pPr>
        <w:spacing w:after="0" w:line="117" w:lineRule="exact"/>
        <w:rPr>
          <w:rFonts w:ascii="Arial" w:cs="Arial" w:eastAsia="Arial" w:hAnsi="Arial"/>
          <w:sz w:val="18"/>
          <w:szCs w:val="18"/>
          <w:color w:val="auto"/>
        </w:rPr>
      </w:pPr>
    </w:p>
    <w:p>
      <w:pPr>
        <w:ind w:left="1800" w:right="779" w:hanging="180"/>
        <w:spacing w:after="0" w:line="282" w:lineRule="auto"/>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Call 1-800-690-6903 and follow the instructions. Have your Notice or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w:t>
      </w:r>
    </w:p>
    <w:p>
      <w:pPr>
        <w:spacing w:after="0" w:line="53" w:lineRule="exact"/>
        <w:rPr>
          <w:rFonts w:ascii="Arial" w:cs="Arial" w:eastAsia="Arial" w:hAnsi="Arial"/>
          <w:sz w:val="18"/>
          <w:szCs w:val="18"/>
          <w:color w:val="auto"/>
        </w:rPr>
      </w:pPr>
    </w:p>
    <w:p>
      <w:pPr>
        <w:ind w:left="1800" w:right="539" w:hanging="180"/>
        <w:spacing w:after="0" w:line="261" w:lineRule="auto"/>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in the envelope provided. If you sign the proxy card but do not specify how you want your shares voted, they will be voted in accordance with the Board of Directors’ recommendations as noted below.</w:t>
      </w:r>
    </w:p>
    <w:p>
      <w:pPr>
        <w:spacing w:after="0" w:line="71" w:lineRule="exact"/>
        <w:rPr>
          <w:rFonts w:ascii="Arial" w:cs="Arial" w:eastAsia="Arial" w:hAnsi="Arial"/>
          <w:sz w:val="18"/>
          <w:szCs w:val="18"/>
          <w:color w:val="auto"/>
        </w:rPr>
      </w:pPr>
    </w:p>
    <w:p>
      <w:pPr>
        <w:ind w:left="1800" w:right="459" w:hanging="180"/>
        <w:spacing w:after="0" w:line="266" w:lineRule="auto"/>
        <w:tabs>
          <w:tab w:leader="none" w:pos="1800"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virtual annual meeting, you may vote during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by visiting </w:t>
      </w:r>
      <w:r>
        <w:rPr>
          <w:rFonts w:ascii="Arial" w:cs="Arial" w:eastAsia="Arial" w:hAnsi="Arial"/>
          <w:sz w:val="18"/>
          <w:szCs w:val="18"/>
          <w:i w:val="1"/>
          <w:iCs w:val="1"/>
          <w:color w:val="auto"/>
        </w:rPr>
        <w:t>www.virtualshareholdermeeting.com/XSPA2021</w:t>
      </w:r>
      <w:r>
        <w:rPr>
          <w:rFonts w:ascii="Arial" w:cs="Arial" w:eastAsia="Arial" w:hAnsi="Arial"/>
          <w:sz w:val="18"/>
          <w:szCs w:val="18"/>
          <w:color w:val="auto"/>
        </w:rPr>
        <w:t>, and entering the control number included on the Notice or proxy card you receive.</w:t>
      </w:r>
    </w:p>
    <w:p>
      <w:pPr>
        <w:spacing w:after="0" w:line="35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8"/>
          <w:szCs w:val="18"/>
          <w:b w:val="1"/>
          <w:bCs w:val="1"/>
          <w:color w:val="auto"/>
        </w:rPr>
        <w:t>Internet and telephone voting facilities for registered stockholders will be available 24 hours a day and will close at 11:59 p.m. Eastern Time on September 29, 2021.</w:t>
      </w:r>
    </w:p>
    <w:p>
      <w:pPr>
        <w:spacing w:after="0" w:line="85"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and telephone voting also will be offered to stockholders owning shares through certain banks and brokers.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13"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 for director;</w:t>
      </w:r>
    </w:p>
    <w:p>
      <w:pPr>
        <w:spacing w:after="0" w:line="103" w:lineRule="exact"/>
        <w:rPr>
          <w:rFonts w:ascii="Arial" w:cs="Arial" w:eastAsia="Arial" w:hAnsi="Arial"/>
          <w:sz w:val="18"/>
          <w:szCs w:val="18"/>
          <w:color w:val="auto"/>
        </w:rPr>
      </w:pPr>
    </w:p>
    <w:p>
      <w:pPr>
        <w:ind w:left="1800" w:right="1039" w:hanging="180"/>
        <w:spacing w:after="0" w:line="28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Friedman LLP as our independent registered public accounting firm for our fiscal year ending December 31, 2021;</w:t>
      </w:r>
    </w:p>
    <w:p>
      <w:pPr>
        <w:spacing w:after="0" w:line="53" w:lineRule="exact"/>
        <w:rPr>
          <w:rFonts w:ascii="Arial" w:cs="Arial" w:eastAsia="Arial" w:hAnsi="Arial"/>
          <w:sz w:val="18"/>
          <w:szCs w:val="18"/>
          <w:color w:val="auto"/>
        </w:rPr>
      </w:pPr>
    </w:p>
    <w:p>
      <w:pPr>
        <w:ind w:left="1800" w:right="779" w:hanging="180"/>
        <w:spacing w:after="0" w:line="26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increase the number of authorized shares of our common stock by 100,000,000, from 150,000,000 to 250,000,000;</w:t>
      </w:r>
    </w:p>
    <w:p>
      <w:pPr>
        <w:spacing w:after="0" w:line="6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compensation of our named executive officers, as disclosed in this proxy statement; and</w:t>
      </w:r>
    </w:p>
    <w:p>
      <w:pPr>
        <w:spacing w:after="0" w:line="128" w:lineRule="exact"/>
        <w:rPr>
          <w:rFonts w:ascii="Arial" w:cs="Arial" w:eastAsia="Arial" w:hAnsi="Arial"/>
          <w:sz w:val="17"/>
          <w:szCs w:val="17"/>
          <w:color w:val="auto"/>
        </w:rPr>
      </w:pPr>
    </w:p>
    <w:p>
      <w:pPr>
        <w:ind w:left="1800" w:right="479" w:hanging="180"/>
        <w:spacing w:after="0" w:line="28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proposals 2 through 4.</w:t>
      </w:r>
    </w:p>
    <w:p>
      <w:pPr>
        <w:spacing w:after="0" w:line="85" w:lineRule="exact"/>
        <w:rPr>
          <w:sz w:val="20"/>
          <w:szCs w:val="20"/>
          <w:color w:val="auto"/>
        </w:rPr>
      </w:pPr>
    </w:p>
    <w:p>
      <w:pPr>
        <w:jc w:val="both"/>
        <w:ind w:left="1260" w:right="699" w:firstLine="360"/>
        <w:spacing w:after="0" w:line="243"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a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or Revoke My Proxy?</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3" w:lineRule="exact"/>
        <w:rPr>
          <w:sz w:val="20"/>
          <w:szCs w:val="20"/>
          <w:color w:val="auto"/>
        </w:rPr>
      </w:pPr>
    </w:p>
    <w:p>
      <w:pPr>
        <w:ind w:left="1800" w:right="8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notifying the Corporate Secretary of XpresSpa Group, Inc. in writing before the annual meeting that you have revoked your proxy; or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attending the annual meeting virtually. Attending the annual meeting virtually will not in and of itself revoke a previously submitted proxy. You must specifically request at the annual meeting that it be revoked.</w:t>
      </w:r>
    </w:p>
    <w:p>
      <w:pPr>
        <w:spacing w:after="0" w:line="103"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Your most current vote, whether by the Internet, telephone or proxy card is the one that will be counted.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62"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7"/>
          <w:szCs w:val="17"/>
          <w:i w:val="1"/>
          <w:iCs w:val="1"/>
          <w:color w:val="auto"/>
        </w:rPr>
        <w:t>How Do I Vote?</w:t>
      </w:r>
      <w:r>
        <w:rPr>
          <w:rFonts w:ascii="Arial" w:cs="Arial" w:eastAsia="Arial" w:hAnsi="Arial"/>
          <w:sz w:val="17"/>
          <w:szCs w:val="17"/>
          <w:color w:val="auto"/>
        </w:rPr>
        <w:t>” for each account to ensure that all of your shares are voted.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62" w:lineRule="exact"/>
        <w:rPr>
          <w:sz w:val="20"/>
          <w:szCs w:val="20"/>
          <w:color w:val="auto"/>
        </w:rPr>
      </w:pPr>
    </w:p>
    <w:p>
      <w:pPr>
        <w:ind w:left="1260" w:right="499" w:firstLine="360"/>
        <w:spacing w:after="0" w:line="284"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and 4.</w:t>
      </w:r>
    </w:p>
    <w:p>
      <w:pPr>
        <w:sectPr>
          <w:pgSz w:w="11900" w:h="16838" w:orient="portrait"/>
          <w:cols w:equalWidth="0" w:num="1">
            <w:col w:w="9879"/>
          </w:cols>
          <w:pgMar w:left="580" w:top="131" w:right="1440" w:bottom="1440" w:gutter="0" w:footer="0" w:header="0"/>
        </w:sectPr>
      </w:pPr>
    </w:p>
    <w:p>
      <w:pPr>
        <w:spacing w:after="0" w:line="33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131" w:right="1440" w:bottom="1440" w:gutter="0" w:footer="0" w:header="0"/>
        </w:sectPr>
      </w:pPr>
    </w:p>
    <w:p>
      <w:pPr>
        <w:spacing w:after="0" w:line="185" w:lineRule="exact"/>
        <w:rPr>
          <w:sz w:val="20"/>
          <w:szCs w:val="20"/>
          <w:color w:val="auto"/>
        </w:rPr>
      </w:pPr>
    </w:p>
    <w:p>
      <w:pPr>
        <w:jc w:val="center"/>
        <w:ind w:left="460"/>
        <w:spacing w:after="0"/>
        <w:rPr>
          <w:sz w:val="20"/>
          <w:szCs w:val="20"/>
          <w:color w:val="auto"/>
        </w:rPr>
      </w:pPr>
      <w:r>
        <w:rPr>
          <w:rFonts w:ascii="Arial" w:cs="Arial" w:eastAsia="Arial" w:hAnsi="Arial"/>
          <w:sz w:val="15"/>
          <w:szCs w:val="15"/>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line="386" w:lineRule="auto"/>
        <w:rPr>
          <w:sz w:val="20"/>
          <w:szCs w:val="20"/>
          <w:color w:val="auto"/>
        </w:rPr>
      </w:pPr>
      <w:r>
        <w:rPr>
          <w:rFonts w:ascii="Arial" w:cs="Arial" w:eastAsia="Arial" w:hAnsi="Arial"/>
          <w:sz w:val="15"/>
          <w:szCs w:val="15"/>
          <w:b w:val="1"/>
          <w:bCs w:val="1"/>
          <w:color w:val="auto"/>
        </w:rPr>
        <w:t>Proposal 2: Ratify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300"/>
        <w:spacing w:after="0" w:line="282" w:lineRule="auto"/>
        <w:rPr>
          <w:sz w:val="20"/>
          <w:szCs w:val="20"/>
          <w:color w:val="auto"/>
        </w:rPr>
      </w:pPr>
      <w:r>
        <w:rPr>
          <w:rFonts w:ascii="Arial" w:cs="Arial" w:eastAsia="Arial" w:hAnsi="Arial"/>
          <w:sz w:val="18"/>
          <w:szCs w:val="18"/>
          <w:b w:val="1"/>
          <w:bCs w:val="1"/>
          <w:color w:val="auto"/>
        </w:rPr>
        <w:t>Proposal 3: Approval of the Increase in Authorized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right="300"/>
        <w:spacing w:after="0" w:line="266" w:lineRule="auto"/>
        <w:rPr>
          <w:sz w:val="20"/>
          <w:szCs w:val="20"/>
          <w:color w:val="auto"/>
        </w:rPr>
      </w:pPr>
      <w:r>
        <w:rPr>
          <w:rFonts w:ascii="Arial" w:cs="Arial" w:eastAsia="Arial" w:hAnsi="Arial"/>
          <w:sz w:val="18"/>
          <w:szCs w:val="18"/>
          <w:b w:val="1"/>
          <w:bCs w:val="1"/>
          <w:color w:val="auto"/>
        </w:rPr>
        <w:t>Proposal 4: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519"/>
        <w:spacing w:after="0" w:line="269" w:lineRule="auto"/>
        <w:rPr>
          <w:sz w:val="20"/>
          <w:szCs w:val="20"/>
          <w:color w:val="auto"/>
        </w:rPr>
      </w:pPr>
      <w:r>
        <w:rPr>
          <w:rFonts w:ascii="Arial" w:cs="Arial" w:eastAsia="Arial" w:hAnsi="Arial"/>
          <w:sz w:val="17"/>
          <w:szCs w:val="17"/>
          <w:color w:val="auto"/>
        </w:rPr>
        <w:t>The five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30" w:lineRule="exact"/>
        <w:rPr>
          <w:sz w:val="20"/>
          <w:szCs w:val="20"/>
          <w:color w:val="auto"/>
        </w:rPr>
      </w:pPr>
    </w:p>
    <w:p>
      <w:pPr>
        <w:ind w:right="419"/>
        <w:spacing w:after="0" w:line="267" w:lineRule="auto"/>
        <w:rPr>
          <w:sz w:val="20"/>
          <w:szCs w:val="20"/>
          <w:color w:val="auto"/>
        </w:rPr>
      </w:pPr>
      <w:r>
        <w:rPr>
          <w:rFonts w:ascii="Arial" w:cs="Arial" w:eastAsia="Arial" w:hAnsi="Arial"/>
          <w:sz w:val="17"/>
          <w:szCs w:val="17"/>
          <w:color w:val="auto"/>
        </w:rPr>
        <w:t>The affirmative vote of the holders of a majority of the shares of Common Stock present and entitled to vote on the matter either virtually or by proxy at the annual meeting is required to ratify the appointment of Friedman LLP as our independent registered public accounting firm for the fiscal year ending December 31, 2021.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LLP as our independent registered public accounting firm for 2021, the Audit Committee of our Board of Directors will reconsider its selection.</w:t>
      </w:r>
    </w:p>
    <w:p>
      <w:pPr>
        <w:spacing w:after="0" w:line="83" w:lineRule="exact"/>
        <w:rPr>
          <w:sz w:val="20"/>
          <w:szCs w:val="20"/>
          <w:color w:val="auto"/>
        </w:rPr>
      </w:pPr>
    </w:p>
    <w:p>
      <w:pPr>
        <w:ind w:right="499"/>
        <w:spacing w:after="0" w:line="269" w:lineRule="auto"/>
        <w:rPr>
          <w:sz w:val="20"/>
          <w:szCs w:val="20"/>
          <w:color w:val="auto"/>
        </w:rPr>
      </w:pPr>
      <w:r>
        <w:rPr>
          <w:rFonts w:ascii="Arial" w:cs="Arial" w:eastAsia="Arial" w:hAnsi="Arial"/>
          <w:sz w:val="17"/>
          <w:szCs w:val="17"/>
          <w:color w:val="auto"/>
        </w:rPr>
        <w:t>The affirmative vote of the holders of a majority of the shares of our Common Stock having voting power outstanding on the record date is required to approve the amendment to our Amended and Restated Certificate of Incorporation to increase the number of our authorized shares of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74" w:lineRule="exact"/>
        <w:rPr>
          <w:sz w:val="20"/>
          <w:szCs w:val="20"/>
          <w:color w:val="auto"/>
        </w:rPr>
      </w:pPr>
    </w:p>
    <w:p>
      <w:pPr>
        <w:ind w:right="419"/>
        <w:spacing w:after="0" w:line="296" w:lineRule="auto"/>
        <w:rPr>
          <w:sz w:val="20"/>
          <w:szCs w:val="20"/>
          <w:color w:val="auto"/>
        </w:rPr>
      </w:pPr>
      <w:r>
        <w:rPr>
          <w:rFonts w:ascii="Arial" w:cs="Arial" w:eastAsia="Arial" w:hAnsi="Arial"/>
          <w:sz w:val="16"/>
          <w:szCs w:val="16"/>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w:t>
      </w:r>
    </w:p>
    <w:p>
      <w:pPr>
        <w:spacing w:after="0" w:line="200" w:lineRule="exact"/>
        <w:rPr>
          <w:sz w:val="20"/>
          <w:szCs w:val="20"/>
          <w:color w:val="auto"/>
        </w:rPr>
      </w:pPr>
    </w:p>
    <w:p>
      <w:pPr>
        <w:sectPr>
          <w:pgSz w:w="11900" w:h="16838" w:orient="portrait"/>
          <w:cols w:equalWidth="0" w:num="2">
            <w:col w:w="4440" w:space="500"/>
            <w:col w:w="4939"/>
          </w:cols>
          <w:pgMar w:left="580" w:top="131" w:right="1440" w:bottom="1440" w:gutter="0" w:footer="0" w:header="0"/>
          <w:type w:val="continuous"/>
        </w:sectPr>
      </w:pP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line="329" w:lineRule="auto"/>
        <w:rPr>
          <w:sz w:val="20"/>
          <w:szCs w:val="20"/>
          <w:color w:val="auto"/>
        </w:rPr>
      </w:pPr>
      <w:r>
        <w:rPr>
          <w:rFonts w:ascii="Arial" w:cs="Arial" w:eastAsia="Arial" w:hAnsi="Arial"/>
          <w:sz w:val="15"/>
          <w:szCs w:val="15"/>
          <w:b w:val="1"/>
          <w:bCs w:val="1"/>
          <w:color w:val="auto"/>
        </w:rPr>
        <w:t>Proposal 5: Approve an Adjournment of the Annual Meeting, if Necessary, to Solicit Additional Proxies if there are not Sufficient Votes in Favor of Proposals 2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57" w:lineRule="exact"/>
        <w:rPr>
          <w:sz w:val="20"/>
          <w:szCs w:val="20"/>
          <w:color w:val="auto"/>
        </w:rPr>
      </w:pPr>
    </w:p>
    <w:p>
      <w:pPr>
        <w:ind w:right="419"/>
        <w:spacing w:after="0" w:line="269" w:lineRule="auto"/>
        <w:rPr>
          <w:sz w:val="20"/>
          <w:szCs w:val="20"/>
          <w:color w:val="auto"/>
        </w:rPr>
      </w:pPr>
      <w:r>
        <w:rPr>
          <w:rFonts w:ascii="Arial" w:cs="Arial" w:eastAsia="Arial" w:hAnsi="Arial"/>
          <w:sz w:val="17"/>
          <w:szCs w:val="17"/>
          <w:color w:val="auto"/>
        </w:rPr>
        <w:t>Approval of the adjournment of the annual meeting, if necessary, to solicit additional proxies if there are not sufficient votes in favor of Proposals 2 through 4 requires the affirmative vote of the holders of a majority of the shares of Common Stock present and entitled to vote on the matter either virtually or by proxy at the annual meeting. Brokerage firms have authority to vote customers’ unvoted shares held by the firms in street name on this proposal. If a broker does not exercise this authority, such broker non-votes will have no effect on the results of this vote.</w:t>
      </w:r>
    </w:p>
    <w:p>
      <w:pPr>
        <w:spacing w:after="0" w:line="698" w:lineRule="exact"/>
        <w:rPr>
          <w:sz w:val="20"/>
          <w:szCs w:val="20"/>
          <w:color w:val="auto"/>
        </w:rPr>
      </w:pPr>
    </w:p>
    <w:p>
      <w:pPr>
        <w:sectPr>
          <w:pgSz w:w="11900" w:h="16838" w:orient="portrait"/>
          <w:cols w:equalWidth="0" w:num="2">
            <w:col w:w="4500" w:space="440"/>
            <w:col w:w="4939"/>
          </w:cols>
          <w:pgMar w:left="580" w:top="131" w:right="1440" w:bottom="1440" w:gutter="0" w:footer="0" w:header="0"/>
        </w:sectPr>
      </w:pPr>
    </w:p>
    <w:p>
      <w:pPr>
        <w:ind w:left="1260" w:right="579" w:firstLine="360"/>
        <w:spacing w:after="0" w:line="259"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Broadridge Financial Solutions, Inc., examine these documents. Management will not know how you voted on a specific proposal unless it is necessary to meet legal requirements. We will, however, forward to management any written comments you make, on the proxy card or otherwise.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0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$25,000 in the aggregate.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presence, virtually or by proxy, of the holders of one-third (33.33%) of the shares of our Common Stock issued and outstanding and entitled to vote on the matters at the annual meeting is necessary to constitute a quorum at the meeting. Votes of stockholders of record who are present at the annual meeting in person or by proxy, abstentions, and broker non-votes are counted for purposes of determining whether a quorum exists.</w:t>
      </w:r>
    </w:p>
    <w:p>
      <w:pPr>
        <w:sectPr>
          <w:pgSz w:w="11900" w:h="16838" w:orient="portrait"/>
          <w:cols w:equalWidth="0" w:num="1">
            <w:col w:w="9879"/>
          </w:cols>
          <w:pgMar w:left="580" w:top="131" w:right="1440" w:bottom="1440" w:gutter="0" w:footer="0" w:header="0"/>
          <w:type w:val="continuous"/>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Why did I receive a Notice of Internet Availability of Proxy Materials rather than a full set of proxy materials?</w:t>
      </w:r>
    </w:p>
    <w:p>
      <w:pPr>
        <w:spacing w:after="0" w:line="18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accordance with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the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124" w:lineRule="exact"/>
        <w:rPr>
          <w:sz w:val="20"/>
          <w:szCs w:val="20"/>
          <w:color w:val="auto"/>
        </w:rPr>
      </w:pPr>
    </w:p>
    <w:p>
      <w:pPr>
        <w:ind w:left="1260" w:right="559" w:firstLine="360"/>
        <w:spacing w:after="0" w:line="286" w:lineRule="auto"/>
        <w:rPr>
          <w:sz w:val="20"/>
          <w:szCs w:val="20"/>
          <w:color w:val="auto"/>
        </w:rPr>
      </w:pPr>
      <w:r>
        <w:rPr>
          <w:rFonts w:ascii="Arial" w:cs="Arial" w:eastAsia="Arial" w:hAnsi="Arial"/>
          <w:sz w:val="17"/>
          <w:szCs w:val="17"/>
          <w:color w:val="auto"/>
        </w:rPr>
        <w:t xml:space="preserve">If you are a registered stockholder and wish to receive paper copies of future proxy materials, please visit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via the Internet. If you are a registered stockholder and wish to request electronic delivery of proxy materials in the future, you may elect this option on this site as well.</w:t>
      </w:r>
    </w:p>
    <w:p>
      <w:pPr>
        <w:spacing w:after="0" w:line="98"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If you choose to access future proxy materials electronically, you will receive an email with instructions containing a link to the website where the materials are available and a link to the proxy voting website. Your election to access proxy materials electronically will remain in effect until you terminate it.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Attending the Annual Meeting</w:t>
      </w:r>
    </w:p>
    <w:p>
      <w:pPr>
        <w:spacing w:after="0" w:line="14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 xml:space="preserve">The annual meeting will be held at 11:00 a.m. Eastern time on Thursday, September 30, 2021. The annual meeting will be held in a virtual meeting format only. To attend the virtual annual meeting, go to </w:t>
      </w:r>
      <w:r>
        <w:rPr>
          <w:rFonts w:ascii="Arial" w:cs="Arial" w:eastAsia="Arial" w:hAnsi="Arial"/>
          <w:sz w:val="18"/>
          <w:szCs w:val="18"/>
          <w:i w:val="1"/>
          <w:iCs w:val="1"/>
          <w:color w:val="auto"/>
        </w:rPr>
        <w:t xml:space="preserve">www.virtualshareholdermeeting.com/XSPA2021 </w:t>
      </w:r>
      <w:r>
        <w:rPr>
          <w:rFonts w:ascii="Arial" w:cs="Arial" w:eastAsia="Arial" w:hAnsi="Arial"/>
          <w:sz w:val="18"/>
          <w:szCs w:val="18"/>
          <w:color w:val="auto"/>
        </w:rPr>
        <w:t>shortly before the meeting time, enter the control number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on your Notice or proxy card, and follow the instructions for downloading the Webcast. You need not attend the annual meeting in order to vote.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6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98"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97"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31st Street, 11th Floor, New York, New York 10001.</w:t>
      </w:r>
    </w:p>
    <w:p>
      <w:pPr>
        <w:spacing w:after="0" w:line="11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If you do not wish to participate in “householding” and would like to receive your own Notice or, if applicable, your own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63" w:lineRule="exact"/>
        <w:rPr>
          <w:sz w:val="20"/>
          <w:szCs w:val="20"/>
          <w:color w:val="auto"/>
        </w:rPr>
      </w:pPr>
    </w:p>
    <w:p>
      <w:pPr>
        <w:ind w:left="1800" w:right="8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62"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 broker or other nominee holds your shares, please contact the broker or other nominee directly and inform them of your request. Be sure to include your name and your 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2, 2021 for (a) each of our named executive officers, (b) each of our directors and director nominees, and (c)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August 2, 2021, pursuant to the exercise of options or warrants or the vesting of restricted stock units to be outstanding for the purpose of computing the percentage ownership of such individual or group, but do not deem those shares to be outstanding for the purpose of computing</w:t>
      </w:r>
    </w:p>
    <w:p>
      <w:pPr>
        <w:spacing w:after="0" w:line="1"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105,569,045 shares of Common Stock outstanding as of August 2, 2021.</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62"/>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212"/>
        </w:trPr>
        <w:tc>
          <w:tcPr>
            <w:tcW w:w="6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5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Sabby Volatility Warrant Master Fund, Ltd</w:t>
            </w:r>
            <w:r>
              <w:rPr>
                <w:rFonts w:ascii="Arial" w:cs="Arial" w:eastAsia="Arial" w:hAnsi="Arial"/>
                <w:sz w:val="26"/>
                <w:szCs w:val="26"/>
                <w:color w:val="auto"/>
                <w:vertAlign w:val="superscript"/>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16,763,403</w:t>
            </w: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Armistice Capital Master Fund, Ltd</w:t>
            </w:r>
            <w:r>
              <w:rPr>
                <w:rFonts w:ascii="Arial" w:cs="Arial" w:eastAsia="Arial" w:hAnsi="Arial"/>
                <w:sz w:val="26"/>
                <w:szCs w:val="26"/>
                <w:color w:val="auto"/>
                <w:vertAlign w:val="superscript"/>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5,554,197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65"/>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Douglas Satzman</w:t>
            </w:r>
            <w:r>
              <w:rPr>
                <w:rFonts w:ascii="Arial" w:cs="Arial" w:eastAsia="Arial" w:hAnsi="Arial"/>
                <w:sz w:val="26"/>
                <w:szCs w:val="26"/>
                <w:color w:val="auto"/>
                <w:vertAlign w:val="superscript"/>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158,334</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Scott Milford</w:t>
            </w:r>
            <w:r>
              <w:rPr>
                <w:rFonts w:ascii="Arial" w:cs="Arial" w:eastAsia="Arial" w:hAnsi="Arial"/>
                <w:sz w:val="26"/>
                <w:szCs w:val="26"/>
                <w:color w:val="auto"/>
                <w:vertAlign w:val="superscript"/>
              </w:rPr>
              <w:t>(5)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127,865</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Berry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Bruce T. Bernstein</w:t>
            </w:r>
            <w:r>
              <w:rPr>
                <w:rFonts w:ascii="Arial" w:cs="Arial" w:eastAsia="Arial" w:hAnsi="Arial"/>
                <w:sz w:val="26"/>
                <w:szCs w:val="26"/>
                <w:color w:val="auto"/>
                <w:vertAlign w:val="superscript"/>
              </w:rPr>
              <w:t>(6)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303,209</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142,358</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tcPr>
          <w:p>
            <w:pPr>
              <w:spacing w:after="0" w:line="270" w:lineRule="exact"/>
              <w:rPr>
                <w:sz w:val="20"/>
                <w:szCs w:val="20"/>
                <w:color w:val="auto"/>
              </w:rPr>
            </w:pPr>
            <w:r>
              <w:rPr>
                <w:rFonts w:ascii="Arial" w:cs="Arial" w:eastAsia="Arial" w:hAnsi="Arial"/>
                <w:sz w:val="18"/>
                <w:szCs w:val="18"/>
                <w:color w:val="auto"/>
              </w:rPr>
              <w:t>Robert Weinstein</w:t>
            </w:r>
            <w:r>
              <w:rPr>
                <w:rFonts w:ascii="Arial" w:cs="Arial" w:eastAsia="Arial" w:hAnsi="Arial"/>
                <w:sz w:val="26"/>
                <w:szCs w:val="26"/>
                <w:color w:val="auto"/>
                <w:vertAlign w:val="superscript"/>
              </w:rPr>
              <w:t>(8)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165,150</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Michael Lebowitz</w:t>
            </w:r>
            <w:r>
              <w:rPr>
                <w:rFonts w:ascii="Arial" w:cs="Arial" w:eastAsia="Arial" w:hAnsi="Arial"/>
                <w:sz w:val="26"/>
                <w:szCs w:val="26"/>
                <w:color w:val="auto"/>
                <w:vertAlign w:val="superscript"/>
              </w:rPr>
              <w:t>(9)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153,483</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6440" w:type="dxa"/>
            <w:vAlign w:val="bottom"/>
            <w:gridSpan w:val="2"/>
          </w:tcPr>
          <w:p>
            <w:pPr>
              <w:spacing w:after="0"/>
              <w:rPr>
                <w:sz w:val="20"/>
                <w:szCs w:val="20"/>
                <w:color w:val="auto"/>
              </w:rPr>
            </w:pPr>
            <w:r>
              <w:rPr>
                <w:rFonts w:ascii="Arial" w:cs="Arial" w:eastAsia="Arial" w:hAnsi="Arial"/>
                <w:sz w:val="18"/>
                <w:szCs w:val="18"/>
                <w:color w:val="auto"/>
              </w:rPr>
              <w:t>All current directors and officers as a group (7 individuals)</w:t>
            </w:r>
            <w:r>
              <w:rPr>
                <w:rFonts w:ascii="Arial" w:cs="Arial" w:eastAsia="Arial" w:hAnsi="Arial"/>
                <w:sz w:val="26"/>
                <w:szCs w:val="26"/>
                <w:color w:val="auto"/>
                <w:vertAlign w:val="superscript"/>
              </w:rPr>
              <w:t>(10)</w:t>
            </w: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1,050,399</w:t>
            </w:r>
          </w:p>
        </w:tc>
        <w:tc>
          <w:tcPr>
            <w:tcW w:w="72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-2160905</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-2160905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84455</wp:posOffset>
            </wp:positionV>
            <wp:extent cx="1234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7" w:lineRule="exact"/>
        <w:rPr>
          <w:sz w:val="20"/>
          <w:szCs w:val="20"/>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699" w:hanging="360"/>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XpresSpa Group, Inc., 254 West 31st Street, 11th Floor, New York, NY 10001.</w:t>
      </w:r>
    </w:p>
    <w:p>
      <w:pPr>
        <w:spacing w:after="0" w:line="21" w:lineRule="exact"/>
        <w:rPr>
          <w:rFonts w:ascii="Arial" w:cs="Arial" w:eastAsia="Arial" w:hAnsi="Arial"/>
          <w:sz w:val="18"/>
          <w:szCs w:val="18"/>
          <w:color w:val="auto"/>
        </w:rPr>
      </w:pPr>
    </w:p>
    <w:p>
      <w:pPr>
        <w:ind w:left="1620" w:right="419" w:hanging="360"/>
        <w:spacing w:after="0" w:line="272" w:lineRule="auto"/>
        <w:tabs>
          <w:tab w:leader="none" w:pos="1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(i) Schedule 13G/A filed by Sabby Volatility Warrant Master Fund, Ltd., Sabby Management, LLC and Hal Mintz with the SEC on January 7, 2021, which reported ownership of 4,691,933 shares of Common Stock as of December 31, 2020, and (ii) 12,071,470 shares of Common Stock issuable upon exercise of a warrant held by Sabby Volatility Warrant Master Fund, Ltd. The principal business address of Sabby Volatility Warrant Master Fund, Ltd. is 89 Nexus Way, Camara Bay, Grand Cayman KY1-9007, Cayman Islands. The principal business address of Sabby Management, LLC and Hal Mintz is 10 Mountainview Road, Suite 205, Upper Saddle River, New Jersey 07458.</w:t>
      </w:r>
    </w:p>
    <w:p>
      <w:pPr>
        <w:spacing w:after="0" w:line="28" w:lineRule="exact"/>
        <w:rPr>
          <w:rFonts w:ascii="Arial" w:cs="Arial" w:eastAsia="Arial" w:hAnsi="Arial"/>
          <w:sz w:val="17"/>
          <w:szCs w:val="17"/>
          <w:color w:val="auto"/>
        </w:rPr>
      </w:pPr>
    </w:p>
    <w:p>
      <w:pPr>
        <w:ind w:left="1620" w:right="479" w:hanging="360"/>
        <w:spacing w:after="0" w:line="235"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Consisted of (i) 2,379,593 shares of Common Stock issuable upon exercise of a warrant held by Armistice Capital Master Fund, Ltd and (ii) 3,174,604 shares of Common Stock issuable upon exercise of a second warrant held by Armistice Capital Master Fund, Ltd. The principal business address of the beneficial owner is C/O Armistice Capital, LLC, 510 Madison Avenue,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10022.</w:t>
      </w:r>
    </w:p>
    <w:p>
      <w:pPr>
        <w:spacing w:after="0" w:line="57"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62,500 shares of Common Stock and options to purchase 95,834 shares of Common Stock, which are exercisable within 60 days of August 2, 2021.</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37,425 shares of Common Stock and options to purchase 90,440 shares of Common Stock, which are exercisable within 60 days of August 2, 2021.</w:t>
      </w:r>
    </w:p>
    <w:p>
      <w:pPr>
        <w:spacing w:after="0" w:line="35" w:lineRule="exact"/>
        <w:rPr>
          <w:rFonts w:ascii="Arial" w:cs="Arial" w:eastAsia="Arial" w:hAnsi="Arial"/>
          <w:sz w:val="18"/>
          <w:szCs w:val="18"/>
          <w:color w:val="auto"/>
        </w:rPr>
      </w:pPr>
    </w:p>
    <w:p>
      <w:pPr>
        <w:ind w:left="1620" w:right="43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167,831 shares of Common Stock and options to purchase 135,378 shares of Common Stock, which are exercisable within 60 days of August 2, 2021.</w:t>
      </w:r>
    </w:p>
    <w:p>
      <w:pPr>
        <w:spacing w:after="0" w:line="35"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46,176 shares of Common Stock and options to purchase 96,182 shares of Common Stock, which are exercisable within 60 days of August 2, 2021.</w:t>
      </w:r>
    </w:p>
    <w:p>
      <w:pPr>
        <w:spacing w:after="0" w:line="48"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71,176 shares of Common Stock and options to purchase 93,974 shares of Common Stock, which are exercisable within 60 days of August 2, 2021.</w:t>
      </w:r>
    </w:p>
    <w:p>
      <w:pPr>
        <w:spacing w:after="0" w:line="35"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71,176 vested shares of Common Stock and options to purchase 82,307 shares of Common Stock, which are exercisable within 60 days of August 2, 2021.</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footnotes (4) through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2800" w:type="dxa"/>
            <w:vAlign w:val="bottom"/>
          </w:tcPr>
          <w:p>
            <w:pPr>
              <w:spacing w:after="0"/>
              <w:rPr>
                <w:sz w:val="20"/>
                <w:szCs w:val="20"/>
                <w:color w:val="auto"/>
              </w:rPr>
            </w:pPr>
            <w:r>
              <w:rPr>
                <w:rFonts w:ascii="Arial" w:cs="Arial" w:eastAsia="Arial" w:hAnsi="Arial"/>
                <w:sz w:val="14"/>
                <w:szCs w:val="14"/>
                <w:b w:val="1"/>
                <w:bCs w:val="1"/>
                <w:color w:val="auto"/>
              </w:rPr>
              <w:t>Position(s) with the Company</w:t>
            </w:r>
          </w:p>
        </w:tc>
      </w:tr>
      <w:tr>
        <w:trPr>
          <w:trHeight w:val="26"/>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66"/>
        </w:trPr>
        <w:tc>
          <w:tcPr>
            <w:tcW w:w="4000" w:type="dxa"/>
            <w:vAlign w:val="bottom"/>
          </w:tcPr>
          <w:p>
            <w:pPr>
              <w:spacing w:after="0" w:line="266" w:lineRule="exact"/>
              <w:rPr>
                <w:sz w:val="20"/>
                <w:szCs w:val="20"/>
                <w:color w:val="auto"/>
              </w:rPr>
            </w:pPr>
            <w:r>
              <w:rPr>
                <w:rFonts w:ascii="Arial" w:cs="Arial" w:eastAsia="Arial" w:hAnsi="Arial"/>
                <w:sz w:val="18"/>
                <w:szCs w:val="18"/>
                <w:color w:val="auto"/>
              </w:rPr>
              <w:t>Bruce T. Bernstein*</w:t>
            </w:r>
            <w:r>
              <w:rPr>
                <w:rFonts w:ascii="Arial" w:cs="Arial" w:eastAsia="Arial" w:hAnsi="Arial"/>
                <w:sz w:val="26"/>
                <w:szCs w:val="26"/>
                <w:color w:val="auto"/>
                <w:vertAlign w:val="superscript"/>
              </w:rPr>
              <w:t>(1)(2)(3)</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9"/>
              </w:rPr>
              <w:t>Chairman of the Board of Directors</w:t>
            </w:r>
          </w:p>
        </w:tc>
      </w:tr>
      <w:tr>
        <w:trPr>
          <w:trHeight w:val="270"/>
        </w:trPr>
        <w:tc>
          <w:tcPr>
            <w:tcW w:w="4000" w:type="dxa"/>
            <w:vAlign w:val="bottom"/>
          </w:tcPr>
          <w:p>
            <w:pPr>
              <w:spacing w:after="0" w:line="270" w:lineRule="exact"/>
              <w:rPr>
                <w:sz w:val="20"/>
                <w:szCs w:val="20"/>
                <w:color w:val="auto"/>
              </w:rPr>
            </w:pPr>
            <w:r>
              <w:rPr>
                <w:rFonts w:ascii="Arial" w:cs="Arial" w:eastAsia="Arial" w:hAnsi="Arial"/>
                <w:sz w:val="18"/>
                <w:szCs w:val="18"/>
                <w:color w:val="auto"/>
              </w:rPr>
              <w:t>Robert Weinstein*</w:t>
            </w:r>
            <w:r>
              <w:rPr>
                <w:rFonts w:ascii="Arial" w:cs="Arial" w:eastAsia="Arial" w:hAnsi="Arial"/>
                <w:sz w:val="26"/>
                <w:szCs w:val="26"/>
                <w:color w:val="auto"/>
                <w:vertAlign w:val="superscript"/>
              </w:rPr>
              <w:t>(4)</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3"/>
                <w:szCs w:val="23"/>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Director</w:t>
            </w:r>
          </w:p>
        </w:tc>
      </w:tr>
      <w:tr>
        <w:trPr>
          <w:trHeight w:val="293"/>
        </w:trPr>
        <w:tc>
          <w:tcPr>
            <w:tcW w:w="4000" w:type="dxa"/>
            <w:vAlign w:val="bottom"/>
          </w:tcPr>
          <w:p>
            <w:pPr>
              <w:spacing w:after="0" w:line="293" w:lineRule="exact"/>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(1)(2)(3)</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Michael Lebowitz*</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Doug Satzman</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7"/>
              </w:rPr>
              <w:t>Chief Executive Officer and Director</w:t>
            </w:r>
          </w:p>
        </w:tc>
      </w:tr>
      <w:tr>
        <w:trPr>
          <w:trHeight w:val="256"/>
        </w:trPr>
        <w:tc>
          <w:tcPr>
            <w:tcW w:w="4000" w:type="dxa"/>
            <w:vAlign w:val="bottom"/>
          </w:tcPr>
          <w:p>
            <w:pPr>
              <w:spacing w:after="0"/>
              <w:rPr>
                <w:sz w:val="20"/>
                <w:szCs w:val="20"/>
                <w:color w:val="auto"/>
              </w:rPr>
            </w:pPr>
            <w:r>
              <w:rPr>
                <w:rFonts w:ascii="Arial" w:cs="Arial" w:eastAsia="Arial" w:hAnsi="Arial"/>
                <w:sz w:val="18"/>
                <w:szCs w:val="18"/>
                <w:color w:val="auto"/>
              </w:rPr>
              <w:t>Scott Milford</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James A. Berry</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90" w:lineRule="exact"/>
        <w:rPr>
          <w:sz w:val="20"/>
          <w:szCs w:val="20"/>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Chairman of the Compensation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Chairman of the Audit Committee</w:t>
      </w:r>
    </w:p>
    <w:p>
      <w:pPr>
        <w:spacing w:after="0" w:line="144"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0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Douglas Satzman </w:t>
      </w:r>
      <w:r>
        <w:rPr>
          <w:rFonts w:ascii="Arial" w:cs="Arial" w:eastAsia="Arial" w:hAnsi="Arial"/>
          <w:sz w:val="17"/>
          <w:szCs w:val="17"/>
          <w:color w:val="auto"/>
        </w:rPr>
        <w:t>has served as our Chief Executive Officer and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11, 2019. Mr. Satzman most 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the Middle East and Africa as well as for non-company owned retail operations across more than 35 countries. During his assignments in the U.S. and EMEA, Mr. Satzman’s direct responsibilities included leading the</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travel vertical, including operations and business development across all airports resulting in significant revenue, profit and growth.</w:t>
      </w:r>
    </w:p>
    <w:p>
      <w:pPr>
        <w:spacing w:after="0" w:line="90"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We believe Mr. Saltzman’s extensive experience in the retail industry qualifies him to serve on our Board Directors.</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14"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90"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6"/>
          <w:szCs w:val="16"/>
          <w:b w:val="1"/>
          <w:bCs w:val="1"/>
          <w:i w:val="1"/>
          <w:iCs w:val="1"/>
          <w:color w:val="auto"/>
        </w:rPr>
        <w:t xml:space="preserve">Robert Weinstein </w:t>
      </w:r>
      <w:r>
        <w:rPr>
          <w:rFonts w:ascii="Arial" w:cs="Arial" w:eastAsia="Arial" w:hAnsi="Arial"/>
          <w:sz w:val="16"/>
          <w:szCs w:val="16"/>
          <w:color w:val="auto"/>
        </w:rPr>
        <w:t>joined our Board of Directors in February 2020. Mr. Weinstein has extensive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and finance experience, spanning more than thirty years, as a public accountant, investment banker, healthcare private equity fund principal and chief financial officer. Since October 2013,</w:t>
      </w:r>
    </w:p>
    <w:p>
      <w:pPr>
        <w:ind w:left="1260" w:right="499"/>
        <w:spacing w:after="0" w:line="236" w:lineRule="auto"/>
        <w:rPr>
          <w:sz w:val="20"/>
          <w:szCs w:val="20"/>
          <w:color w:val="auto"/>
        </w:rPr>
      </w:pPr>
      <w:r>
        <w:rPr>
          <w:rFonts w:ascii="Arial" w:cs="Arial" w:eastAsia="Arial" w:hAnsi="Arial"/>
          <w:sz w:val="18"/>
          <w:szCs w:val="18"/>
          <w:color w:val="auto"/>
        </w:rPr>
        <w:t>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 -traded energy consulting company. From August 2007 to February 2010, Mr. Weinstein served as Chief Financial Officer of Xcorporeal, Inc., a publicly -traded,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21"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b w:val="1"/>
          <w:bCs w:val="1"/>
          <w:i w:val="1"/>
          <w:iCs w:val="1"/>
          <w:color w:val="auto"/>
        </w:rPr>
        <w:t xml:space="preserve">Donald E. Stout </w:t>
      </w:r>
      <w:r>
        <w:rPr>
          <w:rFonts w:ascii="Arial" w:cs="Arial" w:eastAsia="Arial" w:hAnsi="Arial"/>
          <w:sz w:val="17"/>
          <w:szCs w:val="17"/>
          <w:color w:val="auto"/>
        </w:rPr>
        <w:t>has been our director since July 2012, and was a director of Innovate/Protect, Inc.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2011 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w:t>
      </w:r>
    </w:p>
    <w:p>
      <w:pPr>
        <w:spacing w:after="0" w:line="6" w:lineRule="exact"/>
        <w:rPr>
          <w:sz w:val="20"/>
          <w:szCs w:val="20"/>
          <w:color w:val="auto"/>
        </w:rPr>
      </w:pPr>
    </w:p>
    <w:p>
      <w:pPr>
        <w:ind w:left="1260" w:right="539"/>
        <w:spacing w:after="0" w:line="260" w:lineRule="auto"/>
        <w:rPr>
          <w:sz w:val="20"/>
          <w:szCs w:val="20"/>
          <w:color w:val="auto"/>
        </w:rPr>
      </w:pPr>
      <w:r>
        <w:rPr>
          <w:rFonts w:ascii="Arial" w:cs="Arial" w:eastAsia="Arial" w:hAnsi="Arial"/>
          <w:sz w:val="17"/>
          <w:szCs w:val="17"/>
          <w:color w:val="auto"/>
        </w:rPr>
        <w:t>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w:t>
      </w: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We believe Mr. Stout’s historical knowledge of the Company and intellectual property experience qualifies him to serve on our Board of Directors.</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Michael Lebowitz </w:t>
      </w:r>
      <w:r>
        <w:rPr>
          <w:rFonts w:ascii="Arial" w:cs="Arial" w:eastAsia="Arial" w:hAnsi="Arial"/>
          <w:sz w:val="17"/>
          <w:szCs w:val="17"/>
          <w:color w:val="auto"/>
        </w:rPr>
        <w:t>joined Board of Directors in April 2020. An expert in customer experience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innovation, Mr. Lebowitz has a twenty-five year track record in defining creative strategy and vision for some of the world’s most recognizable brands. Mr. Lebowitz founded Big Spaceship, a globally -recognized creative consultancy, in 2000 and has served as Chief Executive Officer of Big Spaceship since its founding. Mr. Lebowitz received his Bachelor’s degree in Film from Vassar College.</w:t>
      </w:r>
    </w:p>
    <w:p>
      <w:pPr>
        <w:spacing w:after="0" w:line="106"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We believe Mr. Lebowitz’s extensive experience in the area of creative brand strategy qualifies him to serve on our Board of Directors.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Scott Milford </w:t>
      </w:r>
      <w:r>
        <w:rPr>
          <w:rFonts w:ascii="Arial" w:cs="Arial" w:eastAsia="Arial" w:hAnsi="Arial"/>
          <w:sz w:val="17"/>
          <w:szCs w:val="17"/>
          <w:color w:val="auto"/>
        </w:rPr>
        <w:t>was named our Chief Operating Officer in December 2020. Mr. Milford has over 30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experience at high profile and diverse organizations. Prior to joining XpresSpa as its first Chief People Officer in July 2019, he served as VP, People Operations at SoulCycle from January to July 2019, where he led the creation and deployment of the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Prior to that, he served as Chief People Officer for Bayada, a one billion dollar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pacing w:after="0" w:line="11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b w:val="1"/>
          <w:bCs w:val="1"/>
          <w:i w:val="1"/>
          <w:iCs w:val="1"/>
          <w:color w:val="auto"/>
        </w:rPr>
        <w:t xml:space="preserve">James A. Berry </w:t>
      </w:r>
      <w:r>
        <w:rPr>
          <w:rFonts w:ascii="Arial" w:cs="Arial" w:eastAsia="Arial" w:hAnsi="Arial"/>
          <w:sz w:val="18"/>
          <w:szCs w:val="18"/>
          <w:color w:val="auto"/>
        </w:rPr>
        <w:t>joined XpresSpa as its Chief Financial Officer in December 2020. For the past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has provided financial and administrative leadership to healthcare organizations delivering urgent and emergency medical services. With annual patient volumes topping 200,000 visits, he has optimized revenue cycle processes; negotiated strong payer contracts; controlled spending; developed provider compensation plans; overseen accounting functions; developed planning, reporting, and business intelligence analytics; managed investment accounts; evaluated and oversaw benefit programs; and raised equity and debt capital for rapidly expanding enterprises. He is also experienced leading support functions including IT, HR, payroll, and business development.</w:t>
      </w:r>
    </w:p>
    <w:p>
      <w:pPr>
        <w:spacing w:after="0" w:line="11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his most recent role, Mr. Berry served as CFO for ClearChoiceMD Urgent Care from 2016 to December 2020, where he was instrumental in creating partnerships with large health care delivery systems, ranging from financial joint ventures to affiliation agreements, managed services agreements, and memorialized letters of understanding. Prior to that, Mr. Berry served as Vice President -Finance and Corporate Treasurer of CareWell Urgent Care, a high-growth developer and operator of urgent care centers, from 2013 to 2016. He has testified before a New Hampshire legislature subcommittee, supporting Critical Access Hospitals, and has presented at the National Urgent Care Association annual meeting. Prior to his career in healthcare services, Mr. Berry held positions in the medical devices space, including Johnson &amp; Johnson, a VC backed startup, and a small public company turnaround.</w:t>
      </w:r>
    </w:p>
    <w:p>
      <w:pPr>
        <w:spacing w:after="0" w:line="116"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He holds a Bachelor of Science in Biochemistry (University of Massachusetts-Amherst) and an MBA from Purdue (Krannert Graduate School of Business).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2020 there were 23 meetings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as well as 8 unanimous written consents. The various committees of the Board of Directors met a total of 8 times. The Board of Directors has adopted a policy under which each member of the Board of Directors is strongly encouraged, but not required, to attend each annual meeting of our stockholders.</w:t>
      </w:r>
    </w:p>
    <w:p>
      <w:pPr>
        <w:spacing w:after="0" w:line="120"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five (5) times during fiscal 2020. This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has three (3)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w:t>
      </w:r>
    </w:p>
    <w:p>
      <w:pPr>
        <w:spacing w:after="0" w:line="110"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w:t>
      </w:r>
    </w:p>
    <w:p>
      <w:pPr>
        <w:spacing w:after="0" w:line="97"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met three (3) times during fiscal 2020.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currently has two (2) members, Bruce T. Bernstein (Chairman) and Donald E. Stout.</w:t>
      </w:r>
    </w:p>
    <w:p>
      <w:pPr>
        <w:spacing w:after="0" w:line="79"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w:t>
      </w:r>
    </w:p>
    <w:p>
      <w:pPr>
        <w:spacing w:after="0" w:line="1" w:lineRule="exact"/>
        <w:rPr>
          <w:sz w:val="20"/>
          <w:szCs w:val="20"/>
          <w:color w:val="auto"/>
        </w:rPr>
      </w:pPr>
    </w:p>
    <w:p>
      <w:pPr>
        <w:ind w:left="1260" w:right="479"/>
        <w:spacing w:after="0" w:line="287" w:lineRule="auto"/>
        <w:tabs>
          <w:tab w:leader="none" w:pos="15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2020, the Compensation Committee did engage a third-party compensation consultant to review the Company’s compensation structure as well as benchmark it against the Company’s peer group.</w:t>
      </w:r>
    </w:p>
    <w:p>
      <w:pPr>
        <w:spacing w:after="0" w:line="10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 xml:space="preserve">The Board of Directors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www.xpresspagroup.com/ corp_governance</w:t>
      </w:r>
      <w:r>
        <w:rPr>
          <w:rFonts w:ascii="Arial" w:cs="Arial" w:eastAsia="Arial" w:hAnsi="Arial"/>
          <w:sz w:val="18"/>
          <w:szCs w:val="18"/>
          <w:color w:val="auto"/>
        </w:rPr>
        <w:t>.</w:t>
      </w:r>
    </w:p>
    <w:p>
      <w:pPr>
        <w:spacing w:after="0" w:line="106"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did not meet during fiscal 2020 and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63"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89"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Our Nominating and Corporate Governance Committee and Board of Directors considered a broad range of factors relating to the qualifications and background of nominees, which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10"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1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r>
        <w:rPr>
          <w:rFonts w:ascii="Arial" w:cs="Arial" w:eastAsia="Arial" w:hAnsi="Arial"/>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4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pacing w:after="0" w:line="103"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1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The following table summarizes the total compensation awarded or paid by us during the fiscal years ended December 31, 2020 and 2019 to (i) our principal executive officer; and (ii) the two most highly</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color w:val="auto"/>
        </w:rPr>
        <w:t>compensated executive officers other than the principal executive officer who was serving as executive officer at December 31, 2020 (collectively, the “named executive officers”).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Incentive Plan</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600" w:type="dxa"/>
            <w:vAlign w:val="bottom"/>
          </w:tcPr>
          <w:p>
            <w:pPr>
              <w:spacing w:after="0"/>
              <w:rPr>
                <w:sz w:val="14"/>
                <w:szCs w:val="14"/>
                <w:color w:val="auto"/>
              </w:rPr>
            </w:pPr>
          </w:p>
        </w:tc>
      </w:tr>
      <w:tr>
        <w:trPr>
          <w:trHeight w:val="158"/>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Salary</w:t>
            </w: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Total</w:t>
            </w:r>
          </w:p>
        </w:tc>
      </w:tr>
      <w:tr>
        <w:trPr>
          <w:trHeight w:val="229"/>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3"/>
        </w:trPr>
        <w:tc>
          <w:tcPr>
            <w:tcW w:w="33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Douglas Satzman</w:t>
            </w:r>
            <w:r>
              <w:rPr>
                <w:rFonts w:ascii="Arial" w:cs="Arial" w:eastAsia="Arial" w:hAnsi="Arial"/>
                <w:sz w:val="26"/>
                <w:szCs w:val="26"/>
                <w:b w:val="1"/>
                <w:bCs w:val="1"/>
                <w:color w:val="auto"/>
                <w:vertAlign w:val="superscript"/>
              </w:rPr>
              <w:t>(2)</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387,578</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135,000</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108,070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38,625</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669,273</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2019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344,833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22,435</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367,268</w:t>
            </w:r>
          </w:p>
        </w:tc>
      </w:tr>
      <w:tr>
        <w:trPr>
          <w:trHeight w:val="270"/>
        </w:trPr>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Scott Milford</w:t>
            </w:r>
            <w:r>
              <w:rPr>
                <w:rFonts w:ascii="Arial" w:cs="Arial" w:eastAsia="Arial" w:hAnsi="Arial"/>
                <w:sz w:val="26"/>
                <w:szCs w:val="26"/>
                <w:b w:val="1"/>
                <w:bCs w:val="1"/>
                <w:color w:val="auto"/>
                <w:vertAlign w:val="superscript"/>
              </w:rPr>
              <w:t>(3)</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279,582</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90,000</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192,394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67,552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629,528</w:t>
            </w:r>
          </w:p>
        </w:tc>
      </w:tr>
      <w:tr>
        <w:trPr>
          <w:trHeight w:val="257"/>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Chief Operating Officer</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2019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128,481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128,481</w:t>
            </w:r>
          </w:p>
        </w:tc>
      </w:tr>
      <w:tr>
        <w:trPr>
          <w:trHeight w:val="270"/>
        </w:trPr>
        <w:tc>
          <w:tcPr>
            <w:tcW w:w="35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James A Berry</w:t>
            </w:r>
            <w:r>
              <w:rPr>
                <w:rFonts w:ascii="Arial" w:cs="Arial" w:eastAsia="Arial" w:hAnsi="Arial"/>
                <w:sz w:val="26"/>
                <w:szCs w:val="26"/>
                <w:b w:val="1"/>
                <w:bCs w:val="1"/>
                <w:color w:val="auto"/>
                <w:vertAlign w:val="superscript"/>
              </w:rPr>
              <w:t>(4)</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2020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211,940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221,555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-848360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-848360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-848360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-848360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-848360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-848360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123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4" w:lineRule="exact"/>
        <w:rPr>
          <w:sz w:val="20"/>
          <w:szCs w:val="20"/>
          <w:color w:val="auto"/>
        </w:rPr>
      </w:pPr>
    </w:p>
    <w:p>
      <w:pPr>
        <w:ind w:left="1620" w:right="679" w:hanging="360"/>
        <w:spacing w:after="0" w:line="259"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13 to our consolidated financial statements included in our Annual Report on Form 10-K for the fiscal year ended December 31, 2020.</w:t>
      </w:r>
    </w:p>
    <w:p>
      <w:pPr>
        <w:spacing w:after="0" w:line="38" w:lineRule="exact"/>
        <w:rPr>
          <w:rFonts w:ascii="Arial" w:cs="Arial" w:eastAsia="Arial" w:hAnsi="Arial"/>
          <w:sz w:val="18"/>
          <w:szCs w:val="18"/>
          <w:color w:val="auto"/>
        </w:rPr>
      </w:pPr>
    </w:p>
    <w:p>
      <w:pPr>
        <w:ind w:left="1620" w:right="439" w:hanging="360"/>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Satzman has served as our Chief Executive Officer since February 11, 2019. Compensation in 2020 and 2019 includes equity awards of stock options and restricted stock.</w:t>
      </w:r>
    </w:p>
    <w:p>
      <w:pPr>
        <w:spacing w:after="0" w:line="8"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Milford has served as our Chief Operating Officer since December 14, 2020 and prior to that our first Chief People Officer, a non-executive officer role, since July 8, 2019. Compensation in 2020 includes equity awards of stock options and restricted stock.</w:t>
      </w:r>
    </w:p>
    <w:p>
      <w:pPr>
        <w:spacing w:after="0" w:line="35" w:lineRule="exact"/>
        <w:rPr>
          <w:rFonts w:ascii="Arial" w:cs="Arial" w:eastAsia="Arial" w:hAnsi="Arial"/>
          <w:sz w:val="18"/>
          <w:szCs w:val="18"/>
          <w:color w:val="auto"/>
        </w:rPr>
      </w:pPr>
    </w:p>
    <w:p>
      <w:pPr>
        <w:ind w:left="1620" w:right="419" w:hanging="360"/>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Berry has served as our Chief Financial Officer and Principal Financial &amp; Accounting Officer since December 14, 2020. Compensation in 2020 includes an equity award of stock options.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On February 11, 2019, we entered into an employment agreement with Mr. Satzman, which had a term of three years provided that the employment agreement shall extend in two month increments for up to one</w:t>
      </w:r>
    </w:p>
    <w:p>
      <w:pPr>
        <w:spacing w:after="0" w:line="1" w:lineRule="exact"/>
        <w:rPr>
          <w:sz w:val="20"/>
          <w:szCs w:val="20"/>
          <w:color w:val="auto"/>
        </w:rPr>
      </w:pPr>
    </w:p>
    <w:p>
      <w:pPr>
        <w:ind w:left="1260" w:right="499"/>
        <w:spacing w:after="0" w:line="236" w:lineRule="auto"/>
        <w:tabs>
          <w:tab w:leader="none" w:pos="15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thereafter for each month that the negotiations for an extension to the Employment Agreement are not concluded prior to sixth months before the end of the term. Under the terms of the employment agreement, Mr. Satzman receives an annual base salary of $400,000 and is eligible to participate in any annual bonus or other incentive compensation program that we may adopt from time to time for our executive officers. If Mr. Satzman earns any bonus or non-equity based incentive compensation which remains unpaid upon termination of employment for any reason, whether by Mr. Satzman or us other than for cause, then Mr. Satzman would be entitled to receive a pro- rata portion of such incentive compensation at the time it is paid.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Milford</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After July 31, 2021, Mr. Milford shall continue to be employed by the Company as an “at will” employee, subject to annual review by the Compensation Committee. Mr. Milford was also entitled to a one -time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in connection with the promotion.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James A. Berry</w:t>
      </w:r>
    </w:p>
    <w:p>
      <w:pPr>
        <w:spacing w:after="0" w:line="15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On November 27, 2020, we entered into an offer letter with Mr. Berry, pursuant to which he agreed to serve as our Chief Financial Officer for an annual base salary of $250,000, subject to annual review by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2" w:lineRule="auto"/>
        <w:rPr>
          <w:sz w:val="20"/>
          <w:szCs w:val="20"/>
          <w:color w:val="auto"/>
        </w:rPr>
      </w:pPr>
      <w:r>
        <w:rPr>
          <w:rFonts w:ascii="Arial" w:cs="Arial" w:eastAsia="Arial" w:hAnsi="Arial"/>
          <w:sz w:val="17"/>
          <w:szCs w:val="17"/>
          <w:color w:val="auto"/>
        </w:rPr>
        <w:t>Compensation Committee. Mr. Berry also received a signing bonus of $25,000 and a sign-on equity award of $250,000 of stock options. He is eligible to receive a short -term incentive with a target payout of 50% of his annual base salary, as well as to participate in any annual bonus or other incentive compensation program that the Company may adopt from time to time for its executive officers.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35"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2020, to each of our named executive officers.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5"/>
          </w:tcPr>
          <w:p>
            <w:pPr>
              <w:ind w:left="500"/>
              <w:spacing w:after="0"/>
              <w:rPr>
                <w:sz w:val="20"/>
                <w:szCs w:val="20"/>
                <w:color w:val="auto"/>
              </w:rPr>
            </w:pPr>
            <w:r>
              <w:rPr>
                <w:rFonts w:ascii="Arial" w:cs="Arial" w:eastAsia="Arial" w:hAnsi="Arial"/>
                <w:sz w:val="14"/>
                <w:szCs w:val="14"/>
                <w:b w:val="1"/>
                <w:bCs w:val="1"/>
                <w:color w:val="auto"/>
                <w:w w:val="87"/>
              </w:rPr>
              <w:t>Options Awards</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3"/>
        </w:trPr>
        <w:tc>
          <w:tcPr>
            <w:tcW w:w="2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of shares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of securities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of units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of shares</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of securities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of stock</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of units</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underlying</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unexercised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that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of stock</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unexercised</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options</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Option</w:t>
            </w: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have not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that</w:t>
            </w:r>
          </w:p>
        </w:tc>
      </w:tr>
      <w:tr>
        <w:trPr>
          <w:trHeight w:val="162"/>
        </w:trPr>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options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 un-</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exercise</w:t>
            </w:r>
          </w:p>
        </w:tc>
        <w:tc>
          <w:tcPr>
            <w:tcW w:w="4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Option expiration</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vested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have not</w:t>
            </w:r>
          </w:p>
        </w:tc>
      </w:t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 exercisable</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exercisable</w:t>
            </w:r>
          </w:p>
        </w:tc>
        <w:tc>
          <w:tcPr>
            <w:tcW w:w="64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88"/>
              </w:rPr>
              <w:t>price ($)</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date</w:t>
            </w:r>
          </w:p>
        </w:tc>
        <w:tc>
          <w:tcPr>
            <w:tcW w:w="5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vested (#)</w:t>
            </w:r>
          </w:p>
        </w:tc>
      </w:tr>
      <w:tr>
        <w:trPr>
          <w:trHeight w:val="26"/>
        </w:trPr>
        <w:tc>
          <w:tcPr>
            <w:tcW w:w="2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300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Douglas Satzman</w:t>
            </w:r>
            <w:r>
              <w:rPr>
                <w:rFonts w:ascii="Arial" w:cs="Arial" w:eastAsia="Arial" w:hAnsi="Arial"/>
                <w:sz w:val="26"/>
                <w:szCs w:val="26"/>
                <w:color w:val="auto"/>
                <w:vertAlign w:val="superscript"/>
              </w:rPr>
              <w:t>(1)</w:t>
            </w: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2019 Non Qualified Stock Option</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7"/>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from the 2012 Plan</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6,250</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18,750</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12.60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February 11, 2029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5"/>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Non Qualified Stock Options</w:t>
            </w: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44"/>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rom the 2012 Plan</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83,334</w:t>
            </w: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20, 2030</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70"/>
        </w:trPr>
        <w:tc>
          <w:tcPr>
            <w:tcW w:w="3000" w:type="dxa"/>
            <w:vAlign w:val="bottom"/>
            <w:gridSpan w:val="2"/>
          </w:tcPr>
          <w:p>
            <w:pPr>
              <w:spacing w:after="0" w:line="270" w:lineRule="exact"/>
              <w:rPr>
                <w:sz w:val="20"/>
                <w:szCs w:val="20"/>
                <w:color w:val="auto"/>
              </w:rPr>
            </w:pPr>
            <w:r>
              <w:rPr>
                <w:rFonts w:ascii="Arial" w:cs="Arial" w:eastAsia="Arial" w:hAnsi="Arial"/>
                <w:sz w:val="18"/>
                <w:szCs w:val="18"/>
                <w:color w:val="auto"/>
              </w:rPr>
              <w:t>Scott Milford</w:t>
            </w:r>
            <w:r>
              <w:rPr>
                <w:rFonts w:ascii="Arial" w:cs="Arial" w:eastAsia="Arial" w:hAnsi="Arial"/>
                <w:sz w:val="26"/>
                <w:szCs w:val="26"/>
                <w:color w:val="auto"/>
                <w:vertAlign w:val="superscript"/>
              </w:rPr>
              <w:t>(1)</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Non Qualified Stock Options</w:t>
            </w: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44"/>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the 2012 Plan</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58,334</w:t>
            </w: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20, 2030</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w w:val="97"/>
              </w:rPr>
              <w:t>2020 Incentive Stock Options from the</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7"/>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2012 Plan</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32,106</w:t>
            </w:r>
          </w:p>
        </w:tc>
        <w:tc>
          <w:tcPr>
            <w:tcW w:w="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September 6, 2030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Non Qualified Stock Options</w:t>
            </w: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44"/>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the 2020 Plan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28, 2030</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56"/>
        </w:trPr>
        <w:tc>
          <w:tcPr>
            <w:tcW w:w="3000" w:type="dxa"/>
            <w:vAlign w:val="bottom"/>
            <w:gridSpan w:val="2"/>
          </w:tcPr>
          <w:p>
            <w:pPr>
              <w:spacing w:after="0" w:line="256" w:lineRule="exact"/>
              <w:rPr>
                <w:sz w:val="20"/>
                <w:szCs w:val="20"/>
                <w:color w:val="auto"/>
              </w:rPr>
            </w:pPr>
            <w:r>
              <w:rPr>
                <w:rFonts w:ascii="Arial" w:cs="Arial" w:eastAsia="Arial" w:hAnsi="Arial"/>
                <w:sz w:val="18"/>
                <w:szCs w:val="18"/>
                <w:color w:val="auto"/>
                <w:w w:val="98"/>
              </w:rPr>
              <w:t>James A Berry</w:t>
            </w:r>
            <w:r>
              <w:rPr>
                <w:rFonts w:ascii="Arial" w:cs="Arial" w:eastAsia="Arial" w:hAnsi="Arial"/>
                <w:sz w:val="26"/>
                <w:szCs w:val="26"/>
                <w:color w:val="auto"/>
                <w:w w:val="98"/>
                <w:vertAlign w:val="superscript"/>
              </w:rPr>
              <w:t>(1)</w:t>
            </w:r>
            <w:r>
              <w:rPr>
                <w:rFonts w:ascii="Arial" w:cs="Arial" w:eastAsia="Arial" w:hAnsi="Arial"/>
                <w:sz w:val="18"/>
                <w:szCs w:val="18"/>
                <w:color w:val="auto"/>
                <w:w w:val="98"/>
              </w:rPr>
              <w:t>: 2020 Non Qualified</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Stock Options from the 2020 Plan</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173,611</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December 14, 2030</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-2167890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-2167890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-2167890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-2167890</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-2167890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-2167890</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59" w:hanging="360"/>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Un-exercisable Options vest in equal annual increments over each of the remaining anniversaries of the date of grant.</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The following summarizes the payments and potential payments to each of our named executive officers as of December 31, 2020 upon termination or change-in-control. The discussion assumes that such event occurred on December 31, 2020, the last business day of our fiscal year, at which time the closing price of our common stock as listed on Nasdaq was $ 1.19 per share. For a further discussion of these provisions see the “Narrative Disclosure to Summary Compensation Table”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131"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the event Mr. Satzman’s employment is terminated for (i) Good Reason by Mr. Satzman, or (ii) by us without Cause, Mr. Satzman would receive severance in the amount of one-half times his then current base salary, and COBRA payments totaling approximately $36,000.</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 the event Mr. Satzman’s employment is terminated by us without Cause as a result of a change of control, Mr. Satzman would receive severance in the amount of one times his then current base salary. A change of control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Milford and James A. Berry</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Milford and Mr. Berry are not entitled to any payments upon termination or change-in-control.</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2020. Directors who are employed by us are not compensated for their service on our Board of Directors</w:t>
      </w:r>
      <w:r>
        <w:rPr>
          <w:rFonts w:ascii="Arial" w:cs="Arial" w:eastAsia="Arial" w:hAnsi="Arial"/>
          <w:sz w:val="18"/>
          <w:szCs w:val="18"/>
          <w:b w:val="1"/>
          <w:bCs w:val="1"/>
          <w:color w:val="auto"/>
        </w:rPr>
        <w:t>.</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Fees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Earned or</w:t>
            </w: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Paid in</w:t>
            </w: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Cash</w:t>
            </w:r>
          </w:p>
        </w:tc>
        <w:tc>
          <w:tcPr>
            <w:tcW w:w="7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52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Bruce T. Bernstein</w:t>
            </w:r>
            <w:r>
              <w:rPr>
                <w:rFonts w:ascii="Arial" w:cs="Arial" w:eastAsia="Arial" w:hAnsi="Arial"/>
                <w:sz w:val="26"/>
                <w:szCs w:val="26"/>
                <w:color w:val="auto"/>
                <w:vertAlign w:val="superscript"/>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86,456</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126,456</w:t>
            </w:r>
          </w:p>
        </w:tc>
        <w:tc>
          <w:tcPr>
            <w:tcW w:w="0" w:type="dxa"/>
            <w:vAlign w:val="bottom"/>
          </w:tcPr>
          <w:p>
            <w:pPr>
              <w:spacing w:after="0"/>
              <w:rPr>
                <w:sz w:val="1"/>
                <w:szCs w:val="1"/>
                <w:color w:val="auto"/>
              </w:rPr>
            </w:pPr>
          </w:p>
        </w:tc>
      </w:tr>
      <w:tr>
        <w:trPr>
          <w:trHeight w:val="270"/>
        </w:trPr>
        <w:tc>
          <w:tcPr>
            <w:tcW w:w="5280" w:type="dxa"/>
            <w:vAlign w:val="bottom"/>
            <w:gridSpan w:val="2"/>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6"/>
                <w:szCs w:val="26"/>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75,650</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115,650</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Robert Weinstein</w:t>
            </w:r>
            <w:r>
              <w:rPr>
                <w:rFonts w:ascii="Arial" w:cs="Arial" w:eastAsia="Arial" w:hAnsi="Arial"/>
                <w:sz w:val="26"/>
                <w:szCs w:val="26"/>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79,980</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125,447</w:t>
            </w:r>
          </w:p>
        </w:tc>
        <w:tc>
          <w:tcPr>
            <w:tcW w:w="0" w:type="dxa"/>
            <w:vAlign w:val="bottom"/>
          </w:tcPr>
          <w:p>
            <w:pPr>
              <w:spacing w:after="0"/>
              <w:rPr>
                <w:sz w:val="1"/>
                <w:szCs w:val="1"/>
                <w:color w:val="auto"/>
              </w:rPr>
            </w:pPr>
          </w:p>
        </w:tc>
      </w:tr>
      <w:tr>
        <w:trPr>
          <w:trHeight w:val="270"/>
        </w:trPr>
        <w:tc>
          <w:tcPr>
            <w:tcW w:w="5280" w:type="dxa"/>
            <w:vAlign w:val="bottom"/>
            <w:gridSpan w:val="2"/>
          </w:tcPr>
          <w:p>
            <w:pPr>
              <w:spacing w:after="0" w:line="270" w:lineRule="exact"/>
              <w:rPr>
                <w:sz w:val="20"/>
                <w:szCs w:val="20"/>
                <w:color w:val="auto"/>
              </w:rPr>
            </w:pPr>
            <w:r>
              <w:rPr>
                <w:rFonts w:ascii="Arial" w:cs="Arial" w:eastAsia="Arial" w:hAnsi="Arial"/>
                <w:sz w:val="18"/>
                <w:szCs w:val="18"/>
                <w:color w:val="auto"/>
              </w:rPr>
              <w:t>Michael Lebowitz</w:t>
            </w:r>
            <w:r>
              <w:rPr>
                <w:rFonts w:ascii="Arial" w:cs="Arial" w:eastAsia="Arial" w:hAnsi="Arial"/>
                <w:sz w:val="26"/>
                <w:szCs w:val="26"/>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29,451</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64,842</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Salvatore Giardina</w:t>
            </w:r>
            <w:r>
              <w:rPr>
                <w:rFonts w:ascii="Arial" w:cs="Arial" w:eastAsia="Arial" w:hAnsi="Arial"/>
                <w:sz w:val="26"/>
                <w:szCs w:val="26"/>
                <w:color w:val="auto"/>
                <w:vertAlign w:val="superscript"/>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355"/>
        </w:trPr>
        <w:tc>
          <w:tcPr>
            <w:tcW w:w="5280" w:type="dxa"/>
            <w:vAlign w:val="bottom"/>
            <w:gridSpan w:val="2"/>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26"/>
                <w:szCs w:val="26"/>
                <w:color w:val="auto"/>
                <w:vertAlign w:val="superscript"/>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10,110</w:t>
            </w:r>
          </w:p>
        </w:tc>
        <w:tc>
          <w:tcPr>
            <w:tcW w:w="20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-1090930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-1090930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-1090930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620" w:right="559" w:hanging="360"/>
        <w:spacing w:after="0" w:line="259"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See Notes 2 and 13 of the consolidated financial statements disclosed in our Annual Report on Form 10-K for the year ended December 31, 2020, as amended, for the assumptions made in the valuation of the equity awards.</w:t>
      </w:r>
    </w:p>
    <w:p>
      <w:pPr>
        <w:spacing w:after="0" w:line="65"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Mr. Bernstein held 71,917 fully vested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Mr. Stout held 63,875 fully vested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Mr. Weinstein held 61,667 fully vested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Mr. Lebowitz held 60,769 fully vested options.</w:t>
      </w:r>
    </w:p>
    <w:p>
      <w:pPr>
        <w:spacing w:after="0" w:line="103" w:lineRule="exact"/>
        <w:rPr>
          <w:rFonts w:ascii="Arial" w:cs="Arial" w:eastAsia="Arial" w:hAnsi="Arial"/>
          <w:sz w:val="18"/>
          <w:szCs w:val="18"/>
          <w:color w:val="auto"/>
        </w:rPr>
      </w:pPr>
    </w:p>
    <w:p>
      <w:pPr>
        <w:ind w:left="1620" w:right="779" w:hanging="36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Mr. Giardina held 5,250 fully vested options. Mr. Giardina resigned as a director on February 3, 2020.</w:t>
      </w:r>
    </w:p>
    <w:p>
      <w:pPr>
        <w:spacing w:after="0" w:line="48"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2020, Mr. Heyer held 3,750 fully vested options. Mr. Heyer resigned as a director on April 1, 2020.</w:t>
      </w:r>
    </w:p>
    <w:p>
      <w:pPr>
        <w:spacing w:after="0" w:line="8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03" w:lineRule="exact"/>
        <w:rPr>
          <w:sz w:val="20"/>
          <w:szCs w:val="20"/>
          <w:color w:val="auto"/>
        </w:rPr>
      </w:pPr>
    </w:p>
    <w:p>
      <w:pPr>
        <w:jc w:val="both"/>
        <w:ind w:left="1260" w:right="659" w:firstLine="360"/>
        <w:spacing w:after="0" w:line="279" w:lineRule="auto"/>
        <w:rPr>
          <w:sz w:val="20"/>
          <w:szCs w:val="20"/>
          <w:color w:val="auto"/>
        </w:rPr>
      </w:pPr>
      <w:r>
        <w:rPr>
          <w:rFonts w:ascii="Arial" w:cs="Arial" w:eastAsia="Arial" w:hAnsi="Arial"/>
          <w:sz w:val="17"/>
          <w:szCs w:val="17"/>
          <w:color w:val="auto"/>
        </w:rPr>
        <w:t>We compensate each of our non-employee directors an annual cash stipend of $40,000. Additionally, the Chairman of our Audit Committee receives an additional $10,000 in compensation for service in such capacity. For Mr. Weinstein’s annual cash stipend and compensation for service as Chairman of the Audit Committee was pro-rated to reflect that he joined the board in February 2020.</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2020 with respect to all of our equity compensation plans then in effect:</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No. of securities</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available for</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No. of securities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future issuance</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 be issued upon</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exercise of</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average exercise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price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plans (excluding</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options,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2"/>
              </w:rPr>
              <w:t>securities</w:t>
            </w: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warrants and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options, warrants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w:t>
            </w:r>
          </w:p>
        </w:tc>
      </w:tr>
      <w:tr>
        <w:trPr>
          <w:trHeight w:val="186"/>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rights</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and rights ($)</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the first column)</w:t>
            </w:r>
          </w:p>
        </w:tc>
      </w:tr>
      <w:tr>
        <w:trPr>
          <w:trHeight w:val="26"/>
        </w:trPr>
        <w:tc>
          <w:tcPr>
            <w:tcW w:w="1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466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color w:val="auto"/>
              </w:rPr>
              <w:t>Total equity compensation plans approved by security</w:t>
            </w: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308"/>
        </w:trPr>
        <w:tc>
          <w:tcPr>
            <w:tcW w:w="4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26"/>
                <w:szCs w:val="26"/>
                <w:color w:val="auto"/>
                <w:vertAlign w:val="superscript"/>
              </w:rPr>
              <w:t>(1)(2)</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8"/>
                <w:szCs w:val="18"/>
                <w:color w:val="auto"/>
              </w:rPr>
              <w:t>1,353,888</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$ 3.82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3,646,112</w:t>
            </w:r>
          </w:p>
        </w:tc>
      </w:tr>
      <w:tr>
        <w:trPr>
          <w:trHeight w:val="230"/>
        </w:trPr>
        <w:tc>
          <w:tcPr>
            <w:tcW w:w="1940" w:type="dxa"/>
            <w:vAlign w:val="bottom"/>
            <w:tcBorders>
              <w:bottom w:val="single" w:sz="8" w:color="auto"/>
            </w:tcBorders>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-479425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-479425</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-479425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plans consist solely of (i) the 2020 Plan, as approved by our Board of Directors in</w:t>
      </w:r>
    </w:p>
    <w:p>
      <w:pPr>
        <w:spacing w:after="0" w:line="23" w:lineRule="exact"/>
        <w:rPr>
          <w:rFonts w:ascii="Arial" w:cs="Arial" w:eastAsia="Arial" w:hAnsi="Arial"/>
          <w:sz w:val="18"/>
          <w:szCs w:val="18"/>
          <w:color w:val="auto"/>
        </w:rPr>
      </w:pPr>
    </w:p>
    <w:p>
      <w:pPr>
        <w:ind w:left="1620" w:right="679"/>
        <w:spacing w:after="0" w:line="255" w:lineRule="auto"/>
        <w:rPr>
          <w:rFonts w:ascii="Arial" w:cs="Arial" w:eastAsia="Arial" w:hAnsi="Arial"/>
          <w:sz w:val="18"/>
          <w:szCs w:val="18"/>
          <w:color w:val="auto"/>
        </w:rPr>
      </w:pPr>
      <w:r>
        <w:rPr>
          <w:rFonts w:ascii="Arial" w:cs="Arial" w:eastAsia="Arial" w:hAnsi="Arial"/>
          <w:sz w:val="18"/>
          <w:szCs w:val="18"/>
          <w:color w:val="auto"/>
        </w:rPr>
        <w:t>September 2020 and by our stockholders in October 2020 and (ii) the 2012 Plan, as amended. Under the 2020 Plan, a maximum of 5,705,239 shares of common stock may be awarded. No additional awards may be granted under the 2012 Plan.</w:t>
      </w:r>
    </w:p>
    <w:p>
      <w:pPr>
        <w:spacing w:after="0" w:line="54" w:lineRule="exact"/>
        <w:rPr>
          <w:rFonts w:ascii="Arial" w:cs="Arial" w:eastAsia="Arial" w:hAnsi="Arial"/>
          <w:sz w:val="18"/>
          <w:szCs w:val="18"/>
          <w:color w:val="auto"/>
        </w:rPr>
      </w:pPr>
    </w:p>
    <w:p>
      <w:pPr>
        <w:ind w:left="1620" w:hanging="360"/>
        <w:spacing w:after="0"/>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information reflects the Company’s 1-for-3 reverse stock split that was effected on June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REPORT OF AUDIT COMMITTEE</w:t>
      </w:r>
    </w:p>
    <w:p>
      <w:pPr>
        <w:spacing w:after="0" w:line="148" w:lineRule="exact"/>
        <w:rPr>
          <w:sz w:val="20"/>
          <w:szCs w:val="20"/>
          <w:color w:val="auto"/>
        </w:rPr>
      </w:pPr>
    </w:p>
    <w:p>
      <w:pPr>
        <w:jc w:val="both"/>
        <w:ind w:left="1260" w:right="859" w:firstLine="360"/>
        <w:spacing w:after="0" w:line="263"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16"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7"/>
          <w:szCs w:val="17"/>
          <w:i w:val="1"/>
          <w:iCs w:val="1"/>
          <w:color w:val="auto"/>
        </w:rPr>
        <w:t>www.xpresspagroup.com</w:t>
      </w:r>
      <w:r>
        <w:rPr>
          <w:rFonts w:ascii="Arial" w:cs="Arial" w:eastAsia="Arial" w:hAnsi="Arial"/>
          <w:sz w:val="17"/>
          <w:szCs w:val="17"/>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2020, the Audit Committee took the following actions:</w:t>
      </w:r>
    </w:p>
    <w:p>
      <w:pPr>
        <w:spacing w:after="0" w:line="73" w:lineRule="exact"/>
        <w:rPr>
          <w:sz w:val="20"/>
          <w:szCs w:val="20"/>
          <w:color w:val="auto"/>
        </w:rPr>
      </w:pPr>
    </w:p>
    <w:p>
      <w:pPr>
        <w:ind w:left="1800" w:right="839" w:hanging="180"/>
        <w:spacing w:after="0" w:line="342" w:lineRule="auto"/>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2020 with management and Friedman LLP, our independent registered public accounting firm;</w:t>
      </w:r>
    </w:p>
    <w:p>
      <w:pPr>
        <w:spacing w:after="0" w:line="15" w:lineRule="exact"/>
        <w:rPr>
          <w:rFonts w:ascii="Arial" w:cs="Arial" w:eastAsia="Arial" w:hAnsi="Arial"/>
          <w:sz w:val="16"/>
          <w:szCs w:val="16"/>
          <w:color w:val="auto"/>
        </w:rPr>
      </w:pPr>
    </w:p>
    <w:p>
      <w:pPr>
        <w:ind w:left="1800" w:right="45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Friedman LLP the matters required to be discussed by the applicable requirements of the Public Company Accounting Oversight Board (“PCAOB”) and the Securities and Exchange Commission (the “SEC”); and</w:t>
      </w:r>
    </w:p>
    <w:p>
      <w:pPr>
        <w:spacing w:after="0" w:line="75"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Received written disclosures and the letter from Friedman LLP regarding its independence as required by applicable requirements of the PCAOB regarding Friedman LLP communications with the Audit Committee and the Audit Committee further discussed with Friedman LLP their independence. The Audit Committee also considered the status of pending litigation, taxation matters and other areas of oversight relating to the financial reporting and audit process that the committee determined appropriate.</w:t>
      </w:r>
    </w:p>
    <w:p>
      <w:pPr>
        <w:spacing w:after="0" w:line="125"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Friedman LLP, the Audit Committee recommended to the Board of Directors that the audited financial statements be included in our Annual Report on Form 10-K for the fiscal year ended December 31, 2020 for filing with the SEC.</w:t>
      </w:r>
    </w:p>
    <w:p>
      <w:pPr>
        <w:spacing w:after="0" w:line="106"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Members of the XpresSpa Group, Inc. Audit Committee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Robert Weinstein (Chairman)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Bruce T. Bernstein</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w:t>
      </w:r>
    </w:p>
    <w:p>
      <w:pPr>
        <w:spacing w:after="0" w:line="16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16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Related Persons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14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Item 1)</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Board of Directors nominated Douglas Satzman, Bruce T. Bernstein, Robert Weinstein, Donald E. Stout, and Michael Lebowitz for election by the holders of Common Stock at the annual meeting. If they are elected, they will serve on our Board of Directors until the 2022 annual meeting of stockholders and until their respective successors have been elected and qualified.</w:t>
      </w:r>
    </w:p>
    <w:p>
      <w:pPr>
        <w:spacing w:after="0" w:line="11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Unless authority to vote for any of these nominees is withheld, the shares represented by proxies solicited by the Board will be voted FOR the election as directors of each of Douglas Satzman, Bruce T. Bernstein, Robert Weinstein, Donald E. Stout, and Michael Lebowitz. In the event that any nominee becomes unable or unwilling to serve, the shares represented by proxies solicited by the Board will be voted for the election of such other person as the Board of Directors may recommend in that nominee’s place. We have no reason to believe that any nominee will be unable or unwilling to serve as a director.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The five nominees for director who receive the most votes (also known as a “plurality” of the votes cast) will be elected.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91" w:lineRule="exact"/>
        <w:rPr>
          <w:sz w:val="20"/>
          <w:szCs w:val="20"/>
          <w:color w:val="auto"/>
        </w:rPr>
      </w:pPr>
    </w:p>
    <w:p>
      <w:pPr>
        <w:ind w:left="1260" w:right="739" w:firstLine="360"/>
        <w:spacing w:after="0" w:line="281" w:lineRule="auto"/>
        <w:rPr>
          <w:sz w:val="20"/>
          <w:szCs w:val="20"/>
          <w:color w:val="auto"/>
        </w:rPr>
      </w:pPr>
      <w:r>
        <w:rPr>
          <w:rFonts w:ascii="Arial" w:cs="Arial" w:eastAsia="Arial" w:hAnsi="Arial"/>
          <w:sz w:val="17"/>
          <w:szCs w:val="17"/>
          <w:b w:val="1"/>
          <w:bCs w:val="1"/>
          <w:color w:val="auto"/>
        </w:rPr>
        <w:t>THE BOARD OF DIRECTORS RECOMMENDS A VOTE “FOR” THE ELECTION OF EACH OF DOUGLAS SATZMAN, BRUCE T. BERNSTEIN, ROBERT WEINSTEIN, DONALD E. STOUT AND MICHAEL LEBOWITZ AS DIRECTORS, AND PROXIES SOLICITED BY THE BOARD WILL BE VOTED IN FAVOR THEREOF UNLESS A STOCKHOLDER HAS INDICATED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RATIFICATION OF APPOINTMENT OF INDEPENDENT REGISTERED PUBLIC</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(Notice Item 2)</w:t>
      </w:r>
    </w:p>
    <w:p>
      <w:pPr>
        <w:spacing w:after="0" w:line="148"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On May 4, 2020, we dismissed CohnReznick and approved the engagement of Friedman LLP (“Friedman”) as our independent registered public accounting firm for the fiscal year ended December 31, 2020. This selection was ratified by our stockholders at the 2020 annual meeting held on October 28, 2020. In deciding to select CohnReznick and Friedman, the Audit Committee carefully considered the qualifications of CohnReznick and Friedman, including their reputation for integrity, quality, and competence in the fields of accounting and auditing. Further, the Audit Committee reviewed auditor independence issues and existing commercial relationships with CohnReznick and Friedman. The Audit Committee concluded that independence of CohnReznick and Friedman was not impaired for the fiscal years ended December 31, 2020 and 2019. For the fiscal years ended December 31, 2020 and 2019, we incurred the following fees for the services of CohnReznick and Friedman:</w:t>
      </w:r>
    </w:p>
    <w:p>
      <w:pPr>
        <w:sectPr>
          <w:pgSz w:w="11900" w:h="16838" w:orient="portrait"/>
          <w:cols w:equalWidth="0" w:num="1">
            <w:col w:w="9879"/>
          </w:cols>
          <w:pgMar w:left="580" w:top="131" w:right="1440" w:bottom="1440" w:gutter="0" w:footer="0" w:header="0"/>
        </w:sectPr>
      </w:pPr>
    </w:p>
    <w:p>
      <w:pPr>
        <w:spacing w:after="0" w:line="39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Friedman:</w:t>
      </w:r>
    </w:p>
    <w:p>
      <w:pPr>
        <w:ind w:left="1620"/>
        <w:spacing w:after="0" w:line="236" w:lineRule="auto"/>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CohnReznick:</w:t>
      </w:r>
    </w:p>
    <w:p>
      <w:pPr>
        <w:ind w:left="1620"/>
        <w:spacing w:after="0" w:line="223" w:lineRule="auto"/>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32385</wp:posOffset>
            </wp:positionV>
            <wp:extent cx="47491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40" w:lineRule="exact"/>
        <w:rPr>
          <w:sz w:val="20"/>
          <w:szCs w:val="20"/>
          <w:color w:val="auto"/>
        </w:rPr>
      </w:pPr>
    </w:p>
    <w:p>
      <w:pPr>
        <w:jc w:val="right"/>
        <w:ind w:left="180" w:right="1699" w:hanging="189"/>
        <w:spacing w:after="0" w:line="412" w:lineRule="auto"/>
        <w:rPr>
          <w:sz w:val="20"/>
          <w:szCs w:val="20"/>
          <w:color w:val="auto"/>
        </w:rPr>
      </w:pPr>
      <w:r>
        <w:rPr>
          <w:rFonts w:ascii="Arial" w:cs="Arial" w:eastAsia="Arial" w:hAnsi="Arial"/>
          <w:sz w:val="16"/>
          <w:szCs w:val="16"/>
          <w:color w:val="auto"/>
        </w:rPr>
        <w:t>$148,243 45,780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-254000</wp:posOffset>
            </wp:positionV>
            <wp:extent cx="474916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79375</wp:posOffset>
            </wp:positionV>
            <wp:extent cx="47491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45" w:lineRule="exact"/>
        <w:rPr>
          <w:sz w:val="20"/>
          <w:szCs w:val="20"/>
          <w:color w:val="auto"/>
        </w:rPr>
      </w:pPr>
    </w:p>
    <w:p>
      <w:pPr>
        <w:jc w:val="both"/>
        <w:ind w:left="100"/>
        <w:spacing w:after="0"/>
        <w:tabs>
          <w:tab w:leader="none" w:pos="900" w:val="left"/>
        </w:tabs>
        <w:rPr>
          <w:sz w:val="20"/>
          <w:szCs w:val="20"/>
          <w:color w:val="auto"/>
        </w:rPr>
      </w:pPr>
      <w:r>
        <w:rPr>
          <w:rFonts w:ascii="Arial" w:cs="Arial" w:eastAsia="Arial" w:hAnsi="Arial"/>
          <w:sz w:val="18"/>
          <w:szCs w:val="18"/>
          <w:color w:val="auto"/>
        </w:rPr>
        <w:t>331,000</w:t>
        <w:tab/>
        <w:t>$382,750</w:t>
      </w:r>
    </w:p>
    <w:p>
      <w:pPr>
        <w:spacing w:after="0" w:line="63" w:lineRule="exact"/>
        <w:rPr>
          <w:sz w:val="20"/>
          <w:szCs w:val="20"/>
          <w:color w:val="auto"/>
        </w:rPr>
      </w:pPr>
    </w:p>
    <w:p>
      <w:pPr>
        <w:jc w:val="both"/>
        <w:ind w:left="180"/>
        <w:spacing w:after="0"/>
        <w:tabs>
          <w:tab w:leader="none" w:pos="1000" w:val="left"/>
        </w:tabs>
        <w:rPr>
          <w:sz w:val="20"/>
          <w:szCs w:val="20"/>
          <w:color w:val="auto"/>
        </w:rPr>
      </w:pPr>
      <w:r>
        <w:rPr>
          <w:rFonts w:ascii="Arial" w:cs="Arial" w:eastAsia="Arial" w:hAnsi="Arial"/>
          <w:sz w:val="18"/>
          <w:szCs w:val="18"/>
          <w:color w:val="auto"/>
        </w:rPr>
        <w:t>54,000</w:t>
      </w:r>
      <w:r>
        <w:rPr>
          <w:sz w:val="20"/>
          <w:szCs w:val="20"/>
          <w:color w:val="auto"/>
        </w:rPr>
        <w:tab/>
      </w:r>
      <w:r>
        <w:rPr>
          <w:rFonts w:ascii="Arial" w:cs="Arial" w:eastAsia="Arial" w:hAnsi="Arial"/>
          <w:sz w:val="18"/>
          <w:szCs w:val="18"/>
          <w:color w:val="auto"/>
        </w:rPr>
        <w:t>138,500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23495</wp:posOffset>
            </wp:positionV>
            <wp:extent cx="474916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57" w:lineRule="exact"/>
        <w:rPr>
          <w:sz w:val="20"/>
          <w:szCs w:val="20"/>
          <w:color w:val="auto"/>
        </w:rPr>
      </w:pPr>
    </w:p>
    <w:p>
      <w:pPr>
        <w:jc w:val="right"/>
        <w:ind w:right="779"/>
        <w:spacing w:after="0"/>
        <w:tabs>
          <w:tab w:leader="none" w:pos="660" w:val="left"/>
        </w:tabs>
        <w:rPr>
          <w:sz w:val="20"/>
          <w:szCs w:val="20"/>
          <w:color w:val="auto"/>
        </w:rPr>
      </w:pPr>
      <w:r>
        <w:rPr>
          <w:rFonts w:ascii="Arial" w:cs="Arial" w:eastAsia="Arial" w:hAnsi="Arial"/>
          <w:sz w:val="18"/>
          <w:szCs w:val="18"/>
          <w:color w:val="auto"/>
        </w:rPr>
        <w:t>$579,023</w:t>
      </w:r>
      <w:r>
        <w:rPr>
          <w:sz w:val="20"/>
          <w:szCs w:val="20"/>
          <w:color w:val="auto"/>
        </w:rPr>
        <w:tab/>
      </w:r>
      <w:r>
        <w:rPr>
          <w:rFonts w:ascii="Arial" w:cs="Arial" w:eastAsia="Arial" w:hAnsi="Arial"/>
          <w:sz w:val="16"/>
          <w:szCs w:val="16"/>
          <w:color w:val="auto"/>
        </w:rPr>
        <w:t>$521,250</w:t>
      </w:r>
    </w:p>
    <w:p>
      <w:pPr>
        <w:spacing w:after="0" w:line="215" w:lineRule="exact"/>
        <w:rPr>
          <w:sz w:val="20"/>
          <w:szCs w:val="20"/>
          <w:color w:val="auto"/>
        </w:rPr>
      </w:pPr>
    </w:p>
    <w:p>
      <w:pPr>
        <w:sectPr>
          <w:pgSz w:w="11900" w:h="16838" w:orient="portrait"/>
          <w:cols w:equalWidth="0" w:num="2">
            <w:col w:w="6780" w:space="720"/>
            <w:col w:w="2379"/>
          </w:cols>
          <w:pgMar w:left="580" w:top="131" w:right="1440" w:bottom="1440" w:gutter="0" w:footer="0" w:header="0"/>
          <w:type w:val="continuous"/>
        </w:sectPr>
      </w:pPr>
    </w:p>
    <w:p>
      <w:pPr>
        <w:spacing w:after="0" w:line="171" w:lineRule="exact"/>
        <w:rPr>
          <w:sz w:val="20"/>
          <w:szCs w:val="20"/>
          <w:color w:val="auto"/>
        </w:rPr>
      </w:pPr>
    </w:p>
    <w:p>
      <w:pPr>
        <w:ind w:left="1620" w:right="439" w:hanging="360"/>
        <w:spacing w:after="0" w:line="286"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6" w:lineRule="exact"/>
        <w:rPr>
          <w:rFonts w:ascii="Arial" w:cs="Arial" w:eastAsia="Arial" w:hAnsi="Arial"/>
          <w:sz w:val="17"/>
          <w:szCs w:val="17"/>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for includes fees for benefit plan audits and lease compliance audits.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Dismissal of Previous Independent Registered Accounting Firm</w:t>
      </w:r>
    </w:p>
    <w:p>
      <w:pPr>
        <w:spacing w:after="0" w:line="148"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On May 4, 2020, the Audit Committee informed CohnReznick of its decision to dismiss CohnReznick as the Company’s independent registered public accounting firm, effective as of that date.</w:t>
      </w:r>
    </w:p>
    <w:p>
      <w:pPr>
        <w:spacing w:after="0" w:line="7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CohnReznick’s report on the Company’s consolidated financial statements as of December 31, 2019 did not contain an adverse opinion or a disclaimer of opinion, nor was it qualified or modified as to uncertainty, audit scope or accounting principles, other than to include an explanatory paragraph regarding substantial doubt as to the Company’s ability to continue as a going concern.</w:t>
      </w:r>
    </w:p>
    <w:p>
      <w:pPr>
        <w:spacing w:after="0" w:line="120"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During the year ended December 31, 2019 and the subsequent interim period through May 4, 2020, there were no “disagreements” (as such term is defined in Item 304(a)(1)(iv) of Regulation S- K and the related instructions to Item 304) with CohnReznick on any matter of accounting principles or practices, financial statement disclosure, or auditing scope or procedure, which disagreements if not resolved to the satisfaction of CohnReznick would have caused CohnReznick to make reference to the subject matter of the disagreements or reportable events in connection with its reports on the financial statements for such years. During the year ended December 31, 2019 and the subsequent interim period through May 4, 2020, there have been no “reportable events” (as such term is defined in Item 304(a)(1)(v) of Regulation S-K), except for the material weakness identified in the Company’s internal control over its financial close and reporting process.</w:t>
      </w:r>
    </w:p>
    <w:p>
      <w:pPr>
        <w:spacing w:after="0" w:line="107"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The Company provided CohnReznick with a copy of the disclosure it made in response to Item 304(a) of Regulation S-K and requested that CohnReznick furnish the Company with a copy of its letter addressed</w:t>
      </w:r>
    </w:p>
    <w:p>
      <w:pPr>
        <w:sectPr>
          <w:pgSz w:w="11900" w:h="16838" w:orient="portrait"/>
          <w:cols w:equalWidth="0" w:num="1">
            <w:col w:w="9879"/>
          </w:cols>
          <w:pgMar w:left="580" w:top="131" w:right="1440" w:bottom="1440" w:gutter="0" w:footer="0" w:header="0"/>
          <w:type w:val="continuous"/>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to the SEC, pursuant to Item 304(a)(3) of Regulation S-K, stating whether CohnReznick agrees with the statements made by the Company in response to Item 304(a) of Regulation S-K. A copy of CohnReznick’s letter to the SEC dated May 5, 2020 was filed as Exhibit 16.1 to the Company’s Current Report on Form 8-K, which was filed with the SEC on May 6, 2020.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Appointment of New Independent Registered Public Accounting Firm</w:t>
      </w:r>
    </w:p>
    <w:p>
      <w:pPr>
        <w:spacing w:after="0" w:line="14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On May 4, 2020, the Audit Committee approved the engagement of Friedman as the Company’s new independent registered public accounting firm for the fiscal year ending December 31, 2021, effective immediately. During the fiscal year ended December 31, 2019 and through the subsequent interim period as of May 4, 2020, neither the Company, nor any party on behalf of the Company, consulted with Friedman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Friedman concluded was an important factor considered by the Company in deciding on any accounting, auditing or financial reporting issue, or (ii) any matter subject to any “disagreement” (as such term is defined in Item 304(a)(1)</w:t>
      </w:r>
    </w:p>
    <w:p>
      <w:pPr>
        <w:spacing w:after="0" w:line="1" w:lineRule="exact"/>
        <w:rPr>
          <w:sz w:val="20"/>
          <w:szCs w:val="20"/>
          <w:color w:val="auto"/>
        </w:rPr>
      </w:pPr>
    </w:p>
    <w:p>
      <w:pPr>
        <w:ind w:left="1260" w:right="939"/>
        <w:spacing w:after="0" w:line="260" w:lineRule="auto"/>
        <w:tabs>
          <w:tab w:leader="none" w:pos="15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Regulation S-K and the related instructions) or a “reportable event” (as such term is defined in Item 304(a)(1)(v) of Regulation S-K).</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2020 and 2019.</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Audit Committee has appointed Friedman LLP as our independent registered public accounting firm for the fiscal year ending December 31, 2021. The affirmative vote of the holders of a majority of the shares of Common Stock present and entitled to vote on the matter either in person or by proxy at the annual meeting is required to ratify the appointment of Friedman as our independent registered public accounting firm for the fiscal year ending December 31, 2021.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as our independent registered public accounting firm for 2021, our Audit Committee of our Board of Directors will reconsider its selection.</w:t>
      </w:r>
    </w:p>
    <w:p>
      <w:pPr>
        <w:spacing w:after="0" w:line="107" w:lineRule="exact"/>
        <w:rPr>
          <w:sz w:val="20"/>
          <w:szCs w:val="20"/>
          <w:color w:val="auto"/>
        </w:rPr>
      </w:pPr>
    </w:p>
    <w:p>
      <w:pPr>
        <w:ind w:left="1260" w:right="499" w:firstLine="360"/>
        <w:spacing w:after="0" w:line="281"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FRIEDMAN LLP AS OUR INDEPENDENT REGISTERED PUBLIC ACCOUNTING FIRM,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3: CHARTER AMENDMENT TO INCREASE AUTHORIZED SHARES OF COMMON</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STOCK</w:t>
      </w:r>
    </w:p>
    <w:p>
      <w:pPr>
        <w:spacing w:after="0" w:line="19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3)</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 xml:space="preserve">The Board of Directors has approved and recommended that our stockholders approve an amendment to the Company’s Amended and Restated Certificate of Incorporation to increase the number of authorized shares of Common Stock from 150,000,000 shares to 250,000,000 shares, an increase of 100,000,000 shares. The authorized capital stock of the Company currently consists of 150,000,000 shares of Common Stock, par value $0.01 per share, and 10,000,000 shares of Preferred Stock, par value $0.01 per share. If the proposed amendment is approved, the authorized capital stock of the Company will consist of 250,000,000 shares of Common Stock and 10,000,000 shares of Preferred Stock. The form of the Certificate of Amendment to Amended and Restated Certificate of Incorporation of the Company to increase the number of authorized shares of Common Stock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(the “Charter Amendment”).</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Board of Directors is recommending the proposed increase in the number of authorized shares of Common Stock to provide additional authorized shares of Common Stock for use in connection with potential future financings, strategic opportunities, acquisitions, employee benefit plans or for other corporate purposes. The Board determined that the Charter Amendment is advisable and in the best interests of the Company and directed that the Charter Amendment be submitted for adoption and approval by stockholders at the Annual Meeting. The Charter Amendment would not affect the number of authorized shares of Preferred Stock nor affect the par value of the Common Stock or the Preferred Stock. Currently, there are no shares of Preferred Stock issued and outstanding. Except for shares of Common Stock that are reserved for issuance, the Company has no commitments at this time for the issuance of additional shares of Common Stock, but desires to position itself to do so when needs arise and market conditions warrant.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August 2, 2021, the Company has 105,969,045 shares of Common Stock issued and outstanding</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an aggregate of 41,379,153 shares of Common Stock reserved for issuance upon exercise of warrants to</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shares of Common Stock issued in our previous financing, and for issuance under our various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incentive plans (inclusive of shares to be issued pursuant to outstanding options and restricted</w:t>
      </w:r>
    </w:p>
    <w:p>
      <w:pPr>
        <w:ind w:left="1260"/>
        <w:spacing w:after="0"/>
        <w:rPr>
          <w:sz w:val="20"/>
          <w:szCs w:val="20"/>
          <w:color w:val="auto"/>
        </w:rPr>
      </w:pPr>
      <w:r>
        <w:rPr>
          <w:rFonts w:ascii="Arial" w:cs="Arial" w:eastAsia="Arial" w:hAnsi="Arial"/>
          <w:sz w:val="17"/>
          <w:szCs w:val="17"/>
          <w:color w:val="auto"/>
        </w:rPr>
        <w:t>stock units). This leaves a balance of 3,051,802 shares of authorized and unissued Common Stock available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issuance, and as a result, the Company’s ability to raise additional equity capital is severely constrained.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 believes it is critically important for the Company to maintain its flexibility in</w:t>
      </w:r>
    </w:p>
    <w:p>
      <w:pPr>
        <w:ind w:left="1260"/>
        <w:spacing w:after="0"/>
        <w:rPr>
          <w:sz w:val="20"/>
          <w:szCs w:val="20"/>
          <w:color w:val="auto"/>
        </w:rPr>
      </w:pPr>
      <w:r>
        <w:rPr>
          <w:rFonts w:ascii="Arial" w:cs="Arial" w:eastAsia="Arial" w:hAnsi="Arial"/>
          <w:sz w:val="18"/>
          <w:szCs w:val="18"/>
          <w:color w:val="auto"/>
        </w:rPr>
        <w:t>accessing the equity capital markets.</w:t>
      </w:r>
    </w:p>
    <w:p>
      <w:pPr>
        <w:spacing w:after="0" w:line="115"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If the Charter Amendment is approved by the stockholders, 250,000,000 shares of Common Stock will be authorized for issuance and the 100,000,000 additional authorized shares of Common Stock may be issued by the Company without any further action by the stockholders, except to the extent required by law or regulation or stock exchange requirement. Any additional authorized shares of Common Stock, if and when issued, would be part of the Company’s existing class of Common Stock, and would have the same rights and privileges as the currently outstanding shares of Common Stock. The issuance of additional authorized shares of Common Stock may, among other things, have a dilutive effect on earnings per share and on the equity and voting power of existing holders of Common Stock. Although the Board of Directors has no present intention of issuing additional shares for such purposes, the proposed increase in the number of authorized shares of Common Stock could also enable the Board of Directors to render more difficult or discourage an attempt by another person or entity to obtain control of the Company. The Board of Directors is not aware of any attempt, or contemplated attempt, to acquire control of the Company, and this proposal is not being presented with the intent that it be utilized as a type of anti-takeover device. The Charter Amendment has been prompted by business and financial considerations. The Charter Amendment will not by itself change the number of issued shares of Common Stock nor will it change the rights of current holders of the Company’s Common Stock.</w:t>
      </w:r>
    </w:p>
    <w:p>
      <w:pPr>
        <w:spacing w:after="0" w:line="11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If the Company’s stockholders approve this Proposal, the Charter Amendment will become effective upon its filing with the Secretary of State of the State of Delaware, or such later time as specified in such filing. If the Charter Amendment is adopted and approved by the stockholders, the Company currently anticipates filing the Charter Amendment with the Secretary of State of the State of Delaware on or around October 1, 2021.</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and Vote Required</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Arial" w:cs="Arial" w:eastAsia="Arial" w:hAnsi="Arial"/>
          <w:sz w:val="18"/>
          <w:szCs w:val="18"/>
          <w:b w:val="1"/>
          <w:bCs w:val="1"/>
          <w:color w:val="auto"/>
        </w:rPr>
        <w:t xml:space="preserve">The Board of Directors recommends that stockholders vote “FOR” the approval of the Charter Amendment to increase the number of authorized shares of Common Stock. </w:t>
      </w:r>
      <w:r>
        <w:rPr>
          <w:rFonts w:ascii="Arial" w:cs="Arial" w:eastAsia="Arial" w:hAnsi="Arial"/>
          <w:sz w:val="18"/>
          <w:szCs w:val="18"/>
          <w:color w:val="auto"/>
        </w:rPr>
        <w:t>The proxy holders will vote all</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received for approval of this proposal unless instructed otherwise. Approval of this proposal requires the affirmative vote of a majority of the outstanding shares of Common Stock. Abstentions will have the same effect as votes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40" w:right="60"/>
        <w:spacing w:after="0" w:line="266" w:lineRule="auto"/>
        <w:rPr>
          <w:sz w:val="20"/>
          <w:szCs w:val="20"/>
          <w:color w:val="auto"/>
        </w:rPr>
      </w:pPr>
      <w:r>
        <w:rPr>
          <w:rFonts w:ascii="Arial" w:cs="Arial" w:eastAsia="Arial" w:hAnsi="Arial"/>
          <w:sz w:val="18"/>
          <w:szCs w:val="18"/>
          <w:b w:val="1"/>
          <w:bCs w:val="1"/>
          <w:color w:val="auto"/>
        </w:rPr>
        <w:t>PROPOSAL 4: ADVISORY VOTE ON APPROVAL OF EXECUTIVE COMPENSATION AS DISCLOSED IN THIS PROXY STATEMENT</w:t>
      </w:r>
    </w:p>
    <w:p>
      <w:pPr>
        <w:spacing w:after="0" w:line="16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4)</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on the approval of the compensation of our named executive officers as disclosed pursuant to the compensation disclosure rules of the Securities and Exchange Commission in the compensation tables and the related material disclosed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2022 annual meeting of stockholders.</w:t>
      </w:r>
    </w:p>
    <w:p>
      <w:pPr>
        <w:spacing w:after="0" w:line="124"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 -term success. Our compensation program is also designed to reinforce a sense of ownership and to link compensation to our performance as well as the performance of each of our named executive officers.</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17" w:lineRule="exact"/>
        <w:rPr>
          <w:sz w:val="20"/>
          <w:szCs w:val="20"/>
          <w:color w:val="auto"/>
        </w:rPr>
      </w:pPr>
    </w:p>
    <w:p>
      <w:pPr>
        <w:ind w:left="1800" w:right="7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fixed portion of compensation, in the form of a base salary, to retain and provide a base level of compensation to our named executive officers; and</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long-term performance element in the form of equity, to incentivize our named executive officers to achieve superior corporate performance.</w:t>
      </w:r>
    </w:p>
    <w:p>
      <w:pPr>
        <w:spacing w:after="0" w:line="89" w:lineRule="exact"/>
        <w:rPr>
          <w:sz w:val="20"/>
          <w:szCs w:val="20"/>
          <w:color w:val="auto"/>
        </w:rPr>
      </w:pPr>
    </w:p>
    <w:p>
      <w:pPr>
        <w:jc w:val="both"/>
        <w:ind w:left="1260" w:right="839" w:firstLine="360"/>
        <w:spacing w:after="0" w:line="270" w:lineRule="auto"/>
        <w:rPr>
          <w:sz w:val="20"/>
          <w:szCs w:val="20"/>
          <w:color w:val="auto"/>
        </w:rPr>
      </w:pPr>
      <w:r>
        <w:rPr>
          <w:rFonts w:ascii="Arial" w:cs="Arial" w:eastAsia="Arial" w:hAnsi="Arial"/>
          <w:sz w:val="17"/>
          <w:szCs w:val="17"/>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56"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4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10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2021 annual meeting:</w:t>
      </w:r>
    </w:p>
    <w:p>
      <w:pPr>
        <w:spacing w:after="0" w:line="103" w:lineRule="exact"/>
        <w:rPr>
          <w:sz w:val="20"/>
          <w:szCs w:val="20"/>
          <w:color w:val="auto"/>
        </w:rPr>
      </w:pPr>
    </w:p>
    <w:p>
      <w:pPr>
        <w:jc w:val="both"/>
        <w:ind w:left="1260" w:right="539" w:firstLine="360"/>
        <w:spacing w:after="0" w:line="270" w:lineRule="auto"/>
        <w:rPr>
          <w:sz w:val="20"/>
          <w:szCs w:val="20"/>
          <w:color w:val="auto"/>
        </w:rPr>
      </w:pPr>
      <w:r>
        <w:rPr>
          <w:rFonts w:ascii="Arial" w:cs="Arial" w:eastAsia="Arial" w:hAnsi="Arial"/>
          <w:sz w:val="17"/>
          <w:szCs w:val="17"/>
          <w:color w:val="auto"/>
        </w:rPr>
        <w:t>“RESOLVED, that the compensation paid to the named executive officers of XpresSpa Group, Inc., as disclosed pursuant to the compensation disclosure rules of the Securities and Exchange Commission in the compensation tables and the related material disclosed in the proxy statement, is hereby APPROVED.”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03"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b w:val="1"/>
          <w:bCs w:val="1"/>
          <w:color w:val="auto"/>
        </w:rPr>
        <w:t>THE BOARD OF DIRECTORS RECOMMENDS A VOTE “FOR” APPROVAL OF THE COMPENSATION OF OUR NAMED EXECUTIVE OFFICERS,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900" w:right="60"/>
        <w:spacing w:after="0" w:line="266" w:lineRule="auto"/>
        <w:rPr>
          <w:sz w:val="20"/>
          <w:szCs w:val="20"/>
          <w:color w:val="auto"/>
        </w:rPr>
      </w:pPr>
      <w:r>
        <w:rPr>
          <w:rFonts w:ascii="Arial" w:cs="Arial" w:eastAsia="Arial" w:hAnsi="Arial"/>
          <w:sz w:val="18"/>
          <w:szCs w:val="18"/>
          <w:b w:val="1"/>
          <w:bCs w:val="1"/>
          <w:color w:val="auto"/>
        </w:rPr>
        <w:t>PROPOSAL 5: APPROVAL OF THE ADJOURNMENT OF THE ANNUAL MEETING, IF NECESSARY, TO SOLICIT ADDITIONAL PROXIES IF THERE ARE NOT SUFFICIENT VOTES IN FAVOR OF PROPOSALS 2 THROUGH 4</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(Notice Item 5)</w:t>
      </w:r>
    </w:p>
    <w:p>
      <w:pPr>
        <w:spacing w:after="0" w:line="14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through 4.</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Approval of the adjournment of the annual meeting, if necessary, to solicit additional proxies if there are not sufficient votes in favor of the Proposals 2 through 4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5. For purposes of the vote on this Proposal 5, an abstention will have the same effect as a vote “AGAINST” such proposal.</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IF NECESSARY, TO SOLICIT ADDITIONAL PROXIES IF THERE ARE NOT SUFFICIENT VOTES IN FAVOR OF PROPOSALS 2 THROUGH 4,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CODE OF CONDUCT AND ETHICS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 and will be made available to stockholders without charge, upon</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7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acting as proxies.</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62" w:lineRule="exact"/>
        <w:rPr>
          <w:sz w:val="20"/>
          <w:szCs w:val="20"/>
          <w:color w:val="auto"/>
        </w:rPr>
      </w:pPr>
    </w:p>
    <w:p>
      <w:pPr>
        <w:ind w:left="1260" w:right="759" w:firstLine="360"/>
        <w:spacing w:after="0" w:line="235" w:lineRule="auto"/>
        <w:rPr>
          <w:sz w:val="20"/>
          <w:szCs w:val="20"/>
          <w:color w:val="auto"/>
        </w:rPr>
      </w:pPr>
      <w:r>
        <w:rPr>
          <w:rFonts w:ascii="Arial" w:cs="Arial" w:eastAsia="Arial" w:hAnsi="Arial"/>
          <w:sz w:val="18"/>
          <w:szCs w:val="18"/>
          <w:color w:val="auto"/>
        </w:rPr>
        <w:t>To be considered for inclusion in the proxy statement relating to our 2022 annual meeting of stockholders, we must receive stockholder proposals (other than for director nominations) no later than April 22, 2022, which is 120 days prior to the date that is one year from this year’s release date. All stockholder proposals should be sent to the attention of XpresSpa Group, Inc., 254 West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Street, 11</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10001, attention Cara Soffer, General Counsel.</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left="1860" w:right="1240"/>
        <w:spacing w:after="0" w:line="275" w:lineRule="auto"/>
        <w:rPr>
          <w:sz w:val="20"/>
          <w:szCs w:val="20"/>
          <w:color w:val="auto"/>
        </w:rPr>
      </w:pPr>
      <w:r>
        <w:rPr>
          <w:rFonts w:ascii="Arial" w:cs="Arial" w:eastAsia="Arial" w:hAnsi="Arial"/>
          <w:sz w:val="18"/>
          <w:szCs w:val="18"/>
          <w:b w:val="1"/>
          <w:bCs w:val="1"/>
          <w:color w:val="auto"/>
        </w:rPr>
        <w:t>CERTIFICATE OF AMENDMENT TO AMENDED AND RESTATED CERTIFICATE OF INCORPORATION OF XPRESSPA GROUP, INC.</w:t>
      </w:r>
    </w:p>
    <w:p>
      <w:pPr>
        <w:spacing w:after="0" w:line="31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16" w:lineRule="exact"/>
        <w:rPr>
          <w:sz w:val="20"/>
          <w:szCs w:val="20"/>
          <w:color w:val="auto"/>
        </w:rPr>
      </w:pPr>
    </w:p>
    <w:p>
      <w:pPr>
        <w:ind w:left="1260" w:right="519" w:firstLine="360"/>
        <w:spacing w:after="0" w:line="254" w:lineRule="auto"/>
        <w:tabs>
          <w:tab w:leader="none" w:pos="18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27" w:lineRule="exact"/>
        <w:rPr>
          <w:rFonts w:ascii="Arial" w:cs="Arial" w:eastAsia="Arial" w:hAnsi="Arial"/>
          <w:sz w:val="18"/>
          <w:szCs w:val="18"/>
          <w:color w:val="auto"/>
        </w:rPr>
      </w:pPr>
    </w:p>
    <w:p>
      <w:pPr>
        <w:ind w:left="1260" w:right="519" w:firstLine="360"/>
        <w:spacing w:after="0" w:line="273" w:lineRule="auto"/>
        <w:tabs>
          <w:tab w:leader="none" w:pos="18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second sentence of Article Fourth of the Corporation’s Amended and Restated Certificate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Incorporation is hereby amended and restated in its entirety to read as follows:</w:t>
      </w:r>
    </w:p>
    <w:p>
      <w:pPr>
        <w:spacing w:after="0" w:line="143"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“The total number of shares the Corporation shall have the authority to issue is two hundred sixty million (260,000,000) shares, two hundred fifty million (250,000,000) shares of which shall be Common Stock and ten million (10,000,000) shares of which shall be Preferred Stock.”</w:t>
      </w:r>
    </w:p>
    <w:p>
      <w:pPr>
        <w:spacing w:after="0" w:line="116" w:lineRule="exact"/>
        <w:rPr>
          <w:sz w:val="20"/>
          <w:szCs w:val="20"/>
          <w:color w:val="auto"/>
        </w:rPr>
      </w:pPr>
    </w:p>
    <w:p>
      <w:pPr>
        <w:ind w:left="1620"/>
        <w:spacing w:after="0"/>
        <w:tabs>
          <w:tab w:leader="none" w:pos="6980" w:val="left"/>
          <w:tab w:leader="none" w:pos="8240" w:val="left"/>
        </w:tabs>
        <w:rPr>
          <w:sz w:val="20"/>
          <w:szCs w:val="20"/>
          <w:color w:val="auto"/>
        </w:rPr>
      </w:pPr>
      <w:r>
        <w:rPr>
          <w:rFonts w:ascii="Arial" w:cs="Arial" w:eastAsia="Arial" w:hAnsi="Arial"/>
          <w:sz w:val="18"/>
          <w:szCs w:val="18"/>
          <w:color w:val="auto"/>
        </w:rPr>
        <w:t>This Certificate of Amendment shall be effective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Eastern Time.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Certificate of Amendment to be signed by</w:t>
      </w:r>
    </w:p>
    <w:p>
      <w:pPr>
        <w:spacing w:after="0" w:line="39" w:lineRule="exact"/>
        <w:rPr>
          <w:sz w:val="20"/>
          <w:szCs w:val="20"/>
          <w:color w:val="auto"/>
        </w:rPr>
      </w:pPr>
    </w:p>
    <w:p>
      <w:pPr>
        <w:ind w:left="1260"/>
        <w:spacing w:after="0"/>
        <w:tabs>
          <w:tab w:leader="none" w:pos="4400" w:val="left"/>
          <w:tab w:leader="none" w:pos="6320" w:val="left"/>
          <w:tab w:leader="none" w:pos="7160" w:val="left"/>
        </w:tabs>
        <w:rPr>
          <w:sz w:val="20"/>
          <w:szCs w:val="20"/>
          <w:color w:val="auto"/>
        </w:rPr>
      </w:pPr>
      <w:r>
        <w:rPr>
          <w:rFonts w:ascii="Arial" w:cs="Arial" w:eastAsia="Arial" w:hAnsi="Arial"/>
          <w:sz w:val="18"/>
          <w:szCs w:val="18"/>
          <w:color w:val="auto"/>
        </w:rPr>
        <w:t>its Chief Executive Officer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XPRESSPA GROUP, INC.</w:t>
      </w:r>
    </w:p>
    <w:p>
      <w:pPr>
        <w:spacing w:after="0" w:line="13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-26670</wp:posOffset>
            </wp:positionV>
            <wp:extent cx="23317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Name: Douglas Satzman</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XPRESSPA GROUP</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FORM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252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882523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782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8782050"/>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amp;"/>
      <w:numFmt w:val="bullet"/>
      <w:start w:val="1"/>
    </w:lvl>
    <w:lvl w:ilvl="1">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lowerRoman"/>
      <w:start w:val="4"/>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2021-08-20T05:17:15Z</dcterms:created>
  <dcterms:modified xsi:type="dcterms:W3CDTF">2021-08-20T05:17:15Z</dcterms:modified>
</cp:coreProperties>
</file>