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Perlman Andrew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VRINGO,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780 THIRD AVENUE,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1"/>
              </w:rPr>
              <w:t>Common Stock, $0.01 par value per share</w:t>
            </w:r>
          </w:p>
        </w:tc>
        <w:tc>
          <w:tcPr>
            <w:tcW w:w="126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09/30/2014</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28,385</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0.963</w:t>
            </w:r>
            <w:r>
              <w:rPr>
                <w:rFonts w:ascii="Arial" w:cs="Arial" w:eastAsia="Arial" w:hAnsi="Arial"/>
                <w:sz w:val="22"/>
                <w:szCs w:val="22"/>
                <w:color w:val="008000"/>
                <w:w w:val="93"/>
                <w:vertAlign w:val="superscript"/>
              </w:rPr>
              <w:t>(1)</w:t>
            </w:r>
          </w:p>
        </w:tc>
        <w:tc>
          <w:tcPr>
            <w:tcW w:w="122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675,542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960" w:type="dxa"/>
            <w:vAlign w:val="bottom"/>
            <w:gridSpan w:val="8"/>
          </w:tcPr>
          <w:p>
            <w:pPr>
              <w:jc w:val="center"/>
              <w:ind w:left="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transactions reported in this line item were effected to cover tax liabilities pursuant to a Rule 10b5-1 trading plan adopted by the reporting person on November 22,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Of which, 410,418 shares of common stock are represented by unvested restricted stock units.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380"/>
        <w:spacing w:after="0" w:line="239" w:lineRule="auto"/>
        <w:rPr>
          <w:sz w:val="20"/>
          <w:szCs w:val="20"/>
          <w:color w:val="auto"/>
        </w:rPr>
      </w:pPr>
      <w:r>
        <w:rPr>
          <w:rFonts w:ascii="Arial" w:cs="Arial" w:eastAsia="Arial" w:hAnsi="Arial"/>
          <w:sz w:val="14"/>
          <w:szCs w:val="14"/>
          <w:color w:val="008000"/>
        </w:rPr>
        <w:t>As of the reporting date, the reporting person holds 2,408,167 vested and unvested options and 410,418 vested and unvested restricted stock units. In addition, the reporting person owns 265,124 shares of common stock and 40,000 warrants. The total number of securities listed is 3,123,709.</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Andrew D. Perlman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09/30/2014</w:t>
            </w:r>
          </w:p>
        </w:tc>
      </w:tr>
      <w:tr>
        <w:trPr>
          <w:trHeight w:val="20"/>
        </w:trPr>
        <w:tc>
          <w:tcPr>
            <w:tcW w:w="1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3066"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2019-12-17T06:50:33Z</dcterms:created>
  <dcterms:modified xsi:type="dcterms:W3CDTF">2019-12-17T06:50:33Z</dcterms:modified>
</cp:coreProperties>
</file>