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December 9, 2019</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FORM S-3</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incorporation or organization)</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jc w:val="center"/>
        <w:spacing w:after="0" w:line="186"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3" w:right="239" w:bottom="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2">
            <w:col w:w="8300" w:space="720"/>
            <w:col w:w="2400"/>
          </w:cols>
          <w:pgMar w:left="240" w:top="463" w:right="239" w:bottom="0" w:gutter="0" w:footer="0" w:header="0"/>
          <w:type w:val="continuous"/>
        </w:sectPr>
      </w:pPr>
    </w:p>
    <w:bookmarkStart w:id="1" w:name="page2"/>
    <w:bookmarkEnd w:id="1"/>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620" w:type="dxa"/>
            <w:vAlign w:val="bottom"/>
            <w:gridSpan w:val="7"/>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Title of Each Class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Securities to be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Amount to be</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Pr>
          <w:p>
            <w:pPr>
              <w:spacing w:after="0"/>
              <w:rPr>
                <w:sz w:val="18"/>
                <w:szCs w:val="18"/>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72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Registered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Registered(1)(2)</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Share(3)</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5"/>
              </w:rPr>
              <w:t>Registration Fee (4)</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17,302,951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23,878,072.38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23,878,072.38</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3,099.37</w:t>
            </w:r>
          </w:p>
        </w:tc>
        <w:tc>
          <w:tcPr>
            <w:tcW w:w="8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the following:</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125% of the 449,800 shares (or 562,250 shares) of our common stock issuable upon the conversion of Series F Convertible Preferred Stock (the “Series F Preferred Stock”) at a conversion price equal to $2.00 per share;</w:t>
      </w:r>
    </w:p>
    <w:p>
      <w:pPr>
        <w:spacing w:after="0" w:line="170" w:lineRule="exact"/>
        <w:rPr>
          <w:rFonts w:ascii="Arial" w:cs="Arial" w:eastAsia="Arial" w:hAnsi="Arial"/>
          <w:sz w:val="18"/>
          <w:szCs w:val="18"/>
          <w:color w:val="auto"/>
        </w:rPr>
      </w:pPr>
    </w:p>
    <w:p>
      <w:pPr>
        <w:jc w:val="both"/>
        <w:ind w:left="1620" w:hanging="640"/>
        <w:spacing w:after="0" w:line="312" w:lineRule="auto"/>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125% of the 1,445,816 shares (or 1,807,270 shares) of our common stock underlying shares of Series E Convertible Preferred Stock (the “Series E Preferred Stock”) issuable upon conversion of an aggregate principal amount of $2,500,000 of unsecured convertible notes due May 31, 2022, plus interest payable thereon (the “Calm Notes”) at a conversion price equal to $2.00 per share;</w:t>
      </w:r>
    </w:p>
    <w:p>
      <w:pPr>
        <w:spacing w:after="0" w:line="146"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125% of the 1,500,000 shares (or 1,875,000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125% of the 937,500 shares (or 1,171,875 shares) of our common stock issuable upon the exercise of warrants (the “Calm Warrants”) at an exercise price equal to $2.00 per share;</w:t>
      </w:r>
    </w:p>
    <w:p>
      <w:pPr>
        <w:spacing w:after="0" w:line="170" w:lineRule="exact"/>
        <w:rPr>
          <w:rFonts w:ascii="Arial" w:cs="Arial" w:eastAsia="Arial" w:hAnsi="Arial"/>
          <w:sz w:val="18"/>
          <w:szCs w:val="18"/>
          <w:color w:val="auto"/>
        </w:rPr>
      </w:pPr>
    </w:p>
    <w:p>
      <w:pPr>
        <w:jc w:val="both"/>
        <w:ind w:left="1620" w:hanging="640"/>
        <w:spacing w:after="0" w:line="272" w:lineRule="auto"/>
        <w:tabs>
          <w:tab w:leader="none" w:pos="1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125% of the 4,156,275 shares (or 5,195,344 shares) of our common stock issuable (a) upon conversion of an aggregate principal amount of $7,000,000 of senior secured convertible notes due May 31, 2021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 (the “B3D Note”);</w:t>
      </w:r>
    </w:p>
    <w:p>
      <w:pPr>
        <w:spacing w:after="0" w:line="177" w:lineRule="exact"/>
        <w:rPr>
          <w:rFonts w:ascii="Arial" w:cs="Arial" w:eastAsia="Arial" w:hAnsi="Arial"/>
          <w:sz w:val="17"/>
          <w:szCs w:val="17"/>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6,485,430 shares of our common stock issued to Mistral Spa Holdings, LLC upon conversion of our Series D Convertible Preferred Stock at a conversion price equal to $2.00 per share;</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125% of the 79,406 shares (or 99,258 shares) of our common stock issuable upon the exercise of warrants originally issued in December 2016 (the “December 2016 Warrants”) at an exercise price equal to $2.00 per share; and</w:t>
      </w:r>
    </w:p>
    <w:p>
      <w:pPr>
        <w:spacing w:after="0" w:line="170" w:lineRule="exact"/>
        <w:rPr>
          <w:rFonts w:ascii="Arial" w:cs="Arial" w:eastAsia="Arial" w:hAnsi="Arial"/>
          <w:sz w:val="18"/>
          <w:szCs w:val="18"/>
          <w:color w:val="auto"/>
        </w:rPr>
      </w:pPr>
    </w:p>
    <w:p>
      <w:pPr>
        <w:jc w:val="both"/>
        <w:ind w:left="1620" w:hanging="640"/>
        <w:spacing w:after="0" w:line="259"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106,524 shares of our common stock issued in connection with that certain Agreement and Plan of Merger by and among FORM Holdings Corp., FHXMS, LLC, XpresSpa Holdings, LLC and Mistral XH Representative, LLC, as representative of the unitholders, dated October 25, 2016, as subsequently amended (the “Merger Agreement”) and in connection with a related subscription agreement between us and a unitholder (the “Subscription Agreement”).</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August 19, 2019.</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$5,856.32 was 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December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17,302,951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17,302,951 shares of our common stock. This total includes the following:</w:t>
      </w:r>
    </w:p>
    <w:p>
      <w:pPr>
        <w:spacing w:after="0" w:line="225" w:lineRule="exact"/>
        <w:rPr>
          <w:sz w:val="20"/>
          <w:szCs w:val="20"/>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449,800 shares (or 562,250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1,445,816 shares (or 1,807,270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1,500,000 shares (or 1,875,000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937,500 shares (or 1,171,875 shares) of our common stock issuable upon the exercise of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125% of the 4,156,275 shares (or 5,195,344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6,485,430 shares of our common stock issued to Mistral Spa Holdings, LLC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of the 79,406 shares (or 99,258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 of the 106,524 shares of our common stock issued in connection with the Merger Agreement and the Subscription Agreement (items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through (viii) collectively, the “Securities”).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Securities were issued by XpresSpa Group, Inc. (the “Company”) and were issued (a) with respect to item (i) above, to accredited investors pursuant to or in connection with that certain Amendment to Securities Purchase Agreement and Class A Warrants and Class B Warrants, dated as of July 8, 2019 (the “May 2018 SPA Amendment”); (b) with respect to items (ii) and (iv) above, to an accredited investor pursuant to or in connection with that certain Securities Purchase Agreement, dated as of July 8, 2019, by and between the Company and Calm.com, Inc. (the “2019 Calm Purchase Agreement”); (c) with respect to item (iii) above, to an accredited investor pursuant to or in connection with that certain Securities Purchase Agreement, dated as of November 12, 2018, by and between the Company and Calm.com, Inc. (the “2018 Calm Purchase Agreement”) and in connection with that certain amendment to the Certificate of Designation, Preference, Rights and Limitations of the Series E Convertible Preferred Stock, dated as of July 8, 2019 (the “Series E COD Amendment”); (d) with respect to item (v) above, to an accredited investor pursuant to or in connection with a Fourth Amendment to Credit Agreement by and between the Company and B3D, LLC ("B3D"), dated as of July 8, 2019 (the “Credit Agreement Amendment”); (e) with respect to item (vi) above, to an accredited investor pursuant to or in connection with an Amendment to our Certificate of Designation of Preferences, Rights and Limitations of Series D Convertible Preferred Stock, dated as of July 8, 2019 (the “Series D COD Amendment”); (f) with respect to item (vii) above, to an accredited investor pursuant to or in connection with an amendment to the December 2016 Warrants (the “December 2016 Warrant Amendment”); and (g) with respect to item (viii) above, to an accredited investor in connection with the Merger Agreement and the Subscription Agreement.</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are currently held by such selling securityholders or will be issued upon conversion of each of the Calm Notes and B3D Notes, respectively (collectively, the “Notes”), upon conversion of each of the Series E Convertible Preferred Stock and Series F Convertible Preferred Stock, respectively (the “Preferred Stock”) and upon exercise of each of the Calm Warrants and December 2016 Warrants, respectively (collectively, the “Warrants”).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ectPr>
          <w:pgSz w:w="11900" w:h="16838" w:orient="portrait"/>
          <w:cols w:equalWidth="0" w:num="1">
            <w:col w:w="11420"/>
          </w:cols>
          <w:pgMar w:left="240" w:top="904" w:right="239" w:bottom="0" w:gutter="0" w:footer="0" w:header="0"/>
        </w:sectPr>
      </w:pPr>
    </w:p>
    <w:bookmarkStart w:id="3" w:name="page4"/>
    <w:bookmarkEnd w:id="3"/>
    <w:p>
      <w:pPr>
        <w:spacing w:after="0" w:line="308" w:lineRule="auto"/>
        <w:rPr>
          <w:sz w:val="20"/>
          <w:szCs w:val="20"/>
          <w:color w:val="auto"/>
        </w:rPr>
      </w:pPr>
      <w:r>
        <w:rPr>
          <w:rFonts w:ascii="Arial" w:cs="Arial" w:eastAsia="Arial" w:hAnsi="Arial"/>
          <w:sz w:val="17"/>
          <w:szCs w:val="17"/>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26.</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December 2, 2019, the last reported sale price of our common stock was $0.69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2019.</w:t>
            </w:r>
          </w:p>
        </w:tc>
      </w:tr>
      <w:tr>
        <w:trPr>
          <w:trHeight w:val="675"/>
        </w:trPr>
        <w:tc>
          <w:tcPr>
            <w:tcW w:w="7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SPECIAL NOTE REGARDING FORWARD-LOOKING STATEMENTS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SECURITYHOLDERS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22</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PLAN OF DISTRIBUTION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26</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INCORPORATION OF CERTAIN DOCUMENTS BY REFERENCE</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INFORMATION CONTAINED IN THIS PROSPECTUS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041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8, 2019, we entered into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the Series F Preferred Stock, which Series F Preferred Stock, upon receipt of the approval of our stockholders received on October 2, 2019 (the “Shareholder Approval”), contains anti-dilution price protection, and the issuance of 9,000 shares of such Series F Preferred Stock to the parties to the May 2018 SPA Amendment, which are convertible into common stock at a conversion price of $2.00 per share upon receipt of Shareholder Approval.</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8, 2019, we also entered into the 2019 Calm Purchase Agreement, pursuant to which we agreed to sell (i) the Calm Notes, which are convertible into shares of Series E Preferred Stock and (ii) the Calm Warrants. Each of the Calm Notes and the Calm Warrants contains, upon receipt of Shareholder Approval, anti-dilution price protection and provides for the inclusion of a provision allowing for the voluntary reduction of the conversion or exercise price, as applicable, by our Board of Directors at any time in its discretion. In connection with the 2019 Calm Purchase Agreement, we filed the Series E COD Amendment with the State of Delaware to reduce the conversion price to $2.00 per share, upon receipt of Shareholder Approval.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229" w:right="339" w:bottom="1440" w:gutter="0" w:footer="0" w:header="0"/>
        </w:sectPr>
      </w:pPr>
    </w:p>
    <w:bookmarkStart w:id="6" w:name="page7"/>
    <w:bookmarkEnd w:id="6"/>
    <w:p>
      <w:pPr>
        <w:jc w:val="both"/>
        <w:ind w:left="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3734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734435"/>
                    </a:xfrm>
                    <a:prstGeom prst="rect">
                      <a:avLst/>
                    </a:prstGeom>
                    <a:noFill/>
                  </pic:spPr>
                </pic:pic>
              </a:graphicData>
            </a:graphic>
          </wp:anchor>
        </w:drawing>
        <w:t>On July 8, 2019, we also entered into the Credit Agreement Amendment with B3D in order to, among other provisions, (i) extend the maturity date to May 31, 2021, (ii) reduce the applicable interest rate to 9.0% and (iii) amend and restate the B3D Note in order to increase the principal amount owed to B3D to $7.0 million, which principal and any interest accrued thereon are, upon receipt of Shareholder Approval, convertible at B3D’s option into common stock at an initial conversion price of $2.00 per share. Upon receipt of Shareholder Approval, the B3D Note contains anti-dilution price protection and includes a provision allowing for voluntary reduction of the conversion price by our Board of Directors at any time in its discretion.</w:t>
      </w:r>
    </w:p>
    <w:p>
      <w:pPr>
        <w:spacing w:after="0" w:line="173"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On July 8, 2019, we also (i) filed the Series D COD Amendment to reduce the conversion price of the Series D Preferred Stock to $2.00 per share, upon receipt of Shareholder Approval and (ii) entered into the December 2016 Warrant Amendment to provide for (a) a reduction in the exercise price to $2.00,</w:t>
      </w:r>
    </w:p>
    <w:p>
      <w:pPr>
        <w:ind w:left="4" w:right="20" w:hanging="4"/>
        <w:spacing w:after="0" w:line="261" w:lineRule="auto"/>
        <w:tabs>
          <w:tab w:leader="none" w:pos="289"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anti-dilution price protection and (c) the inclusion of a provision allowing for voluntary reduction of the exercise price by our Board of Directors at any time in its discretion, in each case upon receipt of Shareholder Approval.</w:t>
      </w:r>
    </w:p>
    <w:p>
      <w:pPr>
        <w:spacing w:after="0" w:line="184"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8"/>
          <w:szCs w:val="18"/>
          <w:color w:val="auto"/>
        </w:rPr>
        <w:t>On October 2, 2019, upon receipt of Shareholder Approval, all issued and outstanding shares of our Series D Preferred Stock were converted into shares of common stock pursuant to Section 6.3.4 of the Series D COD Amendment, except to the extent that any holder of Series D Preferred Stock would otherwise beneficially own in excess any beneficial ownership limitation applicable to such holder after giving effect to the conversion, in which case such holder’s Series D Preferred Stock converted automatically into warrants to purchase the number of shares of common stock equal to the number of shares of common stock into which the holder’s Series D Preferred Stock would otherwise have converted. After giving effect to such conversion, we had 13,881,448 shares of common stock outstanding.</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left="4"/>
        <w:spacing w:after="0" w:line="228"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Street,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1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and in the sections entitled “Risk Factors” contained in our most recent </w:t>
      </w:r>
      <w:hyperlink r:id="rId18">
        <w:r>
          <w:rPr>
            <w:rFonts w:ascii="Arial" w:cs="Arial" w:eastAsia="Arial" w:hAnsi="Arial"/>
            <w:sz w:val="17"/>
            <w:szCs w:val="17"/>
            <w:i w:val="1"/>
            <w:iCs w:val="1"/>
            <w:u w:val="single" w:color="auto"/>
            <w:color w:val="0000EE"/>
          </w:rPr>
          <w:t>annual report on Form 10-K</w:t>
        </w:r>
      </w:hyperlink>
      <w:r>
        <w:rPr>
          <w:rFonts w:ascii="Arial" w:cs="Arial" w:eastAsia="Arial" w:hAnsi="Arial"/>
          <w:sz w:val="17"/>
          <w:szCs w:val="17"/>
          <w:i w:val="1"/>
          <w:iCs w:val="1"/>
          <w:color w:val="auto"/>
        </w:rPr>
        <w:t>,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as to our ability to continue as a 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fiscal year ended December 31, 2018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2018 and 2017,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our outstanding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under the Credit Agreement Amendment and B3D Note, which has an outstanding balance of approximately $7,000,000, with a maturity date of May 31, 2021. The B3D Note accrues interest of 9.0% per annum, which interest is payable in arrears on the last business date of each month. Notwithstanding the foregoing, we have agreed with B3D that interest for the months of September 2019 and October 2019 shall be paid in shares of common stock following the effectiveness of a registration statement registering such shares for resale and also anticipate paying interest for the month of November 2019 in shares of common stock. We have granted B3D a security interest in all of its tangible and intangible personal property to secure our obligations under the B3D Note. The B3D Note is an outstanding obligation of XpresSpa Holdings, LLC but is guaranteed by us.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on July 8, 2019, we entered into the 2019 Calm Purchase Agreement pursuant to which we issued the Calm Notes.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B3D Note and the Calm Notes provides that upon an event of default (defined to include any default in payment, failure to observe or perform certain covenants, and the occurrence of certain bankruptcy events, among other events), the respective lender could declare such note, including outstanding principal and all other amounts owing thereon, immediately due and payable. While we do not anticipate failing to make any such debt payments or taking any action that could result in an event of default, any default of our loan obligations could lead to financial and operational hardship. Our failure to make payments pursuant to either of the B3D Note or the Calm Notes could cause material harm to our business, financial condition and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we had federal net operating loss carryforwards (“NOLs”) of $150,926,000 which expire 20 years from the respective tax years to which they relate, and $23,139,000 for U.S. federal purposes with an indefinite life due to new regulations in the “Tax Cuts and Jobs Act” (the “TCJA”).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President Trump signed into law the TCJA, which significantly reformed the Internal Revenue Code of 1986, as amended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our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depend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terrorist activities (including cyber-attacks), pandemics and outbreaks of contagious diseases, such as the Zika or Ebola crises, impacting either domestic or international travel through airports where we operate, causing fear of flying, flight cancellations, or an economic downturn, or any other event of a similar nature, even if not directly affecting the airline industry, may lead to a significant reduction in the number of airline passengers;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due to certain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airports or off-airport locations may present increased risks due to our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growth strategy depends upon expanding into markets where we have little or no meaningful operating experience. Those locations may have demographic characteristics, consumer tastes and discretionary spending patterns that are different from those in the markets where our existing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us from achieving our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our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locations.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growth strategy primarily contemplates expansion through procuring new locations and opening new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they do, we may not be able to successfully negotiate and open new stores on a timely basis. If we are unable to identify and open new locations in accordance with our operating plan, our revenue growth rate and financial performance may fall short of our expectations.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currently rely on a skilled, licensed labor force to provide spa services, and the supply of this labor force is finite. If we cannot hire adequate staff for our locations, we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November 30, 2019, we had approximately 550 full-time and 200 part-time employees in our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force could unionize, putting upward pressure on 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stores in two airports have a labor force which is unionized. Major players in labor organization, and in particular “Unite Here!” which represents approximately 45,000 employees in the airport concessions and airline catering industries, could target our locations for its unionization efforts. In the event of the successful unionization of all of our labor force, we would likely incur additional costs in the form of higher wages, more benefits such as vacation and sick leave, and potentially also higher health care insurance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compete for new locations in airports and may not be able to secure new locations.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a spa concept within its retail product set and, in those instances, we compete primarily with BeRelax, Terminal Getaway, Massage Bar and 10 Minute Manicure.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leases may be terminated, either for convenience by the landlord or as a result of a default by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store locations and kiosks in a number of airports in which the landlord, with prior written notice to us, can terminate our lease, including for convenience or as necessary for airport purposes or operations. If a landlord elects to terminate a lease at an airport, we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operate depends on the traffic patterns of the terminals in which we operates, and the cessation or disruption of air traveler traffic in these terminals would negatively impact our addressable market.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depend on a high volume of air travelers in our terminals. It is possible that a terminal in which we operate could become subject to a lower volume of air travelers, which would significantly impact traffic near and around our locations and therefore our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airline utilizing an airport in which we operate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we operate,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a number of our existing leases contain minimum ACDBE participation requirements which require the ACDBE to own a significant portion of the business being operated under those leases. The level of ACDBE participation requirements may affect our profitability and/or our ability to meet financial forecasts.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our cost of labor.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compensate our licensed technicians via a formula that includes commissions. As a result, an increase in the minimum wage would increase our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The majority of our sales are by credit or debit cards. Additionally, we collect and store personal information from individuals, including our customers and employees.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our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our business or results of operations. Further, adverse publicity resulting from these allegations could significantly harm our reputation and may have a material adverse effect on it. Although we carry cyber liability insurance to protect against these risks, there can be no assurance that such insurance will provide adequate levels of coverage against all potential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us could result in decreased revenues and impact our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affinity among consumers is highly dependent on their positive feelings about the brand, our customer service and the range and quality of services and products that we offer. A negative customer experience that is posted to social media outlets and is distributed virally could tarnish our brand and our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must comply with a variety of employment and business practices laws across the United States, Netherlands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not currently cash flow positive and will depend on funding to open new locations. In the event that capital is unavailable, we will not be able to open new locations.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Throughout our operating history, we have not generated sufficient cash from operations to fund our new store development. As a result, we will be dependent upon additional funding for our new location growth until such time as we can produce enough cash to profitably fund our own location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source, develop and sell products that may result in product liability defense costs and product liability payments.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general public or that is used in our services. Product liability claims, regardless of their merits, could be costly and divert management’s attention, and adversely affect our reputation and the demand for our products and services. We to date have not been named as a defendant in any product liability action.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w:t>
      </w:r>
    </w:p>
    <w:p>
      <w:pPr>
        <w:spacing w:after="0" w:line="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an acquirer or the transaction is later approved by our Board of Directors and by our stockholders by at least a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2, 2019, we had 15,152,664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2, 2019, our executive officers and directors beneficially own or control approximately 36.9%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conversion of a substantial number of shares of our preferred stock, the conversion of a substantial amount of notes or the exercise of a substantial number of warrants or options by our security holders may have an adverse effect on the market price of our common stock.</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our Series E Preferred Stock and Series F Preferred Stock outstanding as of December 2, 2019 be converted into common stock at a conversion price of $2.00 per share, there would be an additional 1,949,800 shares of common stock eligible for trading in the public market. Should the B3D Note and Calm Notes outstanding as of December 2, 2019 be converted into common stock at a conversion price of $2.00 per share, there would be an additional 4,845,034 shares of common stock eligible for trading in the public market. Should our warrants outstanding as of December 2, 2019 be exercised, there would be an additional 7,139,194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Capital Market could result in a delisting of our common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March 16, 2018, we received a notification letter from The Nasdaq Stock Market informing us that for the last 30 consecutive business days, the bid price of our securities had closed below $1.00 per share, which is the minimum required closing bid price for continued listing on The Nasdaq Capital Market pursuant to Listing Rule 5550(a)(2). In order to regain compliance, on February 22, 2019, we filed a certificate of amendment to our amended and restated certificate of incorporation with the Secretary of State of the State of Delaware to effect a one-for-twenty reverse stock split of our outstanding shares of common stock. On March 11, 2019, we received a notification letter from The Nasdaq Stock Market informing us that we had regained compliance with Listing Rule 5550(a)(2).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exercise the option to repay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shares of Series E Preferred Stock, on the seven-year anniversary of the initial issuance date of the shares of Series E Preferred Stock, November 14, 2025 in the case of the 3,225,806 shares of Series E Preferred Stock issued on November 14, 2018 or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holders of the Warrants are not obligated to exercise the Warrants, and we cannot predict whether or when, if ever, the holders of the Warrants will choose to exercise their respective Warrants, in whole or in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shares of common stock being offered by the selling securityholders relate to the resale of up to an aggregate of 17,302,951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total includes the following:</w:t>
      </w:r>
    </w:p>
    <w:p>
      <w:pPr>
        <w:spacing w:after="0" w:line="211" w:lineRule="exact"/>
        <w:rPr>
          <w:sz w:val="20"/>
          <w:szCs w:val="20"/>
          <w:color w:val="auto"/>
        </w:rPr>
      </w:pPr>
    </w:p>
    <w:p>
      <w:pPr>
        <w:ind w:left="1300" w:hanging="45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 of the 449,800 shares (or 562,250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 of the 1,445,816 shares (or 1,807,270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 of the 1,500,000 shares (or 1,875,000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 of the 937,500 shares (or 1,171,875 shares) of our common stock issuable upon the exercise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125% of the 4,156,275 shares (or 5,195,344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6,485,430 shares of our common stock issued to Mistral Spa Holdings, LLC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125% of the 79,406 shares (or 99,258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100% of the 106,524 shares of our common stock issued in connection with the Merger Agreement and the Subscription Agreement (items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through (viii) collectively, the “Securities”).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Securities were issued by the Company and were issued (a) with respect to item (i) above, to accredited investors pursuant to or in connection with the May 2018 SPA Amendment; (b) with respect to items (ii) and (iv) above, to an accredited investor pursuant to or in connection with the 2019 Calm Purchase Agreement; (c) with respect to item (iii) above, to an accredited investor pursuant to or in connection with the 2018 Calm Purchase Agreement and in connection with the Series E COD Amendment; (d) with respect to item (v) above, to an accredited investor pursuant to or in connection with the Credit Agreement Amendment; (e) with respect to item (vi) above, to an accredited investor pursuant to or in connection with the Series D COD Amendment; (f) with respect to item (vii) above, to an accredited investor pursuant to or in connection with the December 2016 Warrant Amendment; and (g) with respect to item (viii) above, to an accredited investor in connection with the Merger Agreement and the Subscription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Series E Preferred Stock and Series F Preferred Stock that may be acquired by an individual or group within 60 days of December 2, 2019, pursuant to the conversion of preferred stock into common stock and the exercise of warrants to be outstanding for the purpose of computing the percentage ownership of such individual or group, but not for the purpose of computing the percentage ownership of any other person shown in the table.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second column in the first table below lists the number of shares of common stock beneficially owned by the selling securityholders, based on their respective ownership of shares of common stock, as of December 2, 2019, assuming conversion of the Notes, conversion of the Preferred Stock and exercise of the Warrants held by each such selling securityholder on that date. The third column in the first table below lists the number of shares of Series E Preferred Stock beneficially owned by the selling securityholders, based on their respective ownership of shares of Series E Preferred Stock, as of December 2, 2019. The percentage of shares beneficially owned prior to the offering is based on 967,742 shares of our Series E Preferred Stock outstanding as of December 2, 2019. The fourth column in the first table below lists the number of shares of Series F Preferred Stock beneficially owned by the selling securityholders, based on their respective ownership of shares of Series F Preferred Stock, as of December 2, 2019. The percentage of shares beneficially owned prior to the offering is based on 8,996 shares of our Series F Preferred Stock outstanding as of December 2, 2019.</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 of shares beneficially owned prior to the offering is based on 15,152,664 shares of our common stock outstanding as of December 2, 2019. The number of shares in the column “Maximum Number of Shares of Common Stock to be Sold Pursuant to this Prospectus” represents all of the shares that the selling securityholder may offer under this prospectus and does not take into account any limitations on the conversion of the Notes, conversion of the Preferred Stock and exercise of the Warrants set forth therein.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Certificate of Designation of Preferences, Rights and Limitations of Series F Convertible Preferred Stock, a selling securityholder may not convert the Series F Preferred Stock to the extent (but only to the extent) such selling securityholder or any of its affiliates would beneficially own a number of shares of our common stock which would exceed 4.99% of the total number of shares of our common stock then issued or outstanding. Under the terms of the Class A Warrants, a selling securityholder may not exercise the Class A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second table do not reflect these limitations. The selling securityholders may sell all, some or none of their shares in this offering. See “Plan of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5"/>
              </w:rPr>
              <w:t>Shares of</w:t>
            </w:r>
          </w:p>
        </w:tc>
        <w:tc>
          <w:tcPr>
            <w:tcW w:w="6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Shares of</w:t>
            </w: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of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Series 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Series F</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1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Beneficially</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to be Sold</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5"/>
              </w:rPr>
              <w:t>Owned Prior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Owned</w:t>
            </w:r>
          </w:p>
        </w:tc>
        <w:tc>
          <w:tcPr>
            <w:tcW w:w="80" w:type="dxa"/>
            <w:vAlign w:val="bottom"/>
          </w:tcPr>
          <w:p>
            <w:pPr>
              <w:spacing w:after="0"/>
              <w:rPr>
                <w:sz w:val="18"/>
                <w:szCs w:val="18"/>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1"/>
              </w:rPr>
              <w:t>Owned Prior</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Pursuant to</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Prior to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this</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Name of Selling Security Holder</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Offering</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Prospectus</w:t>
            </w: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1,327,800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Anson Investments Master Fund LP (3)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295,050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56,312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295,050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56,313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Intracoastal Capital, LLC (5)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323,618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56,313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206,500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39,375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Brio Capital Master Fund Ltd. (7)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189,501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28,125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101,600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B3D, LLC (9)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5,227,048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5,195,344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3,708,462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1,787,718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4,854,145</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Mistral Spa Holdings, LLC (11)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8,894,699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6,691,212</w:t>
            </w:r>
          </w:p>
        </w:tc>
      </w:tr>
      <w:tr>
        <w:trPr>
          <w:trHeight w:val="40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of</w:t>
            </w:r>
          </w:p>
        </w:tc>
        <w:tc>
          <w:tcPr>
            <w:tcW w:w="9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 of Shares</w:t>
            </w:r>
          </w:p>
        </w:tc>
        <w:tc>
          <w:tcPr>
            <w:tcW w:w="300" w:type="dxa"/>
            <w:vAlign w:val="bottom"/>
          </w:tcPr>
          <w:p>
            <w:pPr>
              <w:spacing w:after="0"/>
              <w:rPr>
                <w:sz w:val="18"/>
                <w:szCs w:val="18"/>
                <w:color w:val="auto"/>
              </w:rPr>
            </w:pPr>
          </w:p>
        </w:tc>
        <w:tc>
          <w:tcPr>
            <w:tcW w:w="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Shares of</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of</w:t>
            </w:r>
          </w:p>
        </w:tc>
        <w:tc>
          <w:tcPr>
            <w:tcW w:w="300" w:type="dxa"/>
            <w:vAlign w:val="bottom"/>
          </w:tcPr>
          <w:p>
            <w:pPr>
              <w:spacing w:after="0"/>
              <w:rPr>
                <w:sz w:val="18"/>
                <w:szCs w:val="18"/>
                <w:color w:val="auto"/>
              </w:rPr>
            </w:pPr>
          </w:p>
        </w:tc>
        <w:tc>
          <w:tcPr>
            <w:tcW w:w="7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Series 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of Series E</w:t>
            </w:r>
          </w:p>
        </w:tc>
        <w:tc>
          <w:tcPr>
            <w:tcW w:w="22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Series F</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Series F</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Common</w:t>
            </w:r>
          </w:p>
        </w:tc>
        <w:tc>
          <w:tcPr>
            <w:tcW w:w="300" w:type="dxa"/>
            <w:vAlign w:val="bottom"/>
          </w:tcPr>
          <w:p>
            <w:pPr>
              <w:spacing w:after="0"/>
              <w:rPr>
                <w:sz w:val="18"/>
                <w:szCs w:val="18"/>
                <w:color w:val="auto"/>
              </w:rPr>
            </w:pPr>
          </w:p>
        </w:tc>
        <w:tc>
          <w:tcPr>
            <w:tcW w:w="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Preferred</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Preferred</w:t>
            </w:r>
          </w:p>
        </w:tc>
      </w:tr>
      <w:tr>
        <w:trPr>
          <w:trHeight w:val="216"/>
        </w:trPr>
        <w:tc>
          <w:tcPr>
            <w:tcW w:w="46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Beneficially</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5"/>
              </w:rPr>
              <w:t>Stock</w:t>
            </w:r>
          </w:p>
        </w:tc>
        <w:tc>
          <w:tcPr>
            <w:tcW w:w="2300" w:type="dxa"/>
            <w:vAlign w:val="bottom"/>
            <w:gridSpan w:val="11"/>
          </w:tcPr>
          <w:p>
            <w:pPr>
              <w:jc w:val="right"/>
              <w:spacing w:after="0"/>
              <w:rPr>
                <w:sz w:val="20"/>
                <w:szCs w:val="20"/>
                <w:color w:val="auto"/>
              </w:rPr>
            </w:pPr>
            <w:r>
              <w:rPr>
                <w:rFonts w:ascii="Arial" w:cs="Arial" w:eastAsia="Arial" w:hAnsi="Arial"/>
                <w:sz w:val="18"/>
                <w:szCs w:val="18"/>
                <w:b w:val="1"/>
                <w:bCs w:val="1"/>
                <w:color w:val="auto"/>
              </w:rPr>
              <w:t>Beneficially  Beneficially</w:t>
            </w:r>
          </w:p>
        </w:tc>
        <w:tc>
          <w:tcPr>
            <w:tcW w:w="2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7"/>
              </w:rPr>
              <w:t>Beneficially</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c>
          <w:tcPr>
            <w:tcW w:w="300" w:type="dxa"/>
            <w:vAlign w:val="bottom"/>
          </w:tcPr>
          <w:p>
            <w:pPr>
              <w:spacing w:after="0"/>
              <w:rPr>
                <w:sz w:val="18"/>
                <w:szCs w:val="18"/>
                <w:color w:val="auto"/>
              </w:rPr>
            </w:pPr>
          </w:p>
        </w:tc>
        <w:tc>
          <w:tcPr>
            <w:tcW w:w="7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Owned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Owned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Owned</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Owned</w:t>
            </w:r>
          </w:p>
        </w:tc>
        <w:tc>
          <w:tcPr>
            <w:tcW w:w="300" w:type="dxa"/>
            <w:vAlign w:val="bottom"/>
          </w:tcPr>
          <w:p>
            <w:pPr>
              <w:spacing w:after="0"/>
              <w:rPr>
                <w:sz w:val="18"/>
                <w:szCs w:val="18"/>
                <w:color w:val="auto"/>
              </w:rPr>
            </w:pPr>
          </w:p>
        </w:tc>
        <w:tc>
          <w:tcPr>
            <w:tcW w:w="7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5"/>
              </w:rPr>
              <w:t>After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After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After</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After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9"/>
              </w:rPr>
              <w:t>After</w:t>
            </w:r>
          </w:p>
        </w:tc>
        <w:tc>
          <w:tcPr>
            <w:tcW w:w="300" w:type="dxa"/>
            <w:vAlign w:val="bottom"/>
          </w:tcPr>
          <w:p>
            <w:pPr>
              <w:spacing w:after="0"/>
              <w:rPr>
                <w:sz w:val="18"/>
                <w:szCs w:val="18"/>
                <w:color w:val="auto"/>
              </w:rPr>
            </w:pPr>
          </w:p>
        </w:tc>
        <w:tc>
          <w:tcPr>
            <w:tcW w:w="8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Security Holder</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Offering (1)</w:t>
            </w: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0"/>
              </w:rPr>
              <w:t>(1)</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2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Anson Investments Master Fund LP (3)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Intracoastal Capital, LLC (5)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278,568</w:t>
            </w:r>
          </w:p>
        </w:tc>
        <w:tc>
          <w:tcPr>
            <w:tcW w:w="22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Brio Capital Master Fund Ltd. (7)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167,001</w:t>
            </w:r>
          </w:p>
        </w:tc>
        <w:tc>
          <w:tcPr>
            <w:tcW w:w="22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43,750</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B3D, LLC (9)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1,070,773</w:t>
            </w:r>
          </w:p>
        </w:tc>
        <w:tc>
          <w:tcPr>
            <w:tcW w:w="220" w:type="dxa"/>
            <w:vAlign w:val="bottom"/>
          </w:tcPr>
          <w:p>
            <w:pPr>
              <w:spacing w:after="0"/>
              <w:rPr>
                <w:sz w:val="18"/>
                <w:szCs w:val="18"/>
                <w:color w:val="auto"/>
              </w:rPr>
            </w:pPr>
          </w:p>
        </w:tc>
        <w:tc>
          <w:tcPr>
            <w:tcW w:w="1260" w:type="dxa"/>
            <w:vAlign w:val="bottom"/>
            <w:gridSpan w:val="5"/>
          </w:tcPr>
          <w:p>
            <w:pPr>
              <w:jc w:val="right"/>
              <w:ind w:right="30"/>
              <w:spacing w:after="0"/>
              <w:rPr>
                <w:sz w:val="20"/>
                <w:szCs w:val="20"/>
                <w:color w:val="auto"/>
              </w:rPr>
            </w:pPr>
            <w:r>
              <w:rPr>
                <w:rFonts w:ascii="Arial" w:cs="Arial" w:eastAsia="Arial" w:hAnsi="Arial"/>
                <w:sz w:val="18"/>
                <w:szCs w:val="18"/>
                <w:color w:val="auto"/>
              </w:rPr>
              <w:t>3.2 %</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Mistral Spa Holdings, LLC (11)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2,203,487</w:t>
            </w:r>
          </w:p>
        </w:tc>
        <w:tc>
          <w:tcPr>
            <w:tcW w:w="220" w:type="dxa"/>
            <w:vAlign w:val="bottom"/>
          </w:tcPr>
          <w:p>
            <w:pPr>
              <w:spacing w:after="0"/>
              <w:rPr>
                <w:sz w:val="20"/>
                <w:szCs w:val="20"/>
                <w:color w:val="auto"/>
              </w:rPr>
            </w:pPr>
          </w:p>
        </w:tc>
        <w:tc>
          <w:tcPr>
            <w:tcW w:w="1260" w:type="dxa"/>
            <w:vAlign w:val="bottom"/>
            <w:gridSpan w:val="5"/>
          </w:tcPr>
          <w:p>
            <w:pPr>
              <w:jc w:val="right"/>
              <w:ind w:right="30"/>
              <w:spacing w:after="0"/>
              <w:rPr>
                <w:sz w:val="20"/>
                <w:szCs w:val="20"/>
                <w:color w:val="auto"/>
              </w:rPr>
            </w:pPr>
            <w:r>
              <w:rPr>
                <w:rFonts w:ascii="Arial" w:cs="Arial" w:eastAsia="Arial" w:hAnsi="Arial"/>
                <w:sz w:val="18"/>
                <w:szCs w:val="18"/>
                <w:color w:val="auto"/>
              </w:rPr>
              <w:t>6.4 %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634"/>
        </w:trPr>
        <w:tc>
          <w:tcPr>
            <w:tcW w:w="4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ind w:left="132" w:hanging="132"/>
        <w:spacing w:after="0"/>
        <w:tabs>
          <w:tab w:leader="none" w:pos="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52" w:hanging="328"/>
        <w:spacing w:after="0"/>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left="652" w:hanging="328"/>
        <w:spacing w:after="0" w:line="259"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4,056 shares of Series F Preferred Stock, which are convertible into 202,800 shares of common stock. Beneficial ownership is based upon information provided to the Company by the selling securityholder and includes warrants to purchase 1,125,000 shares of common stock. Konrad Ackerman is the natural person with voting and dispositive power over the shares held by Alpha Capital Anstalt. The selling securityholder’s address is Lettstrasse 32,9490 Vaduz, Liechtenstein.</w:t>
      </w:r>
    </w:p>
    <w:p>
      <w:pPr>
        <w:spacing w:after="0" w:line="186" w:lineRule="exact"/>
        <w:rPr>
          <w:rFonts w:ascii="Arial" w:cs="Arial" w:eastAsia="Arial" w:hAnsi="Arial"/>
          <w:sz w:val="18"/>
          <w:szCs w:val="18"/>
          <w:color w:val="auto"/>
        </w:rPr>
      </w:pPr>
    </w:p>
    <w:p>
      <w:pPr>
        <w:jc w:val="both"/>
        <w:ind w:left="652" w:hanging="328"/>
        <w:spacing w:after="0" w:line="279"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125% of 901 shares of Series F Preferred Stock, which are convertible into 45,050 shares of common stock. Beneficial ownership is based upon information provided to the Company by the selling securityholder and includes warrants to purchase 250,000 shares of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71" w:lineRule="exact"/>
        <w:rPr>
          <w:rFonts w:ascii="Arial" w:cs="Arial" w:eastAsia="Arial" w:hAnsi="Arial"/>
          <w:sz w:val="17"/>
          <w:szCs w:val="17"/>
          <w:color w:val="auto"/>
        </w:rPr>
      </w:pPr>
    </w:p>
    <w:p>
      <w:pPr>
        <w:jc w:val="both"/>
        <w:ind w:left="652" w:hanging="328"/>
        <w:spacing w:after="0" w:line="232"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901 shares of Series F Preferred Stock, which are convertible into 45,050 shares of common stock. Beneficial ownership is based upon information provided to the Company by the selling securityholder and includes warrants to purchase 250,000 shares of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Miami Beach, Florida 33139.</w:t>
      </w:r>
    </w:p>
    <w:p>
      <w:pPr>
        <w:spacing w:after="0" w:line="203" w:lineRule="exact"/>
        <w:rPr>
          <w:rFonts w:ascii="Arial" w:cs="Arial" w:eastAsia="Arial" w:hAnsi="Arial"/>
          <w:sz w:val="18"/>
          <w:szCs w:val="18"/>
          <w:color w:val="auto"/>
        </w:rPr>
      </w:pPr>
    </w:p>
    <w:p>
      <w:pPr>
        <w:jc w:val="both"/>
        <w:ind w:left="652" w:hanging="328"/>
        <w:spacing w:after="0" w:line="293"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125% of 901 shares of Series F Preferred Stock, which are convertible into 45,050 shares of common stock. Beneficial ownership is based upon information provided to the Company by the selling securityholder and includes 28,568 shares of common stock and warrants to purchase 250,000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 33483.</w:t>
      </w:r>
    </w:p>
    <w:p>
      <w:pPr>
        <w:spacing w:after="0" w:line="164" w:lineRule="exact"/>
        <w:rPr>
          <w:rFonts w:ascii="Arial" w:cs="Arial" w:eastAsia="Arial" w:hAnsi="Arial"/>
          <w:sz w:val="16"/>
          <w:szCs w:val="16"/>
          <w:color w:val="auto"/>
        </w:rPr>
      </w:pPr>
    </w:p>
    <w:p>
      <w:pPr>
        <w:jc w:val="both"/>
        <w:ind w:left="652" w:hanging="328"/>
        <w:spacing w:after="0" w:line="259"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630 shares of Series F Preferred Stock, which are convertible into 31,500 shares of common stock. Beneficial ownership is based upon information provided to the Company by the selling securityholder and includes warrants to purchase 175,000 shares of common stock. Martin Chopp is the natural person with voting and dispositive power over the shares held by The Hewlett Fund LP. The selling securityholder’s address is 100 Merrick Road, Suite 400W, Rockville Centre, New York 11570.</w:t>
      </w:r>
    </w:p>
    <w:p>
      <w:pPr>
        <w:spacing w:after="0" w:line="186" w:lineRule="exact"/>
        <w:rPr>
          <w:rFonts w:ascii="Arial" w:cs="Arial" w:eastAsia="Arial" w:hAnsi="Arial"/>
          <w:sz w:val="18"/>
          <w:szCs w:val="18"/>
          <w:color w:val="auto"/>
        </w:rPr>
      </w:pPr>
    </w:p>
    <w:p>
      <w:pPr>
        <w:jc w:val="both"/>
        <w:ind w:left="652" w:hanging="328"/>
        <w:spacing w:after="0" w:line="302"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125% of 450 shares of Series F Preferred Stock, which are convertible into 22,500 shares of common stock. Beneficial ownership is based upon information provided to the Company by the selling securityholder and includes 42,001 shares of common stock and warrants to purchase an additional 125,000 shares of common stock. Shaye Hirsch is the natural person with voting and dispositive power over the shares held by Brio Capital Master Fund Ltd. The selling securityholder’s address is 100 Merrick Road, Suite 401W, Rockville Centre, New York 11570.</w:t>
      </w:r>
    </w:p>
    <w:p>
      <w:pPr>
        <w:spacing w:after="0" w:line="154" w:lineRule="exact"/>
        <w:rPr>
          <w:rFonts w:ascii="Arial" w:cs="Arial" w:eastAsia="Arial" w:hAnsi="Arial"/>
          <w:sz w:val="16"/>
          <w:szCs w:val="16"/>
          <w:color w:val="auto"/>
        </w:rPr>
      </w:pPr>
    </w:p>
    <w:p>
      <w:pPr>
        <w:jc w:val="both"/>
        <w:ind w:left="652" w:hanging="328"/>
        <w:spacing w:after="0" w:line="279"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125% of 1,157 shares of Series F Preferred Stock, which are convertible into 57,850 shares of common stock. Beneficial ownership is based upon information provided to the Company by the selling securityholder and includes warrants to purchase an additional 43,750 shares of common stock. Joel Padowitz is the natural person with voting and dispositive power over the shares held by Palladium Capital Advisors, LLC. The selling securityholder’s address is attention: Joel Padowitz, 10 Rockefeller Plaza, Suite 909, New York, New York 10020.</w:t>
      </w:r>
    </w:p>
    <w:p>
      <w:pPr>
        <w:spacing w:after="0" w:line="171" w:lineRule="exact"/>
        <w:rPr>
          <w:rFonts w:ascii="Arial" w:cs="Arial" w:eastAsia="Arial" w:hAnsi="Arial"/>
          <w:sz w:val="17"/>
          <w:szCs w:val="17"/>
          <w:color w:val="auto"/>
        </w:rPr>
      </w:pPr>
    </w:p>
    <w:p>
      <w:pPr>
        <w:jc w:val="both"/>
        <w:ind w:left="652" w:hanging="328"/>
        <w:spacing w:after="0" w:line="255" w:lineRule="auto"/>
        <w:tabs>
          <w:tab w:leader="none" w:pos="6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125% of 4,156,275 shares of common stock (or 5,195,344 shares) underlying the B3D Note. Beneficial ownership is based upon information provided to the Company by the selling securityholder as of November 21, 2019 and includes (i) 126,068 shares of common stock underlying warrants to purchase common stock issued upon the conversion of the Series D Preferred Stock, (ii) 375,115 shares of common stock underlying December 2016 warrants, (iii) 77,500 shares of common stock underlying Class A Warrants and (iv) 492,090 shares of common stock. B3D, LLC is an investment entity controlled by Brian Daly. The Senior Secured Note was assigned to B3D, LLC in 2017. Brian Daly is the natural person with voting and dispositive power over the shares held by B3D, LLC. The selling securityholder’s address is 9935D REA Road #317, Charlotte, NC 28277.</w:t>
      </w:r>
    </w:p>
    <w:p>
      <w:pPr>
        <w:spacing w:after="0" w:line="189" w:lineRule="exact"/>
        <w:rPr>
          <w:rFonts w:ascii="Arial" w:cs="Arial" w:eastAsia="Arial" w:hAnsi="Arial"/>
          <w:sz w:val="18"/>
          <w:szCs w:val="18"/>
          <w:color w:val="auto"/>
        </w:rPr>
      </w:pPr>
    </w:p>
    <w:p>
      <w:pPr>
        <w:jc w:val="both"/>
        <w:ind w:left="652" w:hanging="328"/>
        <w:spacing w:after="0" w:line="279" w:lineRule="auto"/>
        <w:tabs>
          <w:tab w:leader="none" w:pos="6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Includes 125% of each of (i) 1,445,816 shares of common stock (or 1,807,270 shares) issuable pursuant to the Calm Note, (ii) 1,500,000 shares of common stock (or 1,875,000 shares) issuable upon the conversion of previously issued shares of Series E Preferred Stock and (iii) 937,500 shares of common stock (or 1,171,875 shares) underlying warrants. Beneficial ownership is based upon a Schedule 13D/A filed on November 13, 2019. The principal business address of the beneficial owner is 77 Geary Street, 3rd Floor, San Francisco, CA 94105.</w:t>
      </w:r>
    </w:p>
    <w:p>
      <w:pPr>
        <w:spacing w:after="0" w:line="171" w:lineRule="exact"/>
        <w:rPr>
          <w:rFonts w:ascii="Arial" w:cs="Arial" w:eastAsia="Arial" w:hAnsi="Arial"/>
          <w:sz w:val="17"/>
          <w:szCs w:val="17"/>
          <w:color w:val="auto"/>
        </w:rPr>
      </w:pPr>
    </w:p>
    <w:p>
      <w:pPr>
        <w:jc w:val="both"/>
        <w:ind w:left="652" w:hanging="328"/>
        <w:spacing w:after="0" w:line="279" w:lineRule="auto"/>
        <w:tabs>
          <w:tab w:leader="none" w:pos="652"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(i) 100% of the 6,485,430 shares of common stock issued upon the conversion of Series D Preferred Stock (including shares paid as accrued but unpaid dividends thereon), (ii) 125% of the 79,406 shares of common stock (or 99,258 shares) issuable upon the exercise of the December 2016 warrants and (iii) 100% of the 106,524 shares of common stock issued in connection with that certain Agreement and Plan of Merger by and among FORM Holdings Corp., FHXMS, LLC, XpresSpa Holdings, LLC and Mistral XH Representative, LLC, as representative of the unitholders, dated October 25, 2016, as subsequently amended and in connection with a related subscription agreement between the Company and a unitholder. Beneficial ownership is based upon a Schedule 13D/A filed on October 4, 2019 and information known to the Company and includes 6,591,954 shares of common stock and warrants to purchase 2,302,745 shares of common stock. 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10019. Mr. Heyer’s business address is c/o Mistral Capital Management, LLC, 650 Fifth Avenue, 10th Floor, New York, NY 10019.</w:t>
      </w:r>
    </w:p>
    <w:p>
      <w:pPr>
        <w:sectPr>
          <w:pgSz w:w="11900" w:h="16838" w:orient="portrait"/>
          <w:cols w:equalWidth="0" w:num="1">
            <w:col w:w="11412"/>
          </w:cols>
          <w:pgMar w:left="248" w:top="908" w:right="239" w:bottom="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w:t>
      </w:r>
    </w:p>
    <w:p>
      <w:pPr>
        <w:spacing w:after="0" w:line="46" w:lineRule="exact"/>
        <w:rPr>
          <w:sz w:val="20"/>
          <w:szCs w:val="20"/>
          <w:color w:val="auto"/>
        </w:rPr>
      </w:pPr>
    </w:p>
    <w:p>
      <w:pPr>
        <w:jc w:val="both"/>
        <w:ind w:firstLine="8"/>
        <w:spacing w:after="0" w:line="277" w:lineRule="auto"/>
        <w:tabs>
          <w:tab w:leader="none" w:pos="277"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distributions to their members, partners or shareholders;  a combination of any such methods of sale; and</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pay all expenses of the registration of the shares of common stock, estimated to be $75,000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those certain registration rights agreements that we have entered into with each of Calm, B3D and certain unitholders party to the Merger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those certain registration rights agreements that we have entered into with each of Calm, B3D and certain unitholders party to the Merger Agreement, as applicable, or we may be entitled to contribution.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18">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EE"/>
          </w:rPr>
          <w:t>year ended December 31, 2018</w:t>
        </w:r>
        <w:r>
          <w:rPr>
            <w:rFonts w:ascii="Arial" w:cs="Arial" w:eastAsia="Arial" w:hAnsi="Arial"/>
            <w:sz w:val="17"/>
            <w:szCs w:val="17"/>
            <w:color w:val="000000"/>
          </w:rPr>
          <w:t>, as set forth in their report (which includes an explanatory paragraph referring to the Company’s ability to continue as a going</w:t>
        </w:r>
      </w:hyperlink>
      <w:r>
        <w:rPr>
          <w:rFonts w:ascii="Arial" w:cs="Arial" w:eastAsia="Arial" w:hAnsi="Arial"/>
          <w:sz w:val="17"/>
          <w:szCs w:val="17"/>
          <w:color w:val="0000EE"/>
        </w:rPr>
        <w:t xml:space="preserve"> </w:t>
      </w:r>
      <w:r>
        <w:rPr>
          <w:rFonts w:ascii="Arial" w:cs="Arial" w:eastAsia="Arial" w:hAnsi="Arial"/>
          <w:sz w:val="17"/>
          <w:szCs w:val="17"/>
          <w:color w:val="000000"/>
        </w:rPr>
        <w:t>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2018, filed on April 1, 2019 (File No. 001-34785);</w:t>
        </w:r>
      </w:hyperlink>
    </w:p>
    <w:p>
      <w:pPr>
        <w:spacing w:after="0" w:line="225"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8"/>
        </w:numPr>
        <w:rPr>
          <w:rFonts w:ascii="Arial" w:cs="Arial" w:eastAsia="Arial" w:hAnsi="Arial"/>
          <w:sz w:val="17"/>
          <w:szCs w:val="17"/>
          <w:u w:val="single" w:color="auto"/>
          <w:color w:val="0000EE"/>
        </w:rPr>
      </w:pPr>
      <w:hyperlink r:id="rId43">
        <w:r>
          <w:rPr>
            <w:rFonts w:ascii="Arial" w:cs="Arial" w:eastAsia="Arial" w:hAnsi="Arial"/>
            <w:sz w:val="17"/>
            <w:szCs w:val="17"/>
            <w:u w:val="single" w:color="auto"/>
            <w:color w:val="0000EE"/>
          </w:rPr>
          <w:t>Amendment No. 1 to our Annual Report on Form 10-K/A for the year ended December 31, 2018, filed on April 30, 2019 (File No. 001-34785);</w:t>
        </w:r>
      </w:hyperlink>
    </w:p>
    <w:p>
      <w:pPr>
        <w:spacing w:after="0" w:line="236" w:lineRule="exact"/>
        <w:rPr>
          <w:rFonts w:ascii="Arial" w:cs="Arial" w:eastAsia="Arial" w:hAnsi="Arial"/>
          <w:sz w:val="17"/>
          <w:szCs w:val="17"/>
          <w:u w:val="single" w:color="auto"/>
          <w:color w:val="0000EE"/>
        </w:rPr>
      </w:pPr>
    </w:p>
    <w:p>
      <w:pPr>
        <w:ind w:left="660" w:right="20" w:hanging="328"/>
        <w:spacing w:after="0" w:line="277" w:lineRule="auto"/>
        <w:tabs>
          <w:tab w:leader="none" w:pos="660" w:val="left"/>
        </w:tabs>
        <w:numPr>
          <w:ilvl w:val="0"/>
          <w:numId w:val="18"/>
        </w:numPr>
        <w:rPr>
          <w:rFonts w:ascii="Arial" w:cs="Arial" w:eastAsia="Arial" w:hAnsi="Arial"/>
          <w:sz w:val="18"/>
          <w:szCs w:val="18"/>
          <w:color w:val="0000EE"/>
        </w:rPr>
      </w:pPr>
      <w:hyperlink r:id="rId44">
        <w:r>
          <w:rPr>
            <w:rFonts w:ascii="Arial" w:cs="Arial" w:eastAsia="Arial" w:hAnsi="Arial"/>
            <w:sz w:val="18"/>
            <w:szCs w:val="18"/>
            <w:color w:val="auto"/>
          </w:rPr>
          <w:t xml:space="preserve">Our Quarterly Reports on Form 10-Q for the quarters ended March 31, 2019, June 30, 2019 and September 30, 2019, filed on </w:t>
        </w:r>
        <w:r>
          <w:rPr>
            <w:rFonts w:ascii="Arial" w:cs="Arial" w:eastAsia="Arial" w:hAnsi="Arial"/>
            <w:sz w:val="18"/>
            <w:szCs w:val="18"/>
            <w:u w:val="single" w:color="auto"/>
            <w:color w:val="0000EE"/>
          </w:rPr>
          <w:t>May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14, 2019</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45">
        <w:r>
          <w:rPr>
            <w:rFonts w:ascii="Arial" w:cs="Arial" w:eastAsia="Arial" w:hAnsi="Arial"/>
            <w:sz w:val="18"/>
            <w:szCs w:val="18"/>
            <w:u w:val="single" w:color="auto"/>
            <w:color w:val="0000EE"/>
          </w:rPr>
          <w:t xml:space="preserve">November 14, 2019 </w:t>
        </w:r>
      </w:hyperlink>
      <w:hyperlink r:id="rId44">
        <w:r>
          <w:rPr>
            <w:rFonts w:ascii="Arial" w:cs="Arial" w:eastAsia="Arial" w:hAnsi="Arial"/>
            <w:sz w:val="18"/>
            <w:szCs w:val="18"/>
            <w:color w:val="000000"/>
          </w:rPr>
          <w:t>respectively (File No. 001-34785);</w:t>
        </w:r>
      </w:hyperlink>
    </w:p>
    <w:p>
      <w:pPr>
        <w:spacing w:after="0" w:line="170" w:lineRule="exact"/>
        <w:rPr>
          <w:rFonts w:ascii="Arial" w:cs="Arial" w:eastAsia="Arial" w:hAnsi="Arial"/>
          <w:sz w:val="18"/>
          <w:szCs w:val="18"/>
          <w:color w:val="0000EE"/>
        </w:rPr>
      </w:pPr>
    </w:p>
    <w:p>
      <w:pPr>
        <w:ind w:left="660" w:hanging="328"/>
        <w:spacing w:after="0" w:line="342" w:lineRule="auto"/>
        <w:tabs>
          <w:tab w:leader="none" w:pos="660" w:val="left"/>
        </w:tabs>
        <w:numPr>
          <w:ilvl w:val="0"/>
          <w:numId w:val="18"/>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46">
        <w:r>
          <w:rPr>
            <w:rFonts w:ascii="Arial" w:cs="Arial" w:eastAsia="Arial" w:hAnsi="Arial"/>
            <w:sz w:val="16"/>
            <w:szCs w:val="16"/>
            <w:u w:val="single" w:color="auto"/>
            <w:color w:val="0000EE"/>
          </w:rPr>
          <w:t>February 13, 2019</w:t>
        </w:r>
      </w:hyperlink>
      <w:r>
        <w:rPr>
          <w:rFonts w:ascii="Arial" w:cs="Arial" w:eastAsia="Arial" w:hAnsi="Arial"/>
          <w:sz w:val="16"/>
          <w:szCs w:val="16"/>
          <w:color w:val="auto"/>
        </w:rPr>
        <w:t xml:space="preserve">, </w:t>
      </w:r>
      <w:hyperlink r:id="rId47">
        <w:r>
          <w:rPr>
            <w:rFonts w:ascii="Arial" w:cs="Arial" w:eastAsia="Arial" w:hAnsi="Arial"/>
            <w:sz w:val="16"/>
            <w:szCs w:val="16"/>
            <w:u w:val="single" w:color="auto"/>
            <w:color w:val="0000EE"/>
          </w:rPr>
          <w:t>February 22, 2019</w:t>
        </w:r>
      </w:hyperlink>
      <w:r>
        <w:rPr>
          <w:rFonts w:ascii="Arial" w:cs="Arial" w:eastAsia="Arial" w:hAnsi="Arial"/>
          <w:sz w:val="16"/>
          <w:szCs w:val="16"/>
          <w:color w:val="auto"/>
        </w:rPr>
        <w:t xml:space="preserve">, </w:t>
      </w:r>
      <w:hyperlink r:id="rId48">
        <w:r>
          <w:rPr>
            <w:rFonts w:ascii="Arial" w:cs="Arial" w:eastAsia="Arial" w:hAnsi="Arial"/>
            <w:sz w:val="16"/>
            <w:szCs w:val="16"/>
            <w:u w:val="single" w:color="auto"/>
            <w:color w:val="0000EE"/>
          </w:rPr>
          <w:t>March 15, 2019</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EE"/>
          </w:rPr>
          <w:t>March 22, 2019</w:t>
        </w:r>
      </w:hyperlink>
      <w:r>
        <w:rPr>
          <w:rFonts w:ascii="Arial" w:cs="Arial" w:eastAsia="Arial" w:hAnsi="Arial"/>
          <w:sz w:val="16"/>
          <w:szCs w:val="16"/>
          <w:color w:val="auto"/>
        </w:rPr>
        <w:t xml:space="preserve">, </w:t>
      </w:r>
      <w:hyperlink r:id="rId50">
        <w:r>
          <w:rPr>
            <w:rFonts w:ascii="Arial" w:cs="Arial" w:eastAsia="Arial" w:hAnsi="Arial"/>
            <w:sz w:val="16"/>
            <w:szCs w:val="16"/>
            <w:u w:val="single" w:color="auto"/>
            <w:color w:val="0000EE"/>
          </w:rPr>
          <w:t>April 30, 2019</w:t>
        </w:r>
      </w:hyperlink>
      <w:r>
        <w:rPr>
          <w:rFonts w:ascii="Arial" w:cs="Arial" w:eastAsia="Arial" w:hAnsi="Arial"/>
          <w:sz w:val="16"/>
          <w:szCs w:val="16"/>
          <w:color w:val="auto"/>
        </w:rPr>
        <w:t xml:space="preserve">, </w:t>
      </w:r>
      <w:hyperlink r:id="rId51">
        <w:r>
          <w:rPr>
            <w:rFonts w:ascii="Arial" w:cs="Arial" w:eastAsia="Arial" w:hAnsi="Arial"/>
            <w:sz w:val="16"/>
            <w:szCs w:val="16"/>
            <w:u w:val="single" w:color="auto"/>
            <w:color w:val="0000EE"/>
          </w:rPr>
          <w:t>May 17, 2019</w:t>
        </w:r>
      </w:hyperlink>
      <w:r>
        <w:rPr>
          <w:rFonts w:ascii="Arial" w:cs="Arial" w:eastAsia="Arial" w:hAnsi="Arial"/>
          <w:sz w:val="16"/>
          <w:szCs w:val="16"/>
          <w:color w:val="auto"/>
        </w:rPr>
        <w:t xml:space="preserve">, </w:t>
      </w:r>
      <w:hyperlink r:id="rId52">
        <w:r>
          <w:rPr>
            <w:rFonts w:ascii="Arial" w:cs="Arial" w:eastAsia="Arial" w:hAnsi="Arial"/>
            <w:sz w:val="16"/>
            <w:szCs w:val="16"/>
            <w:u w:val="single" w:color="auto"/>
            <w:color w:val="0000EE"/>
          </w:rPr>
          <w:t>June 17,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53">
        <w:r>
          <w:rPr>
            <w:rFonts w:ascii="Arial" w:cs="Arial" w:eastAsia="Arial" w:hAnsi="Arial"/>
            <w:sz w:val="16"/>
            <w:szCs w:val="16"/>
            <w:u w:val="single" w:color="auto"/>
            <w:color w:val="0000EE"/>
          </w:rPr>
          <w:t>June 27,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54">
        <w:r>
          <w:rPr>
            <w:rFonts w:ascii="Arial" w:cs="Arial" w:eastAsia="Arial" w:hAnsi="Arial"/>
            <w:sz w:val="16"/>
            <w:szCs w:val="16"/>
            <w:u w:val="single" w:color="auto"/>
            <w:color w:val="0000EE"/>
          </w:rPr>
          <w:t>July 8,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55">
        <w:r>
          <w:rPr>
            <w:rFonts w:ascii="Arial" w:cs="Arial" w:eastAsia="Arial" w:hAnsi="Arial"/>
            <w:sz w:val="16"/>
            <w:szCs w:val="16"/>
            <w:u w:val="single" w:color="auto"/>
            <w:color w:val="0000EE"/>
          </w:rPr>
          <w:t>July 10,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56">
        <w:r>
          <w:rPr>
            <w:rFonts w:ascii="Arial" w:cs="Arial" w:eastAsia="Arial" w:hAnsi="Arial"/>
            <w:sz w:val="16"/>
            <w:szCs w:val="16"/>
            <w:u w:val="single" w:color="auto"/>
            <w:color w:val="0000EE"/>
          </w:rPr>
          <w:t>August 26, 2019</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57">
        <w:r>
          <w:rPr>
            <w:rFonts w:ascii="Arial" w:cs="Arial" w:eastAsia="Arial" w:hAnsi="Arial"/>
            <w:sz w:val="16"/>
            <w:szCs w:val="16"/>
            <w:u w:val="single" w:color="auto"/>
            <w:color w:val="0000EE"/>
          </w:rPr>
          <w:t xml:space="preserve">September 6, 2019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58">
        <w:r>
          <w:rPr>
            <w:rFonts w:ascii="Arial" w:cs="Arial" w:eastAsia="Arial" w:hAnsi="Arial"/>
            <w:sz w:val="16"/>
            <w:szCs w:val="16"/>
            <w:u w:val="single" w:color="auto"/>
            <w:color w:val="0000EE"/>
          </w:rPr>
          <w:t xml:space="preserve">October 3, 2019 </w:t>
        </w:r>
      </w:hyperlink>
      <w:r>
        <w:rPr>
          <w:rFonts w:ascii="Arial" w:cs="Arial" w:eastAsia="Arial" w:hAnsi="Arial"/>
          <w:sz w:val="16"/>
          <w:szCs w:val="16"/>
          <w:color w:val="000000"/>
        </w:rPr>
        <w:t>(File</w:t>
      </w:r>
      <w:r>
        <w:rPr>
          <w:rFonts w:ascii="Arial" w:cs="Arial" w:eastAsia="Arial" w:hAnsi="Arial"/>
          <w:sz w:val="16"/>
          <w:szCs w:val="16"/>
          <w:color w:val="0000EE"/>
        </w:rPr>
        <w:t xml:space="preserve"> </w:t>
      </w:r>
      <w:r>
        <w:rPr>
          <w:rFonts w:ascii="Arial" w:cs="Arial" w:eastAsia="Arial" w:hAnsi="Arial"/>
          <w:sz w:val="16"/>
          <w:szCs w:val="16"/>
          <w:color w:val="000000"/>
        </w:rPr>
        <w:t>Nos. 001-34785); and</w:t>
      </w:r>
    </w:p>
    <w:p>
      <w:pPr>
        <w:spacing w:after="0" w:line="123" w:lineRule="exact"/>
        <w:rPr>
          <w:rFonts w:ascii="Arial" w:cs="Arial" w:eastAsia="Arial" w:hAnsi="Arial"/>
          <w:sz w:val="16"/>
          <w:szCs w:val="16"/>
          <w:color w:val="0000EE"/>
        </w:rPr>
      </w:pPr>
    </w:p>
    <w:p>
      <w:pPr>
        <w:ind w:left="660" w:hanging="328"/>
        <w:spacing w:after="0" w:line="308" w:lineRule="auto"/>
        <w:tabs>
          <w:tab w:leader="none" w:pos="660" w:val="left"/>
        </w:tabs>
        <w:numPr>
          <w:ilvl w:val="0"/>
          <w:numId w:val="18"/>
        </w:numPr>
        <w:rPr>
          <w:rFonts w:ascii="Arial" w:cs="Arial" w:eastAsia="Arial" w:hAnsi="Arial"/>
          <w:sz w:val="17"/>
          <w:szCs w:val="17"/>
          <w:u w:val="single" w:color="auto"/>
          <w:color w:val="0000EE"/>
        </w:rPr>
      </w:pPr>
      <w:hyperlink r:id="rId59">
        <w:r>
          <w:rPr>
            <w:rFonts w:ascii="Arial" w:cs="Arial" w:eastAsia="Arial" w:hAnsi="Arial"/>
            <w:sz w:val="17"/>
            <w:szCs w:val="17"/>
            <w:u w:val="single" w:color="auto"/>
            <w:color w:val="0000EE"/>
          </w:rPr>
          <w:t>The description of our securities contained in our Registration Statement on Form 8-A filed on March 21, 2016 (File No. 001-34785) pursuant to</w:t>
        </w:r>
      </w:hyperlink>
      <w:r>
        <w:rPr>
          <w:rFonts w:ascii="Arial" w:cs="Arial" w:eastAsia="Arial" w:hAnsi="Arial"/>
          <w:sz w:val="17"/>
          <w:szCs w:val="17"/>
          <w:u w:val="single" w:color="auto"/>
          <w:color w:val="0000EE"/>
        </w:rPr>
        <w:t xml:space="preserve"> </w:t>
      </w:r>
      <w:hyperlink r:id="rId59">
        <w:r>
          <w:rPr>
            <w:rFonts w:ascii="Arial" w:cs="Arial" w:eastAsia="Arial" w:hAnsi="Arial"/>
            <w:sz w:val="17"/>
            <w:szCs w:val="17"/>
            <w:u w:val="single" w:color="auto"/>
            <w:color w:val="0000EE"/>
          </w:rPr>
          <w:t>Section 12(g) of the Exchange Act, and any amendment or report filed with the SEC for purposes of updating such description.</w:t>
        </w:r>
      </w:hyperlink>
    </w:p>
    <w:p>
      <w:pPr>
        <w:spacing w:after="0" w:line="36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3940"/>
        <w:spacing w:after="0"/>
        <w:rPr>
          <w:sz w:val="20"/>
          <w:szCs w:val="20"/>
          <w:color w:val="auto"/>
        </w:rPr>
      </w:pPr>
      <w:r>
        <w:rPr>
          <w:rFonts w:ascii="Arial" w:cs="Arial" w:eastAsia="Arial" w:hAnsi="Arial"/>
          <w:sz w:val="18"/>
          <w:szCs w:val="18"/>
          <w:b w:val="1"/>
          <w:bCs w:val="1"/>
          <w:color w:val="auto"/>
        </w:rPr>
        <w:t>XpresSpa,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17,302,951 Shares of Common Stock</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2019</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89"/>
              </w:rPr>
              <w:t>Printing fees</w:t>
            </w:r>
          </w:p>
        </w:tc>
        <w:tc>
          <w:tcPr>
            <w:tcW w:w="902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Total</w:t>
            </w:r>
          </w:p>
        </w:tc>
        <w:tc>
          <w:tcPr>
            <w:tcW w:w="902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90,838.44</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020" w:type="dxa"/>
            <w:vAlign w:val="bottom"/>
          </w:tcPr>
          <w:p>
            <w:pPr>
              <w:spacing w:after="0"/>
              <w:rPr>
                <w:sz w:val="20"/>
                <w:szCs w:val="20"/>
                <w:color w:val="auto"/>
              </w:rPr>
            </w:pPr>
            <w:r>
              <w:rPr>
                <w:rFonts w:ascii="Arial" w:cs="Arial" w:eastAsia="Arial" w:hAnsi="Arial"/>
                <w:sz w:val="18"/>
                <w:szCs w:val="18"/>
                <w:b w:val="1"/>
                <w:bCs w:val="1"/>
                <w:color w:val="auto"/>
              </w:rPr>
              <w:t>Indemnification of Directors and Officers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w:t>
      </w: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Section 174 of the DGCL (providing for liability of directors for unlawful payment of dividends or unlawful stock purchases or redemptions)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spacing w:after="0" w:line="297" w:lineRule="auto"/>
        <w:rPr>
          <w:sz w:val="20"/>
          <w:szCs w:val="20"/>
          <w:color w:val="auto"/>
        </w:rPr>
      </w:pPr>
      <w:r>
        <w:rPr>
          <w:rFonts w:ascii="Arial" w:cs="Arial" w:eastAsia="Arial" w:hAnsi="Arial"/>
          <w:sz w:val="16"/>
          <w:szCs w:val="16"/>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60" w:type="dxa"/>
            <w:vAlign w:val="bottom"/>
            <w:gridSpan w:val="12"/>
          </w:tcPr>
          <w:p>
            <w:pPr>
              <w:ind w:left="13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64">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bottom w:val="single" w:sz="8" w:color="0000EE"/>
            </w:tcBorders>
            <w:gridSpan w:val="13"/>
          </w:tcPr>
          <w:p>
            <w:pPr>
              <w:spacing w:after="0" w:line="170" w:lineRule="exact"/>
              <w:rPr>
                <w:rFonts w:ascii="Arial" w:cs="Arial" w:eastAsia="Arial" w:hAnsi="Arial"/>
                <w:sz w:val="18"/>
                <w:szCs w:val="18"/>
                <w:color w:val="0000EE"/>
                <w:w w:val="98"/>
              </w:rPr>
            </w:pPr>
            <w:hyperlink r:id="rId64">
              <w:r>
                <w:rPr>
                  <w:rFonts w:ascii="Arial" w:cs="Arial" w:eastAsia="Arial" w:hAnsi="Arial"/>
                  <w:sz w:val="18"/>
                  <w:szCs w:val="18"/>
                  <w:color w:val="0000EE"/>
                  <w:w w:val="98"/>
                </w:rPr>
                <w:t>Agreement and Plan of Merger by and among FORM Holdings Corp., FHXMS, LLC, XpresSpa Holdings, LLC, the unitholders of</w:t>
              </w:r>
            </w:hyperlink>
          </w:p>
        </w:tc>
        <w:tc>
          <w:tcPr>
            <w:tcW w:w="4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Mistral XH Representative, LLC, as representative of the unitholders, dated September 8,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our Current Report on Form 8-K filed with the SEC on September 9,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Mistral XH Representative, LLC, as representative of the unitholders, dated October 25, 2016 (incorporated by reference to Exhibit 2.1 to</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our Current Report on Form 8-K filed with the SEC on October 25,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67">
              <w:r>
                <w:rPr>
                  <w:rFonts w:ascii="Arial" w:cs="Arial" w:eastAsia="Arial" w:hAnsi="Arial"/>
                  <w:sz w:val="18"/>
                  <w:szCs w:val="18"/>
                  <w:color w:val="0000EE"/>
                  <w:w w:val="92"/>
                </w:rPr>
                <w:t>Amendment to the Certificate of Designation, Preferences, Rights and Limitations of the Series E Convertible Preferred Stock, dated as of</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July 8, 2019 (incorporated by reference to Exhibit 3.1 to our Current Report on Form 8-K filed with the SEC on July 8, 2019)</w:t>
              </w:r>
            </w:hyperlink>
          </w:p>
        </w:tc>
        <w:tc>
          <w:tcPr>
            <w:tcW w:w="1080" w:type="dxa"/>
            <w:vAlign w:val="bottom"/>
            <w:gridSpan w:val="5"/>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Form of Amendment to the Certificate of Designation, Preferences, Rights and Limitations of the Series D Convertible Preferred Stock</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(incorporated by reference to Exhibit 3.2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Form of Certificate of Designation, Preferences, Rights and Limitations of the Series F Convertible Preferred Stock, dated as of July 8, 2019</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(incorporated by reference to Exhibit 3.3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Certificate of Elimination of Shares of Series B Convertible Preferred Stock, dated as of July 8, 2019 (incorporated by reference to Exhibit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3.</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14"/>
          </w:tcPr>
          <w:p>
            <w:pPr>
              <w:ind w:left="20"/>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Form of Calm Note (incorporated by reference to Exhibit 4.1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Form of Calm Warrant to Purchase Common Stock (incorporated by reference to Exhibit 4.2 to our Current Report on Form 8-K filed with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the SEC on July 8, 2019)</w:t>
              </w:r>
            </w:hyperlink>
          </w:p>
        </w:tc>
        <w:tc>
          <w:tcPr>
            <w:tcW w:w="8360" w:type="dxa"/>
            <w:vAlign w:val="bottom"/>
            <w:gridSpan w:val="13"/>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8"/>
              </w:rPr>
            </w:pPr>
            <w:hyperlink r:id="rId73">
              <w:r>
                <w:rPr>
                  <w:rFonts w:ascii="Arial" w:cs="Arial" w:eastAsia="Arial" w:hAnsi="Arial"/>
                  <w:sz w:val="18"/>
                  <w:szCs w:val="18"/>
                  <w:color w:val="0000EE"/>
                  <w:w w:val="98"/>
                </w:rPr>
                <w:t>Form of B3D Note (incorporated by reference to Exhibit 4.3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Form of December 2016 Warrant Amendment, dated as of July 8, 2019 (incorporated by reference to Exhibit 4.4 to our Current Report on</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Form 8-K filed with the SEC on July 8, 2019)</w:t>
              </w:r>
            </w:hyperlink>
          </w:p>
        </w:tc>
        <w:tc>
          <w:tcPr>
            <w:tcW w:w="6860" w:type="dxa"/>
            <w:vAlign w:val="bottom"/>
            <w:gridSpan w:val="1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Subscription Agreement by and between FORM Holdings Corp., each purchaser identified on the signature pages thereto, and Mistral XH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Representative, LLC (incorporated by reference to Exhibit 10.1 to our Current Report on Form 8-K filed with the SEC on August 8, 2016)</w:t>
              </w:r>
            </w:hyperlink>
          </w:p>
        </w:tc>
        <w:tc>
          <w:tcPr>
            <w:tcW w:w="200" w:type="dxa"/>
            <w:vAlign w:val="bottom"/>
            <w:gridSpan w:val="2"/>
          </w:tcPr>
          <w:p>
            <w:pPr>
              <w:spacing w:after="0"/>
              <w:rPr>
                <w:sz w:val="17"/>
                <w:szCs w:val="17"/>
                <w:color w:val="auto"/>
              </w:rPr>
            </w:pPr>
          </w:p>
        </w:tc>
      </w:tr>
      <w:tr>
        <w:trPr>
          <w:trHeight w:val="412"/>
        </w:trPr>
        <w:tc>
          <w:tcPr>
            <w:tcW w:w="320" w:type="dxa"/>
            <w:vAlign w:val="bottom"/>
            <w:gridSpan w:val="3"/>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Opinion of Mintz, Levin, Cohn, Ferris, Glovsky and Popeo, P.C. regarding legality of securities being registered</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r>
      <w:tr>
        <w:trPr>
          <w:trHeight w:val="412"/>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r>
      <w:tr>
        <w:trPr>
          <w:trHeight w:val="412"/>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Consent of Mintz, Levin, Cohn, Ferris, Glovsky and Popeo, P.C. (included in Exhibit 5.1)</w:t>
            </w: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hanging="1252"/>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1260" w:hanging="1252"/>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99" w:gutter="0" w:footer="0" w:header="0"/>
        </w:sectPr>
      </w:pPr>
    </w:p>
    <w:bookmarkStart w:id="38" w:name="page39"/>
    <w:bookmarkEnd w:id="38"/>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760" w:hanging="455"/>
        <w:spacing w:after="0" w:line="272" w:lineRule="auto"/>
        <w:tabs>
          <w:tab w:leader="none" w:pos="17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760" w:hanging="455"/>
        <w:spacing w:after="0" w:line="277" w:lineRule="auto"/>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104" w:hanging="455"/>
        <w:spacing w:after="0"/>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jc w:val="both"/>
        <w:ind w:left="1624" w:hanging="327"/>
        <w:spacing w:after="0" w:line="264" w:lineRule="auto"/>
        <w:tabs>
          <w:tab w:leader="none" w:pos="16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81" w:lineRule="exact"/>
        <w:rPr>
          <w:rFonts w:ascii="Arial" w:cs="Arial" w:eastAsia="Arial" w:hAnsi="Arial"/>
          <w:sz w:val="18"/>
          <w:szCs w:val="18"/>
          <w:color w:val="auto"/>
        </w:rPr>
      </w:pPr>
    </w:p>
    <w:p>
      <w:pPr>
        <w:jc w:val="both"/>
        <w:ind w:left="1624" w:hanging="327"/>
        <w:spacing w:after="0" w:line="268" w:lineRule="auto"/>
        <w:tabs>
          <w:tab w:leader="none" w:pos="1624" w:val="left"/>
        </w:tabs>
        <w:numPr>
          <w:ilvl w:val="2"/>
          <w:numId w:val="2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5" w:lineRule="exact"/>
        <w:rPr>
          <w:rFonts w:ascii="Arial" w:cs="Arial" w:eastAsia="Arial" w:hAnsi="Arial"/>
          <w:sz w:val="17"/>
          <w:szCs w:val="17"/>
          <w:color w:val="auto"/>
        </w:rPr>
      </w:pPr>
    </w:p>
    <w:p>
      <w:pPr>
        <w:jc w:val="both"/>
        <w:ind w:left="1104" w:hanging="455"/>
        <w:spacing w:after="0" w:line="271" w:lineRule="auto"/>
        <w:tabs>
          <w:tab w:leader="none" w:pos="110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rFonts w:ascii="Arial" w:cs="Arial" w:eastAsia="Arial" w:hAnsi="Arial"/>
          <w:sz w:val="18"/>
          <w:szCs w:val="18"/>
          <w:color w:val="auto"/>
        </w:rPr>
      </w:pPr>
    </w:p>
    <w:p>
      <w:pPr>
        <w:jc w:val="both"/>
        <w:ind w:left="324"/>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1104" w:right="20" w:hanging="455"/>
        <w:spacing w:after="0" w:line="277" w:lineRule="auto"/>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0" w:name="page41"/>
    <w:bookmarkEnd w:id="40"/>
    <w:p>
      <w:pPr>
        <w:ind w:left="1760" w:right="2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76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2019.</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Douglas Satzman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7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3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Pr>
          <w:p>
            <w:pPr>
              <w:spacing w:after="0"/>
              <w:rPr>
                <w:sz w:val="24"/>
                <w:szCs w:val="24"/>
                <w:color w:val="auto"/>
              </w:rPr>
            </w:pPr>
          </w:p>
        </w:tc>
      </w:tr>
      <w:tr>
        <w:trPr>
          <w:trHeight w:val="188"/>
        </w:trPr>
        <w:tc>
          <w:tcPr>
            <w:tcW w:w="3900" w:type="dxa"/>
            <w:vAlign w:val="bottom"/>
          </w:tcPr>
          <w:p>
            <w:pPr>
              <w:spacing w:after="0" w:line="189" w:lineRule="exact"/>
              <w:rPr>
                <w:sz w:val="20"/>
                <w:szCs w:val="20"/>
                <w:color w:val="auto"/>
              </w:rPr>
            </w:pPr>
            <w:r>
              <w:rPr>
                <w:rFonts w:ascii="Arial" w:cs="Arial" w:eastAsia="Arial" w:hAnsi="Arial"/>
                <w:sz w:val="18"/>
                <w:szCs w:val="18"/>
                <w:color w:val="auto"/>
              </w:rPr>
              <w:t>Douglas Satzman</w:t>
            </w:r>
          </w:p>
        </w:tc>
        <w:tc>
          <w:tcPr>
            <w:tcW w:w="41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(Principal Executive Officer, Principal Financial</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00" w:type="dxa"/>
            <w:vAlign w:val="bottom"/>
          </w:tcPr>
          <w:p>
            <w:pPr>
              <w:spacing w:after="0"/>
              <w:rPr>
                <w:sz w:val="20"/>
                <w:szCs w:val="20"/>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Officer and Principal Accounting Officer)</w:t>
            </w: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 Chairman of the Board of Directors</w:t>
            </w: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December 9,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/s/ Douglas Satzman</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Douglas Satzman, as attorney-in-fact</w:t>
            </w: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4"/>
        </w:trPr>
        <w:tc>
          <w:tcPr>
            <w:tcW w:w="39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-121920</wp:posOffset>
            </wp:positionV>
            <wp:extent cx="557530" cy="694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557530" cy="6946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for XpresSpa Group, Inc., a Delaware corporation (the “Company”), in connection with the preparation of the Registration Statement on Form S-3 (the “Registration Statement”) originally filed with the Securities and Exchange Commission (the “Commission”) on August 23, 2019, as amended on September 27, 2019 and December 9, 2019 , under the Securities Act of 1933, as amended (the “Act”), covering the offering for resale, on a delayed or continuous basis, of the following:</w:t>
      </w:r>
    </w:p>
    <w:p>
      <w:pPr>
        <w:spacing w:after="0" w:line="187" w:lineRule="exact"/>
        <w:rPr>
          <w:sz w:val="20"/>
          <w:szCs w:val="20"/>
          <w:color w:val="auto"/>
        </w:rPr>
      </w:pPr>
    </w:p>
    <w:p>
      <w:pPr>
        <w:ind w:left="13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125% of the 449,800 shares (or 562,250 shares) of common stock of the Company, par value $0.01 per share (the “Common Stock”), issuable upon the exercise of Series F Convertible Preferred Stock at a conversion price equal to $2.00 per share (the “Series F Shares”);</w:t>
      </w:r>
    </w:p>
    <w:p>
      <w:pPr>
        <w:spacing w:after="0" w:line="123"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125% of the 1,445,816 shares (or 1,807,270 shares) of Common Stock underlying shares of Series E Convertible Preferred Stock issuable upon conversion of an aggregate principal amount of $2,500,000 of unsecured convertible notes due May 31, 2022, plus interest payable thereon (the “Calm Notes”), at a conversion price equal to $2.00 per share (the “Calm Note Shares”);</w:t>
      </w:r>
    </w:p>
    <w:p>
      <w:pPr>
        <w:spacing w:after="0" w:line="165"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125% of the 1,500,000 shares (or 1,875,000 shares) of Common Stock issuable upon conversion of the Company’s previously issued Series E Convertible Preferred Stock, at a conversion price equal to $2.00 per share (the “Series E Shares”);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125% of the 937,500 shares (or 1,171,875 shares) of Common Stock issuable upon the exercise of warrants (the “Calm Warrants”) at an exercise price equal to $2.00 per share (the “Calm Warrant Shares”);</w:t>
      </w:r>
    </w:p>
    <w:p>
      <w:pPr>
        <w:spacing w:after="0" w:line="170"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125% of the 4,156,275 shares (or 5,195,344 shares) of Common Stock issuable pursuant to that certain Second Amended and Restated Convertible Promissory Note, dated July 8, 2019 (the “B3D Note”), which are issuable upon (a) conversion of an aggregate principal amount of $7,000,000 of senior secured convertible notes due May 31, 2021 at a conversion price equal to $2.00 per share, (b) as accrued and unpaid interest payable thereon and issuable at the Company’s option in lieu of a cash payment of interest at a price per share equal to 90% of the volume weighted average price of Common Stock on the trading date immediately preceding the date of delivery of the Company’s exercise notice, and (c) as certain make-whole payments to the extent that the accrued and unpaid interest amount described above is less than 90% of the average volume weighted average price of Common Stock for the 30 trading days prior to the interest deferment date (or if not a trading day the next succeeding trading day) (the “B3D Shares”);</w:t>
      </w:r>
    </w:p>
    <w:p>
      <w:pPr>
        <w:spacing w:after="0" w:line="178"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of the 6,485,430 shares of Common Stock issued to Mistral Spa Holdings, LLC upon conversion of the Company’s Series D Convertible Preferred Stock, at a conversion price equal to $2.00 per share (the “Series 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ind w:left="1300" w:hanging="644"/>
        <w:spacing w:after="0" w:line="308"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125% of the 79,406 shares (or 99,258 shares) of Common Stock issuable upon the exercise of warrants originally issued in December 2016 (the “December 2016 Warrants”), at an exercise price equal to $2.00 per share (the “December 2016 Warrant Shares”); and</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106,524 shares of Common Stock issued in connection with that certain Agreement and Plan of Merger by and among FORM Holdings Corp., FHXMS, LLC, XpresSpa Holdings, LLC and Mistral XH Representative, LLC, as representative of the unitholders, dated October 25, 2016, as subsequently amended (the “Merger Agreement”), and in connection with a related subscription agreement (the “Subscription Agreement”) between the Company and a unitholder (the “Merger Shares”).</w:t>
      </w: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counsel to the Company, we have examined such corporate records, documents, agreements and such matters of law as we have considered necessary or appropriate for the purpose of this opinion. In our examination, we have assumed the genuineness of all signatures, the authenticity of all documents submitted to us as originals and the conformity with the originals of all documents submitted to us as copies. Upon the basis of such examination, we advise you that in our opinion that:</w:t>
      </w:r>
    </w:p>
    <w:p>
      <w:pPr>
        <w:spacing w:after="0" w:line="187" w:lineRule="exact"/>
        <w:rPr>
          <w:sz w:val="20"/>
          <w:szCs w:val="20"/>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Series F Shares have been duly authorized and reserved for issuance, and, when issued upon conversion of the Series F Convertible Preferred Stock in accordance with the terms of that certain Certificate of Designation of Preferences, Rights and Limitations of Series F Convertible Preferred Stock, will be validly issued, fully paid and nonassessable;</w:t>
      </w:r>
    </w:p>
    <w:p>
      <w:pPr>
        <w:spacing w:after="0" w:line="181"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Calm Note Shares have been duly authorized and reserved for issuance, and, when issued upon conversion of the Series E Convertible Preferred Stock and in accordance with the terms of that certain Certificate of Designation of Preferences, Rights and Limitations of Series E Convertible Preferred Stock, and the terms of the Calm Notes, will be validly issued, fully paid and nonassessable;</w:t>
      </w:r>
    </w:p>
    <w:p>
      <w:pPr>
        <w:spacing w:after="0" w:line="146"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Series E Shares have been duly authorized and reserved for issuance, and, when issued upon conversion of the Series E Convertible Preferred Stock in accordance with the terms of that certain Certificate of Designation of Preferences, Rights and Limitations of Series E Convertible Preferred Stock, will be validly issued, fully paid and nonassessable;</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Calm Warrant Shares have been duly authorized and reserved for issuance, and, when issued upon the exercise of the Calm Warrants and in accordance with the terms thereof, will be validly issued, fully paid and nonassessable;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B3D Shares have been duly authorized and reserved for issuance, and, when issued upon the conversion of the B3D Note (or as payment pursuant thereto) and in accordance with the terms thereof, will be validly issued, fully paid and nonassessable;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Series D Shares have been duly authorized and reserved for issuance and are validly issued, fully paid and nonassessable;</w:t>
      </w:r>
    </w:p>
    <w:p>
      <w:pPr>
        <w:spacing w:after="0" w:line="236" w:lineRule="exact"/>
        <w:rPr>
          <w:rFonts w:ascii="Arial" w:cs="Arial" w:eastAsia="Arial" w:hAnsi="Arial"/>
          <w:sz w:val="17"/>
          <w:szCs w:val="17"/>
          <w:color w:val="auto"/>
        </w:rPr>
      </w:pPr>
    </w:p>
    <w:p>
      <w:pPr>
        <w:ind w:left="1300" w:hanging="644"/>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December 2016 Warrant Shares have been duly authorized and reserved for issuance, and, when issued upon the exercise of the December 2016 Warrants and in accordance with the terms thereof, will be validly issued, fully paid and nonassessable; and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Merger Shares have been duly authorized and reserved for issuance and are validly issued, fully paid and nonassessable.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Stated federal laws, and we disclaim any opinion whatsoever with respect to matters governed by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references to this firm under the caption “Legal Matters” in the Prospectus which is a part of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MINTZ, LEVIN, COHN, FERRIS, GLOVSKY &amp; POPEO,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tabs>
          <w:tab w:leader="none" w:pos="240" w:val="left"/>
          <w:tab w:leader="none" w:pos="240" w:val="left"/>
          <w:tab w:leader="none" w:pos="220" w:val="left"/>
          <w:tab w:leader="none" w:pos="220" w:val="left"/>
          <w:tab w:leader="none" w:pos="240" w:val="left"/>
          <w:tab w:leader="none" w:pos="20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3"/>
          <w:szCs w:val="13"/>
          <w:color w:val="auto"/>
        </w:rPr>
        <w:t>WASHINGTON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We consent to the incorporation by reference in this Registration Statement on Amendment No. 2 to Form S-3 (No. 333-233419) of XpresSpa Group, Inc. of our report dated April 1, 2019 with respect to our audits of the consolidated financial statements of XpresSpa Group, Inc. (which includes an explanatory paragraph relating to the Company’s ability to continue as a going concern), as of and for the years ended December 31, 2018 and 2017, which appear in the Annual Report on Form 10-K of XpresSpa Group Inc. for the year ended December 31, 2018. We also consent to the reference to our firm under the caption “Experts” in the Prospectus, which is part of this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CohnReznick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Jericho,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December 9</w:t>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lvl w:ilvl="1">
      <w:lvlJc w:val="left"/>
      <w:lvlText w:val="(%2)"/>
      <w:numFmt w:val="lowerRoman"/>
      <w:start w:val="1"/>
    </w:lvl>
  </w:abstractNum>
  <w:abstractNum w:abstractNumId="1">
    <w:nsid w:val="6B68079A"/>
    <w:multiLevelType w:val="hybridMultilevel"/>
    <w:lvl w:ilvl="0">
      <w:lvlJc w:val="left"/>
      <w:lvlText w:val="(%1)"/>
      <w:numFmt w:val="lowerRoman"/>
      <w:start w:val="1"/>
    </w:lvl>
  </w:abstractNum>
  <w:abstractNum w:abstractNumId="2">
    <w:nsid w:val="4E6AFB66"/>
    <w:multiLevelType w:val="hybridMultilevel"/>
    <w:lvl w:ilvl="0">
      <w:lvlJc w:val="left"/>
      <w:lvlText w:val="(%1)"/>
      <w:numFmt w:val="lowerLetter"/>
      <w:start w:val="2"/>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
      <w:numFmt w:val="bullet"/>
      <w:start w:val="1"/>
    </w:lvl>
    <w:lvl w:ilvl="1">
      <w:lvlJc w:val="left"/>
      <w:lvlText w:val="(%2)"/>
      <w:numFmt w:val="decimal"/>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Roman"/>
      <w:start w:val="3"/>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54E49EB4"/>
    <w:multiLevelType w:val="hybridMultilevel"/>
    <w:lvl w:ilvl="0">
      <w:lvlJc w:val="left"/>
      <w:lvlText w:val="(%1)"/>
      <w:numFmt w:val="decimal"/>
      <w:start w:val="2"/>
    </w:lvl>
  </w:abstractNum>
  <w:abstractNum w:abstractNumId="24">
    <w:nsid w:val="71F3245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25">
    <w:nsid w:val="2CA88611"/>
    <w:multiLevelType w:val="hybridMultilevel"/>
    <w:lvl w:ilvl="0">
      <w:lvlJc w:val="left"/>
      <w:lvlText w:val="%1"/>
      <w:numFmt w:val="lowerLetter"/>
      <w:start w:val="1"/>
    </w:lvl>
    <w:lvl w:ilvl="1">
      <w:lvlJc w:val="left"/>
      <w:lvlText w:val="(%2)"/>
      <w:numFmt w:val="lowerRoman"/>
      <w:start w:val="2"/>
    </w:lvl>
  </w:abstractNum>
  <w:abstractNum w:abstractNumId="26">
    <w:nsid w:val="836C40E"/>
    <w:multiLevelType w:val="hybridMultilevel"/>
    <w:lvl w:ilvl="0">
      <w:lvlJc w:val="left"/>
      <w:lvlText w:val="(%1)"/>
      <w:numFmt w:val="lowerLetter"/>
      <w:start w:val="2"/>
    </w:lvl>
    <w:lvl w:ilvl="1">
      <w:lvlJc w:val="left"/>
      <w:lvlText w:val="%2"/>
      <w:numFmt w:val="lowerRoman"/>
      <w:start w:val="1"/>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lowerRoman"/>
      <w:start w:val="7"/>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jpe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18" Type="http://schemas.openxmlformats.org/officeDocument/2006/relationships/hyperlink" Target="http://www.sec.gov/Archives/edgar/data/1410428/000114420419017496/tv516017_10k.htm" TargetMode="External"/><Relationship Id="rId43" Type="http://schemas.openxmlformats.org/officeDocument/2006/relationships/hyperlink" Target="http://www.sec.gov/Archives/edgar/data/1410428/000114420419022522/tv519608_10ka.htm" TargetMode="External"/><Relationship Id="rId44" Type="http://schemas.openxmlformats.org/officeDocument/2006/relationships/hyperlink" Target="http://www.sec.gov/Archives/edgar/data/1410428/000114420419040130/tv527296_10q.htm" TargetMode="External"/><Relationship Id="rId45" Type="http://schemas.openxmlformats.org/officeDocument/2006/relationships/hyperlink" Target="http://www.sec.gov/Archives/edgar/data/1410428/000110465919064328/tm1919635d1_10q.htm" TargetMode="External"/><Relationship Id="rId46" Type="http://schemas.openxmlformats.org/officeDocument/2006/relationships/hyperlink" Target="http://www.sec.gov/Archives/edgar/data/1410428/000114420419007309/tv513163_8k.htm" TargetMode="External"/><Relationship Id="rId47" Type="http://schemas.openxmlformats.org/officeDocument/2006/relationships/hyperlink" Target="http://www.sec.gov/Archives/edgar/data/1410428/000114420419009610/tv514467_8k.htm" TargetMode="External"/><Relationship Id="rId48" Type="http://schemas.openxmlformats.org/officeDocument/2006/relationships/hyperlink" Target="http://www.sec.gov/Archives/edgar/data/1410428/000114420419014325/tv516349_8k.htm" TargetMode="External"/><Relationship Id="rId49" Type="http://schemas.openxmlformats.org/officeDocument/2006/relationships/hyperlink" Target="http://www.sec.gov/Archives/edgar/data/1410428/000114420419015650/tv516755_8k.htm" TargetMode="External"/><Relationship Id="rId50" Type="http://schemas.openxmlformats.org/officeDocument/2006/relationships/hyperlink" Target="http://www.sec.gov/Archives/edgar/data/1410428/000114420419022528/tv520089_8k.htm" TargetMode="External"/><Relationship Id="rId51" Type="http://schemas.openxmlformats.org/officeDocument/2006/relationships/hyperlink" Target="http://www.sec.gov/Archives/edgar/data/1410428/000114420419027101/tv521899_8k.htm" TargetMode="External"/><Relationship Id="rId52" Type="http://schemas.openxmlformats.org/officeDocument/2006/relationships/hyperlink" Target="http://www.sec.gov/Archives/edgar/data/1410428/000114420419031189/tv523626_8k.htm" TargetMode="External"/><Relationship Id="rId53" Type="http://schemas.openxmlformats.org/officeDocument/2006/relationships/hyperlink" Target="http://www.sec.gov/Archives/edgar/data/1410428/000114420419032532/tv524367_8k.htm" TargetMode="External"/><Relationship Id="rId54" Type="http://schemas.openxmlformats.org/officeDocument/2006/relationships/hyperlink" Target="http://www.sec.gov/Archives/edgar/data/1410428/000114420419033939/tv524856_8k.htm" TargetMode="External"/><Relationship Id="rId55" Type="http://schemas.openxmlformats.org/officeDocument/2006/relationships/hyperlink" Target="http://www.sec.gov/Archives/edgar/data/1410428/000114420419034328/tv525020_8k.htm" TargetMode="External"/><Relationship Id="rId56" Type="http://schemas.openxmlformats.org/officeDocument/2006/relationships/hyperlink" Target="http://www.sec.gov/Archives/edgar/data/1410428/000114420419041673/tv528277_8k.htm" TargetMode="External"/><Relationship Id="rId57" Type="http://schemas.openxmlformats.org/officeDocument/2006/relationships/hyperlink" Target="http://www.sec.gov/Archives/edgar/data/1410428/000114420419043808/tv529020_8k.htm" TargetMode="External"/><Relationship Id="rId58" Type="http://schemas.openxmlformats.org/officeDocument/2006/relationships/hyperlink" Target="http://www.sec.gov/Archives/edgar/data/1410428/000114420419047032/tv530541_8k.htm" TargetMode="External"/><Relationship Id="rId59" Type="http://schemas.openxmlformats.org/officeDocument/2006/relationships/hyperlink" Target="http://www.sec.gov/Archives/edgar/data/1410428/000114420416089194/v434658_8a12b.htm" TargetMode="External"/><Relationship Id="rId64" Type="http://schemas.openxmlformats.org/officeDocument/2006/relationships/hyperlink" Target="http://www.sec.gov/Archives/edgar/data/1410428/000114420416117230/v446257_ex2-1.htm" TargetMode="External"/><Relationship Id="rId65" Type="http://schemas.openxmlformats.org/officeDocument/2006/relationships/hyperlink" Target="http://www.sec.gov/Archives/edgar/data/1410428/000114420416123414/v448507_ex2-1.htm" TargetMode="External"/><Relationship Id="rId66" Type="http://schemas.openxmlformats.org/officeDocument/2006/relationships/hyperlink" Target="http://www.sec.gov/Archives/edgar/data/1410428/000114420416129472/v451220_ex2-1.htm" TargetMode="External"/><Relationship Id="rId67" Type="http://schemas.openxmlformats.org/officeDocument/2006/relationships/hyperlink" Target="http://www.sec.gov/Archives/edgar/data/1410428/000114420419033939/tv524856_ex3-1.htm" TargetMode="External"/><Relationship Id="rId68" Type="http://schemas.openxmlformats.org/officeDocument/2006/relationships/hyperlink" Target="http://www.sec.gov/Archives/edgar/data/1410428/000114420419033939/tv524856_ex3-2.htm" TargetMode="External"/><Relationship Id="rId69" Type="http://schemas.openxmlformats.org/officeDocument/2006/relationships/hyperlink" Target="http://www.sec.gov/Archives/edgar/data/1410428/000114420419033939/tv524856_ex3-3.htm" TargetMode="External"/><Relationship Id="rId70" Type="http://schemas.openxmlformats.org/officeDocument/2006/relationships/hyperlink" Target="http://www.sec.gov/Archives/edgar/data/1410428/000114420419033939/tv524856_ex3-4.htm" TargetMode="External"/><Relationship Id="rId71" Type="http://schemas.openxmlformats.org/officeDocument/2006/relationships/hyperlink" Target="http://www.sec.gov/Archives/edgar/data/1410428/000114420419033939/tv524856_ex4-1.htm" TargetMode="External"/><Relationship Id="rId72" Type="http://schemas.openxmlformats.org/officeDocument/2006/relationships/hyperlink" Target="http://www.sec.gov/Archives/edgar/data/1410428/000114420419033939/tv524856_ex4-2.htm" TargetMode="External"/><Relationship Id="rId73" Type="http://schemas.openxmlformats.org/officeDocument/2006/relationships/hyperlink" Target="http://www.sec.gov/Archives/edgar/data/1410428/000114420419033939/tv524856_ex4-3.htm" TargetMode="External"/><Relationship Id="rId74" Type="http://schemas.openxmlformats.org/officeDocument/2006/relationships/hyperlink" Target="http://www.sec.gov/Archives/edgar/data/1410428/000114420419033939/tv524856_ex4-4.htm" TargetMode="External"/><Relationship Id="rId75" Type="http://schemas.openxmlformats.org/officeDocument/2006/relationships/hyperlink" Target="http://www.sec.gov/Archives/edgar/data/1410428/000114420416117230/v446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2019-12-09T08:24:02Z</dcterms:created>
  <dcterms:modified xsi:type="dcterms:W3CDTF">2019-12-09T08:24:02Z</dcterms:modified>
</cp:coreProperties>
</file>