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 AND AMENDMENTS THERETO FILED PURSUANT TO RULE 13d-2(b)</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w:t>
      </w:r>
      <w:r>
        <w:rPr>
          <w:rFonts w:ascii="Times New Roman" w:cs="Times New Roman" w:eastAsia="Times New Roman" w:hAnsi="Times New Roman"/>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98420U802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August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8"/>
        <w:spacing w:after="0" w:line="244" w:lineRule="auto"/>
        <w:tabs>
          <w:tab w:leader="none" w:pos="815"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98420U802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XWEL INV I,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515,090</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515,090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515,090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98420U802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Blackwells Capital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515,090</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515,090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515,090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98420U802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Jason Aintabi</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515,090</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515,090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515,090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98420U802</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XWELL, Inc., a Delaware corporation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254 West 31st Street, 11th Floor</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York, New York 10001</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This statement is filed by XWEL INV I, LLC, a Delaware limited liability company (“XWEL Inv I”), Blackwells Capital LLC, a</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Delaware limited liability company (“Blackwells Capital”), and Jason Aintabi. Each of the foregoing is referred to as a “Reporting</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Person” and collectively as the “Reporting Persons.”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Blackwells Capital is the sole member of XWEL Inv I. Mr. Aintabi serves as the Manager of XWEL Inv I and the Chief Investment</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 of Blackwells Capital. By virtue of these relationships, Blackwells Capital and Mr. Aintabi may be deemed to beneficially own</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Shares (as defined below) owned directly by XWEL Inv I.</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principal business address of each of the Reporting Persons is 400 Park Avenue, 4th Floor, New York, New York 10022.</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XWEL Inv I and Blackwells Capital are organized under the laws of the State of Delaware. Mr. Aintabi is a citizen of the United States of</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America.</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par value $0.01 per share (the “Shares”).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98420U802</w:t>
            </w:r>
          </w:p>
        </w:tc>
      </w:tr>
      <w:tr>
        <w:trPr>
          <w:trHeight w:val="432"/>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98420U802</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Section 240.13d-1(b) or 240.13d-2(b) or (c), check whether the person filing is a:</w:t>
      </w:r>
    </w:p>
    <w:p>
      <w:pPr>
        <w:spacing w:after="0" w:line="229"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U.S.C. 80a-8).</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adviser in accordance with Section 240.13d-1(b)(1)(ii)(E).</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benefit plan or endowment fund in accordance with Section 240.13d-1(b)(1)(ii)(F).</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Parent holding company or control person in accordance with Section 240.13d-1(b)(1)(ii)(G).</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Savings association as defined in Section 3(b) of the Federal Deposit Insurance Act (12 U.S.C. 1813).</w:t>
            </w:r>
          </w:p>
        </w:tc>
      </w:tr>
    </w:tbl>
    <w:p>
      <w:pPr>
        <w:spacing w:after="0" w:line="198" w:lineRule="exact"/>
        <w:rPr>
          <w:sz w:val="20"/>
          <w:szCs w:val="20"/>
          <w:color w:val="auto"/>
        </w:rPr>
      </w:pPr>
    </w:p>
    <w:p>
      <w:pPr>
        <w:ind w:left="3000" w:right="100" w:hanging="1666"/>
        <w:spacing w:after="0" w:line="282" w:lineRule="auto"/>
        <w:tabs>
          <w:tab w:leader="none" w:pos="21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/Church plan that is excluded from the definition of an investment company under Section 3(c)(14) of the Investment Company Act (15 U.S.C. 80a-3).</w:t>
      </w:r>
    </w:p>
    <w:p>
      <w:pPr>
        <w:sectPr>
          <w:pgSz w:w="11900" w:h="16838" w:orient="portrait"/>
          <w:cols w:equalWidth="0" w:num="1">
            <w:col w:w="11240"/>
          </w:cols>
          <w:pgMar w:left="320" w:top="220" w:right="339" w:bottom="1440" w:gutter="0" w:footer="0" w:header="0"/>
        </w:sectPr>
      </w:pPr>
    </w:p>
    <w:p>
      <w:pPr>
        <w:spacing w:after="0" w:line="162" w:lineRule="exact"/>
        <w:rPr>
          <w:sz w:val="20"/>
          <w:szCs w:val="20"/>
          <w:color w:val="auto"/>
        </w:rPr>
      </w:pPr>
    </w:p>
    <w:p>
      <w:pPr>
        <w:ind w:left="1340"/>
        <w:spacing w:after="0"/>
        <w:tabs>
          <w:tab w:leader="none" w:pos="216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institution in accordance with Section 240.13d-1(b)(1)(ii)(J).</w:t>
      </w:r>
    </w:p>
    <w:p>
      <w:pPr>
        <w:spacing w:after="0" w:line="200" w:lineRule="exact"/>
        <w:rPr>
          <w:sz w:val="20"/>
          <w:szCs w:val="20"/>
          <w:color w:val="auto"/>
        </w:rPr>
      </w:pPr>
    </w:p>
    <w:p>
      <w:pPr>
        <w:sectPr>
          <w:pgSz w:w="11900" w:h="16838" w:orient="portrait"/>
          <w:cols w:equalWidth="0" w:num="2">
            <w:col w:w="2360" w:space="640"/>
            <w:col w:w="8240"/>
          </w:cols>
          <w:pgMar w:left="320" w:top="220" w:right="339" w:bottom="1440" w:gutter="0" w:footer="0" w:header="0"/>
          <w:type w:val="continuous"/>
        </w:sectPr>
      </w:pPr>
    </w:p>
    <w:p>
      <w:pPr>
        <w:spacing w:after="0" w:line="25" w:lineRule="exact"/>
        <w:rPr>
          <w:sz w:val="20"/>
          <w:szCs w:val="20"/>
          <w:color w:val="auto"/>
        </w:rPr>
      </w:pPr>
    </w:p>
    <w:p>
      <w:pPr>
        <w:ind w:left="1340"/>
        <w:spacing w:after="0"/>
        <w:tabs>
          <w:tab w:leader="none" w:pos="2160" w:val="left"/>
        </w:tabs>
        <w:rPr>
          <w:sz w:val="20"/>
          <w:szCs w:val="20"/>
          <w:color w:val="auto"/>
        </w:rPr>
      </w:pPr>
      <w:r>
        <w:rPr>
          <w:rFonts w:ascii="Times New Roman" w:cs="Times New Roman" w:eastAsia="Times New Roman" w:hAnsi="Times New Roman"/>
          <w:sz w:val="18"/>
          <w:szCs w:val="18"/>
          <w:color w:val="auto"/>
        </w:rPr>
        <w:t>(k)</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in accordance with Section 240.13d-1(b)(1)(ii)(J).</w:t>
      </w:r>
    </w:p>
    <w:p>
      <w:pPr>
        <w:spacing w:after="0" w:line="200" w:lineRule="exact"/>
        <w:rPr>
          <w:sz w:val="20"/>
          <w:szCs w:val="20"/>
          <w:color w:val="auto"/>
        </w:rPr>
      </w:pPr>
    </w:p>
    <w:p>
      <w:pPr>
        <w:sectPr>
          <w:pgSz w:w="11900" w:h="16838" w:orient="portrait"/>
          <w:cols w:equalWidth="0" w:num="2">
            <w:col w:w="2360" w:space="640"/>
            <w:col w:w="8240"/>
          </w:cols>
          <w:pgMar w:left="320" w:top="220" w:right="339" w:bottom="1440" w:gutter="0" w:footer="0" w:header="0"/>
          <w:type w:val="continuous"/>
        </w:sectPr>
      </w:pPr>
    </w:p>
    <w:p>
      <w:pPr>
        <w:spacing w:after="0" w:line="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XWEL Inv I beneficially owns 515,090 Shares.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their relationships described in Item 2(a) above, each of Blackwells Capital and Mr. Aintabi may be deemed to beneficially own the Shares owned by XWEL Inv I.</w:t>
      </w:r>
    </w:p>
    <w:p>
      <w:pPr>
        <w:spacing w:after="0" w:line="161"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this Schedule 13G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percentages are based on 5,256,024 Shares outstanding as of August 8, 2024, which is the total number of Shares outstanding immediately after the Issuer’s most recent offering (the “Offering”) as disclosed in the Issuer’s Prospectus Supplement on Form 424B5 filed with the Securities and Exchange Commission on August 7, 2024. The Issuer issued a press release on August 8, 2024 announcing the closing of the Offering.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98420U802</w:t>
      </w:r>
    </w:p>
    <w:p>
      <w:pPr>
        <w:spacing w:after="0" w:line="107"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As of the date hereof, XWEL Inv I beneficially owns approximately 9.8% of the outstanding Shares and each of Blackwells Capital and Mr. Aintabi, by virtue of their relationships described in Item 2(a) above, may be deemed to beneficially own approximately 9.8% of the outstanding Shares.</w:t>
      </w:r>
    </w:p>
    <w:p>
      <w:pPr>
        <w:spacing w:after="0" w:line="176"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Cover Pages Items 5-9.</w:t>
      </w:r>
    </w:p>
    <w:p>
      <w:pPr>
        <w:spacing w:after="0" w:line="1" w:lineRule="exact"/>
        <w:rPr>
          <w:rFonts w:ascii="Times New Roman" w:cs="Times New Roman" w:eastAsia="Times New Roman" w:hAnsi="Times New Roman"/>
          <w:sz w:val="18"/>
          <w:szCs w:val="18"/>
          <w:color w:val="auto"/>
        </w:rPr>
      </w:pPr>
    </w:p>
    <w:p>
      <w:pPr>
        <w:ind w:left="1300" w:right="6940" w:hanging="644"/>
        <w:spacing w:after="0" w:line="50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Cover Pages Items 5-9.</w:t>
      </w:r>
    </w:p>
    <w:p>
      <w:pPr>
        <w:spacing w:after="0" w:line="1" w:lineRule="exact"/>
        <w:rPr>
          <w:rFonts w:ascii="Times New Roman" w:cs="Times New Roman" w:eastAsia="Times New Roman" w:hAnsi="Times New Roman"/>
          <w:sz w:val="18"/>
          <w:szCs w:val="18"/>
          <w:color w:val="auto"/>
        </w:rPr>
      </w:pPr>
    </w:p>
    <w:p>
      <w:pPr>
        <w:ind w:left="1300" w:right="6220" w:hanging="644"/>
        <w:spacing w:after="0" w:line="50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Cover Pages Items 5-9.</w:t>
      </w:r>
    </w:p>
    <w:p>
      <w:pPr>
        <w:spacing w:after="0" w:line="1" w:lineRule="exact"/>
        <w:rPr>
          <w:rFonts w:ascii="Times New Roman" w:cs="Times New Roman" w:eastAsia="Times New Roman" w:hAnsi="Times New Roman"/>
          <w:sz w:val="18"/>
          <w:szCs w:val="18"/>
          <w:color w:val="auto"/>
        </w:rPr>
      </w:pPr>
    </w:p>
    <w:p>
      <w:pPr>
        <w:ind w:left="1300" w:right="6040" w:hanging="644"/>
        <w:spacing w:after="0" w:line="498"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Cover Pages Items 5-9.</w:t>
      </w:r>
    </w:p>
    <w:p>
      <w:pPr>
        <w:sectPr>
          <w:pgSz w:w="11900" w:h="16838" w:orient="portrait"/>
          <w:cols w:equalWidth="0" w:num="1">
            <w:col w:w="11240"/>
          </w:cols>
          <w:pgMar w:left="320" w:top="220" w:right="33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See Exhibit 99.1.</w:t>
      </w:r>
    </w:p>
    <w:p>
      <w:pPr>
        <w:sectPr>
          <w:pgSz w:w="11900" w:h="16838" w:orient="portrait"/>
          <w:cols w:equalWidth="0" w:num="1">
            <w:col w:w="11240"/>
          </w:cols>
          <w:pgMar w:left="320" w:top="220"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ectPr>
          <w:pgSz w:w="11900" w:h="16838" w:orient="portrait"/>
          <w:cols w:equalWidth="0" w:num="2">
            <w:col w:w="640" w:space="660"/>
            <w:col w:w="9940"/>
          </w:cols>
          <w:pgMar w:left="320" w:top="220" w:right="339" w:bottom="1440" w:gutter="0" w:footer="0" w:header="0"/>
          <w:type w:val="continuous"/>
        </w:sectPr>
      </w:pPr>
    </w:p>
    <w:p>
      <w:pPr>
        <w:spacing w:after="0" w:line="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98420U802</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2024</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XWEL INV I, LLC</w:t>
            </w:r>
          </w:p>
        </w:tc>
        <w:tc>
          <w:tcPr>
            <w:tcW w:w="3860" w:type="dxa"/>
            <w:vAlign w:val="bottom"/>
          </w:tcPr>
          <w:p>
            <w:pPr>
              <w:spacing w:after="0"/>
              <w:rPr>
                <w:sz w:val="20"/>
                <w:szCs w:val="20"/>
                <w:color w:val="auto"/>
              </w:rPr>
            </w:pP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Jason Aintabi</w:t>
            </w:r>
          </w:p>
        </w:tc>
      </w:tr>
      <w:tr>
        <w:trPr>
          <w:trHeight w:val="191"/>
        </w:trPr>
        <w:tc>
          <w:tcPr>
            <w:tcW w:w="660" w:type="dxa"/>
            <w:vAlign w:val="bottom"/>
          </w:tcPr>
          <w:p>
            <w:pPr>
              <w:spacing w:after="0"/>
              <w:rPr>
                <w:sz w:val="16"/>
                <w:szCs w:val="16"/>
                <w:color w:val="auto"/>
              </w:rPr>
            </w:pPr>
          </w:p>
        </w:tc>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Jason Aintabi</w:t>
            </w:r>
          </w:p>
        </w:tc>
      </w:tr>
      <w:tr>
        <w:trPr>
          <w:trHeight w:val="234"/>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Manager</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Blackwells Capital LLC</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Jason Aintabi</w:t>
            </w:r>
          </w:p>
        </w:tc>
      </w:tr>
      <w:tr>
        <w:trPr>
          <w:trHeight w:val="191"/>
        </w:trPr>
        <w:tc>
          <w:tcPr>
            <w:tcW w:w="660" w:type="dxa"/>
            <w:vAlign w:val="bottom"/>
          </w:tcPr>
          <w:p>
            <w:pPr>
              <w:spacing w:after="0"/>
              <w:rPr>
                <w:sz w:val="16"/>
                <w:szCs w:val="16"/>
                <w:color w:val="auto"/>
              </w:rPr>
            </w:pPr>
          </w:p>
        </w:tc>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Jason Aintabi</w:t>
            </w:r>
          </w:p>
        </w:tc>
      </w:tr>
      <w:tr>
        <w:trPr>
          <w:trHeight w:val="234"/>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Investment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Jason Aintabi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46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Jason Aintabi</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August 9, 2024 with respect to the common stock, par value $0.01 per share, of XWELL, Inc., and any amendments thereto executed by each and any of the undersigned shall be filed on behalf of each of the undersigned pursuant to and in accordance with the provisions of Rule 13d-1(k)(1)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2024</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XWEL INV I, LLC</w:t>
            </w:r>
          </w:p>
        </w:tc>
        <w:tc>
          <w:tcPr>
            <w:tcW w:w="3860" w:type="dxa"/>
            <w:vAlign w:val="bottom"/>
          </w:tcPr>
          <w:p>
            <w:pPr>
              <w:spacing w:after="0"/>
              <w:rPr>
                <w:sz w:val="20"/>
                <w:szCs w:val="20"/>
                <w:color w:val="auto"/>
              </w:rPr>
            </w:pP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Jason Aintabi</w:t>
            </w:r>
          </w:p>
        </w:tc>
      </w:tr>
      <w:tr>
        <w:trPr>
          <w:trHeight w:val="191"/>
        </w:trPr>
        <w:tc>
          <w:tcPr>
            <w:tcW w:w="660" w:type="dxa"/>
            <w:vAlign w:val="bottom"/>
          </w:tcPr>
          <w:p>
            <w:pPr>
              <w:spacing w:after="0"/>
              <w:rPr>
                <w:sz w:val="16"/>
                <w:szCs w:val="16"/>
                <w:color w:val="auto"/>
              </w:rPr>
            </w:pPr>
          </w:p>
        </w:tc>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Jason Aintabi</w:t>
            </w:r>
          </w:p>
        </w:tc>
      </w:tr>
      <w:tr>
        <w:trPr>
          <w:trHeight w:val="234"/>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Manager</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Blackwells Capital LLC</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Jason Aintabi</w:t>
            </w:r>
          </w:p>
        </w:tc>
      </w:tr>
      <w:tr>
        <w:trPr>
          <w:trHeight w:val="191"/>
        </w:trPr>
        <w:tc>
          <w:tcPr>
            <w:tcW w:w="660" w:type="dxa"/>
            <w:vAlign w:val="bottom"/>
          </w:tcPr>
          <w:p>
            <w:pPr>
              <w:spacing w:after="0"/>
              <w:rPr>
                <w:sz w:val="16"/>
                <w:szCs w:val="16"/>
                <w:color w:val="auto"/>
              </w:rPr>
            </w:pPr>
          </w:p>
        </w:tc>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Jason Aintabi</w:t>
            </w:r>
          </w:p>
        </w:tc>
      </w:tr>
      <w:tr>
        <w:trPr>
          <w:trHeight w:val="234"/>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Investment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Jason Aintabi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461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Jason Aintabi</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2024-08-09T15:21:32Z</dcterms:created>
  <dcterms:modified xsi:type="dcterms:W3CDTF">2024-08-09T15:21:32Z</dcterms:modified>
</cp:coreProperties>
</file>