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98420U703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2" w:lineRule="exact"/>
        <w:rPr>
          <w:sz w:val="24"/>
          <w:szCs w:val="24"/>
          <w:color w:val="auto"/>
        </w:rPr>
      </w:pPr>
    </w:p>
    <w:p>
      <w:pPr>
        <w:ind w:left="660" w:hanging="652"/>
        <w:spacing w:after="0" w:line="207" w:lineRule="exact"/>
        <w:tabs>
          <w:tab w:leader="none" w:pos="6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225"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2"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2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98420U703</w:t>
            </w:r>
          </w:p>
        </w:tc>
      </w:tr>
    </w:tbl>
    <w:p>
      <w:pPr>
        <w:spacing w:after="0" w:line="20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5"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200"/>
        <w:spacing w:after="0"/>
        <w:tabs>
          <w:tab w:leader="none" w:pos="2580" w:val="left"/>
        </w:tabs>
        <w:rPr>
          <w:sz w:val="20"/>
          <w:szCs w:val="20"/>
          <w:color w:val="auto"/>
        </w:rPr>
      </w:pPr>
      <w:r>
        <w:rPr>
          <w:rFonts w:ascii="Arial" w:cs="Arial" w:eastAsia="Arial" w:hAnsi="Arial"/>
          <w:sz w:val="18"/>
          <w:szCs w:val="18"/>
          <w:color w:val="auto"/>
        </w:rPr>
        <w:t>5.</w:t>
        <w:tab/>
        <w:t>Sole Voting Power</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16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6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Number of</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8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3"/>
        </w:trPr>
        <w:tc>
          <w:tcPr>
            <w:tcW w:w="16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70"/>
              <w:spacing w:after="0"/>
              <w:rPr>
                <w:sz w:val="20"/>
                <w:szCs w:val="20"/>
                <w:color w:val="auto"/>
              </w:rPr>
            </w:pPr>
            <w:r>
              <w:rPr>
                <w:rFonts w:ascii="Arial" w:cs="Arial" w:eastAsia="Arial" w:hAnsi="Arial"/>
                <w:sz w:val="18"/>
                <w:szCs w:val="18"/>
                <w:color w:val="auto"/>
                <w:w w:val="91"/>
              </w:rPr>
              <w:t>Shares Beneficially</w:t>
            </w:r>
          </w:p>
        </w:tc>
        <w:tc>
          <w:tcPr>
            <w:tcW w:w="540" w:type="dxa"/>
            <w:vAlign w:val="bottom"/>
          </w:tcPr>
          <w:p>
            <w:pPr>
              <w:spacing w:after="0"/>
              <w:rPr>
                <w:sz w:val="18"/>
                <w:szCs w:val="18"/>
                <w:color w:val="auto"/>
              </w:rPr>
            </w:pPr>
          </w:p>
        </w:tc>
        <w:tc>
          <w:tcPr>
            <w:tcW w:w="8780" w:type="dxa"/>
            <w:vAlign w:val="bottom"/>
            <w:vMerge w:val="restart"/>
          </w:tcPr>
          <w:p>
            <w:pPr>
              <w:ind w:left="140"/>
              <w:spacing w:after="0"/>
              <w:rPr>
                <w:sz w:val="20"/>
                <w:szCs w:val="20"/>
                <w:color w:val="auto"/>
              </w:rPr>
            </w:pPr>
            <w:r>
              <w:rPr>
                <w:rFonts w:ascii="Arial" w:cs="Arial" w:eastAsia="Arial" w:hAnsi="Arial"/>
                <w:sz w:val="18"/>
                <w:szCs w:val="18"/>
                <w:color w:val="auto"/>
              </w:rPr>
              <w:t>4,951,216</w:t>
            </w:r>
          </w:p>
        </w:tc>
        <w:tc>
          <w:tcPr>
            <w:tcW w:w="0" w:type="dxa"/>
            <w:vAlign w:val="bottom"/>
          </w:tcPr>
          <w:p>
            <w:pPr>
              <w:spacing w:after="0"/>
              <w:rPr>
                <w:sz w:val="1"/>
                <w:szCs w:val="1"/>
                <w:color w:val="auto"/>
              </w:rPr>
            </w:pPr>
          </w:p>
        </w:tc>
      </w:tr>
      <w:tr>
        <w:trPr>
          <w:trHeight w:val="116"/>
        </w:trPr>
        <w:tc>
          <w:tcPr>
            <w:tcW w:w="1660" w:type="dxa"/>
            <w:vAlign w:val="bottom"/>
            <w:vMerge w:val="restart"/>
          </w:tcPr>
          <w:p>
            <w:pPr>
              <w:jc w:val="center"/>
              <w:ind w:right="150"/>
              <w:spacing w:after="0"/>
              <w:rPr>
                <w:sz w:val="20"/>
                <w:szCs w:val="20"/>
                <w:color w:val="auto"/>
              </w:rPr>
            </w:pPr>
            <w:r>
              <w:rPr>
                <w:rFonts w:ascii="Arial" w:cs="Arial" w:eastAsia="Arial" w:hAnsi="Arial"/>
                <w:sz w:val="18"/>
                <w:szCs w:val="18"/>
                <w:color w:val="auto"/>
                <w:w w:val="89"/>
              </w:rPr>
              <w:t>Owned by Each</w:t>
            </w:r>
          </w:p>
        </w:tc>
        <w:tc>
          <w:tcPr>
            <w:tcW w:w="5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78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170"/>
              <w:spacing w:after="0"/>
              <w:rPr>
                <w:sz w:val="20"/>
                <w:szCs w:val="20"/>
                <w:color w:val="auto"/>
              </w:rPr>
            </w:pPr>
            <w:r>
              <w:rPr>
                <w:rFonts w:ascii="Arial" w:cs="Arial" w:eastAsia="Arial" w:hAnsi="Arial"/>
                <w:sz w:val="18"/>
                <w:szCs w:val="18"/>
                <w:color w:val="auto"/>
                <w:w w:val="92"/>
              </w:rPr>
              <w:t>Reporting</w:t>
            </w:r>
          </w:p>
        </w:tc>
        <w:tc>
          <w:tcPr>
            <w:tcW w:w="54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Person With: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0</wp:posOffset>
            </wp:positionV>
            <wp:extent cx="5915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ind w:left="2600" w:right="6780" w:hanging="405"/>
        <w:spacing w:after="0" w:line="391" w:lineRule="auto"/>
        <w:tabs>
          <w:tab w:leader="none" w:pos="26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4,951,216</w:t>
      </w:r>
    </w:p>
    <w:p>
      <w:pPr>
        <w:ind w:left="800" w:right="5640" w:hanging="461"/>
        <w:spacing w:after="0" w:line="38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4,951,216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506"/>
        <w:spacing w:after="0" w:line="207" w:lineRule="exact"/>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800" w:right="6640" w:hanging="503"/>
        <w:spacing w:after="0" w:line="391"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 (see Item 4)</w:t>
      </w:r>
    </w:p>
    <w:p>
      <w:pPr>
        <w:ind w:left="800" w:right="7260" w:hanging="506"/>
        <w:spacing w:after="0" w:line="52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2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98420U703</w:t>
            </w:r>
          </w:p>
        </w:tc>
      </w:tr>
    </w:tbl>
    <w:p>
      <w:pPr>
        <w:spacing w:after="0" w:line="20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5"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200"/>
        <w:spacing w:after="0"/>
        <w:tabs>
          <w:tab w:leader="none" w:pos="2580" w:val="left"/>
        </w:tabs>
        <w:rPr>
          <w:sz w:val="20"/>
          <w:szCs w:val="20"/>
          <w:color w:val="auto"/>
        </w:rPr>
      </w:pPr>
      <w:r>
        <w:rPr>
          <w:rFonts w:ascii="Arial" w:cs="Arial" w:eastAsia="Arial" w:hAnsi="Arial"/>
          <w:sz w:val="18"/>
          <w:szCs w:val="18"/>
          <w:color w:val="auto"/>
        </w:rPr>
        <w:t>5.</w:t>
        <w:tab/>
        <w:t>Sole Voting Power</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16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6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Number of</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8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3"/>
        </w:trPr>
        <w:tc>
          <w:tcPr>
            <w:tcW w:w="16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70"/>
              <w:spacing w:after="0"/>
              <w:rPr>
                <w:sz w:val="20"/>
                <w:szCs w:val="20"/>
                <w:color w:val="auto"/>
              </w:rPr>
            </w:pPr>
            <w:r>
              <w:rPr>
                <w:rFonts w:ascii="Arial" w:cs="Arial" w:eastAsia="Arial" w:hAnsi="Arial"/>
                <w:sz w:val="18"/>
                <w:szCs w:val="18"/>
                <w:color w:val="auto"/>
                <w:w w:val="91"/>
              </w:rPr>
              <w:t>Shares Beneficially</w:t>
            </w:r>
          </w:p>
        </w:tc>
        <w:tc>
          <w:tcPr>
            <w:tcW w:w="540" w:type="dxa"/>
            <w:vAlign w:val="bottom"/>
          </w:tcPr>
          <w:p>
            <w:pPr>
              <w:spacing w:after="0"/>
              <w:rPr>
                <w:sz w:val="18"/>
                <w:szCs w:val="18"/>
                <w:color w:val="auto"/>
              </w:rPr>
            </w:pPr>
          </w:p>
        </w:tc>
        <w:tc>
          <w:tcPr>
            <w:tcW w:w="8780" w:type="dxa"/>
            <w:vAlign w:val="bottom"/>
            <w:vMerge w:val="restart"/>
          </w:tcPr>
          <w:p>
            <w:pPr>
              <w:ind w:left="140"/>
              <w:spacing w:after="0"/>
              <w:rPr>
                <w:sz w:val="20"/>
                <w:szCs w:val="20"/>
                <w:color w:val="auto"/>
              </w:rPr>
            </w:pPr>
            <w:r>
              <w:rPr>
                <w:rFonts w:ascii="Arial" w:cs="Arial" w:eastAsia="Arial" w:hAnsi="Arial"/>
                <w:sz w:val="18"/>
                <w:szCs w:val="18"/>
                <w:color w:val="auto"/>
              </w:rPr>
              <w:t>4,951,216</w:t>
            </w:r>
          </w:p>
        </w:tc>
        <w:tc>
          <w:tcPr>
            <w:tcW w:w="0" w:type="dxa"/>
            <w:vAlign w:val="bottom"/>
          </w:tcPr>
          <w:p>
            <w:pPr>
              <w:spacing w:after="0"/>
              <w:rPr>
                <w:sz w:val="1"/>
                <w:szCs w:val="1"/>
                <w:color w:val="auto"/>
              </w:rPr>
            </w:pPr>
          </w:p>
        </w:tc>
      </w:tr>
      <w:tr>
        <w:trPr>
          <w:trHeight w:val="116"/>
        </w:trPr>
        <w:tc>
          <w:tcPr>
            <w:tcW w:w="1660" w:type="dxa"/>
            <w:vAlign w:val="bottom"/>
            <w:vMerge w:val="restart"/>
          </w:tcPr>
          <w:p>
            <w:pPr>
              <w:jc w:val="center"/>
              <w:ind w:right="150"/>
              <w:spacing w:after="0"/>
              <w:rPr>
                <w:sz w:val="20"/>
                <w:szCs w:val="20"/>
                <w:color w:val="auto"/>
              </w:rPr>
            </w:pPr>
            <w:r>
              <w:rPr>
                <w:rFonts w:ascii="Arial" w:cs="Arial" w:eastAsia="Arial" w:hAnsi="Arial"/>
                <w:sz w:val="18"/>
                <w:szCs w:val="18"/>
                <w:color w:val="auto"/>
                <w:w w:val="89"/>
              </w:rPr>
              <w:t>Owned by Each</w:t>
            </w:r>
          </w:p>
        </w:tc>
        <w:tc>
          <w:tcPr>
            <w:tcW w:w="5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78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170"/>
              <w:spacing w:after="0"/>
              <w:rPr>
                <w:sz w:val="20"/>
                <w:szCs w:val="20"/>
                <w:color w:val="auto"/>
              </w:rPr>
            </w:pPr>
            <w:r>
              <w:rPr>
                <w:rFonts w:ascii="Arial" w:cs="Arial" w:eastAsia="Arial" w:hAnsi="Arial"/>
                <w:sz w:val="18"/>
                <w:szCs w:val="18"/>
                <w:color w:val="auto"/>
                <w:w w:val="92"/>
              </w:rPr>
              <w:t>Reporting</w:t>
            </w:r>
          </w:p>
        </w:tc>
        <w:tc>
          <w:tcPr>
            <w:tcW w:w="54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Person With: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0</wp:posOffset>
            </wp:positionV>
            <wp:extent cx="59150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ind w:left="2600" w:right="6780" w:hanging="405"/>
        <w:spacing w:after="0" w:line="391"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4,951,216</w:t>
      </w:r>
    </w:p>
    <w:p>
      <w:pPr>
        <w:ind w:left="800" w:right="5640" w:hanging="461"/>
        <w:spacing w:after="0" w:line="383"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4,951,216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506"/>
        <w:spacing w:after="0" w:line="207" w:lineRule="exact"/>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800" w:right="6640" w:hanging="503"/>
        <w:spacing w:after="0" w:line="391"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 (see Item 4)</w:t>
      </w:r>
    </w:p>
    <w:p>
      <w:pPr>
        <w:ind w:left="800" w:right="7260" w:hanging="506"/>
        <w:spacing w:after="0" w:line="52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2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98420U703</w:t>
            </w:r>
          </w:p>
        </w:tc>
      </w:tr>
    </w:tbl>
    <w:p>
      <w:pPr>
        <w:spacing w:after="0" w:line="20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Intracoastal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5"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8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9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8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3"/>
        </w:trPr>
        <w:tc>
          <w:tcPr>
            <w:tcW w:w="19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1"/>
              </w:rPr>
              <w:t>Shares Beneficially</w:t>
            </w:r>
          </w:p>
        </w:tc>
        <w:tc>
          <w:tcPr>
            <w:tcW w:w="540" w:type="dxa"/>
            <w:vAlign w:val="bottom"/>
          </w:tcPr>
          <w:p>
            <w:pPr>
              <w:spacing w:after="0"/>
              <w:rPr>
                <w:sz w:val="18"/>
                <w:szCs w:val="18"/>
                <w:color w:val="auto"/>
              </w:rPr>
            </w:pPr>
          </w:p>
        </w:tc>
        <w:tc>
          <w:tcPr>
            <w:tcW w:w="8780" w:type="dxa"/>
            <w:vAlign w:val="bottom"/>
            <w:vMerge w:val="restart"/>
          </w:tcPr>
          <w:p>
            <w:pPr>
              <w:ind w:left="140"/>
              <w:spacing w:after="0"/>
              <w:rPr>
                <w:sz w:val="20"/>
                <w:szCs w:val="20"/>
                <w:color w:val="auto"/>
              </w:rPr>
            </w:pPr>
            <w:r>
              <w:rPr>
                <w:rFonts w:ascii="Arial" w:cs="Arial" w:eastAsia="Arial" w:hAnsi="Arial"/>
                <w:sz w:val="18"/>
                <w:szCs w:val="18"/>
                <w:color w:val="auto"/>
              </w:rPr>
              <w:t>4,951,216</w:t>
            </w:r>
          </w:p>
        </w:tc>
        <w:tc>
          <w:tcPr>
            <w:tcW w:w="0" w:type="dxa"/>
            <w:vAlign w:val="bottom"/>
          </w:tcPr>
          <w:p>
            <w:pPr>
              <w:spacing w:after="0"/>
              <w:rPr>
                <w:sz w:val="1"/>
                <w:szCs w:val="1"/>
                <w:color w:val="auto"/>
              </w:rPr>
            </w:pPr>
          </w:p>
        </w:tc>
      </w:tr>
      <w:tr>
        <w:trPr>
          <w:trHeight w:val="116"/>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89"/>
              </w:rPr>
              <w:t>Owned by Each</w:t>
            </w:r>
          </w:p>
        </w:tc>
        <w:tc>
          <w:tcPr>
            <w:tcW w:w="5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20" w:type="dxa"/>
            <w:vAlign w:val="bottom"/>
            <w:vMerge w:val="continue"/>
          </w:tcPr>
          <w:p>
            <w:pPr>
              <w:spacing w:after="0"/>
              <w:rPr>
                <w:sz w:val="6"/>
                <w:szCs w:val="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78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54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9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Person With: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0</wp:posOffset>
            </wp:positionV>
            <wp:extent cx="59150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ind w:left="2600" w:right="6780" w:hanging="405"/>
        <w:spacing w:after="0" w:line="391" w:lineRule="auto"/>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4,951,216</w:t>
      </w:r>
    </w:p>
    <w:p>
      <w:pPr>
        <w:ind w:left="800" w:right="5640" w:hanging="461"/>
        <w:spacing w:after="0" w:line="38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4,951,216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506"/>
        <w:spacing w:after="0" w:line="207" w:lineRule="exact"/>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800" w:right="6640" w:hanging="503"/>
        <w:spacing w:after="0" w:line="391"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 (see Item 4)</w:t>
      </w:r>
    </w:p>
    <w:p>
      <w:pPr>
        <w:ind w:left="800" w:hanging="50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Name of Issuer</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XpresSpa Group,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Address of Issuer’s Principal Executive Offices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254 West 31st Street, 11th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48"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44"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44"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40"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This Schedule 13G is being filed on behalf of (i) Mitchell P. Kopin, an individual who is a citizen of the United States of America (“</w:t>
      </w:r>
      <w:r>
        <w:rPr>
          <w:rFonts w:ascii="Arial" w:cs="Arial" w:eastAsia="Arial" w:hAnsi="Arial"/>
          <w:sz w:val="18"/>
          <w:szCs w:val="18"/>
          <w:b w:val="1"/>
          <w:bCs w:val="1"/>
          <w:color w:val="auto"/>
        </w:rPr>
        <w:t>Mr.</w:t>
      </w:r>
      <w:r>
        <w:rPr>
          <w:rFonts w:ascii="Arial" w:cs="Arial" w:eastAsia="Arial" w:hAnsi="Arial"/>
          <w:sz w:val="18"/>
          <w:szCs w:val="18"/>
          <w:color w:val="auto"/>
        </w:rPr>
        <w:t xml:space="preserve"> </w:t>
      </w:r>
      <w:r>
        <w:rPr>
          <w:rFonts w:ascii="Arial" w:cs="Arial" w:eastAsia="Arial" w:hAnsi="Arial"/>
          <w:sz w:val="18"/>
          <w:szCs w:val="18"/>
          <w:b w:val="1"/>
          <w:bCs w:val="1"/>
          <w:color w:val="auto"/>
        </w:rPr>
        <w:t>Kopin</w:t>
      </w:r>
      <w:r>
        <w:rPr>
          <w:rFonts w:ascii="Arial" w:cs="Arial" w:eastAsia="Arial" w:hAnsi="Arial"/>
          <w:sz w:val="18"/>
          <w:szCs w:val="18"/>
          <w:color w:val="auto"/>
        </w:rPr>
        <w:t>”), (ii) Daniel B. Asher, an individual who is a citizen of the United States of America (“</w:t>
      </w:r>
      <w:r>
        <w:rPr>
          <w:rFonts w:ascii="Arial" w:cs="Arial" w:eastAsia="Arial" w:hAnsi="Arial"/>
          <w:sz w:val="18"/>
          <w:szCs w:val="18"/>
          <w:b w:val="1"/>
          <w:bCs w:val="1"/>
          <w:color w:val="auto"/>
        </w:rPr>
        <w:t>Mr. Asher</w:t>
      </w:r>
      <w:r>
        <w:rPr>
          <w:rFonts w:ascii="Arial" w:cs="Arial" w:eastAsia="Arial" w:hAnsi="Arial"/>
          <w:sz w:val="18"/>
          <w:szCs w:val="18"/>
          <w:color w:val="auto"/>
        </w:rPr>
        <w:t>”) and (iii) Intracoastal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w:t>
      </w:r>
      <w:r>
        <w:rPr>
          <w:rFonts w:ascii="Arial" w:cs="Arial" w:eastAsia="Arial" w:hAnsi="Arial"/>
          <w:sz w:val="18"/>
          <w:szCs w:val="18"/>
          <w:b w:val="1"/>
          <w:bCs w:val="1"/>
          <w:color w:val="auto"/>
        </w:rPr>
        <w:t>Intracoastal</w:t>
      </w:r>
      <w:r>
        <w:rPr>
          <w:rFonts w:ascii="Arial" w:cs="Arial" w:eastAsia="Arial" w:hAnsi="Arial"/>
          <w:sz w:val="18"/>
          <w:szCs w:val="18"/>
          <w:color w:val="auto"/>
        </w:rPr>
        <w:t>” and together with Mr. Kopin and Mr. Asher, collectively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w:t>
      </w:r>
    </w:p>
    <w:p>
      <w:pPr>
        <w:spacing w:after="0" w:line="99" w:lineRule="exact"/>
        <w:rPr>
          <w:sz w:val="20"/>
          <w:szCs w:val="20"/>
          <w:color w:val="auto"/>
        </w:rPr>
      </w:pPr>
    </w:p>
    <w:p>
      <w:pPr>
        <w:jc w:val="both"/>
        <w:ind w:left="13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Reporting Persons have entered into a Joint Filing Agreement, a copy of which is filed with this Schedule 13G as </w:t>
      </w:r>
      <w:hyperlink w:anchor="page8">
        <w:r>
          <w:rPr>
            <w:rFonts w:ascii="Arial" w:cs="Arial" w:eastAsia="Arial" w:hAnsi="Arial"/>
            <w:sz w:val="18"/>
            <w:szCs w:val="18"/>
            <w:b w:val="1"/>
            <w:bCs w:val="1"/>
            <w:u w:val="single" w:color="auto"/>
            <w:color w:val="0000EE"/>
          </w:rPr>
          <w:t>Exhibit 1</w:t>
        </w:r>
      </w:hyperlink>
      <w:r>
        <w:rPr>
          <w:rFonts w:ascii="Arial" w:cs="Arial" w:eastAsia="Arial" w:hAnsi="Arial"/>
          <w:sz w:val="18"/>
          <w:szCs w:val="18"/>
          <w:color w:val="auto"/>
        </w:rPr>
        <w:t>, pursuant to which the Reporting Persons have agreed to file this Schedule 13G jointly in accordance with the provisions of Rule 13d-1(k) of the Securities Exchange Act of 1934, as amended.</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office of Mr. Kopin and Intracoastal is 245 Palm Trail, Delray Beach, Florida 33483.</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office of Mr. Asher is 111 W. Jackson Boulevard, Suite 2000, Chicago, Illinois 60604.</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$0.01 par value per share, of the Issuer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48" w:lineRule="exact"/>
        <w:rPr>
          <w:sz w:val="20"/>
          <w:szCs w:val="20"/>
          <w:color w:val="auto"/>
        </w:rPr>
      </w:pPr>
    </w:p>
    <w:p>
      <w:pPr>
        <w:ind w:left="1300" w:right="9080" w:hanging="644"/>
        <w:spacing w:after="0" w:line="455" w:lineRule="auto"/>
        <w:tabs>
          <w:tab w:leader="none" w:pos="8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98420U703</w:t>
      </w: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48"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w:t>
      </w:r>
    </w:p>
    <w:p>
      <w:pPr>
        <w:spacing w:after="0" w:line="140" w:lineRule="exact"/>
        <w:rPr>
          <w:rFonts w:ascii="Arial" w:cs="Arial" w:eastAsia="Arial" w:hAnsi="Arial"/>
          <w:sz w:val="18"/>
          <w:szCs w:val="18"/>
          <w:color w:val="auto"/>
        </w:rPr>
      </w:pPr>
    </w:p>
    <w:p>
      <w:pPr>
        <w:jc w:val="both"/>
        <w:ind w:left="660" w:firstLine="320"/>
        <w:spacing w:after="0" w:line="285" w:lineRule="auto"/>
        <w:tabs>
          <w:tab w:leader="none" w:pos="1234" w:val="left"/>
        </w:tabs>
        <w:numPr>
          <w:ilvl w:val="1"/>
          <w:numId w:val="13"/>
        </w:numPr>
        <w:rPr>
          <w:rFonts w:ascii="Arial" w:cs="Arial" w:eastAsia="Arial" w:hAnsi="Arial"/>
          <w:sz w:val="16"/>
          <w:szCs w:val="16"/>
          <w:color w:val="auto"/>
        </w:rPr>
      </w:pPr>
      <w:r>
        <w:rPr>
          <w:rFonts w:ascii="Arial" w:cs="Arial" w:eastAsia="Arial" w:hAnsi="Arial"/>
          <w:sz w:val="16"/>
          <w:szCs w:val="16"/>
          <w:color w:val="auto"/>
        </w:rPr>
        <w:t>Immediately following the execution of the Securities Purchase Agreement with the Issuer on December 17, 2020 (the “</w:t>
      </w:r>
      <w:r>
        <w:rPr>
          <w:rFonts w:ascii="Arial" w:cs="Arial" w:eastAsia="Arial" w:hAnsi="Arial"/>
          <w:sz w:val="16"/>
          <w:szCs w:val="16"/>
          <w:b w:val="1"/>
          <w:bCs w:val="1"/>
          <w:color w:val="auto"/>
        </w:rPr>
        <w:t>SPA</w:t>
      </w:r>
      <w:r>
        <w:rPr>
          <w:rFonts w:ascii="Arial" w:cs="Arial" w:eastAsia="Arial" w:hAnsi="Arial"/>
          <w:sz w:val="16"/>
          <w:szCs w:val="16"/>
          <w:color w:val="auto"/>
        </w:rPr>
        <w:t>”) (as disclosed in the Form 8-K filed by the Issuer with the Securities and Exchange Commission on December 21, 2020), each of the Reporting Persons may have been deemed to have beneficial ownership of 7,715,519 shares of Common Stock, which consisted of (i) 2,941,177 shares of Common Stock to be issued to Intracoastal at the closing of the transaction contemplated by the SPA, (ii) 2,941,177 shares of Common Stock issuable upon exercise of a warrant to be issued to Intracoastal at the closing of the transaction contemplated by the SPA (“</w:t>
      </w:r>
      <w:r>
        <w:rPr>
          <w:rFonts w:ascii="Arial" w:cs="Arial" w:eastAsia="Arial" w:hAnsi="Arial"/>
          <w:sz w:val="16"/>
          <w:szCs w:val="16"/>
          <w:b w:val="1"/>
          <w:bCs w:val="1"/>
          <w:color w:val="auto"/>
        </w:rPr>
        <w:t>Intracoastal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1</w:t>
      </w:r>
      <w:r>
        <w:rPr>
          <w:rFonts w:ascii="Arial" w:cs="Arial" w:eastAsia="Arial" w:hAnsi="Arial"/>
          <w:sz w:val="16"/>
          <w:szCs w:val="16"/>
          <w:color w:val="auto"/>
        </w:rPr>
        <w:t>”), (iii) 951,838 shares of Common Stock issuable upon exercise of a warrant held by Intracoastal (“</w:t>
      </w:r>
      <w:r>
        <w:rPr>
          <w:rFonts w:ascii="Arial" w:cs="Arial" w:eastAsia="Arial" w:hAnsi="Arial"/>
          <w:sz w:val="16"/>
          <w:szCs w:val="16"/>
          <w:b w:val="1"/>
          <w:bCs w:val="1"/>
          <w:color w:val="auto"/>
        </w:rPr>
        <w:t>Intracoastal Warrant 2</w:t>
      </w:r>
      <w:r>
        <w:rPr>
          <w:rFonts w:ascii="Arial" w:cs="Arial" w:eastAsia="Arial" w:hAnsi="Arial"/>
          <w:sz w:val="16"/>
          <w:szCs w:val="16"/>
          <w:color w:val="auto"/>
        </w:rPr>
        <w:t>”) and (iv) 881,327</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issuable upon exercise of a second warrant held by Intracoastal (“</w:t>
      </w:r>
      <w:r>
        <w:rPr>
          <w:rFonts w:ascii="Arial" w:cs="Arial" w:eastAsia="Arial" w:hAnsi="Arial"/>
          <w:sz w:val="16"/>
          <w:szCs w:val="16"/>
          <w:b w:val="1"/>
          <w:bCs w:val="1"/>
          <w:color w:val="auto"/>
        </w:rPr>
        <w:t>Intracoastal Warrant 3</w:t>
      </w:r>
      <w:r>
        <w:rPr>
          <w:rFonts w:ascii="Arial" w:cs="Arial" w:eastAsia="Arial" w:hAnsi="Arial"/>
          <w:sz w:val="16"/>
          <w:szCs w:val="16"/>
          <w:color w:val="auto"/>
        </w:rPr>
        <w:t>”), and all such shares of Common Stock in the aggregate represent beneficial ownership of approximately 9.99% of the Common Stock, based on (1) 69,516,905 shares of Common Stock outstanding as of December 17, 2020 as reported by the Issuer, plus (2) 2,941,177 shares of Common Stock to be issued to Intracoastal at the closing of the transaction contemplated by the SPA, (3) 2,941,177 shares of Common Stock issuable upon exercise of Intracoastal Warrant 1, (4) 951,838 shares of Common Stock issuable upon exercise of Intracoastal Warrant 2 and (5) 881,327 shares of Common Stock issuable upon exercise of Intracoastal Warrant 3. The foregoing excludes (I) 176,874 shares of Common Stock issuable upon exercise of Intracoastal Warrant 3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9.99% of the Common Stock and (II) 2,150 shares of Common Stock issuable upon exercise of a third warrant held by Intracoastal (“</w:t>
      </w:r>
      <w:r>
        <w:rPr>
          <w:rFonts w:ascii="Arial" w:cs="Arial" w:eastAsia="Arial" w:hAnsi="Arial"/>
          <w:sz w:val="16"/>
          <w:szCs w:val="16"/>
          <w:b w:val="1"/>
          <w:bCs w:val="1"/>
          <w:color w:val="auto"/>
        </w:rPr>
        <w:t>Intracoastal</w:t>
      </w:r>
      <w:r>
        <w:rPr>
          <w:rFonts w:ascii="Arial" w:cs="Arial" w:eastAsia="Arial" w:hAnsi="Arial"/>
          <w:sz w:val="16"/>
          <w:szCs w:val="16"/>
          <w:color w:val="auto"/>
        </w:rPr>
        <w:t xml:space="preserve"> </w:t>
      </w:r>
      <w:r>
        <w:rPr>
          <w:rFonts w:ascii="Arial" w:cs="Arial" w:eastAsia="Arial" w:hAnsi="Arial"/>
          <w:sz w:val="16"/>
          <w:szCs w:val="16"/>
          <w:b w:val="1"/>
          <w:bCs w:val="1"/>
          <w:color w:val="auto"/>
        </w:rPr>
        <w:t>Warrant 4</w:t>
      </w:r>
      <w:r>
        <w:rPr>
          <w:rFonts w:ascii="Arial" w:cs="Arial" w:eastAsia="Arial" w:hAnsi="Arial"/>
          <w:sz w:val="16"/>
          <w:szCs w:val="16"/>
          <w:color w:val="auto"/>
        </w:rPr>
        <w:t>”) because Intracoastal Warrant 4 contains a blocker provision under which the holder thereof does not have the right to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Intracoastal Warrant 4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7,894,543 shares of Common Stock.</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660" w:firstLine="320"/>
        <w:spacing w:after="0" w:line="291" w:lineRule="auto"/>
        <w:tabs>
          <w:tab w:leader="none" w:pos="124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As of the close of business on December 24, 2020, each of the Reporting Persons may have been deemed to have beneficial ownership of 4,951,216 shares of Common Stock, which consisted of (i) 2,941,177 shares of Common Stock issuable upon exercise of Intracoastal Warrant 1,</w:t>
      </w:r>
    </w:p>
    <w:p>
      <w:pPr>
        <w:jc w:val="both"/>
        <w:ind w:left="660" w:hanging="4"/>
        <w:spacing w:after="0" w:line="281" w:lineRule="auto"/>
        <w:tabs>
          <w:tab w:leader="none" w:pos="9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951,838 shares of Common Stock issuable upon exercise of Intracoastal Warrant 2 and (iii) 1,058,201 shares of Common Stock issuable upon exercise of Intracoastal Warrant 3, and all such shares of Common Stock represented beneficial ownership of approximately 5.0% of the Common Stock, based on (1) 69,516,905 shares of Common Stock outstanding as of December 17, 2020 as reported by the Issuer, plus (2) 24,509,806 shares of Common Stock in the aggregate issued at the closing of the transaction contemplated by the SPA, (3) 2,941,177 shares of Common Stock issuable upon exercise of Intracoastal Warrant 1, (4) 951,838 shares of Common Stock issuable upon exercise of Intracoastal Warrant 2 and</w:t>
      </w:r>
    </w:p>
    <w:p>
      <w:pPr>
        <w:spacing w:after="0" w:line="2" w:lineRule="exact"/>
        <w:rPr>
          <w:rFonts w:ascii="Arial" w:cs="Arial" w:eastAsia="Arial" w:hAnsi="Arial"/>
          <w:sz w:val="16"/>
          <w:szCs w:val="16"/>
          <w:color w:val="auto"/>
        </w:rPr>
      </w:pPr>
    </w:p>
    <w:p>
      <w:pPr>
        <w:jc w:val="both"/>
        <w:ind w:left="660"/>
        <w:spacing w:after="0" w:line="270" w:lineRule="auto"/>
        <w:rPr>
          <w:rFonts w:ascii="Arial" w:cs="Arial" w:eastAsia="Arial" w:hAnsi="Arial"/>
          <w:sz w:val="16"/>
          <w:szCs w:val="16"/>
          <w:color w:val="auto"/>
        </w:rPr>
      </w:pPr>
      <w:r>
        <w:rPr>
          <w:rFonts w:ascii="Arial" w:cs="Arial" w:eastAsia="Arial" w:hAnsi="Arial"/>
          <w:sz w:val="17"/>
          <w:szCs w:val="17"/>
          <w:color w:val="auto"/>
        </w:rPr>
        <w:t>(5) 1,058,201 shares of Common Stock issuable upon exercise of Intracoastal Warrant 3. The foregoing excludes 2,150 shares of Common Stock issuable upon exercise of Intracoastal Warrant 4 because Intracoastal Warrant 4 contains a blocker provision under which the holder thereof does not have the right to exercise Intracoastal Warrant 4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 each of the Reporting Persons may have been deemed to have beneficial ownership of 4,953,366 shares of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Number of shares as to which each Reporting Person has: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auto"/>
                <w:w w:val="92"/>
              </w:rPr>
              <w:t>(i) Sole power to vote or to direct the vote:</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17"/>
                <w:szCs w:val="17"/>
                <w:color w:val="auto"/>
              </w:rPr>
            </w:pPr>
          </w:p>
        </w:tc>
        <w:tc>
          <w:tcPr>
            <w:tcW w:w="200" w:type="dxa"/>
            <w:vAlign w:val="bottom"/>
          </w:tcPr>
          <w:p>
            <w:pPr>
              <w:jc w:val="right"/>
              <w:ind w:right="109"/>
              <w:spacing w:after="0"/>
              <w:rPr>
                <w:sz w:val="20"/>
                <w:szCs w:val="20"/>
                <w:color w:val="auto"/>
              </w:rPr>
            </w:pPr>
            <w:r>
              <w:rPr>
                <w:rFonts w:ascii="Arial" w:cs="Arial" w:eastAsia="Arial" w:hAnsi="Arial"/>
                <w:sz w:val="10"/>
                <w:szCs w:val="10"/>
                <w:color w:val="auto"/>
                <w:w w:val="7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340" w:type="dxa"/>
            <w:vAlign w:val="bottom"/>
            <w:gridSpan w:val="2"/>
          </w:tcPr>
          <w:p>
            <w:pPr>
              <w:spacing w:after="0"/>
              <w:rPr>
                <w:sz w:val="20"/>
                <w:szCs w:val="20"/>
                <w:color w:val="auto"/>
              </w:rPr>
            </w:pPr>
            <w:r>
              <w:rPr>
                <w:rFonts w:ascii="Arial" w:cs="Arial" w:eastAsia="Arial" w:hAnsi="Arial"/>
                <w:sz w:val="18"/>
                <w:szCs w:val="18"/>
                <w:color w:val="auto"/>
                <w:w w:val="92"/>
              </w:rPr>
              <w:t>(ii) Shared power to vote or to direct the vote:</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4,951,216</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jc w:val="right"/>
              <w:ind w:right="9"/>
              <w:spacing w:after="0"/>
              <w:rPr>
                <w:sz w:val="20"/>
                <w:szCs w:val="20"/>
                <w:color w:val="auto"/>
              </w:rPr>
            </w:pPr>
            <w:r>
              <w:rPr>
                <w:rFonts w:ascii="Arial" w:cs="Arial" w:eastAsia="Arial" w:hAnsi="Arial"/>
                <w:sz w:val="10"/>
                <w:szCs w:val="10"/>
                <w:color w:val="auto"/>
                <w:w w:val="70"/>
              </w:rPr>
              <w: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080" w:type="dxa"/>
            <w:vAlign w:val="bottom"/>
            <w:gridSpan w:val="5"/>
          </w:tcPr>
          <w:p>
            <w:pPr>
              <w:spacing w:after="0"/>
              <w:rPr>
                <w:sz w:val="20"/>
                <w:szCs w:val="20"/>
                <w:color w:val="auto"/>
              </w:rPr>
            </w:pPr>
            <w:r>
              <w:rPr>
                <w:rFonts w:ascii="Arial" w:cs="Arial" w:eastAsia="Arial" w:hAnsi="Arial"/>
                <w:sz w:val="18"/>
                <w:szCs w:val="18"/>
                <w:color w:val="auto"/>
                <w:w w:val="93"/>
              </w:rPr>
              <w:t>(iii) Sole power to dispose or to direct the disposition of</w:t>
            </w:r>
          </w:p>
        </w:tc>
        <w:tc>
          <w:tcPr>
            <w:tcW w:w="30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1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
        </w:trPr>
        <w:tc>
          <w:tcPr>
            <w:tcW w:w="4080" w:type="dxa"/>
            <w:vAlign w:val="bottom"/>
            <w:gridSpan w:val="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40" w:type="dxa"/>
            <w:vAlign w:val="bottom"/>
            <w:gridSpan w:val="6"/>
          </w:tcPr>
          <w:p>
            <w:pPr>
              <w:spacing w:after="0"/>
              <w:rPr>
                <w:sz w:val="20"/>
                <w:szCs w:val="20"/>
                <w:color w:val="auto"/>
              </w:rPr>
            </w:pPr>
            <w:r>
              <w:rPr>
                <w:rFonts w:ascii="Arial" w:cs="Arial" w:eastAsia="Arial" w:hAnsi="Arial"/>
                <w:sz w:val="18"/>
                <w:szCs w:val="18"/>
                <w:color w:val="auto"/>
                <w:w w:val="91"/>
              </w:rPr>
              <w:t>(iv) Shared power to dispose or to direct the disposition of</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4,951,216</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December 28,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December 28,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1"/>
      <w:numFmt w:val="decimal"/>
      <w:start w:val="1"/>
    </w:lvl>
    <w:lvl w:ilvl="1">
      <w:lvlJc w:val="left"/>
      <w:lvlText w:val="%2."/>
      <w:numFmt w:val="decimal"/>
      <w:start w:val="8"/>
    </w:lvl>
  </w:abstractNum>
  <w:abstractNum w:abstractNumId="2">
    <w:nsid w:val="5BD062C2"/>
    <w:multiLevelType w:val="hybridMultilevel"/>
    <w:lvl w:ilvl="0">
      <w:lvlJc w:val="left"/>
      <w:lvlText w:val="%1."/>
      <w:numFmt w:val="decimal"/>
      <w:start w:val="9"/>
    </w:lvl>
    <w:lvl w:ilvl="1">
      <w:lvlJc w:val="left"/>
      <w:lvlText w:val="%2"/>
      <w:numFmt w:val="decimal"/>
      <w:start w:val="1"/>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1"/>
      <w:numFmt w:val="decimal"/>
      <w:start w:val="1"/>
    </w:lvl>
    <w:lvl w:ilvl="1">
      <w:lvlJc w:val="left"/>
      <w:lvlText w:val="%2."/>
      <w:numFmt w:val="decimal"/>
      <w:start w:val="8"/>
    </w:lvl>
  </w:abstractNum>
  <w:abstractNum w:abstractNumId="5">
    <w:nsid w:val="216231B"/>
    <w:multiLevelType w:val="hybridMultilevel"/>
    <w:lvl w:ilvl="0">
      <w:lvlJc w:val="left"/>
      <w:lvlText w:val="%1."/>
      <w:numFmt w:val="decimal"/>
      <w:start w:val="9"/>
    </w:lvl>
    <w:lvl w:ilvl="1">
      <w:lvlJc w:val="left"/>
      <w:lvlText w:val="%2"/>
      <w:numFmt w:val="decimal"/>
      <w:start w:val="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
    </w:lvl>
    <w:lvl w:ilvl="1">
      <w:lvlJc w:val="left"/>
      <w:lvlText w:val="%2."/>
      <w:numFmt w:val="decimal"/>
      <w:start w:val="8"/>
    </w:lvl>
  </w:abstractNum>
  <w:abstractNum w:abstractNumId="8">
    <w:nsid w:val="66EF438D"/>
    <w:multiLevelType w:val="hybridMultilevel"/>
    <w:lvl w:ilvl="0">
      <w:lvlJc w:val="left"/>
      <w:lvlText w:val="%1."/>
      <w:numFmt w:val="decimal"/>
      <w:start w:val="9"/>
    </w:lvl>
    <w:lvl w:ilvl="1">
      <w:lvlJc w:val="left"/>
      <w:lvlText w:val="%2"/>
      <w:numFmt w:val="decimal"/>
      <w:start w:val="1"/>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lvl w:ilvl="1">
      <w:lvlJc w:val="left"/>
      <w:lvlText w:val="(%2)"/>
      <w:numFmt w:val="lowerLetter"/>
      <w:start w:val="9"/>
    </w:lvl>
  </w:abstractNum>
  <w:abstractNum w:abstractNumId="13">
    <w:nsid w:val="7FDCC233"/>
    <w:multiLevelType w:val="hybridMultilevel"/>
    <w:lvl w:ilvl="0">
      <w:lvlJc w:val="left"/>
      <w:lvlText w:val="%1"/>
      <w:numFmt w:val="lowerRoman"/>
      <w:start w:val="1"/>
    </w:lvl>
    <w:lvl w:ilvl="1">
      <w:lvlJc w:val="left"/>
      <w:lvlText w:val="(%2)"/>
      <w:numFmt w:val="lowerRoman"/>
      <w:start w:val="2"/>
    </w:lvl>
  </w:abstractNum>
  <w:abstractNum w:abstractNumId="14">
    <w:nsid w:val="1BEFD79F"/>
    <w:multiLevelType w:val="hybridMultilevel"/>
    <w:lvl w:ilvl="0">
      <w:lvlJc w:val="left"/>
      <w:lvlText w:val="(%1)"/>
      <w:numFmt w:val="lowerRoman"/>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2020-12-28T05:46:29Z</dcterms:created>
  <dcterms:modified xsi:type="dcterms:W3CDTF">2020-12-28T05:46:29Z</dcterms:modified>
</cp:coreProperties>
</file>