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411774d1_8k.htm"/>
      <w:bookmarkStart w:id="1" w:name="kstm2411774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404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12, 2024</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4"/>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12" w:space="0" w:color="000000"/>
            </w:tcBorders>
            <w:vAlign w:val="center"/>
          </w:tcPr>
          <w:p>
            <w:pPr>
              <w:pStyle w:val="TableContents"/>
              <w:bidi w:val="0"/>
              <w:spacing w:before="0" w:after="283"/>
              <w:jc w:val="center"/>
              <w:rPr>
                <w:b/>
                <w:sz w:val="20"/>
              </w:rPr>
            </w:pPr>
            <w:bookmarkStart w:id="6" w:name="xdx_90B_edei--EntityFileNumber_c20240412"/>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12" w:space="0" w:color="000000"/>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254 West 31st Street, </w:t>
            </w:r>
            <w:bookmarkStart w:id="9" w:name="xdx_90B_edei--EntityAddressAddressLine2_"/>
            <w:bookmarkEnd w:id="9"/>
            <w:r>
              <w:rPr>
                <w:b/>
                <w:sz w:val="20"/>
              </w:rPr>
              <w:t xml:space="preserve">11th Floor, </w:t>
            </w:r>
            <w:bookmarkStart w:id="10" w:name="xdx_90A_edei--EntityAddressCityOrTown_c2"/>
            <w:bookmarkEnd w:id="10"/>
            <w:r>
              <w:rPr>
                <w:b/>
                <w:sz w:val="20"/>
              </w:rPr>
              <w:t xml:space="preserve">New York, </w:t>
            </w:r>
            <w:bookmarkStart w:id="11" w:name="xdx_90A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E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0_edei--CityAreaCode_c20240412__20"/>
      <w:bookmarkEnd w:id="13"/>
      <w:r>
        <w:rPr>
          <w:rFonts w:ascii="Times New Roman;Times;Serif" w:hAnsi="Times New Roman;Times;Serif"/>
          <w:b/>
          <w:i w:val="false"/>
          <w:caps w:val="false"/>
          <w:smallCaps w:val="false"/>
          <w:sz w:val="20"/>
        </w:rPr>
        <w:t xml:space="preserve">212) </w:t>
      </w:r>
      <w:bookmarkStart w:id="14" w:name="xdx_90B_edei--LocalPhoneNumber_c20240412"/>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F_edei--SolicitingMaterial_c202404"/>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4_edei--Security12bTitle_c20240412"/>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4_edei--TradingSymbol_c20240412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4_edei--SecurityExchangeName_c2024"/>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4.02 Non-Reliance on Previously Issued Financial Statements or a Related Audit Report or Completed Interim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12, 2024, the Audit Committee (the “Audit Committee”) of the Board of Directors of XWELL, Inc. (the “Company”), after audit work performed and consultation with management and with its independent registered public accounting firm, determined that the Company incorrectly applied U.S. Generally Accepted Accounting Principles (“GAAP”) as related to the determination of the impairment of the Company’s Treat, Inc. (“Treat”) business segment for the three and nine months ended September 30, 2023 (“Q3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the process of determining the full effect of the misapplication of GAAP as related to the impairment of the Treat business segment and preliminarily estimates that the cumulative effect is an understatement of the impairment expenses as related to the Treat business segment of $1,613,000 for Q3 2023; however, such amounts are subject to revision as the Company finalizes its analysis with its independent registered public accounting firm. These errors have no effect on the Company’s previously reported cash and cash equivalents or marketable securities balances or cash runway. The Company previously reported impairment charges of approximately $6.8 million associated with certain intangible assets in its Quarterly Report on Form 10-Q for Q3 2023, filed with the Securities and Exchange Commission (the “SEC”) on November 14, 2023 (“Third Quarter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determination, the Audit Committee concluded that it is appropriate to correct the misapplication of GAAP described above for financial statements for Q3 2023 included in the Third Quarter Quarterly Report, by restating such unaudited financial information because the errors in the financial statements are material to the financial statements for Q3 2023. As a result, unaudited financial statements for Q3 2023 should no longer be relied on. Similarly, any previously issued or filed reports, press releases, earnings releases, and investor presentations or other communications describing the Company’s financial statements and other related financial information covering Q3 2023, should no longer be relied upon. The Company will disclose in its Annual Report on Form 10-K for the year ended December 31, 2023 (“2023 Annual Report”), the restated financial statements for Q3 2023 (“Restatement”) by adjusting the Q3 2023 data (as originally filed). The Company is currently working to complete the filing of its 2023 Annual Report, as soon as practicable, which such filing will include the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assessing the effect of the Restatement on the Company’s internal control over financial reporting and its disclosure controls and procedures. The Company expects to report at least one material weakness following completion of its analysis of the cause of the Restatement.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existence of one or more material weaknesses precludes a conclusion by management that the Company’s disclosure controls and procedures and internal control over financial reporting are effective. As a result of the material weakness or material weaknesses, the Company believes that its internal control over financial reporting was not effective, and its disclosure controls and procedures were not effective for Q3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and the Audit Committee have discussed the matters described in this Item 4.02 with its independent registered public accounting firm, Marcum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Forward-Looking Statements:</w:t>
      </w:r>
      <w:r>
        <w:rPr>
          <w:rFonts w:ascii="Times New Roman;Times;Serif" w:hAnsi="Times New Roman;Times;Serif"/>
          <w:b w:val="false"/>
          <w:i w:val="false"/>
          <w:caps w:val="false"/>
          <w:smallCaps w:val="false"/>
          <w:sz w:val="20"/>
        </w:rPr>
        <w:t xml:space="preserve"> This Current Report on Form 8-K contains “forward-looking” statements within the meaning of Section 27A of the Securities Act of 1933, as amended, and Section 21E of the Securities and Exchange Act of 1934, as amended. All statements other than statements of historical fact are statements that could be deemed forward-looking statements. The Company advises caution in reliance on forward-looking statements. Forward-looking statements include, without limitation, the Company’s plans related to the restatement of the financial statements as of and for Q3 2023, and the Company’s estimates related to the errors included in the financial statements covering Q3 2023. These forward-looking statements involve known and unknown risks, uncertainties and other factors that may cause actual results to differ materially from those implied by forward-looking statements, including the outcome of the Company’s completion of the qualification and evaluation of the specific impact of the misapplication of GAAP as related to the impairment of the Treat business segment in the Company’s financial results and previously issued financial statements, including the possibility of material adjustments thereto, the discovery of additional and unanticipated information during the procedures required to be completed before the Company is able to file its Annual Report on Form 10-K for the year ended December 31, 2023; and the application of accounting or tax principles in an unanticipated manner. See also additional risk factors set forth in the Company’s periodic filings with the SEC, including, but not limited to, those risks and uncertainties listed in the section entitled “Risk Factors,” in the Company’s Annual Report on Form 10-K and Quarterly Reports on Form 10-Q filed with the SEC. All forward-looking statements in this Current Report on Form 8-K are based on information available to the Company as of the date of the filing of this Current Report on Form 8-K. The Company expressly disclaims any obligation to update or alter its forward-looking statements, whether as a result of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000"/>
        <w:gridCol w:w="650"/>
        <w:gridCol w:w="3635"/>
      </w:tblGrid>
      <w:tr>
        <w:trPr/>
        <w:tc>
          <w:tcPr>
            <w:tcW w:w="200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b/>
              </w:rPr>
            </w:pPr>
            <w:r>
              <w:rPr>
                <w:b/>
              </w:rPr>
              <w:t>XWELL, Inc.</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Date: April 12, 2024</w:t>
            </w:r>
          </w:p>
        </w:tc>
        <w:tc>
          <w:tcPr>
            <w:tcW w:w="65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i/>
              </w:rPr>
            </w:pPr>
            <w:r>
              <w:rPr>
                <w:i/>
              </w:rPr>
              <w:t>/s/ Scott R. Milford</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Scott R. Milford</w:t>
            </w:r>
          </w:p>
        </w:tc>
      </w:tr>
      <w:tr>
        <w:trPr/>
        <w:tc>
          <w:tcPr>
            <w:tcW w:w="200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1263</Words>
  <Characters>7074</Characters>
  <CharactersWithSpaces>8352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