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May 15, 2019</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83"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161" w:lineRule="exact"/>
        <w:rPr>
          <w:sz w:val="24"/>
          <w:szCs w:val="24"/>
          <w:color w:val="auto"/>
        </w:rPr>
      </w:pPr>
    </w:p>
    <w:p>
      <w:pPr>
        <w:sectPr>
          <w:pgSz w:w="11900" w:h="16838" w:orient="portrait"/>
          <w:cols w:equalWidth="0" w:num="3">
            <w:col w:w="3960" w:space="720"/>
            <w:col w:w="2760" w:space="720"/>
            <w:col w:w="3260"/>
          </w:cols>
          <w:pgMar w:left="240" w:top="783"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and Zip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304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36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27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43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 registered</w:t>
            </w:r>
          </w:p>
        </w:tc>
      </w:tr>
      <w:tr>
        <w:trPr>
          <w:trHeight w:val="257"/>
        </w:trPr>
        <w:tc>
          <w:tcPr>
            <w:tcW w:w="4360" w:type="dxa"/>
            <w:vAlign w:val="bottom"/>
            <w:tcBorders>
              <w:left w:val="single" w:sz="8" w:color="auto"/>
              <w:bottom w:val="single" w:sz="8" w:color="auto"/>
              <w:right w:val="single" w:sz="8" w:color="auto"/>
            </w:tcBorders>
          </w:tcPr>
          <w:p>
            <w:pPr>
              <w:spacing w:after="0"/>
              <w:rPr>
                <w:sz w:val="22"/>
                <w:szCs w:val="22"/>
                <w:color w:val="auto"/>
              </w:rPr>
            </w:pPr>
          </w:p>
        </w:tc>
        <w:tc>
          <w:tcPr>
            <w:tcW w:w="2740" w:type="dxa"/>
            <w:vAlign w:val="bottom"/>
            <w:tcBorders>
              <w:bottom w:val="single" w:sz="8" w:color="auto"/>
              <w:right w:val="single" w:sz="8" w:color="auto"/>
            </w:tcBorders>
          </w:tcPr>
          <w:p>
            <w:pPr>
              <w:spacing w:after="0"/>
              <w:rPr>
                <w:sz w:val="22"/>
                <w:szCs w:val="22"/>
                <w:color w:val="auto"/>
              </w:rPr>
            </w:pPr>
          </w:p>
        </w:tc>
        <w:tc>
          <w:tcPr>
            <w:tcW w:w="4320" w:type="dxa"/>
            <w:vAlign w:val="bottom"/>
            <w:tcBorders>
              <w:bottom w:val="single" w:sz="8" w:color="auto"/>
              <w:right w:val="single" w:sz="8" w:color="auto"/>
            </w:tcBorders>
          </w:tcPr>
          <w:p>
            <w:pPr>
              <w:spacing w:after="0"/>
              <w:rPr>
                <w:sz w:val="22"/>
                <w:szCs w:val="22"/>
                <w:color w:val="auto"/>
              </w:rPr>
            </w:pPr>
          </w:p>
        </w:tc>
      </w:tr>
      <w:tr>
        <w:trPr>
          <w:trHeight w:val="236"/>
        </w:trPr>
        <w:tc>
          <w:tcPr>
            <w:tcW w:w="4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27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43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230"/>
        </w:trPr>
        <w:tc>
          <w:tcPr>
            <w:tcW w:w="436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par value $0.01 per share</w:t>
            </w:r>
          </w:p>
        </w:tc>
        <w:tc>
          <w:tcPr>
            <w:tcW w:w="274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r>
      <w:tr>
        <w:trPr>
          <w:trHeight w:val="41"/>
        </w:trPr>
        <w:tc>
          <w:tcPr>
            <w:tcW w:w="4360" w:type="dxa"/>
            <w:vAlign w:val="bottom"/>
            <w:tcBorders>
              <w:left w:val="single" w:sz="8" w:color="auto"/>
              <w:bottom w:val="single" w:sz="8" w:color="auto"/>
              <w:right w:val="single" w:sz="8" w:color="auto"/>
            </w:tcBorders>
          </w:tcPr>
          <w:p>
            <w:pPr>
              <w:spacing w:after="0"/>
              <w:rPr>
                <w:sz w:val="3"/>
                <w:szCs w:val="3"/>
                <w:color w:val="auto"/>
              </w:rPr>
            </w:pPr>
          </w:p>
        </w:tc>
        <w:tc>
          <w:tcPr>
            <w:tcW w:w="2740" w:type="dxa"/>
            <w:vAlign w:val="bottom"/>
            <w:tcBorders>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Attached hereto as Exhibit 99.1 is a copy of a press release of XpresSpa Group, Inc., dated May 15, 2019, announcing certain operating results for the three months ended March 31, 2019. The information in the press release is incorporated by reference into this Item 2.02 of this Current Report on Form 8-K.</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under this Item 2.02 of this Current Report on Form 8-K,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250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50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2"/>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13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12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15, 2019.</w:t>
              </w:r>
            </w:hyperlink>
          </w:p>
        </w:tc>
      </w:tr>
      <w:tr>
        <w:trPr>
          <w:trHeight w:val="480"/>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500" w:type="dxa"/>
            <w:vAlign w:val="bottom"/>
            <w:tcBorders>
              <w:top w:val="single" w:sz="8" w:color="0000EE"/>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7100" w:type="dxa"/>
            <w:vAlign w:val="bottom"/>
            <w:gridSpan w:val="2"/>
          </w:tcPr>
          <w:p>
            <w:pPr>
              <w:ind w:left="276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4320" w:type="dxa"/>
            <w:vAlign w:val="bottom"/>
          </w:tcPr>
          <w:p>
            <w:pPr>
              <w:spacing w:after="0"/>
              <w:rPr>
                <w:sz w:val="20"/>
                <w:szCs w:val="20"/>
                <w:color w:val="auto"/>
              </w:rPr>
            </w:pPr>
            <w:r>
              <w:rPr>
                <w:rFonts w:ascii="Arial" w:cs="Arial" w:eastAsia="Arial" w:hAnsi="Arial"/>
                <w:sz w:val="18"/>
                <w:szCs w:val="18"/>
                <w:color w:val="auto"/>
              </w:rPr>
              <w:t>Dated: May 15, 2019</w:t>
            </w:r>
          </w:p>
        </w:tc>
        <w:tc>
          <w:tcPr>
            <w:tcW w:w="7100" w:type="dxa"/>
            <w:vAlign w:val="bottom"/>
            <w:gridSpan w:val="2"/>
          </w:tcPr>
          <w:p>
            <w:pPr>
              <w:ind w:left="2760"/>
              <w:spacing w:after="0"/>
              <w:rPr>
                <w:sz w:val="20"/>
                <w:szCs w:val="20"/>
                <w:color w:val="auto"/>
              </w:rPr>
            </w:pPr>
            <w:r>
              <w:rPr>
                <w:rFonts w:ascii="Arial" w:cs="Arial" w:eastAsia="Arial" w:hAnsi="Arial"/>
                <w:sz w:val="18"/>
                <w:szCs w:val="18"/>
                <w:color w:val="auto"/>
              </w:rPr>
              <w:t>By: /s/ Douglas Satzman</w:t>
            </w:r>
          </w:p>
        </w:tc>
      </w:tr>
      <w:tr>
        <w:trPr>
          <w:trHeight w:val="195"/>
        </w:trPr>
        <w:tc>
          <w:tcPr>
            <w:tcW w:w="43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43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459"/>
        </w:trPr>
        <w:tc>
          <w:tcPr>
            <w:tcW w:w="43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Announces First Quarter 2019 Financial Results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to Participate in Piper Jaffray Consumer Marketplace Conference on June 6, 2019</w:t>
      </w:r>
    </w:p>
    <w:p>
      <w:pPr>
        <w:spacing w:after="0" w:line="200" w:lineRule="exact"/>
        <w:rPr>
          <w:sz w:val="20"/>
          <w:szCs w:val="20"/>
          <w:color w:val="auto"/>
        </w:rPr>
      </w:pP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May 15, 2019 - XpresSpa Group, Inc. (Nasdaq: XSPA), a health and wellness holding company, today announced financial results for the first quarter ended March 31, 2019.</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Doug Satzman, XpresSpa Group CEO, stated, “The XpresSpa team of therapists and technicians are working incredibly hard providing exceptional service to our customers and we are encouraged that our comparable store sales improved sequentially throughout the first quarter. March was not only our first month of positive comparable store sales growth in over 18 months, but our momentum has since continued into the second quarter. In fact, we have turned the corner and are currently tracking positively on a year-to-date basis through the second week of May.”</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Satzman continued, “We are also making headway reducing both spa-level and corporate costs as demonstrated by the increase in store margin, decrease in general and administrative expenses, and reduction in our Adjusted EBITDA loss during the first quarter. There is certainly considerably more to be done during this transitional year to grow sales and optimize costs, but we are pleased to be seeing ‘green shoots’ as we move forward.”</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Satzman added, “We will be leveraging our extensive brand recognition and existing real estate footprint by adding three additional company-operated spas in airports where we currently operate high-performing spas in other terminals, while in Austin, we will be opening our first franchise-operated spa and a company-operated spa later this year. Refreshing existing spas by making our facilities more inviting to customers further enhances our brand equity and we intend to complete a total of five to seven renovation projects in 2019 as well.”</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Satzman concluded, “As previously communicated, we have identified and prioritized our areas of focus in the near-term along with what we expect to accomplish over the longer-term in taking our brand and culture to the next level. Our underlying objective is to build a sustainable and enduring business that can capitalize on the growing demand from highly desirable customer demographics for spa services and related wellness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Nearer-term priorities:</w:t>
      </w:r>
    </w:p>
    <w:p>
      <w:pPr>
        <w:spacing w:after="0" w:line="225" w:lineRule="exact"/>
        <w:rPr>
          <w:sz w:val="20"/>
          <w:szCs w:val="20"/>
          <w:color w:val="auto"/>
        </w:rPr>
      </w:pPr>
    </w:p>
    <w:p>
      <w:pPr>
        <w:ind w:left="980" w:right="3640" w:hanging="648"/>
        <w:spacing w:after="0" w:line="258" w:lineRule="auto"/>
        <w:tabs>
          <w:tab w:leader="none" w:pos="656" w:val="left"/>
        </w:tabs>
        <w:numPr>
          <w:ilvl w:val="0"/>
          <w:numId w:val="2"/>
        </w:numPr>
        <w:rPr>
          <w:rFonts w:ascii="Arial" w:cs="Arial" w:eastAsia="Arial" w:hAnsi="Arial"/>
          <w:sz w:val="18"/>
          <w:szCs w:val="18"/>
          <w:color w:val="auto"/>
        </w:rPr>
      </w:pPr>
      <w:r>
        <w:rPr>
          <w:rFonts w:ascii="Arial" w:cs="Arial" w:eastAsia="Arial" w:hAnsi="Arial"/>
          <w:sz w:val="18"/>
          <w:szCs w:val="18"/>
          <w:color w:val="auto"/>
        </w:rPr>
        <w:t>Staffing up through recruiting, training, and retention while managing labor costs more effectively; o We are reinforcing our culture by building an "XpresSpa team" mindset;</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The retooled field leadership team put into position last fall is gaining traction;</w:t>
      </w:r>
    </w:p>
    <w:p>
      <w:pPr>
        <w:spacing w:after="0" w:line="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o   We are launching a new online training tool that incorporates “gaming methodology” focusing on our concierge population first.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Building transactions through scheduling, loyalty, and launching an XpresSpa App;</w:t>
      </w:r>
    </w:p>
    <w:p>
      <w:pPr>
        <w:spacing w:after="0" w:line="9" w:lineRule="exact"/>
        <w:rPr>
          <w:sz w:val="20"/>
          <w:szCs w:val="20"/>
          <w:color w:val="auto"/>
        </w:rPr>
      </w:pPr>
    </w:p>
    <w:p>
      <w:pPr>
        <w:ind w:left="1300" w:hanging="320"/>
        <w:spacing w:after="0" w:line="261"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first phase of a new App is being launched this month within the spa and is geared towards enhancing scheduling, gathering more customer data, and reducing the number of walkaways;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 w:name="page5"/>
    <w:bookmarkEnd w:id="4"/>
    <w:p>
      <w:pPr>
        <w:ind w:left="1300" w:right="20" w:hanging="320"/>
        <w:spacing w:after="0" w:line="258"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second phase of the App will be customer-facing and launched during the summer which will enable us to expand our customer loyalty and increase the frequency of our best, highest spend customers;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the average ticket by fixing retail supply chain issues and upselling services;</w:t>
      </w:r>
    </w:p>
    <w:p>
      <w:pPr>
        <w:spacing w:after="0" w:line="9"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retail supply chain issues were largely addressed by the midpoint of the first quarter 2019, providing our customers with a full assortment of the products that they seek;</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Selectively opening high performing new spas through a strategic approach to development;</w:t>
      </w:r>
    </w:p>
    <w:p>
      <w:pPr>
        <w:spacing w:after="0" w:line="9" w:lineRule="exact"/>
        <w:rPr>
          <w:rFonts w:ascii="Arial" w:cs="Arial" w:eastAsia="Arial" w:hAnsi="Arial"/>
          <w:sz w:val="18"/>
          <w:szCs w:val="18"/>
          <w:color w:val="auto"/>
        </w:rPr>
      </w:pPr>
    </w:p>
    <w:p>
      <w:pPr>
        <w:jc w:val="both"/>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will be opening high-visibility new company-operated spas in Hartsfield–Jackson Atlanta International Airport (terminal E), Austin-Bergstrom International Airport (main terminal, section B), Philadelphia International Airport (terminal B), and McCarran International Airport (terminal B) during the third quarter 2019;</w:t>
      </w:r>
    </w:p>
    <w:p>
      <w:pPr>
        <w:spacing w:after="0" w:line="1" w:lineRule="exact"/>
        <w:rPr>
          <w:rFonts w:ascii="Arial" w:cs="Arial" w:eastAsia="Arial" w:hAnsi="Arial"/>
          <w:sz w:val="18"/>
          <w:szCs w:val="18"/>
          <w:color w:val="auto"/>
        </w:rPr>
      </w:pPr>
    </w:p>
    <w:p>
      <w:pPr>
        <w:ind w:left="1300" w:hanging="320"/>
        <w:spacing w:after="0" w:line="250" w:lineRule="auto"/>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Our first franchise spa will similarly open in Austin-Bergstrom International Airport (main terminal, section J) during the third quarter 2019;</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Selectively renovating spas to elevate brand perceptions;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will renovate five to seven spas this year, of which we have already renovated three spas;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Managing G&amp;A expenditures;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We will continue to streamline processes and reduce costs at the corporate level.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Longer-term opportunities:</w:t>
      </w:r>
    </w:p>
    <w:p>
      <w:pPr>
        <w:spacing w:after="0" w:line="2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Elevating the customer experience;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a people first culture;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Activating new partnerships;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Bringing health and wellness innovation to the spas through new products, services,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Highlights</w:t>
      </w:r>
    </w:p>
    <w:p>
      <w:pPr>
        <w:spacing w:after="0" w:line="229" w:lineRule="exact"/>
        <w:rPr>
          <w:sz w:val="20"/>
          <w:szCs w:val="20"/>
          <w:color w:val="auto"/>
        </w:rPr>
      </w:pPr>
    </w:p>
    <w:p>
      <w:pPr>
        <w:jc w:val="both"/>
        <w:ind w:left="660" w:hanging="328"/>
        <w:spacing w:after="0" w:line="25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decreased to $12.2 million from $12.6 million in the prior year. The revenue decline was due to loss of revenue associated with locations that were temporarily closed during the quarter due to renovations and the net loss of two spas versus the prior year, coupled with a 1.3% decrease in comparable store sales.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Store margin increased 10.9% to $3.1 million, or 25.6% of total revenue, from store margin of $2.8 million, or 22.4% of total revenue, for first quarter 2018.</w:t>
      </w:r>
    </w:p>
    <w:p>
      <w:pPr>
        <w:ind w:left="1300" w:hanging="324"/>
        <w:spacing w:after="0" w:line="250" w:lineRule="auto"/>
        <w:rPr>
          <w:rFonts w:ascii="Arial" w:cs="Arial" w:eastAsia="Arial" w:hAnsi="Arial"/>
          <w:sz w:val="18"/>
          <w:szCs w:val="18"/>
          <w:color w:val="auto"/>
        </w:rPr>
      </w:pPr>
      <w:r>
        <w:rPr>
          <w:rFonts w:ascii="Arial" w:cs="Arial" w:eastAsia="Arial" w:hAnsi="Arial"/>
          <w:sz w:val="18"/>
          <w:szCs w:val="18"/>
          <w:color w:val="auto"/>
        </w:rPr>
        <w:t>o Labor costs and product and operating costs decreased due to the closure of underperforming stores during 2018 coupled with cost saving initiatives taken by management to streamline processes and reduce store level costs.</w:t>
      </w: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General and administrative expenses decreased 21.7% to $3.6 million compared to $4.6 million in first quarter 2018. The decrease is a result of our efforts to reduce administrative costs through streamlined processes at the corporate level, along with a reduction in stock-based compensation versus the prior year.</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loss from continuing operations decreased to $2.8 million compared to $23.3 million in first quarter 2018. When adjusting for the one-time goodwill impairment charge of $19.6 million in first quarter 2018, pro-forma operating loss decreased by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 w:name="page6"/>
    <w:bookmarkEnd w:id="5"/>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loss of $0.4 million decreased $1.1 million compared to Adjusted EBITDA loss of $1.5 million in first quarter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*Adjusted EBITDA is a non-GAAP financial measure; see "Use of Non-GAAP Financial Measures" below. See tables below for abbreviated financial results for the first quarters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and cash equivalents of $2.9 million;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assets of $5.0 million; and</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current liabilities of $17.0 million including $ accounts payable, accrued liabilities, and other current liabilities, $6.5 million payable on the Company’s senior debt, and $1.7 million in short-term convertible notes.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we have previously disclosed, we will need additional working capital to support our growth and operations. We are also working on right sizing our capital structure through restructuring our outstanding debt to address our going concern status although there is nothing to announce at this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 will host a conference call today at 4:30 p.m. Eastern Time.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conference call can be accessed live over the phone by dialing (201) 689-8263. A replay will be available after the call and can be accessed by dialing (412) 317-6671; the passcode is 13690712. The replay will be available until June 12, 2019.</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webcast can be accessed from Investor Relations section of the Company’s website at http://xpresspagroup.com. Visitors to the website should select the “Investors” tab and navigate to the “Events” link to access the webcast.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Piper Jaffray Conference Participation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XpresSpa Group, Inc. will host meetings with institutional investors at the 39th Annual Piper Jaffray Consumer Marketplace Conference in New York City at The Pierre New York on Thursday, June 6,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XpresSpa Group, Inc.</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XpresSpa Group, Inc. (Nasdaq: XSPA) is a health and wellness holding company. XpresSpa Group’s core asset, XpresSpa, is a leading airport retailer of spa services and related products, with 55 locations in 24 airports globally,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Netherlands, and the United Arab Emirates. XpresSpa Group’s non-core assets include Infomedia and intellectual property assets. To learn more about XpresSpa Group, visit: www.XpresSpaGroup.com. To learn more about XpresSpa, visit www.XpresSpa.com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Inventory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Assets held for disposal</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current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w:t>
      </w:r>
    </w:p>
    <w:p>
      <w:pPr>
        <w:spacing w:after="0" w:line="9"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Operating lease right-of-use assets, net Other assets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assets</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ind w:right="4140"/>
        <w:spacing w:after="0"/>
        <w:rPr>
          <w:sz w:val="20"/>
          <w:szCs w:val="20"/>
          <w:color w:val="auto"/>
        </w:rPr>
      </w:pPr>
      <w:r>
        <w:rPr>
          <w:rFonts w:ascii="Arial" w:cs="Arial" w:eastAsia="Arial" w:hAnsi="Arial"/>
          <w:sz w:val="17"/>
          <w:szCs w:val="17"/>
          <w:b w:val="1"/>
          <w:bCs w:val="1"/>
          <w:color w:val="auto"/>
        </w:rPr>
        <w:t>CONSOLIDATED BALANCE SHEETS</w:t>
      </w:r>
    </w:p>
    <w:p>
      <w:pPr>
        <w:spacing w:after="0" w:line="21" w:lineRule="exact"/>
        <w:rPr>
          <w:sz w:val="20"/>
          <w:szCs w:val="20"/>
          <w:color w:val="auto"/>
        </w:rPr>
      </w:pPr>
    </w:p>
    <w:p>
      <w:pPr>
        <w:jc w:val="center"/>
        <w:ind w:right="420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338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18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150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29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(Unaudited)</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r>
      <w:tr>
        <w:trPr>
          <w:trHeight w:val="411"/>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2,884</w:t>
            </w:r>
          </w:p>
        </w:tc>
        <w:tc>
          <w:tcPr>
            <w:tcW w:w="340" w:type="dxa"/>
            <w:vAlign w:val="bottom"/>
          </w:tcPr>
          <w:p>
            <w:pPr>
              <w:spacing w:after="0"/>
              <w:rPr>
                <w:sz w:val="24"/>
                <w:szCs w:val="24"/>
                <w:color w:val="auto"/>
              </w:rPr>
            </w:pP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3,403</w:t>
            </w:r>
          </w:p>
        </w:tc>
      </w:tr>
      <w:tr>
        <w:trPr>
          <w:trHeight w:val="216"/>
        </w:trPr>
        <w:tc>
          <w:tcPr>
            <w:tcW w:w="240" w:type="dxa"/>
            <w:vAlign w:val="bottom"/>
          </w:tcPr>
          <w:p>
            <w:pPr>
              <w:spacing w:after="0"/>
              <w:rPr>
                <w:sz w:val="18"/>
                <w:szCs w:val="18"/>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1,122</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1,465</w:t>
            </w:r>
          </w:p>
        </w:tc>
      </w:tr>
      <w:tr>
        <w:trPr>
          <w:trHeight w:val="230"/>
        </w:trPr>
        <w:tc>
          <w:tcPr>
            <w:tcW w:w="240" w:type="dxa"/>
            <w:vAlign w:val="bottom"/>
          </w:tcPr>
          <w:p>
            <w:pPr>
              <w:spacing w:after="0"/>
              <w:rPr>
                <w:sz w:val="20"/>
                <w:szCs w:val="20"/>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4"/>
        </w:trPr>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4,996</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5,759</w:t>
            </w:r>
          </w:p>
        </w:tc>
      </w:tr>
      <w:tr>
        <w:trPr>
          <w:trHeight w:val="404"/>
        </w:trPr>
        <w:tc>
          <w:tcPr>
            <w:tcW w:w="240" w:type="dxa"/>
            <w:vAlign w:val="bottom"/>
          </w:tcPr>
          <w:p>
            <w:pPr>
              <w:spacing w:after="0"/>
              <w:rPr>
                <w:sz w:val="24"/>
                <w:szCs w:val="24"/>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16"/>
        </w:trPr>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11,289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11,795</w:t>
            </w:r>
          </w:p>
        </w:tc>
      </w:tr>
      <w:tr>
        <w:trPr>
          <w:trHeight w:val="216"/>
        </w:trPr>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8,599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9,167</w:t>
            </w:r>
          </w:p>
        </w:tc>
      </w:tr>
      <w:tr>
        <w:trPr>
          <w:trHeight w:val="230"/>
        </w:trPr>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9,565</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38,260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30,584</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-2635885</wp:posOffset>
            </wp:positionH>
            <wp:positionV relativeFrom="paragraph">
              <wp:posOffset>-1860550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-1577340</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-1303020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-1011555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-736600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-462280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-2635885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40" w:space="720"/>
            <w:col w:w="7260"/>
          </w:cols>
          <w:pgMar w:left="240" w:top="688"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8,795</w:t>
            </w:r>
          </w:p>
        </w:tc>
        <w:tc>
          <w:tcPr>
            <w:tcW w:w="200" w:type="dxa"/>
            <w:vAlign w:val="bottom"/>
          </w:tcPr>
          <w:p>
            <w:pPr>
              <w:spacing w:after="0"/>
              <w:rPr>
                <w:sz w:val="18"/>
                <w:szCs w:val="18"/>
                <w:color w:val="auto"/>
              </w:rPr>
            </w:pPr>
          </w:p>
        </w:tc>
        <w:tc>
          <w:tcPr>
            <w:tcW w:w="70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Convertible notes, net</w:t>
            </w: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Liabilities held for disposal</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Derivative warrant liabilities</w:t>
            </w:r>
          </w:p>
        </w:tc>
        <w:tc>
          <w:tcPr>
            <w:tcW w:w="6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liabilities</w:t>
            </w:r>
          </w:p>
        </w:tc>
        <w:tc>
          <w:tcPr>
            <w:tcW w:w="6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19)</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A Convertible Preferred stock, $0.01 par value per share; 6,968 shares authorized; 348 issued</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and none outstanding</w:t>
            </w:r>
          </w:p>
        </w:tc>
        <w:tc>
          <w:tcPr>
            <w:tcW w:w="6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w w:val="92"/>
              </w:rPr>
              <w:t>Series B Convertible Preferred stock, $0.01 par value per share; 1,609,167 shares authorized; 80,458</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issued and none outstanding</w:t>
            </w:r>
          </w:p>
        </w:tc>
        <w:tc>
          <w:tcPr>
            <w:tcW w:w="6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C Junior Preferred stock, $0.01 par value per share; 300,000 shares authorized; none issued</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and outstanding</w:t>
            </w:r>
          </w:p>
        </w:tc>
        <w:tc>
          <w:tcPr>
            <w:tcW w:w="6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w w:val="93"/>
              </w:rPr>
              <w:t>Series D Convertible Preferred Stock, $0.01 par value per share; 500,000 shares authorized; 23,760</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shares issued and 21,027 shares outstanding with a liquidation value of $20,186</w:t>
            </w:r>
          </w:p>
        </w:tc>
        <w:tc>
          <w:tcPr>
            <w:tcW w:w="6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Series E Convertible Preferred Stock, $0.01 par value per share, 1,473,300 shares authorized; 48,387</w:t>
            </w:r>
          </w:p>
        </w:tc>
        <w:tc>
          <w:tcPr>
            <w:tcW w:w="6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 with a liquidation value of $3,023</w:t>
            </w:r>
          </w:p>
        </w:tc>
        <w:tc>
          <w:tcPr>
            <w:tcW w:w="6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per share; 150,000,000 shares authorized; 1,941,341 and 1,761,802</w:t>
            </w: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issued and outstanding as of March 31, 2019 and December 31, 2018, respectively</w:t>
            </w:r>
          </w:p>
        </w:tc>
        <w:tc>
          <w:tcPr>
            <w:tcW w:w="6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354</w:t>
            </w: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6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296,823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Accumulated deficit</w:t>
            </w:r>
          </w:p>
        </w:tc>
        <w:tc>
          <w:tcPr>
            <w:tcW w:w="60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(289,886)</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(286,913)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6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w:t>
            </w: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Total stockholders’ equity attributable to the Company</w:t>
            </w: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6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38,260</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0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March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w w:val="94"/>
              </w:rPr>
              <w:t>2018</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Products and services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11,046</w:t>
            </w:r>
          </w:p>
        </w:tc>
        <w:tc>
          <w:tcPr>
            <w:tcW w:w="200" w:type="dxa"/>
            <w:vAlign w:val="bottom"/>
          </w:tcPr>
          <w:p>
            <w:pPr>
              <w:spacing w:after="0"/>
              <w:rPr>
                <w:sz w:val="18"/>
                <w:szCs w:val="18"/>
                <w:color w:val="auto"/>
              </w:rPr>
            </w:pP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Labor</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2,060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other operating costs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Goodwill impairment</w:t>
            </w:r>
          </w:p>
        </w:tc>
        <w:tc>
          <w:tcPr>
            <w:tcW w:w="40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19,630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14,347</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(611)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non-operating income (expense), net</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4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 before income taxes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Consolidated net loss</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(23,850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0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attributable to the Company</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Consolidated net loss from continuing operations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(2,844)</w:t>
            </w:r>
          </w:p>
        </w:tc>
        <w:tc>
          <w:tcPr>
            <w:tcW w:w="760" w:type="dxa"/>
            <w:vAlign w:val="bottom"/>
            <w:gridSpan w:val="2"/>
          </w:tcPr>
          <w:p>
            <w:pPr>
              <w:jc w:val="right"/>
              <w:ind w:right="4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 from continuing operations</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 from continuing operations</w:t>
            </w: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(23,311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net loss from discontinued operations</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Other comprehensive loss from discontinued operations</w:t>
            </w: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 from discontinued operations</w:t>
            </w: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5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Comprehensive loss</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from continuing operations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760" w:type="dxa"/>
            <w:vAlign w:val="bottom"/>
            <w:gridSpan w:val="2"/>
            <w:shd w:val="clear" w:color="auto" w:fill="CCEEFF"/>
          </w:tcPr>
          <w:p>
            <w:pPr>
              <w:jc w:val="right"/>
              <w:ind w:right="46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Loss per share from discontinued operations</w:t>
            </w:r>
          </w:p>
        </w:tc>
        <w:tc>
          <w:tcPr>
            <w:tcW w:w="40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basic and diluted net loss per share</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Weighted-average number of shares outstanding during the period:**</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1,852,072</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1,852,072</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1,279,639</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*Includes stock-based compensation expense, as follows:</w:t>
      </w:r>
    </w:p>
    <w:p>
      <w:pPr>
        <w:spacing w:after="0" w:line="9" w:lineRule="exact"/>
        <w:rPr>
          <w:sz w:val="20"/>
          <w:szCs w:val="20"/>
          <w:color w:val="auto"/>
        </w:rPr>
      </w:pPr>
    </w:p>
    <w:p>
      <w:pPr>
        <w:ind w:left="180"/>
        <w:spacing w:after="0"/>
        <w:tabs>
          <w:tab w:leader="none" w:pos="7520" w:val="left"/>
          <w:tab w:leader="none" w:pos="8980" w:val="left"/>
          <w:tab w:leader="none" w:pos="9600" w:val="left"/>
          <w:tab w:leader="none" w:pos="11020" w:val="left"/>
        </w:tabs>
        <w:rPr>
          <w:sz w:val="20"/>
          <w:szCs w:val="20"/>
          <w:color w:val="auto"/>
        </w:rPr>
      </w:pPr>
      <w:r>
        <w:rPr>
          <w:rFonts w:ascii="Arial" w:cs="Arial" w:eastAsia="Arial" w:hAnsi="Arial"/>
          <w:sz w:val="18"/>
          <w:szCs w:val="18"/>
          <w:color w:val="auto"/>
        </w:rPr>
        <w:t>General and administrative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**Adjusted to reflect the impact of the 1:20 reverse stock split that became effective on February 22,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 and services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Labor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Occupancy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5"/>
          <w:szCs w:val="15"/>
          <w:color w:val="auto"/>
        </w:rPr>
        <w:t>Products and other operating costs</w:t>
      </w:r>
    </w:p>
    <w:p>
      <w:pPr>
        <w:spacing w:after="0" w:line="20" w:lineRule="exact"/>
        <w:rPr>
          <w:sz w:val="20"/>
          <w:szCs w:val="20"/>
          <w:color w:val="auto"/>
        </w:rPr>
      </w:pPr>
      <w:r>
        <w:rPr>
          <w:sz w:val="20"/>
          <w:szCs w:val="20"/>
          <w:color w:val="auto"/>
        </w:rPr>
        <w:br w:type="column"/>
      </w:r>
    </w:p>
    <w:p>
      <w:pPr>
        <w:jc w:val="center"/>
        <w:ind w:right="3300"/>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jc w:val="center"/>
        <w:ind w:right="3300"/>
        <w:spacing w:after="0"/>
        <w:rPr>
          <w:sz w:val="20"/>
          <w:szCs w:val="20"/>
          <w:color w:val="auto"/>
        </w:rPr>
      </w:pPr>
      <w:r>
        <w:rPr>
          <w:rFonts w:ascii="Arial" w:cs="Arial" w:eastAsia="Arial" w:hAnsi="Arial"/>
          <w:sz w:val="16"/>
          <w:szCs w:val="16"/>
          <w:b w:val="1"/>
          <w:bCs w:val="1"/>
          <w:color w:val="auto"/>
        </w:rPr>
        <w:t>Reconciliation of Operating Loss From Continuing Operations</w:t>
      </w:r>
    </w:p>
    <w:p>
      <w:pPr>
        <w:spacing w:after="0" w:line="32" w:lineRule="exact"/>
        <w:rPr>
          <w:sz w:val="20"/>
          <w:szCs w:val="20"/>
          <w:color w:val="auto"/>
        </w:rPr>
      </w:pPr>
    </w:p>
    <w:p>
      <w:pPr>
        <w:jc w:val="center"/>
        <w:ind w:right="3300"/>
        <w:spacing w:after="0"/>
        <w:rPr>
          <w:sz w:val="20"/>
          <w:szCs w:val="20"/>
          <w:color w:val="auto"/>
        </w:rPr>
      </w:pPr>
      <w:r>
        <w:rPr>
          <w:rFonts w:ascii="Arial" w:cs="Arial" w:eastAsia="Arial" w:hAnsi="Arial"/>
          <w:sz w:val="18"/>
          <w:szCs w:val="18"/>
          <w:b w:val="1"/>
          <w:bCs w:val="1"/>
          <w:color w:val="auto"/>
        </w:rPr>
        <w:t>to Adjusted EBITDA Income (Loss)</w:t>
      </w:r>
    </w:p>
    <w:p>
      <w:pPr>
        <w:spacing w:after="0" w:line="9"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 in thousands)</w:t>
      </w:r>
    </w:p>
    <w:p>
      <w:pPr>
        <w:spacing w:after="0" w:line="220"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2651760</wp:posOffset>
            </wp:positionH>
            <wp:positionV relativeFrom="paragraph">
              <wp:posOffset>17145</wp:posOffset>
            </wp:positionV>
            <wp:extent cx="24009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ind w:left="4840"/>
        <w:spacing w:after="0"/>
        <w:tabs>
          <w:tab w:leader="none" w:pos="690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7" w:lineRule="exact"/>
        <w:rPr>
          <w:sz w:val="20"/>
          <w:szCs w:val="20"/>
          <w:color w:val="auto"/>
        </w:rPr>
      </w:pPr>
    </w:p>
    <w:p>
      <w:pPr>
        <w:ind w:left="4180"/>
        <w:spacing w:after="0"/>
        <w:tabs>
          <w:tab w:leader="none" w:pos="5060" w:val="left"/>
          <w:tab w:leader="none" w:pos="6240" w:val="left"/>
          <w:tab w:leader="none" w:pos="7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11,046,000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11,800,000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160020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-130810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both"/>
        <w:ind w:left="5100"/>
        <w:spacing w:after="0"/>
        <w:tabs>
          <w:tab w:leader="none" w:pos="7160" w:val="left"/>
        </w:tabs>
        <w:rPr>
          <w:sz w:val="20"/>
          <w:szCs w:val="20"/>
          <w:color w:val="auto"/>
        </w:rPr>
      </w:pPr>
      <w:r>
        <w:rPr>
          <w:rFonts w:ascii="Arial" w:cs="Arial" w:eastAsia="Arial" w:hAnsi="Arial"/>
          <w:sz w:val="18"/>
          <w:szCs w:val="18"/>
          <w:color w:val="auto"/>
        </w:rPr>
        <w:t>(5,778,000)</w:t>
      </w:r>
      <w:r>
        <w:rPr>
          <w:sz w:val="20"/>
          <w:szCs w:val="20"/>
          <w:color w:val="auto"/>
        </w:rPr>
        <w:tab/>
      </w:r>
      <w:r>
        <w:rPr>
          <w:rFonts w:ascii="Arial" w:cs="Arial" w:eastAsia="Arial" w:hAnsi="Arial"/>
          <w:sz w:val="18"/>
          <w:szCs w:val="18"/>
          <w:color w:val="auto"/>
        </w:rPr>
        <w:t>(6,210,000)</w:t>
      </w:r>
    </w:p>
    <w:p>
      <w:pPr>
        <w:spacing w:after="0" w:line="23" w:lineRule="exact"/>
        <w:rPr>
          <w:sz w:val="20"/>
          <w:szCs w:val="20"/>
          <w:color w:val="auto"/>
        </w:rPr>
      </w:pPr>
    </w:p>
    <w:p>
      <w:pPr>
        <w:jc w:val="both"/>
        <w:ind w:left="5100"/>
        <w:spacing w:after="0"/>
        <w:tabs>
          <w:tab w:leader="none" w:pos="7160" w:val="left"/>
        </w:tabs>
        <w:rPr>
          <w:sz w:val="20"/>
          <w:szCs w:val="20"/>
          <w:color w:val="auto"/>
        </w:rPr>
      </w:pPr>
      <w:r>
        <w:rPr>
          <w:rFonts w:ascii="Arial" w:cs="Arial" w:eastAsia="Arial" w:hAnsi="Arial"/>
          <w:sz w:val="18"/>
          <w:szCs w:val="18"/>
          <w:color w:val="auto"/>
        </w:rPr>
        <w:t>(1,865,000)</w:t>
      </w:r>
      <w:r>
        <w:rPr>
          <w:sz w:val="20"/>
          <w:szCs w:val="20"/>
          <w:color w:val="auto"/>
        </w:rPr>
        <w:tab/>
      </w:r>
      <w:r>
        <w:rPr>
          <w:rFonts w:ascii="Arial" w:cs="Arial" w:eastAsia="Arial" w:hAnsi="Arial"/>
          <w:sz w:val="18"/>
          <w:szCs w:val="18"/>
          <w:color w:val="auto"/>
        </w:rPr>
        <w:t>(2,060,000)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jc w:val="right"/>
        <w:ind w:right="100"/>
        <w:spacing w:after="0"/>
        <w:tabs>
          <w:tab w:leader="none" w:pos="820" w:val="left"/>
        </w:tabs>
        <w:rPr>
          <w:sz w:val="20"/>
          <w:szCs w:val="20"/>
          <w:color w:val="auto"/>
        </w:rPr>
      </w:pPr>
      <w:r>
        <w:rPr>
          <w:rFonts w:ascii="Arial" w:cs="Arial" w:eastAsia="Arial" w:hAnsi="Arial"/>
          <w:sz w:val="18"/>
          <w:szCs w:val="18"/>
          <w:color w:val="auto"/>
        </w:rPr>
        <w:t>(1,438,000)</w:t>
      </w:r>
      <w:r>
        <w:rPr>
          <w:sz w:val="20"/>
          <w:szCs w:val="20"/>
          <w:color w:val="auto"/>
        </w:rPr>
        <w:tab/>
      </w:r>
      <w:r>
        <w:rPr>
          <w:rFonts w:ascii="Arial" w:cs="Arial" w:eastAsia="Arial" w:hAnsi="Arial"/>
          <w:sz w:val="16"/>
          <w:szCs w:val="16"/>
          <w:color w:val="auto"/>
        </w:rPr>
        <w:t>(1,443,000)</w:t>
      </w:r>
    </w:p>
    <w:p>
      <w:pPr>
        <w:spacing w:after="0" w:line="21" w:lineRule="exact"/>
        <w:rPr>
          <w:sz w:val="20"/>
          <w:szCs w:val="20"/>
          <w:color w:val="auto"/>
        </w:rPr>
      </w:pPr>
    </w:p>
    <w:p>
      <w:pPr>
        <w:sectPr>
          <w:pgSz w:w="11900" w:h="16838" w:orient="portrait"/>
          <w:cols w:equalWidth="0" w:num="2">
            <w:col w:w="2640" w:space="660"/>
            <w:col w:w="8120"/>
          </w:cols>
          <w:pgMar w:left="240" w:top="688" w:right="239" w:bottom="1440" w:gutter="0" w:footer="0" w:header="0"/>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(9,081,000</w:t>
            </w:r>
          </w:p>
        </w:tc>
        <w:tc>
          <w:tcPr>
            <w:tcW w:w="380" w:type="dxa"/>
            <w:vAlign w:val="bottom"/>
            <w:tcBorders>
              <w:top w:val="single" w:sz="8" w:color="CCEEFF"/>
            </w:tcBorders>
            <w:shd w:val="clear" w:color="auto" w:fill="CCEEFF"/>
          </w:tcPr>
          <w:p>
            <w:pPr>
              <w:jc w:val="right"/>
              <w:ind w:right="240"/>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(9,713,000</w:t>
            </w:r>
          </w:p>
        </w:tc>
        <w:tc>
          <w:tcPr>
            <w:tcW w:w="1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8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1,965,000</w:t>
            </w:r>
          </w:p>
        </w:tc>
        <w:tc>
          <w:tcPr>
            <w:tcW w:w="3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2,087,000</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Gross profit as a % of total revenue</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17.8%</w:t>
            </w:r>
          </w:p>
        </w:tc>
        <w:tc>
          <w:tcPr>
            <w:tcW w:w="4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Depreciation, amortization and impairment</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(1,081,000)</w:t>
            </w: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(568,000)</w:t>
            </w:r>
          </w:p>
        </w:tc>
        <w:tc>
          <w:tcPr>
            <w:tcW w:w="4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(606,000)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(19,630,000)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depreciation, amortization and impairment</w:t>
            </w:r>
          </w:p>
        </w:tc>
        <w:tc>
          <w:tcPr>
            <w:tcW w:w="18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(1,649,000)</w:t>
            </w:r>
          </w:p>
        </w:tc>
        <w:tc>
          <w:tcPr>
            <w:tcW w:w="3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(21,283,000)</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Total general and administrative expense</w:t>
            </w: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(3,600,000)</w:t>
            </w:r>
          </w:p>
        </w:tc>
        <w:tc>
          <w:tcPr>
            <w:tcW w:w="46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(4,596,000)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Other operating revenue and expense</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revenue</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1,184,000</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operating expense</w:t>
            </w: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(17,000)</w:t>
            </w:r>
          </w:p>
        </w:tc>
        <w:tc>
          <w:tcPr>
            <w:tcW w:w="460" w:type="dxa"/>
            <w:vAlign w:val="bottom"/>
          </w:tcPr>
          <w:p>
            <w:pPr>
              <w:spacing w:after="0"/>
              <w:rPr>
                <w:sz w:val="19"/>
                <w:szCs w:val="19"/>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(64,000)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operating revenue, net</w:t>
            </w: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1,167,000</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736,000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 from continuing operations</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(2,117,000)</w:t>
            </w:r>
          </w:p>
        </w:tc>
        <w:tc>
          <w:tcPr>
            <w:tcW w:w="4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(23,056,000)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1,649,000</w:t>
            </w:r>
          </w:p>
        </w:tc>
        <w:tc>
          <w:tcPr>
            <w:tcW w:w="4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1,653,000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 impairment</w:t>
            </w:r>
          </w:p>
        </w:tc>
        <w:tc>
          <w:tcPr>
            <w:tcW w:w="1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104,000</w:t>
            </w:r>
          </w:p>
        </w:tc>
        <w:tc>
          <w:tcPr>
            <w:tcW w:w="46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312,000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Adjusted EBITDA loss</w:t>
            </w:r>
          </w:p>
        </w:tc>
        <w:tc>
          <w:tcPr>
            <w:tcW w:w="23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(364,000)</w:t>
            </w:r>
          </w:p>
        </w:tc>
        <w:tc>
          <w:tcPr>
            <w:tcW w:w="460" w:type="dxa"/>
            <w:vAlign w:val="bottom"/>
          </w:tcPr>
          <w:p>
            <w:pPr>
              <w:jc w:val="right"/>
              <w:ind w:right="30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(1,461,000)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o"/>
      <w:numFmt w:val="bullet"/>
      <w:start w:val="1"/>
    </w:lvl>
  </w:abstractNum>
  <w:abstractNum w:abstractNumId="3">
    <w:nsid w:val="507ED7AB"/>
    <w:multiLevelType w:val="hybridMultilevel"/>
    <w:lvl w:ilvl="0">
      <w:lvlJc w:val="left"/>
      <w:lvlText w:val="·"/>
      <w:numFmt w:val="bullet"/>
      <w:start w:val="1"/>
    </w:lvl>
    <w:lvl w:ilvl="1">
      <w:lvlJc w:val="left"/>
      <w:lvlText w:val="o"/>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2019-12-28T11:39:50Z</dcterms:created>
  <dcterms:modified xsi:type="dcterms:W3CDTF">2019-12-28T11:39:50Z</dcterms:modified>
</cp:coreProperties>
</file>