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19, 2020</w:t>
      </w: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5" w:lineRule="exact"/>
        <w:rPr>
          <w:sz w:val="24"/>
          <w:szCs w:val="24"/>
          <w:color w:val="auto"/>
        </w:rPr>
      </w:pPr>
    </w:p>
    <w:tbl>
      <w:tblPr>
        <w:tblLayout w:type="fixed"/>
        <w:tblInd w:w="820" w:type="dxa"/>
        <w:tblCellMar>
          <w:top w:w="0" w:type="dxa"/>
          <w:left w:w="0" w:type="dxa"/>
          <w:bottom w:w="0" w:type="dxa"/>
          <w:right w:w="0" w:type="dxa"/>
        </w:tblCellMar>
      </w:tblPr>
      <w:tr>
        <w:trPr>
          <w:trHeight w:val="216"/>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Delaware</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380" w:type="dxa"/>
            <w:vAlign w:val="bottom"/>
          </w:tcPr>
          <w:p>
            <w:pPr>
              <w:jc w:val="center"/>
              <w:ind w:right="250"/>
              <w:spacing w:after="0"/>
              <w:rPr>
                <w:sz w:val="20"/>
                <w:szCs w:val="20"/>
                <w:color w:val="auto"/>
              </w:rPr>
            </w:pPr>
            <w:r>
              <w:rPr>
                <w:rFonts w:ascii="Arial" w:cs="Arial" w:eastAsia="Arial" w:hAnsi="Arial"/>
                <w:sz w:val="18"/>
                <w:szCs w:val="18"/>
                <w:b w:val="1"/>
                <w:bCs w:val="1"/>
                <w:color w:val="auto"/>
                <w:w w:val="90"/>
              </w:rPr>
              <w:t>(State or other jurisdiction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38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of incorporation)</w:t>
            </w: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900" w:type="dxa"/>
            <w:vAlign w:val="bottom"/>
          </w:tcPr>
          <w:p>
            <w:pPr>
              <w:jc w:val="center"/>
              <w:ind w:left="39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380" w:type="dxa"/>
            <w:vAlign w:val="bottom"/>
          </w:tcPr>
          <w:p>
            <w:pPr>
              <w:spacing w:after="0"/>
              <w:rPr>
                <w:sz w:val="24"/>
                <w:szCs w:val="24"/>
                <w:color w:val="auto"/>
              </w:rPr>
            </w:pPr>
          </w:p>
        </w:tc>
        <w:tc>
          <w:tcPr>
            <w:tcW w:w="5000" w:type="dxa"/>
            <w:vAlign w:val="bottom"/>
          </w:tcPr>
          <w:p>
            <w:pPr>
              <w:jc w:val="center"/>
              <w:ind w:right="50"/>
              <w:spacing w:after="0"/>
              <w:rPr>
                <w:sz w:val="20"/>
                <w:szCs w:val="20"/>
                <w:color w:val="auto"/>
              </w:rPr>
            </w:pPr>
            <w:r>
              <w:rPr>
                <w:rFonts w:ascii="Arial" w:cs="Arial" w:eastAsia="Arial" w:hAnsi="Arial"/>
                <w:sz w:val="18"/>
                <w:szCs w:val="18"/>
                <w:b w:val="1"/>
                <w:bCs w:val="1"/>
                <w:color w:val="auto"/>
                <w:w w:val="86"/>
              </w:rPr>
              <w:t>254 West 31</w:t>
            </w:r>
            <w:r>
              <w:rPr>
                <w:rFonts w:ascii="Arial" w:cs="Arial" w:eastAsia="Arial" w:hAnsi="Arial"/>
                <w:sz w:val="29"/>
                <w:szCs w:val="29"/>
                <w:b w:val="1"/>
                <w:bCs w:val="1"/>
                <w:color w:val="auto"/>
                <w:w w:val="86"/>
                <w:vertAlign w:val="superscript"/>
              </w:rPr>
              <w:t>st</w:t>
            </w:r>
            <w:r>
              <w:rPr>
                <w:rFonts w:ascii="Arial" w:cs="Arial" w:eastAsia="Arial" w:hAnsi="Arial"/>
                <w:sz w:val="18"/>
                <w:szCs w:val="18"/>
                <w:b w:val="1"/>
                <w:bCs w:val="1"/>
                <w:color w:val="auto"/>
                <w:w w:val="86"/>
              </w:rPr>
              <w:t xml:space="preserve"> Street, 11</w:t>
            </w:r>
            <w:r>
              <w:rPr>
                <w:rFonts w:ascii="Arial" w:cs="Arial" w:eastAsia="Arial" w:hAnsi="Arial"/>
                <w:sz w:val="29"/>
                <w:szCs w:val="29"/>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1900" w:type="dxa"/>
            <w:vAlign w:val="bottom"/>
          </w:tcPr>
          <w:p>
            <w:pPr>
              <w:spacing w:after="0"/>
              <w:rPr>
                <w:sz w:val="24"/>
                <w:szCs w:val="24"/>
                <w:color w:val="auto"/>
              </w:rPr>
            </w:pPr>
          </w:p>
        </w:tc>
      </w:tr>
      <w:tr>
        <w:trPr>
          <w:trHeight w:val="216"/>
        </w:trPr>
        <w:tc>
          <w:tcPr>
            <w:tcW w:w="2380" w:type="dxa"/>
            <w:vAlign w:val="bottom"/>
          </w:tcPr>
          <w:p>
            <w:pPr>
              <w:spacing w:after="0"/>
              <w:rPr>
                <w:sz w:val="18"/>
                <w:szCs w:val="18"/>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New York, New York 10001</w:t>
            </w:r>
          </w:p>
        </w:tc>
        <w:tc>
          <w:tcPr>
            <w:tcW w:w="1900" w:type="dxa"/>
            <w:vAlign w:val="bottom"/>
          </w:tcPr>
          <w:p>
            <w:pPr>
              <w:spacing w:after="0"/>
              <w:rPr>
                <w:sz w:val="18"/>
                <w:szCs w:val="18"/>
                <w:color w:val="auto"/>
              </w:rPr>
            </w:pPr>
          </w:p>
        </w:tc>
      </w:tr>
      <w:tr>
        <w:trPr>
          <w:trHeight w:val="234"/>
        </w:trPr>
        <w:tc>
          <w:tcPr>
            <w:tcW w:w="2380" w:type="dxa"/>
            <w:vAlign w:val="bottom"/>
          </w:tcPr>
          <w:p>
            <w:pPr>
              <w:spacing w:after="0"/>
              <w:rPr>
                <w:sz w:val="20"/>
                <w:szCs w:val="20"/>
                <w:color w:val="auto"/>
              </w:rPr>
            </w:pPr>
          </w:p>
        </w:tc>
        <w:tc>
          <w:tcPr>
            <w:tcW w:w="50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900" w:type="dxa"/>
            <w:vAlign w:val="bottom"/>
          </w:tcPr>
          <w:p>
            <w:pPr>
              <w:spacing w:after="0"/>
              <w:rPr>
                <w:sz w:val="20"/>
                <w:szCs w:val="20"/>
                <w:color w:val="auto"/>
              </w:rPr>
            </w:pP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(646) 525-4319</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56"/>
        </w:trPr>
        <w:tc>
          <w:tcPr>
            <w:tcW w:w="3740" w:type="dxa"/>
            <w:vAlign w:val="bottom"/>
            <w:tcBorders>
              <w:top w:val="single" w:sz="8" w:color="auto"/>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Title of each class</w:t>
            </w:r>
          </w:p>
        </w:tc>
        <w:tc>
          <w:tcPr>
            <w:tcW w:w="38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Trading Symbol(s)</w:t>
            </w:r>
          </w:p>
        </w:tc>
        <w:tc>
          <w:tcPr>
            <w:tcW w:w="370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Name of each exchange on which</w:t>
            </w:r>
          </w:p>
        </w:tc>
      </w:tr>
      <w:tr>
        <w:trPr>
          <w:trHeight w:val="230"/>
        </w:trPr>
        <w:tc>
          <w:tcPr>
            <w:tcW w:w="3740" w:type="dxa"/>
            <w:vAlign w:val="bottom"/>
            <w:tcBorders>
              <w:left w:val="single" w:sz="8" w:color="auto"/>
              <w:right w:val="single" w:sz="8" w:color="auto"/>
            </w:tcBorders>
          </w:tcPr>
          <w:p>
            <w:pPr>
              <w:spacing w:after="0"/>
              <w:rPr>
                <w:sz w:val="20"/>
                <w:szCs w:val="20"/>
                <w:color w:val="auto"/>
              </w:rPr>
            </w:pPr>
          </w:p>
        </w:tc>
        <w:tc>
          <w:tcPr>
            <w:tcW w:w="380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registered</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r>
        <w:trPr>
          <w:trHeight w:val="250"/>
        </w:trPr>
        <w:tc>
          <w:tcPr>
            <w:tcW w:w="3740" w:type="dxa"/>
            <w:vAlign w:val="bottom"/>
            <w:tcBorders>
              <w:left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Common stock, par value $0.01 per share</w:t>
            </w:r>
          </w:p>
        </w:tc>
        <w:tc>
          <w:tcPr>
            <w:tcW w:w="38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XSPA</w:t>
            </w:r>
          </w:p>
        </w:tc>
        <w:tc>
          <w:tcPr>
            <w:tcW w:w="37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The Nasdaq Stock Market</w:t>
            </w:r>
          </w:p>
        </w:tc>
      </w:tr>
      <w:tr>
        <w:trPr>
          <w:trHeight w:val="40"/>
        </w:trPr>
        <w:tc>
          <w:tcPr>
            <w:tcW w:w="3740" w:type="dxa"/>
            <w:vAlign w:val="bottom"/>
            <w:tcBorders>
              <w:left w:val="single" w:sz="8" w:color="auto"/>
              <w:bottom w:val="single" w:sz="8" w:color="auto"/>
              <w:right w:val="single" w:sz="8" w:color="auto"/>
            </w:tcBorders>
          </w:tcPr>
          <w:p>
            <w:pPr>
              <w:spacing w:after="0"/>
              <w:rPr>
                <w:sz w:val="3"/>
                <w:szCs w:val="3"/>
                <w:color w:val="auto"/>
              </w:rPr>
            </w:pPr>
          </w:p>
        </w:tc>
        <w:tc>
          <w:tcPr>
            <w:tcW w:w="3800" w:type="dxa"/>
            <w:vAlign w:val="bottom"/>
            <w:tcBorders>
              <w:bottom w:val="single" w:sz="8" w:color="auto"/>
              <w:right w:val="single" w:sz="8" w:color="auto"/>
            </w:tcBorders>
          </w:tcPr>
          <w:p>
            <w:pPr>
              <w:spacing w:after="0"/>
              <w:rPr>
                <w:sz w:val="3"/>
                <w:szCs w:val="3"/>
                <w:color w:val="auto"/>
              </w:rPr>
            </w:pPr>
          </w:p>
        </w:tc>
        <w:tc>
          <w:tcPr>
            <w:tcW w:w="3700" w:type="dxa"/>
            <w:vAlign w:val="bottom"/>
            <w:tcBorders>
              <w:bottom w:val="single" w:sz="8" w:color="auto"/>
              <w:right w:val="single" w:sz="8" w:color="auto"/>
            </w:tcBorders>
          </w:tcPr>
          <w:p>
            <w:pPr>
              <w:spacing w:after="0"/>
              <w:rPr>
                <w:sz w:val="3"/>
                <w:szCs w:val="3"/>
                <w:color w:val="auto"/>
              </w:rPr>
            </w:pPr>
          </w:p>
        </w:tc>
      </w:tr>
    </w:tbl>
    <w:p>
      <w:pPr>
        <w:spacing w:after="0" w:line="202"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493395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On March 19, 2020, XpresSpa Group, Inc., a Delaware corporation (the “Company”), entered into a Securities Purchase Agreement (the “Purchase Agreement”) with certain purchasers named therein (the “Purchasers”), pursuant to which the Company agreed to issue and sell, in a registered direct offering, (i) 4,153,383 shares of the Company’s common stock, par value $0.01 per share (the “Common Stock”) at an offering price of $0.175 per share and (ii) an aggregate of 2,132,333 pre-funded warrants exercisable for shares of Common Stock (the “Pre-Funded Warrants”) at an offering price of $0.165 per Pre-Funded Warrant (the offering of the shares of Common Stock and the Pre-Funded Warrants, the “Offering”). The closing of the Offering is expected to occur on or about March 19, 2020, subject to customary closing conditions. The Company expects to receive gross proceeds of approximately $1.1 million in connection with the Offering, before deducting financial advisory consultant fees and related offering expenses.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Pre-Funded Warrants are being sold to the Purchasers to the extent that a Purchaser’s subscription of shares of Common Stock in the Offering would otherwise result in the Purchaser, together with its affiliates and certain related parties, beneficially owning more than 4.99% of the Company’s outstanding Common Stock immediately following the consummation of the Offering, in lieu of shares of Common Stock. Each Pre-Funded Warrant represents the right to purchase one share of Common Stock at an exercise price of $0.01 per share. The Pre-Funded Warrants are exercisable immediately and may be exercised at any time until the Pre-Funded Warrants are exercised in full.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contains customary representations and warranties and agreements of the Company and the Purchasers and customary indemnification rights and obligations of the parties. Pursuant to the terms of the Purchase Agreement, the Company has agreed to certain restrictions on the issuance and sale of its Common Stock or Common Stock Equivalents (as defined in the Purchase Agreement) from the date of the Purchase Agreement until 45 days after the date of the Purchase Agreement.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a letter agreement, dated March 19, 2020 (the “Letter Agreement”), the Company engaged Palladium Capital Advisors, LLC (“Palladium”) as advisory financial consultant in connection with the Offering. The Company agreed to pay to Palladium a cash fee of 8% of the aggregate gross proceeds raised in the Offering plus reimbursement of certain legal expenses.</w:t>
      </w:r>
    </w:p>
    <w:p>
      <w:pPr>
        <w:spacing w:after="0" w:line="18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foregoing summaries of the Letter Agreement, the Purchase Agreement and the Pre-Funded Warrants do not purport to be complete and are subject to, and qualified in their entirety by, such documents attached as Exhibits 1.1, 10.1 and 4.1, respectively, to this Current Report on Form 8-K, which are incorporated herein by reference.</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19, 2020, the Company issued a press release in connection with the Offering, which is attached as Exhibit 99.1 hereto and incorporated by reference 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securities in Offering are being offered by the Company pursuant to a registration statement on Form S-3 (File No. 333- 232764), which was filed with the Securities and Exchange Commission (the “Commission”) on July 22, 2019 and was declared effective by the Commission on July 30, 2019 (the “Registration Statement”). A copy of the opinion of Mintz, Levin, Cohn, Ferris, Glovsky &amp; Popeo, P.C. relating to the legality of the issuance and sale of the securities in the Offering is attached to this report as Exhibit 5.1. This Current Report on Form 8-K shall not constitute an offer to sell or the solicitation of an offer to buy securities, nor shall there be any sale of securities in any state in which such offer, solicitation or sale would be unlawful prior to registration or qualification under the securities laws of any such state.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Warrant Exchange</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March 19, 2020, the Company entered into separate Warrant Exchange Agreements (the “Exchange Agreements”) with the holders of certain existing warrants (the “Exchanged Warrants”) to purchase shares of Common Stock. The Exchanged Warrants were originally issued (i) pursuant to a securities purchase agreement, dated as of May 15, 2018, and in connection with a related consent and (ii) in connection with that certain Agreement and Plan of Merger by and among the Company (formerly known as FORM Holdings Corp.), FHXMS, LLC, XpresSpa Holdings, LLC and Mistral XH Representative, LLC, as representative of the unitholders, dated October 25, 2016, as subsequently amended. The Company has begun discussion with Calm.com, Inc. (“Calm”) regarding the potential exchange of warrants held by Calm that were issued pursuant to a securities purchase agreement, dated as of July 8, 2019, by and between the Company and Calm. Pursuant to the Exchange Agreements, on the closing date and subject to (i) the receipt of approval of the Company’s stockholders as required by the applicable rules and regulations of the Nasdaq Stock Market and (ii) the receipt of approval of the Company’s stockholders to increase the Company’s authorized shares (collectively, the “Shareholder Approval”), the holders of Exchanged Warrants would exchange each Exchanged Warrant for a number of shares of Common Stock (the “New Shares”) equal to the product of (i) the number of shares of Common Stock underlying such Exchanged Warrants (based on a formula related to the closing price of the Common Stock at the time of the closing of the Exchange as further detailed in the Exchange Agreement) and (ii) 1.5 (the “Exchange”). To the extent any holder of Exchanged Warrants would otherwise beneficially own in excess of any beneficial ownership limitation applicable to such holder after giving effect to the Exchange, that holder’s Exchanged Warrants shall be exchanged for a number of New Shares issuable to the holder without violating the applicable beneficial ownership limitation and the remainder of the holder’s Exchanged Warrants shall automatically convert into pre-funded warrants to purchase the number of shares of Common Stock equal to the number of shares of Common Stock in excess of the applicable beneficial ownership limitation. The closing is expected to take place on the first business day on which the conditions to the closing are satisfied or waived, subject to satisfaction of customary closing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both"/>
        <w:spacing w:after="0" w:line="277" w:lineRule="auto"/>
        <w:rPr>
          <w:sz w:val="20"/>
          <w:szCs w:val="20"/>
          <w:color w:val="auto"/>
        </w:rPr>
      </w:pPr>
      <w:r>
        <w:rPr>
          <w:rFonts w:ascii="Arial" w:cs="Arial" w:eastAsia="Arial" w:hAnsi="Arial"/>
          <w:sz w:val="18"/>
          <w:szCs w:val="18"/>
          <w:color w:val="auto"/>
        </w:rPr>
        <w:t>The Exchange will be conducted pursuant to the exemption from the registration requirements of the Securities Act, provided by Section 3(a)(9) of the Securities Act.</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Exchange, on March 19, 2020, the Company entered into a voting agreement (the “Voting Agreement”) with existing stockholder Mistral Spa Holdings, LLC (“Mistral”), pursuant to which Mistral agreed, in connection with a meeting of the Company’s stockholders, to vote its shares of Common Stock (i) in favor of any proposal to adopt or approve or re-approve the Purchase Agreement, the Exchange Agreement and the transactions contemplated thereby and (ii) against any action or agreement that would reasonably be expected to prevent or materially delay the consummation of the transactions contemplated by such agreements and against any action, proposal, transaction or agreement that is intended or would result in a breach in any material respect of any covenant, representation or warranty or any other obligation or agreement of the Company under such agreements. Mistral further agreed not to transfer its shares of Common Stock until the earlier of (a) the initial record date set for the shareholder meeting to be held in connection with the foregoing matters or (b) March 31, 2020. The shares of Common Stock subject to the Voting Agreement represent approximately 37% of the Company’s outstanding Common Stock as of March 18, 2020.</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descriptions of the Exchange Agreements and the Voting Agreement do not purport to be complete and are subject to and qualified in their entirety by reference to the full text of such documents, which are attached as Exhibits 10.2 and 10.3 to this Current Report on Form 8-K and are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3.02. Unregistered Sales of Equity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above under the heading “Warrant Exchange” under Item 1.01 is hereby incorporated by reference into this Item 3.02.</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3.03. Material Modification to Rights of Security Holders.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set forth above under the heading “Warrant Exchange” under Item 1.01 is hereby incorporated by reference into this Item 3.03.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prospectus supplement to the Registration Statement to be filed with the Commission, the Company intends to include the following disclosure regarding the effects of the coronavirus on its business:</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“Similar to many businesses in the travel sector, our business has been materially adversely impacted by the recent coronavirus outbreak and associated restrictions on travel that have been implemented.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jc w:val="both"/>
        <w:ind w:left="660"/>
        <w:spacing w:after="0" w:line="254" w:lineRule="auto"/>
        <w:rPr>
          <w:sz w:val="20"/>
          <w:szCs w:val="20"/>
          <w:color w:val="auto"/>
        </w:rPr>
      </w:pPr>
      <w:r>
        <w:rPr>
          <w:rFonts w:ascii="Arial" w:cs="Arial" w:eastAsia="Arial" w:hAnsi="Arial"/>
          <w:sz w:val="18"/>
          <w:szCs w:val="18"/>
          <w:color w:val="auto"/>
        </w:rPr>
        <w:t>As the coronavirus has spread, we have seen a material decline in demand across all our locations and this has resulted in a materially adverse impact on our cash flows from operations and has caused an immediate liquidity crisis. Accordingly, we are seeking sources of capital to help fund our business operations during the coronavirus crisis. If we are unable to obtain additional funding in the immediate term, we may be required to curtail or terminate some or all of our business operations and cause our Board of Directors to decide to pursue a restructuring, which may include a reorganization or bankruptcy under Federal bankruptcy laws, or a dissolution, liquidation and/or winding up of the Company. Accordingly, holders of our common stock may lose their entire investment in the event of a reorganization, bankruptcy, liquidation, dissolution or winding up of the Company.</w:t>
      </w:r>
    </w:p>
    <w:p>
      <w:pPr>
        <w:spacing w:after="0" w:line="19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We are currently exploring sources of capital, including additional indebtedness. We plan to have discussions with our existing lender, B3D, LLC, and additional lenders regarding potential funding options. If additional indebtedness becomes available from sources other than B3D, LLC, the consent of B3D, LLC as our secured lender will be required and, based on past experience, we expect to be required to pay a consent fee to B3D, LLC as consideration for their consent.”</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the prospectus supplement to the Registration Statement to be filed with the Commission, the Company intends to include the following disclosure under the heading “Risk Factors” regarding certain additional risk factors that could affect its business, financial condition, operating results and cash flows, which should be read in connection with the existing disclosure on risk factors made in the Company’s most recently filed Annual Report on Form 10-K, Quarterly Reports on Form 10-Q and other filings made with the Securities and Exchange Commission:</w:t>
      </w:r>
    </w:p>
    <w:p>
      <w:pPr>
        <w:spacing w:after="0" w:line="167" w:lineRule="exact"/>
        <w:rPr>
          <w:sz w:val="20"/>
          <w:szCs w:val="20"/>
          <w:color w:val="auto"/>
        </w:rPr>
      </w:pPr>
    </w:p>
    <w:p>
      <w:pPr>
        <w:jc w:val="both"/>
        <w:ind w:left="74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 will need additional financing to fund our operations in the future. If we are unable to obtain additional financing on acceptable</w:t>
      </w:r>
      <w:r>
        <w:rPr>
          <w:rFonts w:ascii="Arial" w:cs="Arial" w:eastAsia="Arial" w:hAnsi="Arial"/>
          <w:sz w:val="18"/>
          <w:szCs w:val="18"/>
          <w:color w:val="auto"/>
        </w:rPr>
        <w:t xml:space="preserve"> </w:t>
      </w:r>
      <w:r>
        <w:rPr>
          <w:rFonts w:ascii="Arial" w:cs="Arial" w:eastAsia="Arial" w:hAnsi="Arial"/>
          <w:sz w:val="18"/>
          <w:szCs w:val="18"/>
          <w:b w:val="1"/>
          <w:bCs w:val="1"/>
          <w:color w:val="auto"/>
        </w:rPr>
        <w:t>terms, we will need to curtail or cease our business plans and operations.</w:t>
      </w:r>
    </w:p>
    <w:p>
      <w:pPr>
        <w:spacing w:after="0" w:line="166" w:lineRule="exact"/>
        <w:rPr>
          <w:sz w:val="20"/>
          <w:szCs w:val="20"/>
          <w:color w:val="auto"/>
        </w:rPr>
      </w:pPr>
    </w:p>
    <w:p>
      <w:pPr>
        <w:jc w:val="both"/>
        <w:ind w:left="740"/>
        <w:spacing w:after="0" w:line="270" w:lineRule="auto"/>
        <w:rPr>
          <w:sz w:val="20"/>
          <w:szCs w:val="20"/>
          <w:color w:val="auto"/>
        </w:rPr>
      </w:pPr>
      <w:r>
        <w:rPr>
          <w:rFonts w:ascii="Arial" w:cs="Arial" w:eastAsia="Arial" w:hAnsi="Arial"/>
          <w:sz w:val="17"/>
          <w:szCs w:val="17"/>
          <w:color w:val="auto"/>
        </w:rPr>
        <w:t>We do not have sufficient capital to fund our operations in the long term. As a result, we will need to raise additional capital and/or complete a strategic combination. Additional funds may be raised through the issuance of equity securities and/or debt financing, there being no assurance that any type of financing on terms acceptable to us will be available or otherwise occur. Debt financing must be repaid regardless of whether we generate revenues or cash flows from operations and may be secured by substantially all of our assets. Any equity financing or debt financing that requires the issuance of warrants or other equity securities to the lender would cause the percentage ownership by our current stockholders to be diluted, which dilution may be substantial. Also, any additional equity securities issued may have rights, preferences or privileges senior to those of existing stockholders. If such financing is not available when required or is not available on acceptable terms, we may be required to reduce or eliminate certain business activities, and it may ultimately require us to suspend or cease operations, which could cause investors to lose the entire amount of their investment.</w:t>
      </w:r>
    </w:p>
    <w:p>
      <w:pPr>
        <w:spacing w:after="0" w:line="177" w:lineRule="exact"/>
        <w:rPr>
          <w:sz w:val="20"/>
          <w:szCs w:val="20"/>
          <w:color w:val="auto"/>
        </w:rPr>
      </w:pPr>
    </w:p>
    <w:p>
      <w:pPr>
        <w:jc w:val="both"/>
        <w:ind w:left="740"/>
        <w:spacing w:after="0" w:line="266" w:lineRule="auto"/>
        <w:rPr>
          <w:sz w:val="20"/>
          <w:szCs w:val="20"/>
          <w:color w:val="auto"/>
        </w:rPr>
      </w:pPr>
      <w:r>
        <w:rPr>
          <w:rFonts w:ascii="Arial" w:cs="Arial" w:eastAsia="Arial" w:hAnsi="Arial"/>
          <w:sz w:val="18"/>
          <w:szCs w:val="18"/>
          <w:b w:val="1"/>
          <w:bCs w:val="1"/>
          <w:color w:val="auto"/>
        </w:rPr>
        <w:t>If our process to identify and evaluate potential business alternatives is not successful, our Board of Directors may decide to pursue a restructuring, which may include a reorganization or bankruptcy under Federal bankruptcy laws, or a dissolution, liquidation and/or winding up of the Company.</w:t>
      </w:r>
    </w:p>
    <w:p>
      <w:pPr>
        <w:spacing w:after="0" w:line="180" w:lineRule="exact"/>
        <w:rPr>
          <w:sz w:val="20"/>
          <w:szCs w:val="20"/>
          <w:color w:val="auto"/>
        </w:rPr>
      </w:pPr>
    </w:p>
    <w:p>
      <w:pPr>
        <w:jc w:val="both"/>
        <w:ind w:left="740"/>
        <w:spacing w:after="0" w:line="268" w:lineRule="auto"/>
        <w:rPr>
          <w:sz w:val="20"/>
          <w:szCs w:val="20"/>
          <w:color w:val="auto"/>
        </w:rPr>
      </w:pPr>
      <w:r>
        <w:rPr>
          <w:rFonts w:ascii="Arial" w:cs="Arial" w:eastAsia="Arial" w:hAnsi="Arial"/>
          <w:sz w:val="17"/>
          <w:szCs w:val="17"/>
          <w:color w:val="auto"/>
        </w:rPr>
        <w:t>There can be no assurance that the process to identify and evaluate potential business alternatives will result in a successful alternative for our business. If no transactions with respect to potential business alternatives are identified and completed, our Board of Directors may decide to pursue a restructuring, which may include a reorganization or bankruptcy under Federal bankruptcy laws, or a dissolution, liquidation and/or winding up of the Company. If our Board of Directors were to approve and recommend, and our stockholders were to approve, a dissolution and liquidation of our company, we would be required under Delaware corporate law to pay our outstanding obligations, as well as to make reasonable provisions for contingent and unknown obligations, prior to making any distributions in liquidation to our stockholders. Our commitments and contingent liabilities may include (i) obligations under our employment agreements with certain members of management that provide for severance and other payments following a termination of employment occurring for various reasons, including a change in control of our Company, (ii) various claims and legal actions arising in the ordinary course of business and (iii) non-cancelable lease obligations. As a result of this requirement, a portion of our assets may need to be reserved pending the resolution of such obligations. In addition, we may be subject to litigation or other claims related to a dissolution and liquidation of our company. If a dissolution and liquidation were pursued, our Board of Directors, in consultation with its advisors, would need to evaluate these matters and make a determination about a reasonable amount to reserve. Accordingly, holders of our Common Stock may lose their entire investment in the event of a reorganization, bankruptcy, liquidation, dissolution or winding up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jc w:val="both"/>
        <w:ind w:left="740"/>
        <w:spacing w:after="0" w:line="282" w:lineRule="auto"/>
        <w:rPr>
          <w:sz w:val="20"/>
          <w:szCs w:val="20"/>
          <w:color w:val="auto"/>
        </w:rPr>
      </w:pPr>
      <w:r>
        <w:rPr>
          <w:rFonts w:ascii="Arial" w:cs="Arial" w:eastAsia="Arial" w:hAnsi="Arial"/>
          <w:sz w:val="18"/>
          <w:szCs w:val="18"/>
          <w:b w:val="1"/>
          <w:bCs w:val="1"/>
          <w:color w:val="auto"/>
        </w:rPr>
        <w:t>Our business, results of operations and financial condition has been and may continue to be materially adversely impacted by public health epidemics, including the recent coronavirus outbreak.</w:t>
      </w:r>
    </w:p>
    <w:p>
      <w:pPr>
        <w:spacing w:after="0" w:line="166" w:lineRule="exact"/>
        <w:rPr>
          <w:sz w:val="20"/>
          <w:szCs w:val="20"/>
          <w:color w:val="auto"/>
        </w:rPr>
      </w:pPr>
    </w:p>
    <w:p>
      <w:pPr>
        <w:jc w:val="both"/>
        <w:ind w:left="740"/>
        <w:spacing w:after="0" w:line="270" w:lineRule="auto"/>
        <w:rPr>
          <w:sz w:val="20"/>
          <w:szCs w:val="20"/>
          <w:color w:val="auto"/>
        </w:rPr>
      </w:pPr>
      <w:r>
        <w:rPr>
          <w:rFonts w:ascii="Arial" w:cs="Arial" w:eastAsia="Arial" w:hAnsi="Arial"/>
          <w:sz w:val="17"/>
          <w:szCs w:val="17"/>
          <w:color w:val="auto"/>
        </w:rPr>
        <w:t>Our business, results of operations and financial condition has been and may continue to be materially adversely impacted if a public health epidemic, including the recent coronavirus outbreak, interferes with our ability, or the ability of our employees, workers, contractors, suppliers and other business partners to perform our and their respective responsibilities and obligations relative to the conduct of our business. A public health epidemic, including the coronavirus, poses the risk of disruptions from the temporary closure of third-party suppliers and manufacturers, restrictions on the shipment of our products, restrictions on our employees' and other service providers' ability to travel, the decreased willingness or ability of our customers to travel or to utilize our services and shutdowns that may be requested or mandated by governmental authorities. The extent to which the coronavirus continues to impact our results will depend on future developments, which are highly uncertain and cannot be predicted, including new information which may emerge concerning the severity of the coronavirus and the actions to contain the coronavirus or treat its impact, among others.”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addition, in the prospectus supplement to the Registration Statement to be filed with the Commission, the Company intends to include the following disclosure regarding the Company’s cash position as of December 31, 2019:</w:t>
      </w:r>
    </w:p>
    <w:p>
      <w:pPr>
        <w:spacing w:after="0" w:line="170" w:lineRule="exact"/>
        <w:rPr>
          <w:sz w:val="20"/>
          <w:szCs w:val="20"/>
          <w:color w:val="auto"/>
        </w:rPr>
      </w:pPr>
    </w:p>
    <w:p>
      <w:pPr>
        <w:ind w:left="740"/>
        <w:spacing w:after="0"/>
        <w:rPr>
          <w:sz w:val="20"/>
          <w:szCs w:val="20"/>
          <w:color w:val="auto"/>
        </w:rPr>
      </w:pPr>
      <w:r>
        <w:rPr>
          <w:rFonts w:ascii="Arial" w:cs="Arial" w:eastAsia="Arial" w:hAnsi="Arial"/>
          <w:sz w:val="18"/>
          <w:szCs w:val="18"/>
          <w:color w:val="auto"/>
        </w:rPr>
        <w:t>“As of December 31, 2019, we had cash, cash equivalents and marketable securities of approximately $2,184,000.</w:t>
      </w:r>
    </w:p>
    <w:p>
      <w:pPr>
        <w:spacing w:after="0" w:line="225" w:lineRule="exact"/>
        <w:rPr>
          <w:sz w:val="20"/>
          <w:szCs w:val="20"/>
          <w:color w:val="auto"/>
        </w:rPr>
      </w:pPr>
    </w:p>
    <w:p>
      <w:pPr>
        <w:jc w:val="both"/>
        <w:ind w:left="740"/>
        <w:spacing w:after="0" w:line="301" w:lineRule="auto"/>
        <w:rPr>
          <w:sz w:val="20"/>
          <w:szCs w:val="20"/>
          <w:color w:val="auto"/>
        </w:rPr>
      </w:pPr>
      <w:r>
        <w:rPr>
          <w:rFonts w:ascii="Arial" w:cs="Arial" w:eastAsia="Arial" w:hAnsi="Arial"/>
          <w:sz w:val="16"/>
          <w:szCs w:val="16"/>
          <w:color w:val="auto"/>
        </w:rPr>
        <w:t>The estimated cash, cash equivalents, and marketable securities as of December 31, 2019 are preliminary and may change, are based on information available to management as of the date of this prospectus supplement, and are subject to completion by management of the financial statements as of and for the year ended December 31, 2019. There can be no assurance that our cash, cash equivalents, and marketable securities as of December 31, 2019 will not differ from these estimates, including as a result of quarter-end closing and any such changes could be material.</w:t>
      </w:r>
    </w:p>
    <w:p>
      <w:pPr>
        <w:spacing w:after="0" w:line="157" w:lineRule="exact"/>
        <w:rPr>
          <w:sz w:val="20"/>
          <w:szCs w:val="20"/>
          <w:color w:val="auto"/>
        </w:rPr>
      </w:pPr>
    </w:p>
    <w:p>
      <w:pPr>
        <w:jc w:val="both"/>
        <w:ind w:left="740" w:right="20"/>
        <w:spacing w:after="0" w:line="342" w:lineRule="auto"/>
        <w:rPr>
          <w:sz w:val="20"/>
          <w:szCs w:val="20"/>
          <w:color w:val="auto"/>
        </w:rPr>
      </w:pPr>
      <w:r>
        <w:rPr>
          <w:rFonts w:ascii="Arial" w:cs="Arial" w:eastAsia="Arial" w:hAnsi="Arial"/>
          <w:sz w:val="16"/>
          <w:szCs w:val="16"/>
          <w:color w:val="auto"/>
        </w:rPr>
        <w:t>The foregoing preliminary financial data has been prepared by, and is the responsibility of, our management. This data could change as a result of further review. Complete annual results will be included in our Annual Report on Form 10-K for the year ended December 31, 2019.”</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On March 19, 2020, the Company issued a press release in connection with its early high-level discussions to turn its airport locations located in point of entry cities into COVID-19 testing facilities, which is attached as Exhibit 99.2 hereto and incorporated by reference herein.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680" w:hanging="672"/>
        <w:spacing w:after="0"/>
        <w:tabs>
          <w:tab w:leader="none" w:pos="68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7">
        <w:r>
          <w:rPr>
            <w:rFonts w:ascii="Arial" w:cs="Arial" w:eastAsia="Arial" w:hAnsi="Arial"/>
            <w:sz w:val="18"/>
            <w:szCs w:val="18"/>
            <w:u w:val="single" w:color="auto"/>
            <w:color w:val="0000EE"/>
          </w:rPr>
          <w:t>1.1</w:t>
        </w:r>
      </w:hyperlink>
      <w:r>
        <w:rPr>
          <w:rFonts w:ascii="Arial" w:cs="Arial" w:eastAsia="Arial" w:hAnsi="Arial"/>
          <w:sz w:val="18"/>
          <w:szCs w:val="18"/>
          <w:u w:val="single" w:color="auto"/>
          <w:color w:val="0000EE"/>
        </w:rPr>
        <w:tab/>
      </w:r>
      <w:hyperlink w:anchor="page7">
        <w:r>
          <w:rPr>
            <w:rFonts w:ascii="Arial" w:cs="Arial" w:eastAsia="Arial" w:hAnsi="Arial"/>
            <w:sz w:val="16"/>
            <w:szCs w:val="16"/>
            <w:u w:val="single" w:color="auto"/>
            <w:color w:val="0000EE"/>
          </w:rPr>
          <w:t>Letter Agreement, dated March 19, 2020, by and between the Company and Palladium Capital Advisors, LLC.</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15">
        <w:r>
          <w:rPr>
            <w:rFonts w:ascii="Arial" w:cs="Arial" w:eastAsia="Arial" w:hAnsi="Arial"/>
            <w:sz w:val="18"/>
            <w:szCs w:val="18"/>
            <w:u w:val="single" w:color="auto"/>
            <w:color w:val="0000EE"/>
          </w:rPr>
          <w:t>4.1</w:t>
        </w:r>
      </w:hyperlink>
      <w:r>
        <w:rPr>
          <w:rFonts w:ascii="Arial" w:cs="Arial" w:eastAsia="Arial" w:hAnsi="Arial"/>
          <w:sz w:val="18"/>
          <w:szCs w:val="18"/>
          <w:u w:val="single" w:color="auto"/>
          <w:color w:val="0000EE"/>
        </w:rPr>
        <w:tab/>
      </w:r>
      <w:hyperlink w:anchor="page15">
        <w:r>
          <w:rPr>
            <w:rFonts w:ascii="Arial" w:cs="Arial" w:eastAsia="Arial" w:hAnsi="Arial"/>
            <w:sz w:val="16"/>
            <w:szCs w:val="16"/>
            <w:u w:val="single" w:color="auto"/>
            <w:color w:val="0000EE"/>
          </w:rPr>
          <w:t>Form of Pre-Funded Warrant.</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5.1</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 xml:space="preserve">Opinion of </w:t>
        </w:r>
        <w:r>
          <w:rPr>
            <w:rFonts w:ascii="Arial" w:cs="Arial" w:eastAsia="Arial" w:hAnsi="Arial"/>
            <w:sz w:val="16"/>
            <w:szCs w:val="16"/>
            <w:u w:val="single" w:color="auto"/>
            <w:color w:val="0000EE"/>
            <w:highlight w:val="white"/>
          </w:rPr>
          <w:t>Mintz, Levin, Cohn, Ferris, Glovsky &amp; Popeo, P.C.</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33">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w:anchor="page33">
        <w:r>
          <w:rPr>
            <w:rFonts w:ascii="Arial" w:cs="Arial" w:eastAsia="Arial" w:hAnsi="Arial"/>
            <w:sz w:val="16"/>
            <w:szCs w:val="16"/>
            <w:u w:val="single" w:color="auto"/>
            <w:color w:val="0000EE"/>
          </w:rPr>
          <w:t>Securities Purchase Agreement, dated March 19, 2020, by and between the Company and the purchasers party thereto.</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75">
        <w:r>
          <w:rPr>
            <w:rFonts w:ascii="Arial" w:cs="Arial" w:eastAsia="Arial" w:hAnsi="Arial"/>
            <w:sz w:val="18"/>
            <w:szCs w:val="18"/>
            <w:u w:val="single" w:color="auto"/>
            <w:color w:val="0000EE"/>
          </w:rPr>
          <w:t>10.2</w:t>
        </w:r>
      </w:hyperlink>
      <w:r>
        <w:rPr>
          <w:rFonts w:ascii="Arial" w:cs="Arial" w:eastAsia="Arial" w:hAnsi="Arial"/>
          <w:sz w:val="18"/>
          <w:szCs w:val="18"/>
          <w:u w:val="single" w:color="auto"/>
          <w:color w:val="0000EE"/>
        </w:rPr>
        <w:tab/>
      </w:r>
      <w:hyperlink w:anchor="page75">
        <w:r>
          <w:rPr>
            <w:rFonts w:ascii="Arial" w:cs="Arial" w:eastAsia="Arial" w:hAnsi="Arial"/>
            <w:sz w:val="16"/>
            <w:szCs w:val="16"/>
            <w:u w:val="single" w:color="auto"/>
            <w:color w:val="0000EE"/>
          </w:rPr>
          <w:t>Form of Exchange Agreement, dated March 19, 2020.</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83">
        <w:r>
          <w:rPr>
            <w:rFonts w:ascii="Arial" w:cs="Arial" w:eastAsia="Arial" w:hAnsi="Arial"/>
            <w:sz w:val="18"/>
            <w:szCs w:val="18"/>
            <w:u w:val="single" w:color="auto"/>
            <w:color w:val="0000EE"/>
          </w:rPr>
          <w:t>10.3</w:t>
        </w:r>
      </w:hyperlink>
      <w:r>
        <w:rPr>
          <w:rFonts w:ascii="Arial" w:cs="Arial" w:eastAsia="Arial" w:hAnsi="Arial"/>
          <w:sz w:val="18"/>
          <w:szCs w:val="18"/>
          <w:u w:val="single" w:color="auto"/>
          <w:color w:val="0000EE"/>
        </w:rPr>
        <w:tab/>
      </w:r>
      <w:hyperlink w:anchor="page83">
        <w:r>
          <w:rPr>
            <w:rFonts w:ascii="Arial" w:cs="Arial" w:eastAsia="Arial" w:hAnsi="Arial"/>
            <w:sz w:val="16"/>
            <w:szCs w:val="16"/>
            <w:u w:val="single" w:color="auto"/>
            <w:color w:val="0000EE"/>
          </w:rPr>
          <w:t>Voting Agreement, dated March 19, 2020, by and between the Company and Mistral Spa Holdings, LLC.</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31">
        <w:r>
          <w:rPr>
            <w:rFonts w:ascii="Arial" w:cs="Arial" w:eastAsia="Arial" w:hAnsi="Arial"/>
            <w:sz w:val="18"/>
            <w:szCs w:val="18"/>
            <w:u w:val="single" w:color="auto"/>
            <w:color w:val="0000EE"/>
          </w:rPr>
          <w:t>23.1</w:t>
        </w:r>
      </w:hyperlink>
      <w:r>
        <w:rPr>
          <w:rFonts w:ascii="Arial" w:cs="Arial" w:eastAsia="Arial" w:hAnsi="Arial"/>
          <w:sz w:val="18"/>
          <w:szCs w:val="18"/>
          <w:u w:val="single" w:color="auto"/>
          <w:color w:val="0000EE"/>
        </w:rPr>
        <w:tab/>
      </w:r>
      <w:hyperlink w:anchor="page31">
        <w:r>
          <w:rPr>
            <w:rFonts w:ascii="Arial" w:cs="Arial" w:eastAsia="Arial" w:hAnsi="Arial"/>
            <w:sz w:val="16"/>
            <w:szCs w:val="16"/>
            <w:u w:val="single" w:color="auto"/>
            <w:color w:val="0000EE"/>
          </w:rPr>
          <w:t xml:space="preserve">Consent of </w:t>
        </w:r>
        <w:r>
          <w:rPr>
            <w:rFonts w:ascii="Arial" w:cs="Arial" w:eastAsia="Arial" w:hAnsi="Arial"/>
            <w:sz w:val="16"/>
            <w:szCs w:val="16"/>
            <w:u w:val="single" w:color="auto"/>
            <w:color w:val="0000EE"/>
            <w:highlight w:val="white"/>
          </w:rPr>
          <w:t>Mintz, Levin, Cohn, Ferris, Glovsky &amp; Popeo, P.C. (included in Exhibit 5.1).</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9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94">
        <w:r>
          <w:rPr>
            <w:rFonts w:ascii="Arial" w:cs="Arial" w:eastAsia="Arial" w:hAnsi="Arial"/>
            <w:sz w:val="16"/>
            <w:szCs w:val="16"/>
            <w:u w:val="single" w:color="auto"/>
            <w:color w:val="0000EE"/>
          </w:rPr>
          <w:t>Press Release regarding the Offering, dated March 19, 2020.</w:t>
        </w:r>
      </w:hyperlink>
    </w:p>
    <w:p>
      <w:pPr>
        <w:spacing w:after="0" w:line="225" w:lineRule="exact"/>
        <w:rPr>
          <w:sz w:val="20"/>
          <w:szCs w:val="20"/>
          <w:color w:val="auto"/>
        </w:rPr>
      </w:pPr>
    </w:p>
    <w:p>
      <w:pPr>
        <w:spacing w:after="0"/>
        <w:tabs>
          <w:tab w:leader="none" w:pos="780" w:val="left"/>
        </w:tabs>
        <w:rPr>
          <w:rFonts w:ascii="Arial" w:cs="Arial" w:eastAsia="Arial" w:hAnsi="Arial"/>
          <w:sz w:val="16"/>
          <w:szCs w:val="16"/>
          <w:u w:val="single" w:color="auto"/>
          <w:color w:val="0000EE"/>
        </w:rPr>
      </w:pPr>
      <w:hyperlink w:anchor="page96">
        <w:r>
          <w:rPr>
            <w:rFonts w:ascii="Arial" w:cs="Arial" w:eastAsia="Arial" w:hAnsi="Arial"/>
            <w:sz w:val="18"/>
            <w:szCs w:val="18"/>
            <w:u w:val="single" w:color="auto"/>
            <w:color w:val="0000EE"/>
          </w:rPr>
          <w:t>99.2</w:t>
        </w:r>
      </w:hyperlink>
      <w:r>
        <w:rPr>
          <w:rFonts w:ascii="Arial" w:cs="Arial" w:eastAsia="Arial" w:hAnsi="Arial"/>
          <w:sz w:val="18"/>
          <w:szCs w:val="18"/>
          <w:u w:val="single" w:color="auto"/>
          <w:color w:val="0000EE"/>
        </w:rPr>
        <w:tab/>
      </w:r>
      <w:hyperlink w:anchor="page96">
        <w:r>
          <w:rPr>
            <w:rFonts w:ascii="Arial" w:cs="Arial" w:eastAsia="Arial" w:hAnsi="Arial"/>
            <w:sz w:val="16"/>
            <w:szCs w:val="16"/>
            <w:u w:val="single" w:color="auto"/>
            <w:color w:val="0000EE"/>
          </w:rPr>
          <w:t>Press Release regarding COVID-19 testing, dated March 19,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XPRESSPA GROUP, INC.</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Dated: March 19, 2020</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Douglas Satzman</w:t>
            </w:r>
          </w:p>
        </w:tc>
      </w:tr>
      <w:tr>
        <w:trPr>
          <w:trHeight w:val="195"/>
        </w:trPr>
        <w:tc>
          <w:tcPr>
            <w:tcW w:w="366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5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 Douglas Satzman</w:t>
            </w:r>
          </w:p>
        </w:tc>
      </w:tr>
      <w:tr>
        <w:trPr>
          <w:trHeight w:val="230"/>
        </w:trPr>
        <w:tc>
          <w:tcPr>
            <w:tcW w:w="366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6" w:name="page7"/>
    <w:bookmarkEnd w:id="6"/>
    <w:p>
      <w:pPr>
        <w:ind w:left="10240"/>
        <w:spacing w:after="0"/>
        <w:rPr>
          <w:sz w:val="20"/>
          <w:szCs w:val="20"/>
          <w:color w:val="auto"/>
        </w:rPr>
      </w:pPr>
      <w:r>
        <w:rPr>
          <w:rFonts w:ascii="Arial" w:cs="Arial" w:eastAsia="Arial" w:hAnsi="Arial"/>
          <w:sz w:val="19"/>
          <w:szCs w:val="19"/>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2113915</wp:posOffset>
            </wp:positionH>
            <wp:positionV relativeFrom="paragraph">
              <wp:posOffset>33020</wp:posOffset>
            </wp:positionV>
            <wp:extent cx="2914650" cy="1045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4650"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PALLADIUM CAPITAL ADVISORS, LLC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 ROCKEFELLER PLAZA, SUITE 909</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10020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 (646) 485-7297 FAX (917) 540-2302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JP@PALLADIUMCAPITAL.COM</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March 19,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Doug Satzman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254 West 31st Street, 11th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646-668-7710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Email: dsatzman@xpresspa.com</w:t>
      </w:r>
    </w:p>
    <w:p>
      <w:pPr>
        <w:spacing w:after="0" w:line="207"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u w:val="single" w:color="auto"/>
          <w:color w:val="auto"/>
        </w:rPr>
        <w:t>Finder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Mr. Satzman:</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sets forth the understanding and agreement between PALLADIUM CAPITAL ADVISORS, LLC, a Delaware limited liability company (“</w:t>
      </w:r>
      <w:r>
        <w:rPr>
          <w:rFonts w:ascii="Arial" w:cs="Arial" w:eastAsia="Arial" w:hAnsi="Arial"/>
          <w:sz w:val="18"/>
          <w:szCs w:val="18"/>
          <w:u w:val="single" w:color="auto"/>
          <w:color w:val="auto"/>
        </w:rPr>
        <w:t>Finder</w:t>
      </w:r>
      <w:r>
        <w:rPr>
          <w:rFonts w:ascii="Arial" w:cs="Arial" w:eastAsia="Arial" w:hAnsi="Arial"/>
          <w:sz w:val="18"/>
          <w:szCs w:val="18"/>
          <w:color w:val="auto"/>
        </w:rPr>
        <w:t>” or “</w:t>
      </w:r>
      <w:r>
        <w:rPr>
          <w:rFonts w:ascii="Arial" w:cs="Arial" w:eastAsia="Arial" w:hAnsi="Arial"/>
          <w:sz w:val="18"/>
          <w:szCs w:val="18"/>
          <w:u w:val="single" w:color="auto"/>
          <w:color w:val="auto"/>
        </w:rPr>
        <w:t>Palladium</w:t>
      </w:r>
      <w:r>
        <w:rPr>
          <w:rFonts w:ascii="Arial" w:cs="Arial" w:eastAsia="Arial" w:hAnsi="Arial"/>
          <w:sz w:val="18"/>
          <w:szCs w:val="18"/>
          <w:color w:val="auto"/>
        </w:rPr>
        <w:t>”), and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with respect to the following:</w:t>
      </w:r>
    </w:p>
    <w:p>
      <w:pPr>
        <w:spacing w:after="0" w:line="184" w:lineRule="exact"/>
        <w:rPr>
          <w:sz w:val="20"/>
          <w:szCs w:val="20"/>
          <w:color w:val="auto"/>
        </w:rPr>
      </w:pPr>
    </w:p>
    <w:p>
      <w:pPr>
        <w:jc w:val="both"/>
        <w:ind w:firstLine="8"/>
        <w:spacing w:after="0" w:line="263" w:lineRule="auto"/>
        <w:tabs>
          <w:tab w:leader="none" w:pos="97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Company hereby engages Palladium, as a non-exclusive finder for the Company, to use its best efforts to identify potential purchasers for the Company’s proposed offering of common stock and warrants of the Company (the “</w:t>
      </w:r>
      <w:r>
        <w:rPr>
          <w:rFonts w:ascii="Arial" w:cs="Arial" w:eastAsia="Arial" w:hAnsi="Arial"/>
          <w:sz w:val="18"/>
          <w:szCs w:val="18"/>
          <w:u w:val="single" w:color="auto"/>
          <w:color w:val="auto"/>
        </w:rPr>
        <w:t>Securities</w:t>
      </w:r>
      <w:r>
        <w:rPr>
          <w:rFonts w:ascii="Arial" w:cs="Arial" w:eastAsia="Arial" w:hAnsi="Arial"/>
          <w:sz w:val="18"/>
          <w:szCs w:val="18"/>
          <w:color w:val="auto"/>
        </w:rPr>
        <w:t>”) to a limited number of institutional, accredited individual or strategic investors (each a “</w:t>
      </w:r>
      <w:r>
        <w:rPr>
          <w:rFonts w:ascii="Arial" w:cs="Arial" w:eastAsia="Arial" w:hAnsi="Arial"/>
          <w:sz w:val="18"/>
          <w:szCs w:val="18"/>
          <w:u w:val="single" w:color="auto"/>
          <w:color w:val="auto"/>
        </w:rPr>
        <w:t>Finder Investor</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left="1060" w:hanging="1052"/>
        <w:spacing w:after="0"/>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The engagement of Palladium under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of this Agreement shall commence as of the date hereof and shall expire 6 months thereafter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“Term”).</w:t>
      </w:r>
    </w:p>
    <w:p>
      <w:pPr>
        <w:spacing w:after="0" w:line="210" w:lineRule="exact"/>
        <w:rPr>
          <w:rFonts w:ascii="Arial" w:cs="Arial" w:eastAsia="Arial" w:hAnsi="Arial"/>
          <w:sz w:val="16"/>
          <w:szCs w:val="16"/>
          <w:color w:val="auto"/>
        </w:rPr>
      </w:pPr>
    </w:p>
    <w:p>
      <w:pPr>
        <w:ind w:left="980" w:hanging="972"/>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the event one or more Finder Investors purchase Securities (a “</w:t>
      </w:r>
      <w:r>
        <w:rPr>
          <w:rFonts w:ascii="Arial" w:cs="Arial" w:eastAsia="Arial" w:hAnsi="Arial"/>
          <w:sz w:val="16"/>
          <w:szCs w:val="16"/>
          <w:u w:val="single" w:color="auto"/>
          <w:color w:val="auto"/>
        </w:rPr>
        <w:t>Transaction</w:t>
      </w:r>
      <w:r>
        <w:rPr>
          <w:rFonts w:ascii="Arial" w:cs="Arial" w:eastAsia="Arial" w:hAnsi="Arial"/>
          <w:sz w:val="16"/>
          <w:szCs w:val="16"/>
          <w:color w:val="auto"/>
        </w:rPr>
        <w:t>”), the Company agrees to pay Palladium the following fees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210" w:lineRule="exact"/>
        <w:rPr>
          <w:rFonts w:ascii="Arial" w:cs="Arial" w:eastAsia="Arial" w:hAnsi="Arial"/>
          <w:sz w:val="16"/>
          <w:szCs w:val="16"/>
          <w:color w:val="auto"/>
        </w:rPr>
      </w:pPr>
    </w:p>
    <w:p>
      <w:pPr>
        <w:ind w:left="1520" w:hanging="648"/>
        <w:spacing w:after="0" w:line="277" w:lineRule="auto"/>
        <w:tabs>
          <w:tab w:leader="none" w:pos="152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Company shall pay to Palladium a cash fee equal to 8% of the aggregate gross proceeds from Finder Investors used to purchase the Securities, payable in cash by wire transfer at the time of the completion of such purchase(s); and</w:t>
      </w:r>
    </w:p>
    <w:p>
      <w:pPr>
        <w:spacing w:after="0" w:line="170" w:lineRule="exact"/>
        <w:rPr>
          <w:rFonts w:ascii="Arial" w:cs="Arial" w:eastAsia="Arial" w:hAnsi="Arial"/>
          <w:sz w:val="18"/>
          <w:szCs w:val="18"/>
          <w:color w:val="auto"/>
        </w:rPr>
      </w:pPr>
    </w:p>
    <w:p>
      <w:pPr>
        <w:jc w:val="both"/>
        <w:ind w:left="1520" w:hanging="648"/>
        <w:spacing w:after="0" w:line="301" w:lineRule="auto"/>
        <w:tabs>
          <w:tab w:leader="none" w:pos="152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Company shall issue to Palladium (or its designees) warrants to purchase that number of shares of common stock of the Company equal to 7% of the aggregate number of shares of common stock purchased by Finder Investors, taking into consideration any increase in shares (or equivalent) under a ratchet or similar provision pursuant to which the number of shares (or equivalent) initially purchased is subsequently increased (the “</w:t>
      </w:r>
      <w:r>
        <w:rPr>
          <w:rFonts w:ascii="Arial" w:cs="Arial" w:eastAsia="Arial" w:hAnsi="Arial"/>
          <w:sz w:val="16"/>
          <w:szCs w:val="16"/>
          <w:u w:val="single" w:color="auto"/>
          <w:color w:val="auto"/>
        </w:rPr>
        <w:t>Warrants</w:t>
      </w:r>
      <w:r>
        <w:rPr>
          <w:rFonts w:ascii="Arial" w:cs="Arial" w:eastAsia="Arial" w:hAnsi="Arial"/>
          <w:sz w:val="16"/>
          <w:szCs w:val="16"/>
          <w:color w:val="auto"/>
        </w:rPr>
        <w:t>”). The Warrants shall be identical to the warrants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400050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ind w:left="880"/>
        <w:spacing w:after="0"/>
        <w:rPr>
          <w:sz w:val="20"/>
          <w:szCs w:val="20"/>
          <w:color w:val="auto"/>
        </w:rPr>
      </w:pPr>
      <w:r>
        <w:rPr>
          <w:rFonts w:ascii="Arial" w:cs="Arial" w:eastAsia="Arial" w:hAnsi="Arial"/>
          <w:sz w:val="16"/>
          <w:szCs w:val="16"/>
          <w:color w:val="auto"/>
        </w:rPr>
        <w:t>The Fees are payable for any sale of securities of the Company that occurs during the Term or within 18 months thereafter to Finder Investors.</w:t>
      </w:r>
    </w:p>
    <w:p>
      <w:pPr>
        <w:spacing w:after="0" w:line="248" w:lineRule="exact"/>
        <w:rPr>
          <w:sz w:val="20"/>
          <w:szCs w:val="20"/>
          <w:color w:val="auto"/>
        </w:rPr>
      </w:pPr>
    </w:p>
    <w:p>
      <w:pPr>
        <w:jc w:val="both"/>
        <w:ind w:firstLine="8"/>
        <w:spacing w:after="0" w:line="286" w:lineRule="auto"/>
        <w:tabs>
          <w:tab w:leader="none" w:pos="998"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shall reimburse Palladium periodically for its reasonable and customary out-of-pocket and incidental expenses incurred during the Term, including the fees and expenses of its legal counsel and those of any other advisor retained by Palladium; provided, however, that any and all expenses incurred by Palladium in connection this Agreement in excess of $1000 shall be pre-approved by the Company.</w:t>
      </w:r>
    </w:p>
    <w:p>
      <w:pPr>
        <w:spacing w:after="0" w:line="165" w:lineRule="exact"/>
        <w:rPr>
          <w:rFonts w:ascii="Arial" w:cs="Arial" w:eastAsia="Arial" w:hAnsi="Arial"/>
          <w:sz w:val="17"/>
          <w:szCs w:val="17"/>
          <w:color w:val="auto"/>
        </w:rPr>
      </w:pPr>
    </w:p>
    <w:p>
      <w:pPr>
        <w:ind w:left="960" w:hanging="952"/>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Company agrees to provide indemnification as set forth in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and made a part hereof.</w:t>
      </w:r>
    </w:p>
    <w:p>
      <w:pPr>
        <w:spacing w:after="0" w:line="225" w:lineRule="exact"/>
        <w:rPr>
          <w:rFonts w:ascii="Arial" w:cs="Arial" w:eastAsia="Arial" w:hAnsi="Arial"/>
          <w:sz w:val="18"/>
          <w:szCs w:val="18"/>
          <w:color w:val="auto"/>
        </w:rPr>
      </w:pPr>
    </w:p>
    <w:p>
      <w:pPr>
        <w:ind w:right="20" w:firstLine="8"/>
        <w:spacing w:after="0" w:line="277" w:lineRule="auto"/>
        <w:tabs>
          <w:tab w:leader="none" w:pos="1025"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The provisions of </w:t>
      </w:r>
      <w:r>
        <w:rPr>
          <w:rFonts w:ascii="Arial" w:cs="Arial" w:eastAsia="Arial" w:hAnsi="Arial"/>
          <w:sz w:val="18"/>
          <w:szCs w:val="18"/>
          <w:u w:val="single" w:color="auto"/>
          <w:color w:val="auto"/>
        </w:rPr>
        <w:t>Sections 3</w:t>
      </w:r>
      <w:r>
        <w:rPr>
          <w:rFonts w:ascii="Arial" w:cs="Arial" w:eastAsia="Arial" w:hAnsi="Arial"/>
          <w:sz w:val="18"/>
          <w:szCs w:val="18"/>
          <w:color w:val="auto"/>
        </w:rPr>
        <w:t xml:space="preserve">, 4, and 5 (including, without limitation, the provisions of indemnification referred to in </w:t>
      </w:r>
      <w:r>
        <w:rPr>
          <w:rFonts w:ascii="Arial" w:cs="Arial" w:eastAsia="Arial" w:hAnsi="Arial"/>
          <w:sz w:val="18"/>
          <w:szCs w:val="18"/>
          <w:u w:val="single" w:color="auto"/>
          <w:color w:val="auto"/>
        </w:rPr>
        <w:t>Section 5</w:t>
      </w:r>
      <w:r>
        <w:rPr>
          <w:rFonts w:ascii="Arial" w:cs="Arial" w:eastAsia="Arial" w:hAnsi="Arial"/>
          <w:sz w:val="18"/>
          <w:szCs w:val="18"/>
          <w:color w:val="auto"/>
        </w:rPr>
        <w:t>) shall survive the expiration or termination of this Agreement.</w:t>
      </w:r>
    </w:p>
    <w:p>
      <w:pPr>
        <w:spacing w:after="0" w:line="170" w:lineRule="exact"/>
        <w:rPr>
          <w:rFonts w:ascii="Arial" w:cs="Arial" w:eastAsia="Arial" w:hAnsi="Arial"/>
          <w:sz w:val="18"/>
          <w:szCs w:val="18"/>
          <w:color w:val="auto"/>
        </w:rPr>
      </w:pPr>
    </w:p>
    <w:p>
      <w:pPr>
        <w:jc w:val="both"/>
        <w:ind w:firstLine="8"/>
        <w:spacing w:after="0" w:line="267" w:lineRule="auto"/>
        <w:tabs>
          <w:tab w:leader="none" w:pos="1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Company acknowledges and agrees that Palladium will be using, and relying upon, written materials and information provided to Palladium by the Company, its officers, agents, and others, including, but not limited to, financial statements, to be provided to potential Finder Investors (the “</w:t>
      </w:r>
      <w:r>
        <w:rPr>
          <w:rFonts w:ascii="Arial" w:cs="Arial" w:eastAsia="Arial" w:hAnsi="Arial"/>
          <w:sz w:val="17"/>
          <w:szCs w:val="17"/>
          <w:u w:val="single" w:color="auto"/>
          <w:color w:val="auto"/>
        </w:rPr>
        <w:t>Materials</w:t>
      </w:r>
      <w:r>
        <w:rPr>
          <w:rFonts w:ascii="Arial" w:cs="Arial" w:eastAsia="Arial" w:hAnsi="Arial"/>
          <w:sz w:val="17"/>
          <w:szCs w:val="17"/>
          <w:color w:val="auto"/>
        </w:rPr>
        <w:t>”) describing the Company and the Transaction concerning the Company’s business, operations, assets, liabilities and receivables, and Palladium will be using, and relying upon, such Materials and any other publicly available information without any independent investigation or verification thereof or independent appraisal by Palladium of the Company or its business or assets. Palladium does not assume responsibility for the accuracy or completeness of the Materials, including but not limited to any disclosure materials related to the Transaction. “Materials” shall not include information that is provided in writing by Palladium to the Company that is independently produced by Palladium and not based on materials provided by the Company or information available from generally recognized public sources. The Company shall provide Palladium with access to the Company’s officers, directors, accountants, counsel and other advisors, and shall promptly notify Palladium of any events that might have a material effect on the financial condition of the Company, a Transaction or an Finder Investor’s decision whether or not to participate in a Transaction. The Company represents and warrants to Palladium that all information concerning the Company, including, without limitation, all information contained in the Materials, will be, when provided to Palladium, true, complete and accurate in all material respects and will not contain any untrue statement of a material fact or omit to state a material fact necessary in order to make the statements therein not misleading in light of the circumstances under which such statements are made. If at any time prior to the completion of a Transaction an event occurs which would cause the Materials (as supplemented or amended) to contain an untrue statement of a material fact or to omit to state a material fact necessary in order to make the statements therein, in light of the circumstances under which they were made, not misleading, the Company will promptly notify Palladium of such event. Notwithstanding any previously executed non-disclosure agreement, the Company agrees that Palladium is permitted to show Materials to prospective Finder Investors in order to induce them to participate in a Transaction as contemplated by this Agreement.</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jc w:val="both"/>
        <w:ind w:left="7" w:hanging="7"/>
        <w:spacing w:after="0" w:line="289" w:lineRule="auto"/>
        <w:tabs>
          <w:tab w:leader="none" w:pos="1177"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of Palladium and the Company represents and warrants to the other, and agrees, that neither it, nor any of its directors, executive officers, other officers or employees participating in the offering of Securities, general partners or managing members, or any of the directors, executive officers or other officers participating in the offering of Securities of any such general partner or managing member (each, a “</w:t>
      </w:r>
      <w:r>
        <w:rPr>
          <w:rFonts w:ascii="Arial" w:cs="Arial" w:eastAsia="Arial" w:hAnsi="Arial"/>
          <w:sz w:val="16"/>
          <w:szCs w:val="16"/>
          <w:u w:val="single" w:color="auto"/>
          <w:color w:val="auto"/>
        </w:rPr>
        <w:t>Covered Person</w:t>
      </w:r>
      <w:r>
        <w:rPr>
          <w:rFonts w:ascii="Arial" w:cs="Arial" w:eastAsia="Arial" w:hAnsi="Arial"/>
          <w:sz w:val="16"/>
          <w:szCs w:val="16"/>
          <w:color w:val="auto"/>
        </w:rPr>
        <w:t>”), is subject to any of the “Bad Actor” disqualifications described in Rule 506(d)(1)(i) to (viii) under the Securities Act of 1933 (the “</w:t>
      </w:r>
      <w:r>
        <w:rPr>
          <w:rFonts w:ascii="Arial" w:cs="Arial" w:eastAsia="Arial" w:hAnsi="Arial"/>
          <w:sz w:val="16"/>
          <w:szCs w:val="16"/>
          <w:u w:val="single" w:color="auto"/>
          <w:color w:val="auto"/>
        </w:rPr>
        <w:t>Securities Act</w:t>
      </w:r>
      <w:r>
        <w:rPr>
          <w:rFonts w:ascii="Arial" w:cs="Arial" w:eastAsia="Arial" w:hAnsi="Arial"/>
          <w:sz w:val="16"/>
          <w:szCs w:val="16"/>
          <w:color w:val="auto"/>
        </w:rPr>
        <w:t>”) (a “</w:t>
      </w:r>
      <w:r>
        <w:rPr>
          <w:rFonts w:ascii="Arial" w:cs="Arial" w:eastAsia="Arial" w:hAnsi="Arial"/>
          <w:sz w:val="16"/>
          <w:szCs w:val="16"/>
          <w:u w:val="single" w:color="auto"/>
          <w:color w:val="auto"/>
        </w:rPr>
        <w:t>Disqualification Event</w:t>
      </w:r>
      <w:r>
        <w:rPr>
          <w:rFonts w:ascii="Arial" w:cs="Arial" w:eastAsia="Arial" w:hAnsi="Arial"/>
          <w:sz w:val="16"/>
          <w:szCs w:val="16"/>
          <w:color w:val="auto"/>
        </w:rPr>
        <w:t>”), except for a Disqualification Event (i) contemplated by Rule 506(d)(2) of the Securities Act and (ii) a description of which has been furnished in writing to the other on or prior to execution hereof. Each of Palladium and the Company shall provide prompt written notice to the other of any Disqualification Event relating to any Covered Person, or any event that would, with the passage of time, become a Disqualification Event. Each of Palladium and the Company represents and warrants to the other that it is not aware of any person other than a Covered Person that has been or will be paid (directly or indirectly) remuneration for solicitation of purchasers in connection with the sale of Securities.</w:t>
      </w:r>
    </w:p>
    <w:p>
      <w:pPr>
        <w:spacing w:after="0" w:line="166" w:lineRule="exact"/>
        <w:rPr>
          <w:rFonts w:ascii="Arial" w:cs="Arial" w:eastAsia="Arial" w:hAnsi="Arial"/>
          <w:sz w:val="16"/>
          <w:szCs w:val="16"/>
          <w:color w:val="auto"/>
        </w:rPr>
      </w:pPr>
    </w:p>
    <w:p>
      <w:pPr>
        <w:jc w:val="both"/>
        <w:ind w:left="7" w:hanging="7"/>
        <w:spacing w:after="0" w:line="263" w:lineRule="auto"/>
        <w:tabs>
          <w:tab w:leader="none" w:pos="997" w:val="left"/>
        </w:tabs>
        <w:numPr>
          <w:ilvl w:val="0"/>
          <w:numId w:val="5"/>
        </w:numPr>
        <w:rPr>
          <w:rFonts w:ascii="Arial" w:cs="Arial" w:eastAsia="Arial" w:hAnsi="Arial"/>
          <w:sz w:val="18"/>
          <w:szCs w:val="18"/>
          <w:color w:val="auto"/>
        </w:rPr>
      </w:pPr>
      <w:r>
        <w:rPr>
          <w:rFonts w:ascii="Arial" w:cs="Arial" w:eastAsia="Arial" w:hAnsi="Arial"/>
          <w:sz w:val="18"/>
          <w:szCs w:val="18"/>
          <w:color w:val="auto"/>
        </w:rPr>
        <w:t>Upon the closing of a Transaction, the Company agrees that Palladium has the right to place notices and/or advertisements in financial and other newspapers and journals (whether in print or on the Internet), and to publicize on Palladium’s own website and/or marketing materials, at its own expense, describing its services to the Company hereunder.</w:t>
      </w:r>
    </w:p>
    <w:p>
      <w:pPr>
        <w:spacing w:after="0" w:line="183" w:lineRule="exact"/>
        <w:rPr>
          <w:rFonts w:ascii="Arial" w:cs="Arial" w:eastAsia="Arial" w:hAnsi="Arial"/>
          <w:sz w:val="18"/>
          <w:szCs w:val="18"/>
          <w:color w:val="auto"/>
        </w:rPr>
      </w:pPr>
    </w:p>
    <w:p>
      <w:pPr>
        <w:jc w:val="both"/>
        <w:ind w:left="7" w:hanging="7"/>
        <w:spacing w:after="0" w:line="254" w:lineRule="auto"/>
        <w:tabs>
          <w:tab w:leader="none" w:pos="1082"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Nothing contained in this Agreement shall limit or restrict the right of Palladium or of any member, employee, agent or representative of Palladium, to be a shareholder, member, partner, director, officer, employee, agent or representative of, or to engage in, any other business, whether or not of a similar nature of the Company’s business, nor to limit or restrict the right of Palladium to render services of any kind to any other corporation, company, firm, individual or association. The Company acknowledges that Palladium and its affiliates may have and may continue to have investment banking and other relationships with parties other than the Company pursuant to which Palladium may acquire information of interest to the Company. Palladium shall have no obligation to disclose such information to the Company or to use such information in connection with any contemplated transaction.</w:t>
      </w:r>
    </w:p>
    <w:p>
      <w:pPr>
        <w:spacing w:after="0" w:line="194" w:lineRule="exact"/>
        <w:rPr>
          <w:rFonts w:ascii="Arial" w:cs="Arial" w:eastAsia="Arial" w:hAnsi="Arial"/>
          <w:sz w:val="18"/>
          <w:szCs w:val="18"/>
          <w:color w:val="auto"/>
        </w:rPr>
      </w:pPr>
    </w:p>
    <w:p>
      <w:pPr>
        <w:jc w:val="both"/>
        <w:ind w:left="7" w:hanging="7"/>
        <w:spacing w:after="0" w:line="311" w:lineRule="auto"/>
        <w:tabs>
          <w:tab w:leader="none" w:pos="1056"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failure or neglect of either of the parties hereto to enforce any of its rights or to insist, in any one or more instances, upon the strict performance of any of the terms or conditions of this Agreement, or its waiver of strict performance of any of the terms or conditions of this Agreement, shall not be construed as a waiver or relinquishment in the future of such term or condition, but the same shall continue in full force and effect.</w:t>
      </w:r>
    </w:p>
    <w:p>
      <w:pPr>
        <w:spacing w:after="0" w:line="148" w:lineRule="exact"/>
        <w:rPr>
          <w:rFonts w:ascii="Arial" w:cs="Arial" w:eastAsia="Arial" w:hAnsi="Arial"/>
          <w:sz w:val="16"/>
          <w:szCs w:val="16"/>
          <w:color w:val="auto"/>
        </w:rPr>
      </w:pPr>
    </w:p>
    <w:p>
      <w:pPr>
        <w:jc w:val="both"/>
        <w:ind w:left="7" w:hanging="7"/>
        <w:spacing w:after="0" w:line="296" w:lineRule="auto"/>
        <w:tabs>
          <w:tab w:leader="none" w:pos="875" w:val="left"/>
        </w:tabs>
        <w:numPr>
          <w:ilvl w:val="0"/>
          <w:numId w:val="5"/>
        </w:numPr>
        <w:rPr>
          <w:rFonts w:ascii="Arial" w:cs="Arial" w:eastAsia="Arial" w:hAnsi="Arial"/>
          <w:sz w:val="16"/>
          <w:szCs w:val="16"/>
          <w:color w:val="auto"/>
        </w:rPr>
      </w:pPr>
      <w:r>
        <w:rPr>
          <w:rFonts w:ascii="Arial" w:cs="Arial" w:eastAsia="Arial" w:hAnsi="Arial"/>
          <w:sz w:val="16"/>
          <w:szCs w:val="16"/>
          <w:color w:val="auto"/>
        </w:rPr>
        <w:t>Any notices hereunder shall be in writing and shall be sent to the Company and to Palladium at their respective addresses set forth above. Any notice shall be given by email, by registered or certified mail, postage prepaid, or by reputable overnight courier such as FedEx, and shall be deemed to have been given when deposited in the United States mail or delivered by overnight courier or when sent, if sent by email during normal business hours of the recipient, and if not sent during normal business hours, then on the recipient’s next business day. Either party may designate any other address to which notice shall be given by giving written notice to the other party of such change of address in the manner herein provided.</w:t>
      </w:r>
    </w:p>
    <w:p>
      <w:pPr>
        <w:spacing w:after="0" w:line="377"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7"/>
          </w:cols>
          <w:pgMar w:left="393" w:top="908" w:right="339" w:bottom="1440" w:gutter="0" w:footer="0" w:header="0"/>
        </w:sectPr>
      </w:pPr>
    </w:p>
    <w:bookmarkStart w:id="9" w:name="page10"/>
    <w:bookmarkEnd w:id="9"/>
    <w:p>
      <w:pPr>
        <w:jc w:val="both"/>
        <w:ind w:left="7" w:hanging="7"/>
        <w:spacing w:after="0" w:line="279" w:lineRule="auto"/>
        <w:tabs>
          <w:tab w:leader="none" w:pos="947" w:val="left"/>
        </w:tabs>
        <w:numPr>
          <w:ilvl w:val="0"/>
          <w:numId w:val="6"/>
        </w:numPr>
        <w:rPr>
          <w:rFonts w:ascii="Arial" w:cs="Arial" w:eastAsia="Arial" w:hAnsi="Arial"/>
          <w:sz w:val="17"/>
          <w:szCs w:val="17"/>
          <w:color w:val="auto"/>
        </w:rPr>
      </w:pPr>
      <w:r>
        <w:rPr>
          <w:rFonts w:ascii="Arial" w:cs="Arial" w:eastAsia="Arial" w:hAnsi="Arial"/>
          <w:sz w:val="17"/>
          <w:szCs w:val="17"/>
          <w:color w:val="auto"/>
        </w:rPr>
        <w:t>Each party hereby represents and warrants to the other party that it has the full and complete right and authority to enter into this Agreement, that all required action has been taken by it as is necessary to authorize it to enter into this Agreement, that, upon the execution of this Agreement by the other party hereto, it is fully bound by the terms hereof, and that the person executing this agreement on its behalf is authorized to do so and does bind the undersigned hereto without requiring the joinder or further approval of any other person whomsoever.</w:t>
      </w:r>
    </w:p>
    <w:p>
      <w:pPr>
        <w:spacing w:after="0" w:line="171" w:lineRule="exact"/>
        <w:rPr>
          <w:rFonts w:ascii="Arial" w:cs="Arial" w:eastAsia="Arial" w:hAnsi="Arial"/>
          <w:sz w:val="17"/>
          <w:szCs w:val="17"/>
          <w:color w:val="auto"/>
        </w:rPr>
      </w:pPr>
    </w:p>
    <w:p>
      <w:pPr>
        <w:ind w:left="7" w:hanging="7"/>
        <w:spacing w:after="0" w:line="277" w:lineRule="auto"/>
        <w:tabs>
          <w:tab w:leader="none" w:pos="90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Company acknowledges and agrees that Palladium has been retained to act solely as an independent contractor and in such capacity shall not act as an employee of the Company or as an agent of the Company other than specifically provided herein.</w:t>
      </w:r>
    </w:p>
    <w:p>
      <w:pPr>
        <w:spacing w:after="0" w:line="170" w:lineRule="exact"/>
        <w:rPr>
          <w:rFonts w:ascii="Arial" w:cs="Arial" w:eastAsia="Arial" w:hAnsi="Arial"/>
          <w:sz w:val="18"/>
          <w:szCs w:val="18"/>
          <w:color w:val="auto"/>
        </w:rPr>
      </w:pPr>
    </w:p>
    <w:p>
      <w:pPr>
        <w:jc w:val="both"/>
        <w:ind w:left="7" w:hanging="7"/>
        <w:spacing w:after="0" w:line="257" w:lineRule="auto"/>
        <w:tabs>
          <w:tab w:leader="none" w:pos="956" w:val="left"/>
        </w:tabs>
        <w:numPr>
          <w:ilvl w:val="0"/>
          <w:numId w:val="6"/>
        </w:numPr>
        <w:rPr>
          <w:rFonts w:ascii="Arial" w:cs="Arial" w:eastAsia="Arial" w:hAnsi="Arial"/>
          <w:sz w:val="18"/>
          <w:szCs w:val="18"/>
          <w:color w:val="auto"/>
        </w:rPr>
      </w:pPr>
      <w:r>
        <w:rPr>
          <w:rFonts w:ascii="Arial" w:cs="Arial" w:eastAsia="Arial" w:hAnsi="Arial"/>
          <w:sz w:val="18"/>
          <w:szCs w:val="18"/>
          <w:color w:val="auto"/>
        </w:rPr>
        <w:t>This Agreement shall inure to the benefit of and be binding upon the respective, Affiliates, successors and assigns of the parties hereto. The term “Affiliates” shall mean, with respect to any person or entity, any other person or entity who, directly or indirectly, through one or more intermediaries controls, is controlled by, or is under common control with such person or entity and any spouse, parent or issue of any such person; “control” means the power, directly or indirectly, to direct or cause the direction of the management and policies of a person or entity whether through ownership of voting securities, by contract or otherwise.</w:t>
      </w:r>
    </w:p>
    <w:p>
      <w:pPr>
        <w:spacing w:after="0" w:line="187" w:lineRule="exact"/>
        <w:rPr>
          <w:rFonts w:ascii="Arial" w:cs="Arial" w:eastAsia="Arial" w:hAnsi="Arial"/>
          <w:sz w:val="18"/>
          <w:szCs w:val="18"/>
          <w:color w:val="auto"/>
        </w:rPr>
      </w:pPr>
    </w:p>
    <w:p>
      <w:pPr>
        <w:jc w:val="both"/>
        <w:ind w:left="7" w:hanging="7"/>
        <w:spacing w:after="0" w:line="259" w:lineRule="auto"/>
        <w:tabs>
          <w:tab w:leader="none" w:pos="772"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PARTIES HERETO AGREE THAT ALL DISPUTES ARISING FROM OR RELATING TO THE AGREEMENT WILL BE RESOLVED BY ARBITRATION IN NEW YORK CITY PURSUANT TO THE ARBITRATION RULES OF FINRA WITH RESPECT TO DISPUTES BETWEEN FINRA MEMBERS AND THEIR CUSTOMERS. THIS AGREEMENT CONTAINS A PREDISPUTE ARBITRATION CLAUSE. BY SIGNING AN ARBITRATION AGREEMENT, THE PARTIES AGREE AS FOLLOWS:</w:t>
      </w:r>
    </w:p>
    <w:p>
      <w:pPr>
        <w:spacing w:after="0" w:line="186" w:lineRule="exact"/>
        <w:rPr>
          <w:rFonts w:ascii="Arial" w:cs="Arial" w:eastAsia="Arial" w:hAnsi="Arial"/>
          <w:sz w:val="18"/>
          <w:szCs w:val="18"/>
          <w:color w:val="auto"/>
        </w:rPr>
      </w:pPr>
    </w:p>
    <w:p>
      <w:pPr>
        <w:ind w:left="587" w:firstLine="644"/>
        <w:spacing w:after="0" w:line="277" w:lineRule="auto"/>
        <w:tabs>
          <w:tab w:leader="none" w:pos="2173"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parties to this agreement are giving up the right to sue each other in court, including the right to a trial by jury, except as provided by the rules of the arbitration forum in which a claim is filed.</w:t>
      </w:r>
    </w:p>
    <w:p>
      <w:pPr>
        <w:spacing w:after="0" w:line="170" w:lineRule="exact"/>
        <w:rPr>
          <w:rFonts w:ascii="Arial" w:cs="Arial" w:eastAsia="Arial" w:hAnsi="Arial"/>
          <w:sz w:val="18"/>
          <w:szCs w:val="18"/>
          <w:color w:val="auto"/>
        </w:rPr>
      </w:pPr>
    </w:p>
    <w:p>
      <w:pPr>
        <w:ind w:left="2167" w:hanging="936"/>
        <w:spacing w:after="0"/>
        <w:tabs>
          <w:tab w:leader="none" w:pos="2167" w:val="left"/>
        </w:tabs>
        <w:numPr>
          <w:ilvl w:val="1"/>
          <w:numId w:val="6"/>
        </w:numPr>
        <w:rPr>
          <w:rFonts w:ascii="Arial" w:cs="Arial" w:eastAsia="Arial" w:hAnsi="Arial"/>
          <w:sz w:val="16"/>
          <w:szCs w:val="16"/>
          <w:color w:val="auto"/>
        </w:rPr>
      </w:pPr>
      <w:r>
        <w:rPr>
          <w:rFonts w:ascii="Arial" w:cs="Arial" w:eastAsia="Arial" w:hAnsi="Arial"/>
          <w:sz w:val="16"/>
          <w:szCs w:val="16"/>
          <w:color w:val="auto"/>
        </w:rPr>
        <w:t>Arbitration awards are generally final and binding; a party’s ability to have a court reverse or modify an arbitration award is</w:t>
      </w:r>
    </w:p>
    <w:p>
      <w:pPr>
        <w:spacing w:after="0" w:line="46" w:lineRule="exact"/>
        <w:rPr>
          <w:rFonts w:ascii="Arial" w:cs="Arial" w:eastAsia="Arial" w:hAnsi="Arial"/>
          <w:sz w:val="16"/>
          <w:szCs w:val="16"/>
          <w:color w:val="auto"/>
        </w:rPr>
      </w:pPr>
    </w:p>
    <w:p>
      <w:pPr>
        <w:ind w:left="587"/>
        <w:spacing w:after="0"/>
        <w:rPr>
          <w:rFonts w:ascii="Arial" w:cs="Arial" w:eastAsia="Arial" w:hAnsi="Arial"/>
          <w:sz w:val="16"/>
          <w:szCs w:val="16"/>
          <w:color w:val="auto"/>
        </w:rPr>
      </w:pPr>
      <w:r>
        <w:rPr>
          <w:rFonts w:ascii="Arial" w:cs="Arial" w:eastAsia="Arial" w:hAnsi="Arial"/>
          <w:sz w:val="18"/>
          <w:szCs w:val="18"/>
          <w:color w:val="auto"/>
        </w:rPr>
        <w:t>very limited.</w:t>
      </w:r>
    </w:p>
    <w:p>
      <w:pPr>
        <w:spacing w:after="0" w:line="210" w:lineRule="exact"/>
        <w:rPr>
          <w:rFonts w:ascii="Arial" w:cs="Arial" w:eastAsia="Arial" w:hAnsi="Arial"/>
          <w:sz w:val="16"/>
          <w:szCs w:val="16"/>
          <w:color w:val="auto"/>
        </w:rPr>
      </w:pPr>
    </w:p>
    <w:p>
      <w:pPr>
        <w:ind w:left="587" w:right="20" w:firstLine="644"/>
        <w:spacing w:after="0" w:line="277" w:lineRule="auto"/>
        <w:tabs>
          <w:tab w:leader="none" w:pos="213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ability of the parties to obtain documents, witness statements and other discovery is generally more limited in arbitration than in court proceedings.</w:t>
      </w:r>
    </w:p>
    <w:p>
      <w:pPr>
        <w:spacing w:after="0" w:line="170" w:lineRule="exact"/>
        <w:rPr>
          <w:rFonts w:ascii="Arial" w:cs="Arial" w:eastAsia="Arial" w:hAnsi="Arial"/>
          <w:sz w:val="18"/>
          <w:szCs w:val="18"/>
          <w:color w:val="auto"/>
        </w:rPr>
      </w:pPr>
    </w:p>
    <w:p>
      <w:pPr>
        <w:ind w:left="587" w:firstLine="644"/>
        <w:spacing w:after="0" w:line="277" w:lineRule="auto"/>
        <w:tabs>
          <w:tab w:leader="none" w:pos="2133"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arbitrators do not have to explain the reason(s) for their award unless, in an eligible case, a joint request for an explained decision has been submitted by all parties to the panel at least 20 days prior to the first scheduled hearing date.</w:t>
      </w:r>
    </w:p>
    <w:p>
      <w:pPr>
        <w:spacing w:after="0" w:line="170" w:lineRule="exact"/>
        <w:rPr>
          <w:rFonts w:ascii="Arial" w:cs="Arial" w:eastAsia="Arial" w:hAnsi="Arial"/>
          <w:sz w:val="18"/>
          <w:szCs w:val="18"/>
          <w:color w:val="auto"/>
        </w:rPr>
      </w:pPr>
    </w:p>
    <w:p>
      <w:pPr>
        <w:ind w:left="2107" w:hanging="876"/>
        <w:spacing w:after="0"/>
        <w:tabs>
          <w:tab w:leader="none" w:pos="210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panel of arbitrators may include a minority of arbitrators who were or are affiliated with the securities industry.</w:t>
      </w:r>
    </w:p>
    <w:p>
      <w:pPr>
        <w:spacing w:after="0" w:line="200" w:lineRule="exact"/>
        <w:rPr>
          <w:sz w:val="20"/>
          <w:szCs w:val="20"/>
          <w:color w:val="auto"/>
        </w:rPr>
      </w:pPr>
    </w:p>
    <w:p>
      <w:pPr>
        <w:spacing w:after="0" w:line="241"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7"/>
          </w:cols>
          <w:pgMar w:left="393" w:top="908" w:right="339" w:bottom="1440" w:gutter="0" w:footer="0" w:header="0"/>
        </w:sectPr>
      </w:pPr>
    </w:p>
    <w:bookmarkStart w:id="10" w:name="page11"/>
    <w:bookmarkEnd w:id="10"/>
    <w:p>
      <w:pPr>
        <w:ind w:left="587" w:firstLine="644"/>
        <w:spacing w:after="0" w:line="277" w:lineRule="auto"/>
        <w:tabs>
          <w:tab w:leader="none" w:pos="211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rules of some arbitration forums may impose time limits for bringing a claim in arbitration. In some cases, a claim that is ineligible for arbitration may be brought in court.</w:t>
      </w:r>
    </w:p>
    <w:p>
      <w:pPr>
        <w:spacing w:after="0" w:line="170" w:lineRule="exact"/>
        <w:rPr>
          <w:rFonts w:ascii="Arial" w:cs="Arial" w:eastAsia="Arial" w:hAnsi="Arial"/>
          <w:sz w:val="18"/>
          <w:szCs w:val="18"/>
          <w:color w:val="auto"/>
        </w:rPr>
      </w:pPr>
    </w:p>
    <w:p>
      <w:pPr>
        <w:ind w:left="2247" w:hanging="1016"/>
        <w:spacing w:after="0"/>
        <w:tabs>
          <w:tab w:leader="none" w:pos="224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rules of the arbitration forum in which the claim is filed, and any amendments thereto, shall be incorporated into this</w:t>
      </w:r>
    </w:p>
    <w:p>
      <w:pPr>
        <w:spacing w:after="0" w:line="46" w:lineRule="exact"/>
        <w:rPr>
          <w:rFonts w:ascii="Arial" w:cs="Arial" w:eastAsia="Arial" w:hAnsi="Arial"/>
          <w:sz w:val="16"/>
          <w:szCs w:val="16"/>
          <w:color w:val="auto"/>
        </w:rPr>
      </w:pPr>
    </w:p>
    <w:p>
      <w:pPr>
        <w:ind w:left="587"/>
        <w:spacing w:after="0"/>
        <w:rPr>
          <w:rFonts w:ascii="Arial" w:cs="Arial" w:eastAsia="Arial" w:hAnsi="Arial"/>
          <w:sz w:val="16"/>
          <w:szCs w:val="16"/>
          <w:color w:val="auto"/>
        </w:rPr>
      </w:pPr>
      <w:r>
        <w:rPr>
          <w:rFonts w:ascii="Arial" w:cs="Arial" w:eastAsia="Arial" w:hAnsi="Arial"/>
          <w:sz w:val="18"/>
          <w:szCs w:val="18"/>
          <w:color w:val="auto"/>
        </w:rPr>
        <w:t>agreement.</w:t>
      </w:r>
    </w:p>
    <w:p>
      <w:pPr>
        <w:spacing w:after="0" w:line="210" w:lineRule="exact"/>
        <w:rPr>
          <w:rFonts w:ascii="Arial" w:cs="Arial" w:eastAsia="Arial" w:hAnsi="Arial"/>
          <w:sz w:val="16"/>
          <w:szCs w:val="16"/>
          <w:color w:val="auto"/>
        </w:rPr>
      </w:pPr>
    </w:p>
    <w:p>
      <w:pPr>
        <w:ind w:left="7" w:hanging="7"/>
        <w:spacing w:after="0" w:line="277" w:lineRule="auto"/>
        <w:tabs>
          <w:tab w:leader="none" w:pos="98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has been made in the State of New York and shall be construed and governed in accordance with the laws thereof without giving effect to its principles governing conflict of laws or choice of law.</w:t>
      </w:r>
    </w:p>
    <w:p>
      <w:pPr>
        <w:spacing w:after="0" w:line="170" w:lineRule="exact"/>
        <w:rPr>
          <w:rFonts w:ascii="Arial" w:cs="Arial" w:eastAsia="Arial" w:hAnsi="Arial"/>
          <w:sz w:val="18"/>
          <w:szCs w:val="18"/>
          <w:color w:val="auto"/>
        </w:rPr>
      </w:pPr>
    </w:p>
    <w:p>
      <w:pPr>
        <w:ind w:left="7" w:right="20" w:hanging="7"/>
        <w:spacing w:after="0" w:line="308" w:lineRule="auto"/>
        <w:tabs>
          <w:tab w:leader="none" w:pos="862" w:val="left"/>
        </w:tabs>
        <w:numPr>
          <w:ilvl w:val="0"/>
          <w:numId w:val="8"/>
        </w:numPr>
        <w:rPr>
          <w:rFonts w:ascii="Arial" w:cs="Arial" w:eastAsia="Arial" w:hAnsi="Arial"/>
          <w:sz w:val="17"/>
          <w:szCs w:val="17"/>
          <w:color w:val="auto"/>
        </w:rPr>
      </w:pPr>
      <w:r>
        <w:rPr>
          <w:rFonts w:ascii="Arial" w:cs="Arial" w:eastAsia="Arial" w:hAnsi="Arial"/>
          <w:sz w:val="17"/>
          <w:szCs w:val="17"/>
          <w:color w:val="auto"/>
        </w:rPr>
        <w:t>This Agreement contains the entire agreement between the parties, may not be altered or modified, except in writing and signed by the party to be charged thereby, and supersedes any and all previous agreements between the parties relating to the subject matter hereof.</w:t>
      </w:r>
    </w:p>
    <w:p>
      <w:pPr>
        <w:spacing w:after="0" w:line="146" w:lineRule="exact"/>
        <w:rPr>
          <w:rFonts w:ascii="Arial" w:cs="Arial" w:eastAsia="Arial" w:hAnsi="Arial"/>
          <w:sz w:val="17"/>
          <w:szCs w:val="17"/>
          <w:color w:val="auto"/>
        </w:rPr>
      </w:pPr>
    </w:p>
    <w:p>
      <w:pPr>
        <w:jc w:val="both"/>
        <w:ind w:left="7" w:hanging="7"/>
        <w:spacing w:after="0" w:line="257" w:lineRule="auto"/>
        <w:tabs>
          <w:tab w:leader="none" w:pos="1253" w:val="left"/>
        </w:tabs>
        <w:numPr>
          <w:ilvl w:val="0"/>
          <w:numId w:val="8"/>
        </w:numPr>
        <w:rPr>
          <w:rFonts w:ascii="Arial" w:cs="Arial" w:eastAsia="Arial" w:hAnsi="Arial"/>
          <w:sz w:val="18"/>
          <w:szCs w:val="18"/>
          <w:color w:val="auto"/>
        </w:rPr>
      </w:pPr>
      <w:r>
        <w:rPr>
          <w:rFonts w:ascii="Arial" w:cs="Arial" w:eastAsia="Arial" w:hAnsi="Arial"/>
          <w:sz w:val="18"/>
          <w:szCs w:val="18"/>
          <w:color w:val="auto"/>
        </w:rPr>
        <w:t>Palladium acknowledges that it is not granted any right or authority to assume or create any obligation or liability or to make any representation, covenant, agreement or warranty, express or implied on the Company’s behalf, or to bind the Company in any matter whatsoever. Palladium will not have any rights or obligations in connection with the sale and purchase of the Securities contemplated by this Agreement except as expressly provided in this Agreement. In no event will Palladium be obligated to purchase the Securities to be purchased by Finder Investors for its own account or for the accounts of its customers.</w:t>
      </w:r>
    </w:p>
    <w:p>
      <w:pPr>
        <w:spacing w:after="0" w:line="187" w:lineRule="exact"/>
        <w:rPr>
          <w:rFonts w:ascii="Arial" w:cs="Arial" w:eastAsia="Arial" w:hAnsi="Arial"/>
          <w:sz w:val="18"/>
          <w:szCs w:val="18"/>
          <w:color w:val="auto"/>
        </w:rPr>
      </w:pPr>
    </w:p>
    <w:p>
      <w:pPr>
        <w:jc w:val="both"/>
        <w:ind w:left="7" w:hanging="7"/>
        <w:spacing w:after="0" w:line="257" w:lineRule="auto"/>
        <w:tabs>
          <w:tab w:leader="none" w:pos="111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87" w:lineRule="exact"/>
        <w:rPr>
          <w:rFonts w:ascii="Arial" w:cs="Arial" w:eastAsia="Arial" w:hAnsi="Arial"/>
          <w:sz w:val="18"/>
          <w:szCs w:val="18"/>
          <w:color w:val="auto"/>
        </w:rPr>
      </w:pPr>
    </w:p>
    <w:p>
      <w:pPr>
        <w:jc w:val="both"/>
        <w:ind w:left="7" w:hanging="7"/>
        <w:spacing w:after="0" w:line="259" w:lineRule="auto"/>
        <w:tabs>
          <w:tab w:leader="none" w:pos="1001" w:val="left"/>
        </w:tabs>
        <w:numPr>
          <w:ilvl w:val="0"/>
          <w:numId w:val="8"/>
        </w:numPr>
        <w:rPr>
          <w:rFonts w:ascii="Arial" w:cs="Arial" w:eastAsia="Arial" w:hAnsi="Arial"/>
          <w:sz w:val="18"/>
          <w:szCs w:val="18"/>
          <w:color w:val="auto"/>
        </w:rPr>
      </w:pPr>
      <w:r>
        <w:rPr>
          <w:rFonts w:ascii="Arial" w:cs="Arial" w:eastAsia="Arial" w:hAnsi="Arial"/>
          <w:sz w:val="18"/>
          <w:szCs w:val="18"/>
          <w:color w:val="auto"/>
        </w:rPr>
        <w:t>Palladium has been engaged exclusively as a finder under this engagement is not an expert on, and cannot render opinions regarding, legal, accounting, regulatory, or tax matters. The Company should consult with its other professional advisors concerning these matters before undertaking any transaction. All services, advice and information and reports provided by Palladium to the Company in connection with this assignment shall be for the sole benefit of the Company and shall not be relied upon by any other person.</w:t>
      </w:r>
    </w:p>
    <w:p>
      <w:pPr>
        <w:spacing w:after="0" w:line="187" w:lineRule="exact"/>
        <w:rPr>
          <w:sz w:val="20"/>
          <w:szCs w:val="20"/>
          <w:color w:val="auto"/>
        </w:rPr>
      </w:pPr>
    </w:p>
    <w:p>
      <w:pPr>
        <w:ind w:left="7" w:right="20"/>
        <w:spacing w:after="0" w:line="342" w:lineRule="auto"/>
        <w:rPr>
          <w:sz w:val="20"/>
          <w:szCs w:val="20"/>
          <w:color w:val="auto"/>
        </w:rPr>
      </w:pPr>
      <w:r>
        <w:rPr>
          <w:rFonts w:ascii="Arial" w:cs="Arial" w:eastAsia="Arial" w:hAnsi="Arial"/>
          <w:sz w:val="16"/>
          <w:szCs w:val="16"/>
          <w:color w:val="auto"/>
        </w:rPr>
        <w:t>Palladium is delighted to accept this engagement and looks forward to working with you on this assignment. Please confirm that the foregoing correctly sets forth our understanding by signing below, whereupon this Agreement shall constitute a binding agreement as of the date first above written.</w:t>
      </w:r>
    </w:p>
    <w:p>
      <w:pPr>
        <w:spacing w:after="0" w:line="120" w:lineRule="exact"/>
        <w:rPr>
          <w:sz w:val="20"/>
          <w:szCs w:val="20"/>
          <w:color w:val="auto"/>
        </w:rPr>
      </w:pPr>
    </w:p>
    <w:p>
      <w:pPr>
        <w:ind w:left="7"/>
        <w:spacing w:after="0"/>
        <w:rPr>
          <w:sz w:val="20"/>
          <w:szCs w:val="20"/>
          <w:color w:val="auto"/>
        </w:rPr>
      </w:pPr>
      <w:r>
        <w:rPr>
          <w:rFonts w:ascii="Arial" w:cs="Arial" w:eastAsia="Arial" w:hAnsi="Arial"/>
          <w:sz w:val="18"/>
          <w:szCs w:val="18"/>
          <w:b w:val="1"/>
          <w:bCs w:val="1"/>
          <w:color w:val="auto"/>
        </w:rPr>
        <w:t>As set forth in Section 16 above, this Agreement contains an agreement to arbitrate disputes.</w:t>
      </w:r>
    </w:p>
    <w:p>
      <w:pPr>
        <w:spacing w:after="0" w:line="200" w:lineRule="exact"/>
        <w:rPr>
          <w:sz w:val="20"/>
          <w:szCs w:val="20"/>
          <w:color w:val="auto"/>
        </w:rPr>
      </w:pPr>
    </w:p>
    <w:p>
      <w:pPr>
        <w:spacing w:after="0" w:line="245" w:lineRule="exact"/>
        <w:rPr>
          <w:sz w:val="20"/>
          <w:szCs w:val="20"/>
          <w:color w:val="auto"/>
        </w:rPr>
      </w:pPr>
    </w:p>
    <w:p>
      <w:pPr>
        <w:jc w:val="center"/>
        <w:ind w:right="93"/>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14605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7"/>
          </w:cols>
          <w:pgMar w:left="393" w:top="908" w:right="339" w:bottom="1440" w:gutter="0" w:footer="0" w:header="0"/>
        </w:sectPr>
      </w:pPr>
    </w:p>
    <w:bookmarkStart w:id="11" w:name="page12"/>
    <w:bookmarkEnd w:id="11"/>
    <w:p>
      <w:pPr>
        <w:ind w:left="56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jc w:val="right"/>
        <w:ind w:right="1299"/>
        <w:spacing w:after="0"/>
        <w:rPr>
          <w:sz w:val="20"/>
          <w:szCs w:val="20"/>
          <w:color w:val="auto"/>
        </w:rPr>
      </w:pPr>
      <w:r>
        <w:rPr>
          <w:rFonts w:ascii="Arial" w:cs="Arial" w:eastAsia="Arial" w:hAnsi="Arial"/>
          <w:sz w:val="18"/>
          <w:szCs w:val="18"/>
          <w:color w:val="auto"/>
        </w:rPr>
        <w:t>PALLADIUM CAPITAL ADVISORS, LLC</w:t>
      </w:r>
    </w:p>
    <w:p>
      <w:pPr>
        <w:spacing w:after="0" w:line="200" w:lineRule="exact"/>
        <w:rPr>
          <w:sz w:val="20"/>
          <w:szCs w:val="20"/>
          <w:color w:val="auto"/>
        </w:rPr>
      </w:pPr>
    </w:p>
    <w:p>
      <w:pPr>
        <w:spacing w:after="0" w:line="241" w:lineRule="exact"/>
        <w:rPr>
          <w:sz w:val="20"/>
          <w:szCs w:val="20"/>
          <w:color w:val="auto"/>
        </w:rPr>
      </w:pPr>
    </w:p>
    <w:p>
      <w:pPr>
        <w:jc w:val="right"/>
        <w:ind w:right="2959"/>
        <w:spacing w:after="0"/>
        <w:rPr>
          <w:sz w:val="20"/>
          <w:szCs w:val="20"/>
          <w:color w:val="auto"/>
        </w:rPr>
      </w:pPr>
      <w:r>
        <w:rPr>
          <w:rFonts w:ascii="Arial" w:cs="Arial" w:eastAsia="Arial" w:hAnsi="Arial"/>
          <w:sz w:val="18"/>
          <w:szCs w:val="18"/>
          <w:color w:val="auto"/>
        </w:rPr>
        <w:t>By: /s/ Joel Padowitz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jc w:val="right"/>
        <w:ind w:right="2939"/>
        <w:spacing w:after="0"/>
        <w:rPr>
          <w:sz w:val="20"/>
          <w:szCs w:val="20"/>
          <w:color w:val="auto"/>
        </w:rPr>
      </w:pPr>
      <w:r>
        <w:rPr>
          <w:rFonts w:ascii="Arial" w:cs="Arial" w:eastAsia="Arial" w:hAnsi="Arial"/>
          <w:sz w:val="18"/>
          <w:szCs w:val="18"/>
          <w:color w:val="auto"/>
        </w:rPr>
        <w:t>Joel Padowitz</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OF THE DATE FIRST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XPRESSPA GROUP, INC.</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By: /s/ Doug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14605</wp:posOffset>
            </wp:positionV>
            <wp:extent cx="3351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 Satzman</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Annex A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2" w:name="page13"/>
    <w:bookmarkEnd w:id="12"/>
    <w:p>
      <w:pPr>
        <w:jc w:val="center"/>
        <w:ind w:right="60"/>
        <w:spacing w:after="0"/>
        <w:rPr>
          <w:sz w:val="20"/>
          <w:szCs w:val="20"/>
          <w:color w:val="auto"/>
        </w:rPr>
      </w:pPr>
      <w:r>
        <w:rPr>
          <w:rFonts w:ascii="Arial" w:cs="Arial" w:eastAsia="Arial" w:hAnsi="Arial"/>
          <w:sz w:val="18"/>
          <w:szCs w:val="18"/>
          <w:b w:val="1"/>
          <w:bCs w:val="1"/>
          <w:color w:val="auto"/>
        </w:rPr>
        <w:t>Annex 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Indemnification Provisions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 connection with the engagement of Palladium by the Company pursuant to the Agreement, the Company hereby agrees as follows:</w:t>
      </w:r>
    </w:p>
    <w:p>
      <w:pPr>
        <w:spacing w:after="0" w:line="225" w:lineRule="exact"/>
        <w:rPr>
          <w:sz w:val="20"/>
          <w:szCs w:val="20"/>
          <w:color w:val="auto"/>
        </w:rPr>
      </w:pPr>
    </w:p>
    <w:p>
      <w:pPr>
        <w:jc w:val="both"/>
        <w:ind w:left="260" w:hanging="258"/>
        <w:spacing w:after="0" w:line="268"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In connection with or arising out of or relating to the engagement of Palladium under the Agreement, or any actions taken or omitted, services performed or matters contemplated by or in connection with the Agreement, the Company agrees to reimburse Palladium, its affiliates and their respective members, officers, employees, agents and controlling persons (each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promptly upon demand for actual, out-of-pocket expenses (including reasonable fees and expenses for legal counsel) as they are incurred in connection with the investigation of, preparation for or defense of any pending or threatened claim, or any litigation, proceeding or other action in respect thereof (collectively, a “</w:t>
      </w:r>
      <w:r>
        <w:rPr>
          <w:rFonts w:ascii="Arial" w:cs="Arial" w:eastAsia="Arial" w:hAnsi="Arial"/>
          <w:sz w:val="17"/>
          <w:szCs w:val="17"/>
          <w:u w:val="single" w:color="auto"/>
          <w:color w:val="auto"/>
        </w:rPr>
        <w:t>Claim</w:t>
      </w:r>
      <w:r>
        <w:rPr>
          <w:rFonts w:ascii="Arial" w:cs="Arial" w:eastAsia="Arial" w:hAnsi="Arial"/>
          <w:sz w:val="17"/>
          <w:szCs w:val="17"/>
          <w:color w:val="auto"/>
        </w:rPr>
        <w:t>”). The Company also agrees (in connection with the foregoing) to indemnify and hold harmless each Indemnified Party from and against any and all out-of-pocket losses, claims, damages and liabilities, joint or several, to which any Indemnified Party may become subject, including any amount paid in settlement, to which the Company shall have consented in writing (such consent not to be unreasonably withheld), of any litigation or other action (commenced or threatened), whether or not any Indemnified Party is a party and whether or not liability resulted; provided, however, that the Company shall not be liable pursuant to this paragraph in respect of any loss, claim, damage or liability to the extent that a court or other agency having competent jurisdiction shall have determined by final judgment (not subject to further appeal) that such loss, claim, damage or liability was incurred solely as a direct result of fraud, willful misconduct or gross negligence of such Indemnified Party. The Company also agrees that no Indemnified Party shall have any liability (whether direct or indirect, in contract or tort or otherwise) to the Company or its partners, security holders or creditors related to or arising out of the engagement of Palladium pursuant to, or the performance by Palladium of the services contemplated by, this Agreement except to the extent that any loss, claim, damage or liability is determined in a final judgment (not subject to further appeal) by a court to have resulted solely from fraud, willful misconduct or gross negligence of the Indemnified Party.</w:t>
      </w:r>
    </w:p>
    <w:p>
      <w:pPr>
        <w:spacing w:after="0" w:line="179" w:lineRule="exact"/>
        <w:rPr>
          <w:rFonts w:ascii="Arial" w:cs="Arial" w:eastAsia="Arial" w:hAnsi="Arial"/>
          <w:sz w:val="17"/>
          <w:szCs w:val="17"/>
          <w:color w:val="auto"/>
        </w:rPr>
      </w:pPr>
    </w:p>
    <w:p>
      <w:pPr>
        <w:jc w:val="both"/>
        <w:ind w:left="260" w:hanging="258"/>
        <w:spacing w:after="0" w:line="286"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An Indemnified Party shall have the right to retain separate legal counsel of its own choice to conduct the defense and all related matters in connection with any Claim. The Company shall pay the reasonable fees and expenses of such legal counsel, and such counsel shall to the fullest extent, consistent with its professional responsibilities, cooperate with the Company and any legal counsel designated by the Company.</w:t>
      </w:r>
    </w:p>
    <w:p>
      <w:pPr>
        <w:spacing w:after="0" w:line="165" w:lineRule="exact"/>
        <w:rPr>
          <w:rFonts w:ascii="Arial" w:cs="Arial" w:eastAsia="Arial" w:hAnsi="Arial"/>
          <w:sz w:val="17"/>
          <w:szCs w:val="17"/>
          <w:color w:val="auto"/>
        </w:rPr>
      </w:pPr>
    </w:p>
    <w:p>
      <w:pPr>
        <w:jc w:val="both"/>
        <w:ind w:left="260" w:hanging="258"/>
        <w:spacing w:after="0" w:line="279" w:lineRule="auto"/>
        <w:tabs>
          <w:tab w:leader="none" w:pos="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will not, without the prior written consent of each Indemnified Party, settle, compromise or consent to the entry of any judgment in any pending or threatened Claim in respect of which indemnification may be reasonably sought hereunder (whether or not any Indemnified Party is an actual or potential party to such Claim), unless such settlement, compromise or consent includes an unconditional, irrevocable release of each Indemnified Party against whom such Claim may be brought hereunder from any and all liability arising out of such Claim.</w:t>
      </w:r>
    </w:p>
    <w:p>
      <w:pPr>
        <w:spacing w:after="0" w:line="171" w:lineRule="exact"/>
        <w:rPr>
          <w:rFonts w:ascii="Arial" w:cs="Arial" w:eastAsia="Arial" w:hAnsi="Arial"/>
          <w:sz w:val="17"/>
          <w:szCs w:val="17"/>
          <w:color w:val="auto"/>
        </w:rPr>
      </w:pPr>
    </w:p>
    <w:p>
      <w:pPr>
        <w:jc w:val="both"/>
        <w:ind w:left="260" w:hanging="258"/>
        <w:spacing w:after="0" w:line="287" w:lineRule="auto"/>
        <w:tabs>
          <w:tab w:leader="none" w:pos="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In the event the indemnity provided for in paragraphs 1 and 2 of this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is unavailable or insufficient to hold any Indemnified Party harmless, then the Company shall contribute to amounts paid or payable by an Indemnified Party in respect of such Indemnified Party’s losses, claims, damages and liabilities as to which the indemnity provided for in paragraphs 1 and 2 of this </w:t>
      </w:r>
      <w:r>
        <w:rPr>
          <w:rFonts w:ascii="Arial" w:cs="Arial" w:eastAsia="Arial" w:hAnsi="Arial"/>
          <w:sz w:val="16"/>
          <w:szCs w:val="16"/>
          <w:u w:val="single" w:color="auto"/>
          <w:color w:val="auto"/>
        </w:rPr>
        <w:t>Annex A</w:t>
      </w:r>
      <w:r>
        <w:rPr>
          <w:rFonts w:ascii="Arial" w:cs="Arial" w:eastAsia="Arial" w:hAnsi="Arial"/>
          <w:sz w:val="16"/>
          <w:szCs w:val="16"/>
          <w:color w:val="auto"/>
        </w:rPr>
        <w:t xml:space="preserve"> is unavailable or insufficient (i) in such portion as appropriately reflects the relative benefits received by the Company, on the one hand, and the Indemnified Party, on the other hand, in connection with the matters as to which losses, claims, damages or liabilities relate, or (ii) if the allocation provided by clause (i) above is not permitted by applicable law, in such proportion as appropriately reflects not only the relative benefits referred to in clause (i) but also the relative fault of the Company, on the one hand, and the Indemnified Parties, on the other hand, as well as any other equitable considerations. The amounts paid or payable by a party in respect of losses, claims, damages and liabilities referred to above shall be deemed to include any reasonable legal or other out-of-pocket fees and expenses incurred in defending any litigation, proceeding or other action or claim. Notwithstanding the provisions hereof, Palladium’s share of the liability hereunder shall not be in excess of the amount of fees actually received by Palladium under the Agreement (excluding any amounts received as reimbursement of expenses by Palladium). No person guilty of fraud, willful misconduct or gross negligence shall be entitled to contribution from any person who was not guilty of such fraud, willful misconduct or gross negligence.</w:t>
      </w:r>
    </w:p>
    <w:p>
      <w:pPr>
        <w:spacing w:after="0" w:line="38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80" w:top="904" w:right="339" w:bottom="1440" w:gutter="0" w:footer="0" w:header="0"/>
        </w:sectPr>
      </w:pPr>
    </w:p>
    <w:bookmarkStart w:id="13" w:name="page14"/>
    <w:bookmarkEnd w:id="13"/>
    <w:p>
      <w:pPr>
        <w:jc w:val="both"/>
        <w:ind w:left="380" w:right="60" w:hanging="318"/>
        <w:spacing w:after="0" w:line="25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 the event any Indemnified Party is requested or required to appear as a witness in any action, suit or proceeding brought by or on behalf of or against the Company or any affiliate or any participant in a Transaction covered hereby in which such Indemnified Party is not named as a defendant, the Company agrees to reimburse Palladium and each Indemnified Party for all appearing and preparing to appear as a witness, including, without limitation, the fees and disbursements of their legal counsel, and to compensate Palladium and each Indemnified Party in an amount to be mutually agreed upon.</w:t>
      </w:r>
    </w:p>
    <w:p>
      <w:pPr>
        <w:spacing w:after="0" w:line="187" w:lineRule="exact"/>
        <w:rPr>
          <w:rFonts w:ascii="Arial" w:cs="Arial" w:eastAsia="Arial" w:hAnsi="Arial"/>
          <w:sz w:val="18"/>
          <w:szCs w:val="18"/>
          <w:color w:val="auto"/>
        </w:rPr>
      </w:pPr>
    </w:p>
    <w:p>
      <w:pPr>
        <w:jc w:val="both"/>
        <w:ind w:left="380" w:right="60" w:hanging="318"/>
        <w:spacing w:after="0" w:line="263"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All amounts due under the Indemnification Provisions of this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shall be payable within ten (10) days after written notice of such event giving rise to the indemnification obligations, and if not paid within such 10-day period, such amounts shall bear interest at a rate of 1.5% per month or at the highest rate permitted under the laws of the State of New York, whichever rate is lower.</w:t>
      </w:r>
    </w:p>
    <w:p>
      <w:pPr>
        <w:spacing w:after="0" w:line="183" w:lineRule="exact"/>
        <w:rPr>
          <w:rFonts w:ascii="Arial" w:cs="Arial" w:eastAsia="Arial" w:hAnsi="Arial"/>
          <w:sz w:val="18"/>
          <w:szCs w:val="18"/>
          <w:color w:val="auto"/>
        </w:rPr>
      </w:pPr>
    </w:p>
    <w:p>
      <w:pPr>
        <w:jc w:val="both"/>
        <w:ind w:left="380" w:right="60" w:hanging="318"/>
        <w:spacing w:after="0" w:line="263"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Indemnification Provisions shall remain in full force and effect in connection with the transactions contemplated by the Agreement, whether or not consummated, and shall survive the expiration or termination of the Agreement and shall be in addition to any liability that the Company might otherwise have to any Indemnified Party under the Agreement or otherwise.</w:t>
      </w:r>
    </w:p>
    <w:p>
      <w:pPr>
        <w:spacing w:after="0" w:line="183" w:lineRule="exact"/>
        <w:rPr>
          <w:rFonts w:ascii="Arial" w:cs="Arial" w:eastAsia="Arial" w:hAnsi="Arial"/>
          <w:sz w:val="18"/>
          <w:szCs w:val="18"/>
          <w:color w:val="auto"/>
        </w:rPr>
      </w:pPr>
    </w:p>
    <w:p>
      <w:pPr>
        <w:ind w:left="380" w:right="60" w:hanging="318"/>
        <w:spacing w:after="0" w:line="277"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Each party hereto consents to personal jurisdiction and service of process and venue in any court in the State of New York in which any claim for indemnity is brought by any Indemnified Party.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rPr>
              <w:t>PALLADIUM CAPITAL ADVISORS, LLC</w:t>
            </w: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XPRESSPA GROUP, INC.</w:t>
            </w:r>
          </w:p>
        </w:tc>
      </w:tr>
      <w:tr>
        <w:trPr>
          <w:trHeight w:val="702"/>
        </w:trPr>
        <w:tc>
          <w:tcPr>
            <w:tcW w:w="5520" w:type="dxa"/>
            <w:vAlign w:val="bottom"/>
            <w:gridSpan w:val="2"/>
          </w:tcPr>
          <w:p>
            <w:pPr>
              <w:spacing w:after="0"/>
              <w:rPr>
                <w:sz w:val="20"/>
                <w:szCs w:val="20"/>
                <w:color w:val="auto"/>
              </w:rPr>
            </w:pPr>
            <w:r>
              <w:rPr>
                <w:rFonts w:ascii="Arial" w:cs="Arial" w:eastAsia="Arial" w:hAnsi="Arial"/>
                <w:sz w:val="18"/>
                <w:szCs w:val="18"/>
                <w:color w:val="auto"/>
              </w:rPr>
              <w:t>By:/s/ Joel Padowitz</w:t>
            </w:r>
          </w:p>
        </w:tc>
        <w:tc>
          <w:tcPr>
            <w:tcW w:w="5720" w:type="dxa"/>
            <w:vAlign w:val="bottom"/>
            <w:gridSpan w:val="2"/>
          </w:tcPr>
          <w:p>
            <w:pPr>
              <w:ind w:left="320"/>
              <w:spacing w:after="0"/>
              <w:rPr>
                <w:sz w:val="20"/>
                <w:szCs w:val="20"/>
                <w:color w:val="auto"/>
              </w:rPr>
            </w:pPr>
            <w:r>
              <w:rPr>
                <w:rFonts w:ascii="Arial" w:cs="Arial" w:eastAsia="Arial" w:hAnsi="Arial"/>
                <w:sz w:val="18"/>
                <w:szCs w:val="18"/>
                <w:color w:val="auto"/>
              </w:rPr>
              <w:t>By:/s/ Doug Satzman</w:t>
            </w:r>
          </w:p>
        </w:tc>
      </w:tr>
      <w:tr>
        <w:trPr>
          <w:trHeight w:val="195"/>
        </w:trPr>
        <w:tc>
          <w:tcPr>
            <w:tcW w:w="280" w:type="dxa"/>
            <w:vAlign w:val="bottom"/>
          </w:tcPr>
          <w:p>
            <w:pPr>
              <w:spacing w:after="0"/>
              <w:rPr>
                <w:sz w:val="16"/>
                <w:szCs w:val="16"/>
                <w:color w:val="auto"/>
              </w:rPr>
            </w:pPr>
          </w:p>
        </w:tc>
        <w:tc>
          <w:tcPr>
            <w:tcW w:w="5240" w:type="dxa"/>
            <w:vAlign w:val="bottom"/>
            <w:tcBorders>
              <w:top w:val="single" w:sz="8" w:color="auto"/>
            </w:tcBorders>
          </w:tcPr>
          <w:p>
            <w:pPr>
              <w:ind w:left="220"/>
              <w:spacing w:after="0" w:line="195" w:lineRule="exact"/>
              <w:rPr>
                <w:sz w:val="20"/>
                <w:szCs w:val="20"/>
                <w:color w:val="auto"/>
              </w:rPr>
            </w:pPr>
            <w:r>
              <w:rPr>
                <w:rFonts w:ascii="Arial" w:cs="Arial" w:eastAsia="Arial" w:hAnsi="Arial"/>
                <w:sz w:val="18"/>
                <w:szCs w:val="18"/>
                <w:color w:val="auto"/>
              </w:rPr>
              <w:t>Joel Padowitz</w:t>
            </w:r>
          </w:p>
        </w:tc>
        <w:tc>
          <w:tcPr>
            <w:tcW w:w="580" w:type="dxa"/>
            <w:vAlign w:val="bottom"/>
          </w:tcPr>
          <w:p>
            <w:pPr>
              <w:spacing w:after="0"/>
              <w:rPr>
                <w:sz w:val="16"/>
                <w:szCs w:val="16"/>
                <w:color w:val="auto"/>
              </w:rPr>
            </w:pPr>
          </w:p>
        </w:tc>
        <w:tc>
          <w:tcPr>
            <w:tcW w:w="5140" w:type="dxa"/>
            <w:vAlign w:val="bottom"/>
            <w:tcBorders>
              <w:top w:val="single" w:sz="8" w:color="auto"/>
            </w:tcBorders>
          </w:tcPr>
          <w:p>
            <w:pPr>
              <w:ind w:left="240"/>
              <w:spacing w:after="0" w:line="195" w:lineRule="exact"/>
              <w:rPr>
                <w:sz w:val="20"/>
                <w:szCs w:val="20"/>
                <w:color w:val="auto"/>
              </w:rPr>
            </w:pPr>
            <w:r>
              <w:rPr>
                <w:rFonts w:ascii="Arial" w:cs="Arial" w:eastAsia="Arial" w:hAnsi="Arial"/>
                <w:sz w:val="18"/>
                <w:szCs w:val="18"/>
                <w:color w:val="auto"/>
              </w:rPr>
              <w:t>Doug Satzman</w:t>
            </w:r>
          </w:p>
        </w:tc>
      </w:tr>
      <w:tr>
        <w:trPr>
          <w:trHeight w:val="230"/>
        </w:trPr>
        <w:tc>
          <w:tcPr>
            <w:tcW w:w="280" w:type="dxa"/>
            <w:vAlign w:val="bottom"/>
          </w:tcPr>
          <w:p>
            <w:pPr>
              <w:spacing w:after="0"/>
              <w:rPr>
                <w:sz w:val="20"/>
                <w:szCs w:val="20"/>
                <w:color w:val="auto"/>
              </w:rPr>
            </w:pPr>
          </w:p>
        </w:tc>
        <w:tc>
          <w:tcPr>
            <w:tcW w:w="5240" w:type="dxa"/>
            <w:vAlign w:val="bottom"/>
          </w:tcPr>
          <w:p>
            <w:pPr>
              <w:ind w:left="220"/>
              <w:spacing w:after="0"/>
              <w:rPr>
                <w:sz w:val="20"/>
                <w:szCs w:val="20"/>
                <w:color w:val="auto"/>
              </w:rPr>
            </w:pPr>
            <w:r>
              <w:rPr>
                <w:rFonts w:ascii="Arial" w:cs="Arial" w:eastAsia="Arial" w:hAnsi="Arial"/>
                <w:sz w:val="18"/>
                <w:szCs w:val="18"/>
                <w:color w:val="auto"/>
              </w:rPr>
              <w:t>Chief Executive Officer</w:t>
            </w:r>
          </w:p>
        </w:tc>
        <w:tc>
          <w:tcPr>
            <w:tcW w:w="580" w:type="dxa"/>
            <w:vAlign w:val="bottom"/>
          </w:tcPr>
          <w:p>
            <w:pPr>
              <w:spacing w:after="0"/>
              <w:rPr>
                <w:sz w:val="20"/>
                <w:szCs w:val="20"/>
                <w:color w:val="auto"/>
              </w:rPr>
            </w:pPr>
          </w:p>
        </w:tc>
        <w:tc>
          <w:tcPr>
            <w:tcW w:w="5140" w:type="dxa"/>
            <w:vAlign w:val="bottom"/>
          </w:tcPr>
          <w:p>
            <w:pPr>
              <w:ind w:left="240"/>
              <w:spacing w:after="0"/>
              <w:rPr>
                <w:sz w:val="20"/>
                <w:szCs w:val="20"/>
                <w:color w:val="auto"/>
              </w:rPr>
            </w:pPr>
            <w:r>
              <w:rPr>
                <w:rFonts w:ascii="Arial" w:cs="Arial" w:eastAsia="Arial" w:hAnsi="Arial"/>
                <w:sz w:val="18"/>
                <w:szCs w:val="18"/>
                <w:color w:val="auto"/>
              </w:rPr>
              <w:t>Chief Executive Officer</w:t>
            </w:r>
          </w:p>
        </w:tc>
      </w:tr>
      <w:tr>
        <w:trPr>
          <w:trHeight w:val="648"/>
        </w:trPr>
        <w:tc>
          <w:tcPr>
            <w:tcW w:w="28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8</w:t>
            </w:r>
          </w:p>
        </w:tc>
        <w:tc>
          <w:tcPr>
            <w:tcW w:w="5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14" w:name="page15"/>
    <w:bookmarkEnd w:id="14"/>
    <w:p>
      <w:pPr>
        <w:ind w:left="10240"/>
        <w:spacing w:after="0"/>
        <w:rPr>
          <w:sz w:val="20"/>
          <w:szCs w:val="20"/>
          <w:color w:val="auto"/>
        </w:rPr>
      </w:pPr>
      <w:r>
        <w:rPr>
          <w:rFonts w:ascii="Arial" w:cs="Arial" w:eastAsia="Arial" w:hAnsi="Arial"/>
          <w:sz w:val="19"/>
          <w:szCs w:val="19"/>
          <w:b w:val="1"/>
          <w:bCs w:val="1"/>
          <w:color w:val="auto"/>
        </w:rPr>
        <w:t>Exhibit 4.1</w:t>
      </w:r>
    </w:p>
    <w:p>
      <w:pPr>
        <w:spacing w:after="0" w:line="27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NEITHER THE ISSUANCE AND SALE OF THE SECURITIES REPRESENTED BY THIS CERTIFICATE NOR THE SECURITIES INTO WHICH THESE SECURITIES ARE EXERCISABLE HAVE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SELECTED BY THE HOLDER,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w:t>
      </w:r>
      <w:r>
        <w:rPr>
          <w:rFonts w:ascii="Arial" w:cs="Arial" w:eastAsia="Arial" w:hAnsi="Arial"/>
          <w:sz w:val="12"/>
          <w:szCs w:val="12"/>
          <w:b w:val="1"/>
          <w:bCs w:val="1"/>
          <w:color w:val="auto"/>
        </w:rPr>
        <w:t>ORM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RE</w:t>
      </w:r>
      <w:r>
        <w:rPr>
          <w:rFonts w:ascii="Arial" w:cs="Arial" w:eastAsia="Arial" w:hAnsi="Arial"/>
          <w:sz w:val="18"/>
          <w:szCs w:val="18"/>
          <w:b w:val="1"/>
          <w:bCs w:val="1"/>
          <w:color w:val="auto"/>
        </w:rPr>
        <w:t>-</w:t>
      </w:r>
      <w:r>
        <w:rPr>
          <w:rFonts w:ascii="Arial" w:cs="Arial" w:eastAsia="Arial" w:hAnsi="Arial"/>
          <w:sz w:val="12"/>
          <w:szCs w:val="12"/>
          <w:b w:val="1"/>
          <w:bCs w:val="1"/>
          <w:color w:val="auto"/>
        </w:rPr>
        <w:t>FUNDED</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ARRANT</w:t>
      </w:r>
      <w:r>
        <w:rPr>
          <w:rFonts w:ascii="Arial" w:cs="Arial" w:eastAsia="Arial" w:hAnsi="Arial"/>
          <w:sz w:val="18"/>
          <w:szCs w:val="18"/>
          <w:b w:val="1"/>
          <w:bCs w:val="1"/>
          <w:color w:val="auto"/>
        </w:rPr>
        <w:t xml:space="preserve"> T</w:t>
      </w:r>
      <w:r>
        <w:rPr>
          <w:rFonts w:ascii="Arial" w:cs="Arial" w:eastAsia="Arial" w:hAnsi="Arial"/>
          <w:sz w:val="12"/>
          <w:szCs w:val="12"/>
          <w:b w:val="1"/>
          <w:bCs w:val="1"/>
          <w:color w:val="auto"/>
        </w:rPr>
        <w:t>O</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C</w:t>
      </w:r>
      <w:r>
        <w:rPr>
          <w:rFonts w:ascii="Arial" w:cs="Arial" w:eastAsia="Arial" w:hAnsi="Arial"/>
          <w:sz w:val="12"/>
          <w:szCs w:val="12"/>
          <w:b w:val="1"/>
          <w:bCs w:val="1"/>
          <w:color w:val="auto"/>
        </w:rPr>
        <w:t>OMMON</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Warrant No.: 2020-[ ]</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 of Issuance: March [ ], 2020 (“</w:t>
      </w:r>
      <w:r>
        <w:rPr>
          <w:rFonts w:ascii="Arial" w:cs="Arial" w:eastAsia="Arial" w:hAnsi="Arial"/>
          <w:sz w:val="18"/>
          <w:szCs w:val="18"/>
          <w:b w:val="1"/>
          <w:bCs w:val="1"/>
          <w:color w:val="auto"/>
        </w:rPr>
        <w:t>Issuance Date</w:t>
      </w:r>
      <w:r>
        <w:rPr>
          <w:rFonts w:ascii="Arial" w:cs="Arial" w:eastAsia="Arial" w:hAnsi="Arial"/>
          <w:sz w:val="18"/>
          <w:szCs w:val="18"/>
          <w:color w:val="auto"/>
        </w:rPr>
        <w:t>”)</w:t>
      </w:r>
    </w:p>
    <w:p>
      <w:pPr>
        <w:spacing w:after="0" w:line="20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XpresSpa Group, Inc., a Delaware corporation (the “</w:t>
      </w:r>
      <w:r>
        <w:rPr>
          <w:rFonts w:ascii="Arial" w:cs="Arial" w:eastAsia="Arial" w:hAnsi="Arial"/>
          <w:sz w:val="16"/>
          <w:szCs w:val="16"/>
          <w:b w:val="1"/>
          <w:bCs w:val="1"/>
          <w:color w:val="auto"/>
        </w:rPr>
        <w:t>Company</w:t>
      </w:r>
      <w:r>
        <w:rPr>
          <w:rFonts w:ascii="Arial" w:cs="Arial" w:eastAsia="Arial" w:hAnsi="Arial"/>
          <w:sz w:val="16"/>
          <w:szCs w:val="16"/>
          <w:color w:val="auto"/>
        </w:rPr>
        <w:t>”), hereby certifies that, for good and valuable consideration, the receipt and sufficiency of which are hereby acknowledged, ________________ the registered holder hereof or its permitted assigns (the “</w:t>
      </w:r>
      <w:r>
        <w:rPr>
          <w:rFonts w:ascii="Arial" w:cs="Arial" w:eastAsia="Arial" w:hAnsi="Arial"/>
          <w:sz w:val="16"/>
          <w:szCs w:val="16"/>
          <w:b w:val="1"/>
          <w:bCs w:val="1"/>
          <w:color w:val="auto"/>
        </w:rPr>
        <w:t>Holder</w:t>
      </w:r>
      <w:r>
        <w:rPr>
          <w:rFonts w:ascii="Arial" w:cs="Arial" w:eastAsia="Arial" w:hAnsi="Arial"/>
          <w:sz w:val="16"/>
          <w:szCs w:val="16"/>
          <w:color w:val="auto"/>
        </w:rPr>
        <w:t>”), is entitled, subject</w:t>
      </w:r>
    </w:p>
    <w:p>
      <w:pPr>
        <w:spacing w:after="0" w:line="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to the terms set forth below, to purchase from the Company, at the Exercise Price (as defined below) then in effect, at any time or times on or after the Issuance Date, and until the date on which this Warrant is exercised in full (the “</w:t>
      </w:r>
      <w:r>
        <w:rPr>
          <w:rFonts w:ascii="Arial" w:cs="Arial" w:eastAsia="Arial" w:hAnsi="Arial"/>
          <w:sz w:val="16"/>
          <w:szCs w:val="16"/>
          <w:b w:val="1"/>
          <w:bCs w:val="1"/>
          <w:color w:val="auto"/>
        </w:rPr>
        <w:t>Termination Date</w:t>
      </w:r>
      <w:r>
        <w:rPr>
          <w:rFonts w:ascii="Arial" w:cs="Arial" w:eastAsia="Arial" w:hAnsi="Arial"/>
          <w:sz w:val="16"/>
          <w:szCs w:val="16"/>
          <w:color w:val="auto"/>
        </w:rPr>
        <w:t>”), [ ] ([ ]) fully paid nonassessable shares of Common Stock, subject to adjustment as provided herein (the “</w:t>
      </w:r>
      <w:r>
        <w:rPr>
          <w:rFonts w:ascii="Arial" w:cs="Arial" w:eastAsia="Arial" w:hAnsi="Arial"/>
          <w:sz w:val="16"/>
          <w:szCs w:val="16"/>
          <w:b w:val="1"/>
          <w:bCs w:val="1"/>
          <w:color w:val="auto"/>
        </w:rPr>
        <w:t>Warrant Shares</w:t>
      </w:r>
      <w:r>
        <w:rPr>
          <w:rFonts w:ascii="Arial" w:cs="Arial" w:eastAsia="Arial" w:hAnsi="Arial"/>
          <w:sz w:val="16"/>
          <w:szCs w:val="16"/>
          <w:color w:val="auto"/>
        </w:rPr>
        <w:t>”). Except as otherwise defined herein, capitalized terms in this Warrant to Purchase Common Stock (including any Warrants to Purchase Common Stock issued in exchange, transfer or replacement hereof, this “</w:t>
      </w:r>
      <w:r>
        <w:rPr>
          <w:rFonts w:ascii="Arial" w:cs="Arial" w:eastAsia="Arial" w:hAnsi="Arial"/>
          <w:sz w:val="16"/>
          <w:szCs w:val="16"/>
          <w:b w:val="1"/>
          <w:bCs w:val="1"/>
          <w:color w:val="auto"/>
        </w:rPr>
        <w:t>Warrant</w:t>
      </w:r>
      <w:r>
        <w:rPr>
          <w:rFonts w:ascii="Arial" w:cs="Arial" w:eastAsia="Arial" w:hAnsi="Arial"/>
          <w:sz w:val="16"/>
          <w:szCs w:val="16"/>
          <w:color w:val="auto"/>
        </w:rPr>
        <w:t>”) shall have the meanings set forth in the Purchase Agreement (as defined below). This Warrant is the Warrant to purchase Common Stock issued pursuant to that certain Securities Purchase Agreement, dated as of March 19, 2020 (“</w:t>
      </w:r>
      <w:r>
        <w:rPr>
          <w:rFonts w:ascii="Arial" w:cs="Arial" w:eastAsia="Arial" w:hAnsi="Arial"/>
          <w:sz w:val="16"/>
          <w:szCs w:val="16"/>
          <w:b w:val="1"/>
          <w:bCs w:val="1"/>
          <w:color w:val="auto"/>
        </w:rPr>
        <w:t>Purchase Agreement</w:t>
      </w:r>
      <w:r>
        <w:rPr>
          <w:rFonts w:ascii="Arial" w:cs="Arial" w:eastAsia="Arial" w:hAnsi="Arial"/>
          <w:sz w:val="16"/>
          <w:szCs w:val="16"/>
          <w:color w:val="auto"/>
        </w:rPr>
        <w:t>”) by and between the Company and the purchasers party thereto.</w:t>
      </w:r>
    </w:p>
    <w:p>
      <w:pPr>
        <w:spacing w:after="0" w:line="164" w:lineRule="exact"/>
        <w:rPr>
          <w:sz w:val="20"/>
          <w:szCs w:val="20"/>
          <w:color w:val="auto"/>
        </w:rPr>
      </w:pPr>
    </w:p>
    <w:p>
      <w:pPr>
        <w:ind w:left="1760" w:hanging="456"/>
        <w:spacing w:after="0"/>
        <w:tabs>
          <w:tab w:leader="none" w:pos="176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auto"/>
        </w:rPr>
        <w:t>EXERCISE OF WARRANT.</w:t>
      </w:r>
    </w:p>
    <w:p>
      <w:pPr>
        <w:spacing w:after="0" w:line="225" w:lineRule="exact"/>
        <w:rPr>
          <w:rFonts w:ascii="Arial" w:cs="Arial" w:eastAsia="Arial" w:hAnsi="Arial"/>
          <w:sz w:val="18"/>
          <w:szCs w:val="18"/>
          <w:color w:val="auto"/>
        </w:rPr>
      </w:pPr>
    </w:p>
    <w:p>
      <w:pPr>
        <w:jc w:val="both"/>
        <w:ind w:firstLine="1952"/>
        <w:spacing w:after="0" w:line="284" w:lineRule="auto"/>
        <w:tabs>
          <w:tab w:leader="none" w:pos="2472" w:val="left"/>
        </w:tabs>
        <w:numPr>
          <w:ilvl w:val="1"/>
          <w:numId w:val="11"/>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 xml:space="preserve">. Subject to the terms and conditions hereof (including, without limitation, the limitations set forth in Section 1(f)), this Warrant may be exercised by the Holder at any time or times on or after the Issuance Date and prior to the Termination Date, in whole or in part, by (i) delivery of a written notice,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(the “</w:t>
      </w:r>
      <w:r>
        <w:rPr>
          <w:rFonts w:ascii="Arial" w:cs="Arial" w:eastAsia="Arial" w:hAnsi="Arial"/>
          <w:sz w:val="16"/>
          <w:szCs w:val="16"/>
          <w:b w:val="1"/>
          <w:bCs w:val="1"/>
          <w:color w:val="auto"/>
        </w:rPr>
        <w:t>Exercise Notice</w:t>
      </w:r>
      <w:r>
        <w:rPr>
          <w:rFonts w:ascii="Arial" w:cs="Arial" w:eastAsia="Arial" w:hAnsi="Arial"/>
          <w:sz w:val="16"/>
          <w:szCs w:val="16"/>
          <w:color w:val="auto"/>
        </w:rPr>
        <w:t>”), of the Holder’s election to exercise this Warrant and (ii) (A) payment to the Company of an amount equal to the applicable Exercise Price multiplied by the number of Warrant Shares as to which this Warrant is being exercised (the “</w:t>
      </w:r>
      <w:r>
        <w:rPr>
          <w:rFonts w:ascii="Arial" w:cs="Arial" w:eastAsia="Arial" w:hAnsi="Arial"/>
          <w:sz w:val="16"/>
          <w:szCs w:val="16"/>
          <w:b w:val="1"/>
          <w:bCs w:val="1"/>
          <w:color w:val="auto"/>
        </w:rPr>
        <w:t>Aggregate Exercise Price</w:t>
      </w:r>
      <w:r>
        <w:rPr>
          <w:rFonts w:ascii="Arial" w:cs="Arial" w:eastAsia="Arial" w:hAnsi="Arial"/>
          <w:sz w:val="16"/>
          <w:szCs w:val="16"/>
          <w:color w:val="auto"/>
        </w:rPr>
        <w:t>”) in cash by wire transfer of immediately available funds or (B) if the provisions of Section 1(d) are applicable, by notifying the Company that this Warrant is being exercised pursuant to a Cashless Exercise (as defined in Section 1(d)). The Holder shall not be required to deliver the original Warrant in order to effect an exercise hereunder. Execution and delivery of the Exercise Notice with respect to less than all of the Warrant Shares shall have the same effect as cancellation of the original Warrant and issuance of a new Warrant evidencing the right to</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the remaining number of Warrant Shares. On or before the first (1</w:t>
      </w:r>
      <w:r>
        <w:rPr>
          <w:rFonts w:ascii="Arial" w:cs="Arial" w:eastAsia="Arial" w:hAnsi="Arial"/>
          <w:sz w:val="26"/>
          <w:szCs w:val="26"/>
          <w:color w:val="auto"/>
          <w:vertAlign w:val="superscript"/>
        </w:rPr>
        <w:t>st</w:t>
      </w:r>
      <w:r>
        <w:rPr>
          <w:rFonts w:ascii="Arial" w:cs="Arial" w:eastAsia="Arial" w:hAnsi="Arial"/>
          <w:sz w:val="16"/>
          <w:szCs w:val="16"/>
          <w:color w:val="auto"/>
        </w:rPr>
        <w:t>) Trading Day following the date on which the Company has received the Exercise Notice, the Company shall transmit by electronic mail an acknowledgment of confirmation of receipt of the Exercise Notice to the Holder. On or</w:t>
      </w:r>
    </w:p>
    <w:p>
      <w:pPr>
        <w:spacing w:after="0" w:line="2" w:lineRule="exact"/>
        <w:rPr>
          <w:sz w:val="20"/>
          <w:szCs w:val="20"/>
          <w:color w:val="auto"/>
        </w:rPr>
      </w:pPr>
    </w:p>
    <w:p>
      <w:pPr>
        <w:jc w:val="both"/>
        <w:spacing w:after="0" w:line="279" w:lineRule="auto"/>
        <w:rPr>
          <w:sz w:val="20"/>
          <w:szCs w:val="20"/>
          <w:color w:val="auto"/>
        </w:rPr>
      </w:pPr>
      <w:r>
        <w:rPr>
          <w:rFonts w:ascii="Arial" w:cs="Arial" w:eastAsia="Arial" w:hAnsi="Arial"/>
          <w:sz w:val="16"/>
          <w:szCs w:val="16"/>
          <w:color w:val="auto"/>
        </w:rPr>
        <w:t>before the second (2</w:t>
      </w:r>
      <w:r>
        <w:rPr>
          <w:rFonts w:ascii="Arial" w:cs="Arial" w:eastAsia="Arial" w:hAnsi="Arial"/>
          <w:sz w:val="26"/>
          <w:szCs w:val="26"/>
          <w:color w:val="auto"/>
          <w:vertAlign w:val="superscript"/>
        </w:rPr>
        <w:t>nd</w:t>
      </w:r>
      <w:r>
        <w:rPr>
          <w:rFonts w:ascii="Arial" w:cs="Arial" w:eastAsia="Arial" w:hAnsi="Arial"/>
          <w:sz w:val="16"/>
          <w:szCs w:val="16"/>
          <w:color w:val="auto"/>
        </w:rPr>
        <w:t>) Trading Day following the date on which the Company has received the Exercise Notice, so long as the Holder delivers the Aggregate Exercise Price (or notice of a Cashless Exercise) on or prior to the second (2nd) Trading Day following the date on which the Company has received the Exercise Notice (the “</w:t>
      </w:r>
      <w:r>
        <w:rPr>
          <w:rFonts w:ascii="Arial" w:cs="Arial" w:eastAsia="Arial" w:hAnsi="Arial"/>
          <w:sz w:val="16"/>
          <w:szCs w:val="16"/>
          <w:b w:val="1"/>
          <w:bCs w:val="1"/>
          <w:color w:val="auto"/>
        </w:rPr>
        <w:t>Share Delivery Date</w:t>
      </w:r>
      <w:r>
        <w:rPr>
          <w:rFonts w:ascii="Arial" w:cs="Arial" w:eastAsia="Arial" w:hAnsi="Arial"/>
          <w:sz w:val="16"/>
          <w:szCs w:val="16"/>
          <w:color w:val="auto"/>
        </w:rPr>
        <w:t>”) (provided that if the Aggregate Exercise Price (or notice of a Cashless Exercise) has not been delivered by such date, the Share Delivery Date shall be extended one (1) Trading Day after the Aggregate Exercise Price (or notice of a Cashless Exercise) is delivered), the Company shall (X) provided that the Company’s transfer agent (“</w:t>
      </w:r>
      <w:r>
        <w:rPr>
          <w:rFonts w:ascii="Arial" w:cs="Arial" w:eastAsia="Arial" w:hAnsi="Arial"/>
          <w:sz w:val="16"/>
          <w:szCs w:val="16"/>
          <w:b w:val="1"/>
          <w:bCs w:val="1"/>
          <w:color w:val="auto"/>
        </w:rPr>
        <w:t>Transfer Agent</w:t>
      </w:r>
      <w:r>
        <w:rPr>
          <w:rFonts w:ascii="Arial" w:cs="Arial" w:eastAsia="Arial" w:hAnsi="Arial"/>
          <w:sz w:val="16"/>
          <w:szCs w:val="16"/>
          <w:color w:val="auto"/>
        </w:rPr>
        <w:t>”) is participating in The Depository Trust Company (“</w:t>
      </w:r>
      <w:r>
        <w:rPr>
          <w:rFonts w:ascii="Arial" w:cs="Arial" w:eastAsia="Arial" w:hAnsi="Arial"/>
          <w:sz w:val="16"/>
          <w:szCs w:val="16"/>
          <w:b w:val="1"/>
          <w:bCs w:val="1"/>
          <w:color w:val="auto"/>
        </w:rPr>
        <w:t>DTC</w:t>
      </w:r>
      <w:r>
        <w:rPr>
          <w:rFonts w:ascii="Arial" w:cs="Arial" w:eastAsia="Arial" w:hAnsi="Arial"/>
          <w:sz w:val="16"/>
          <w:szCs w:val="16"/>
          <w:color w:val="auto"/>
        </w:rPr>
        <w:t>”) Fast Automated Securities Transfer Program and the Warrant Shares are eligible to be issued without a restrictive legend, credit such aggregate number of Warrant Shares to which the Holder is entitled pursuant to such exercise to the Holder’s or its designee’s balance account with DTC through its Deposit/Withdrawal At Custodian system, or (Y) if the Transfer Agent is not participating in the DTC Fast Automated Securities Transfer Program or the Warrant Shares are not eligible to be issued without a restrictive legend, issue and dispatch by overnight courier to the address as specified in the Exercise Notice, a certificate, registered in the Company’s share register in the name of the Holder or its designee, for the number of Warrant Shares to which the Holder is entitled pursuant to such exercise. The Company shall be responsible for all fees and expenses of the Transfer Agent and all fees and expenses with respect to the issuance of Warrant Shares via DTC, if any. Upon delivery of the Exercise Notice and the Aggregate Exercise Price (or notice of a Cashless Exercise) (such date of delivery being the “</w:t>
      </w:r>
      <w:r>
        <w:rPr>
          <w:rFonts w:ascii="Arial" w:cs="Arial" w:eastAsia="Arial" w:hAnsi="Arial"/>
          <w:sz w:val="16"/>
          <w:szCs w:val="16"/>
          <w:b w:val="1"/>
          <w:bCs w:val="1"/>
          <w:color w:val="auto"/>
        </w:rPr>
        <w:t>Exercise Date</w:t>
      </w:r>
      <w:r>
        <w:rPr>
          <w:rFonts w:ascii="Arial" w:cs="Arial" w:eastAsia="Arial" w:hAnsi="Arial"/>
          <w:sz w:val="16"/>
          <w:szCs w:val="16"/>
          <w:color w:val="auto"/>
        </w:rPr>
        <w:t xml:space="preserve">”), the Holder shall be deemed for all corporate purposes to have become the holder of record of the Warrant Shares with respect to which this Warrant has been exercised, irrespective of the date such Warrant Shares are credited to the Holder’s DTC account or the date of delivery of the certificates evidencing such Warrant Shares, as the case may be. If this Warrant is submitted in connection with any exercise pursuant to this Section 1(a) and the number of Warrant Shares represented by this Warrant submitted for exercise is greater than the number of Warrant Shares being acquired upon an exercise, then the Company shall as soon as practicable and in no event later than three (3) Trading Days after any exercise and at its own expense, issue a new Warrant (in accordance with Section 7(d)) representing the right to purchase the number of Warrant Shares issuable immediately prior to such exercise under this Warrant, less the number of Warrant Shares with respect to which this Warrant is exercised. No fractional Warrant Shares are to be issued upon the exercise of this Warrant, but rather the number of Warrant Shares to be issued shall be rounded up to the nearest whole number. The Company shall pay any and all taxes which may be payable with respect to the issuance and delivery of Warrant Shares upon exercise of this Warrant; </w:t>
      </w:r>
      <w:r>
        <w:rPr>
          <w:rFonts w:ascii="Arial" w:cs="Arial" w:eastAsia="Arial" w:hAnsi="Arial"/>
          <w:sz w:val="16"/>
          <w:szCs w:val="16"/>
          <w:u w:val="single" w:color="auto"/>
          <w:color w:val="2F2F2F"/>
        </w:rPr>
        <w:t>pr</w:t>
      </w:r>
      <w:r>
        <w:rPr>
          <w:rFonts w:ascii="Arial" w:cs="Arial" w:eastAsia="Arial" w:hAnsi="Arial"/>
          <w:sz w:val="16"/>
          <w:szCs w:val="16"/>
          <w:u w:val="single" w:color="auto"/>
          <w:color w:val="auto"/>
        </w:rPr>
        <w:t>ovided</w:t>
      </w:r>
      <w:r>
        <w:rPr>
          <w:rFonts w:ascii="Arial" w:cs="Arial" w:eastAsia="Arial" w:hAnsi="Arial"/>
          <w:sz w:val="16"/>
          <w:szCs w:val="16"/>
          <w:color w:val="auto"/>
        </w:rPr>
        <w:t xml:space="preserve">, that the Company shall not be required to pay any tax or governmental charge that may be imposed with respect to any applicable withholding or the issuance or delivery of the Warrant Shares to any Person other than the Holder, and no such issuance or delivery shall be made unless and until such Person other than the Holder requesting such issuance has paid to the Company the amount of any such tax, or has established to the satisfaction of the Company that such tax has been paid. The Company’s obligations to issue and deliver Warrant Shares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t>
      </w:r>
      <w:r>
        <w:rPr>
          <w:rFonts w:ascii="Arial" w:cs="Arial" w:eastAsia="Arial" w:hAnsi="Arial"/>
          <w:sz w:val="16"/>
          <w:szCs w:val="16"/>
          <w:b w:val="1"/>
          <w:bCs w:val="1"/>
          <w:color w:val="auto"/>
        </w:rPr>
        <w:t>The Holder and any assignee, by acceptance of this Warrant, acknowledge</w:t>
      </w:r>
      <w:r>
        <w:rPr>
          <w:rFonts w:ascii="Arial" w:cs="Arial" w:eastAsia="Arial" w:hAnsi="Arial"/>
          <w:sz w:val="16"/>
          <w:szCs w:val="16"/>
          <w:color w:val="auto"/>
        </w:rPr>
        <w:t xml:space="preserve"> </w:t>
      </w:r>
      <w:r>
        <w:rPr>
          <w:rFonts w:ascii="Arial" w:cs="Arial" w:eastAsia="Arial" w:hAnsi="Arial"/>
          <w:sz w:val="16"/>
          <w:szCs w:val="16"/>
          <w:b w:val="1"/>
          <w:bCs w:val="1"/>
          <w:color w:val="auto"/>
        </w:rPr>
        <w:t>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606" w:gutter="0" w:footer="0" w:header="0"/>
        </w:sectPr>
      </w:pPr>
    </w:p>
    <w:bookmarkStart w:id="15" w:name="page16"/>
    <w:bookmarkEnd w:id="15"/>
    <w:p>
      <w:pPr>
        <w:ind w:left="2480" w:hanging="528"/>
        <w:spacing w:after="0"/>
        <w:tabs>
          <w:tab w:leader="none" w:pos="248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For purposes of this Warrant, “</w:t>
      </w:r>
      <w:r>
        <w:rPr>
          <w:rFonts w:ascii="Arial" w:cs="Arial" w:eastAsia="Arial" w:hAnsi="Arial"/>
          <w:sz w:val="16"/>
          <w:szCs w:val="16"/>
          <w:b w:val="1"/>
          <w:bCs w:val="1"/>
          <w:color w:val="auto"/>
        </w:rPr>
        <w:t>Exercise Price</w:t>
      </w:r>
      <w:r>
        <w:rPr>
          <w:rFonts w:ascii="Arial" w:cs="Arial" w:eastAsia="Arial" w:hAnsi="Arial"/>
          <w:sz w:val="16"/>
          <w:szCs w:val="16"/>
          <w:color w:val="auto"/>
        </w:rPr>
        <w:t>” means $0.01, subject to adjustment as provided herein.</w:t>
      </w:r>
    </w:p>
    <w:p>
      <w:pPr>
        <w:spacing w:after="0" w:line="252" w:lineRule="exact"/>
        <w:rPr>
          <w:rFonts w:ascii="Arial" w:cs="Arial" w:eastAsia="Arial" w:hAnsi="Arial"/>
          <w:sz w:val="16"/>
          <w:szCs w:val="16"/>
          <w:color w:val="auto"/>
        </w:rPr>
      </w:pPr>
    </w:p>
    <w:p>
      <w:pPr>
        <w:jc w:val="both"/>
        <w:ind w:firstLine="1952"/>
        <w:spacing w:after="0" w:line="283" w:lineRule="auto"/>
        <w:tabs>
          <w:tab w:leader="none" w:pos="2485"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Company’s Failure to Timely Deliver Securities</w:t>
      </w:r>
      <w:r>
        <w:rPr>
          <w:rFonts w:ascii="Arial" w:cs="Arial" w:eastAsia="Arial" w:hAnsi="Arial"/>
          <w:sz w:val="16"/>
          <w:szCs w:val="16"/>
          <w:color w:val="auto"/>
        </w:rPr>
        <w:t>. If (I) the Company shall fail for any reason or for no reason on or prior to the Share Delivery Date either (a) if the Transfer Agent is not participating in the DTC Fast Automated Securities Transfer Program and the Warrant Shares are eligible to be issued without a restrictive legend, to issue to the Holder a certificate without any restrictive legend for the number of shares of Common Stock to which the Holder is entitled and register such shares of Common Stock on the Company’s share register or (b) if the Transfer Agent is participating in the DTC Fast Automated Securities Transfer Program and the Warrant Shares are eligible to be issued without a restrictive legend, to credit the Holder’s balance account with DTC, for such number of shares of Common Stock to which the Holder is entitled upon the Holder’s exercise of this Warrant and the Warrant Shares are not eligible to be issued without a restrictive legend, to issue and dispatch by overnight courier to the address as specified in the Exercise Notice for delivery on or before the Share Delivery Date a certificate, registered in the Company’s share register in the name of the Holder or its designee, for the number of Warrant Shares to which the Holder is entitled pursuant to such exercise, (the event described in clause (I) above referred to herein as an “</w:t>
      </w:r>
      <w:r>
        <w:rPr>
          <w:rFonts w:ascii="Arial" w:cs="Arial" w:eastAsia="Arial" w:hAnsi="Arial"/>
          <w:sz w:val="16"/>
          <w:szCs w:val="16"/>
          <w:b w:val="1"/>
          <w:bCs w:val="1"/>
          <w:color w:val="auto"/>
        </w:rPr>
        <w:t>Exercise Failure</w:t>
      </w:r>
      <w:r>
        <w:rPr>
          <w:rFonts w:ascii="Arial" w:cs="Arial" w:eastAsia="Arial" w:hAnsi="Arial"/>
          <w:sz w:val="16"/>
          <w:szCs w:val="16"/>
          <w:color w:val="auto"/>
        </w:rPr>
        <w:t>”) occurs, then, in addition to all other remedies available to the Holder, (X) the Company shall pay in cash to the Holder on each day after the Share Delivery Date and during such Exercise Failure an amount equal to 1.0% of the product of (A) the number of shares of Common Stock not issued to the Holder on or prior to the Share Delivery Date and to which the Holder is entitled, and (B) the higher of (i) the then in effect Exercise Price of this Warrant or (ii) the closing price of the Common Stock on the date of the applicable Exercise Notice, and (Y) the Holder, upon written notice to the Company, may void its Exercise Notice with respect to, and retain or have returned, as the case may be, any portion of this Warrant that has not been exercised pursuant to such Exercise Notice; provided that the voiding of an Exercise Notice shall not affect the Company’s obligations to make any payments which have accrued prior to the date of such notice pursuant to this Section 1(c) or otherwise. In addition to the foregoing, if an Exercise Failure occurs, and if on or after the Share Delivery Date the Holder purchases (in an open market transaction or otherwise) shares of Common Stock to deliver in satisfaction of a sale through a broker by the Holder of shares of Common Stock issuable upon such exercise that the Holder anticipated receiving from the Company (a “</w:t>
      </w:r>
      <w:r>
        <w:rPr>
          <w:rFonts w:ascii="Arial" w:cs="Arial" w:eastAsia="Arial" w:hAnsi="Arial"/>
          <w:sz w:val="16"/>
          <w:szCs w:val="16"/>
          <w:b w:val="1"/>
          <w:bCs w:val="1"/>
          <w:color w:val="auto"/>
        </w:rPr>
        <w:t>Buy-In</w:t>
      </w:r>
      <w:r>
        <w:rPr>
          <w:rFonts w:ascii="Arial" w:cs="Arial" w:eastAsia="Arial" w:hAnsi="Arial"/>
          <w:sz w:val="16"/>
          <w:szCs w:val="16"/>
          <w:color w:val="auto"/>
        </w:rPr>
        <w:t>”), then the Company shall, within three (3) Trading Days after the Holder’s request and in the Holder’s discretion, either (i) pay cash to the Holder in an amount equal to the Holder’s total purchase price (including brokerage commissions and other reasonable out of pocket expenses related to the Buy-In, if any) for the shares of Common Stock so purchased (such number of shares not to exceed the number of Warrant Shares failed to be delivered) (the “</w:t>
      </w:r>
      <w:r>
        <w:rPr>
          <w:rFonts w:ascii="Arial" w:cs="Arial" w:eastAsia="Arial" w:hAnsi="Arial"/>
          <w:sz w:val="16"/>
          <w:szCs w:val="16"/>
          <w:b w:val="1"/>
          <w:bCs w:val="1"/>
          <w:color w:val="auto"/>
        </w:rPr>
        <w:t>Buy-In Price</w:t>
      </w:r>
      <w:r>
        <w:rPr>
          <w:rFonts w:ascii="Arial" w:cs="Arial" w:eastAsia="Arial" w:hAnsi="Arial"/>
          <w:sz w:val="16"/>
          <w:szCs w:val="16"/>
          <w:color w:val="auto"/>
        </w:rPr>
        <w:t>”), at which point the Company’s obligation to deliver such certificate (and to issue such shares of Common Stock) or credit such Holder’s balance account with DTC for such shares of Common Stock shall terminate, or (ii) promptly honor its obligation to deliver to the Holder a certificate or certificates representing such shares of Common Stock or credit such Holder’s balance account with DTC, as applicable, and pay cash to the Holder in an amount equal to the excess (if any) of the Buy-In Price over the product of (A) such number of shares of Common Stock, times (B) the sale price of the Common Stock at which the sell order giving rise to such purchase obligation was executed. Nothing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the exercise of this Warrant as required pursuant to the terms hereof.</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952"/>
        <w:spacing w:after="0" w:line="257" w:lineRule="auto"/>
        <w:tabs>
          <w:tab w:leader="none" w:pos="2469"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Cashless Exercise</w:t>
      </w:r>
      <w:r>
        <w:rPr>
          <w:rFonts w:ascii="Arial" w:cs="Arial" w:eastAsia="Arial" w:hAnsi="Arial"/>
          <w:sz w:val="18"/>
          <w:szCs w:val="18"/>
          <w:color w:val="auto"/>
        </w:rPr>
        <w:t>. If at any time there is no effective registration statement registering, or no current prospectus available for, the resale of the Warrant Shares by the Holder, then the Holder may, in its sole discretion (and without limiting the Holder’s rights and remedies contained herein), exercise this Warrant in whole or in part and, subject to the provisions of Section 1(a), in lieu of making the cash payment otherwise contemplated to be made to the Company upon such exercise in payment of the Aggregate Exercise Price, elect instead to receive the number of Warrant Shares as is computed using the following formula:</w:t>
      </w:r>
    </w:p>
    <w:p>
      <w:pPr>
        <w:spacing w:after="0" w:line="18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X=Y(A-B)÷A</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Where: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X = the number of Warrant Shares to be issued to the Holder.</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7"/>
          <w:szCs w:val="17"/>
          <w:color w:val="auto"/>
        </w:rPr>
        <w:t>Y = the total number of Warrant Shares for which the Holder has elected to exercise this Warrant pursuant to Section 1(a).</w:t>
      </w:r>
    </w:p>
    <w:p>
      <w:pPr>
        <w:spacing w:after="0" w:line="23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 = the Closing Bid Price of the Company’s Common Stock as of the applicable Exercise Date.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 = the Exercise Price in effect under this Warrant as of the applicable Exercise Date.</w:t>
      </w:r>
    </w:p>
    <w:p>
      <w:pPr>
        <w:spacing w:after="0" w:line="225" w:lineRule="exact"/>
        <w:rPr>
          <w:sz w:val="20"/>
          <w:szCs w:val="20"/>
          <w:color w:val="auto"/>
        </w:rPr>
      </w:pPr>
    </w:p>
    <w:p>
      <w:pPr>
        <w:jc w:val="both"/>
        <w:ind w:firstLine="1952"/>
        <w:spacing w:after="0" w:line="263" w:lineRule="auto"/>
        <w:tabs>
          <w:tab w:leader="none" w:pos="2458"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Disputes</w:t>
      </w:r>
      <w:r>
        <w:rPr>
          <w:rFonts w:ascii="Arial" w:cs="Arial" w:eastAsia="Arial" w:hAnsi="Arial"/>
          <w:sz w:val="18"/>
          <w:szCs w:val="18"/>
          <w:color w:val="auto"/>
        </w:rPr>
        <w:t>. In the case of a dispute as to the determination of the Exercise Price or the arithmetic calculation of the Warrant Shares, the Company shall promptly issue to the Holder the number of Warrant Shares that are not disputed and resolve such dispute in accordance with Section 12.</w:t>
      </w:r>
    </w:p>
    <w:p>
      <w:pPr>
        <w:spacing w:after="0" w:line="183" w:lineRule="exact"/>
        <w:rPr>
          <w:rFonts w:ascii="Arial" w:cs="Arial" w:eastAsia="Arial" w:hAnsi="Arial"/>
          <w:sz w:val="18"/>
          <w:szCs w:val="18"/>
          <w:color w:val="auto"/>
        </w:rPr>
      </w:pPr>
    </w:p>
    <w:p>
      <w:pPr>
        <w:jc w:val="both"/>
        <w:ind w:firstLine="1952"/>
        <w:spacing w:after="0" w:line="283" w:lineRule="auto"/>
        <w:tabs>
          <w:tab w:leader="none" w:pos="2519"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Limitations on Exercises</w:t>
      </w:r>
      <w:r>
        <w:rPr>
          <w:rFonts w:ascii="Arial" w:cs="Arial" w:eastAsia="Arial" w:hAnsi="Arial"/>
          <w:sz w:val="16"/>
          <w:szCs w:val="16"/>
          <w:color w:val="auto"/>
        </w:rPr>
        <w:t>. Notwithstanding anything to the contrary contained herein, the Company shall not effect the exercise of any portion of this Warrant, and the Holder shall not have the right to exercise any portion of this Warrant, pursuant to the terms and conditions of this Warrant and any such exercise shall be null and void and treated as if never made, to the extent that after giving effect to such exercise, the Holder together with the other Attribution Parties collectively would beneficially own in excess of 4.99% (the “</w:t>
      </w:r>
      <w:r>
        <w:rPr>
          <w:rFonts w:ascii="Arial" w:cs="Arial" w:eastAsia="Arial" w:hAnsi="Arial"/>
          <w:sz w:val="16"/>
          <w:szCs w:val="16"/>
          <w:b w:val="1"/>
          <w:bCs w:val="1"/>
          <w:color w:val="auto"/>
        </w:rPr>
        <w:t>Maximum Percentage</w:t>
      </w:r>
      <w:r>
        <w:rPr>
          <w:rFonts w:ascii="Arial" w:cs="Arial" w:eastAsia="Arial" w:hAnsi="Arial"/>
          <w:sz w:val="16"/>
          <w:szCs w:val="16"/>
          <w:color w:val="auto"/>
        </w:rPr>
        <w:t>”) of the number of shares of Common Stock outstanding immediately after giving effect to such exercise.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upon exercise of this Warrant with respect to which the determination of such sentence is being made, but shall exclude the number of shares of Common Stock which would be issuable upon (A) exercise of the remaining, unexercised portion of this Warrant beneficially owned by the Holder or any of the other Attribution Parties and (B) exercise or conversion of the unexercised or unconverted portion of any other securities of the Company (including, without limitation, any convertible notes or convertible preferred stock or warrants) beneficially owned by the Holder or any other Attribution Party subject to a limitation on conversion or exercise analogous to the limitation contained in this Section 1(f). For purposes of this Section 1(f), beneficial ownership shall be calculated in accordance with Section 13(d) of the Securities Exchange Act of 1934, as amended (the “</w:t>
      </w:r>
      <w:r>
        <w:rPr>
          <w:rFonts w:ascii="Arial" w:cs="Arial" w:eastAsia="Arial" w:hAnsi="Arial"/>
          <w:sz w:val="16"/>
          <w:szCs w:val="16"/>
          <w:b w:val="1"/>
          <w:bCs w:val="1"/>
          <w:color w:val="auto"/>
        </w:rPr>
        <w:t>1934 Act</w:t>
      </w:r>
      <w:r>
        <w:rPr>
          <w:rFonts w:ascii="Arial" w:cs="Arial" w:eastAsia="Arial" w:hAnsi="Arial"/>
          <w:sz w:val="16"/>
          <w:szCs w:val="16"/>
          <w:color w:val="auto"/>
        </w:rPr>
        <w:t>”). For purposes of this Warrant, in determining the number of outstanding shares of Common Stock the Holder may acquire upon the exercise of this Warrant without exceeding the Maximum Percentage, the Holder may rely on the number of outstanding shares of Common Stock as reflected in (x) the Company’s most recent Annual Report on Form 10-K, Quarterly Report on Form 10-Q, Current Report on Form 8-K or other public filing with the Securities and Exchange Commission (the “</w:t>
      </w:r>
      <w:r>
        <w:rPr>
          <w:rFonts w:ascii="Arial" w:cs="Arial" w:eastAsia="Arial" w:hAnsi="Arial"/>
          <w:sz w:val="16"/>
          <w:szCs w:val="16"/>
          <w:b w:val="1"/>
          <w:bCs w:val="1"/>
          <w:color w:val="auto"/>
        </w:rPr>
        <w:t>SEC</w:t>
      </w:r>
      <w:r>
        <w:rPr>
          <w:rFonts w:ascii="Arial" w:cs="Arial" w:eastAsia="Arial" w:hAnsi="Arial"/>
          <w:sz w:val="16"/>
          <w:szCs w:val="16"/>
          <w:color w:val="auto"/>
        </w:rPr>
        <w:t>”), as the case may be, (y) a more recent public announcement by the Company or (3) any other written notice by the Company or the Transfer Agent setting forth the number of shares of Common Stock outstanding (the “</w:t>
      </w:r>
      <w:r>
        <w:rPr>
          <w:rFonts w:ascii="Arial" w:cs="Arial" w:eastAsia="Arial" w:hAnsi="Arial"/>
          <w:sz w:val="16"/>
          <w:szCs w:val="16"/>
          <w:b w:val="1"/>
          <w:bCs w:val="1"/>
          <w:color w:val="auto"/>
        </w:rPr>
        <w:t>Reported Outstanding Share Number</w:t>
      </w:r>
      <w:r>
        <w:rPr>
          <w:rFonts w:ascii="Arial" w:cs="Arial" w:eastAsia="Arial" w:hAnsi="Arial"/>
          <w:sz w:val="16"/>
          <w:szCs w:val="16"/>
          <w:color w:val="auto"/>
        </w:rPr>
        <w:t>”). If the Company receives an Exercise Notice from the Holder at a time when the actual number of outstanding shares of Common Stock is less than the Reported Outstanding Share Number, the Company shall (i) notify the Holder in writing of the number of shares of Common Stock then outstanding and, to the extent that such Exercise Notice would otherwise cause the Holder’s beneficial ownership, as determined pursuant to this Section 1(f), to exceed the Maximum Percentage, the Holder must notify the Company of a reduced number of Warrant Shares to be purchased pursuant to such Exercise Notice (the number of shares by which such purchase is reduced, the “</w:t>
      </w:r>
      <w:r>
        <w:rPr>
          <w:rFonts w:ascii="Arial" w:cs="Arial" w:eastAsia="Arial" w:hAnsi="Arial"/>
          <w:sz w:val="16"/>
          <w:szCs w:val="16"/>
          <w:b w:val="1"/>
          <w:bCs w:val="1"/>
          <w:color w:val="auto"/>
        </w:rPr>
        <w:t>Reduction Shares</w:t>
      </w:r>
      <w:r>
        <w:rPr>
          <w:rFonts w:ascii="Arial" w:cs="Arial" w:eastAsia="Arial" w:hAnsi="Arial"/>
          <w:sz w:val="16"/>
          <w:szCs w:val="16"/>
          <w:color w:val="auto"/>
        </w:rPr>
        <w:t>”) and (ii) as soon as reasonably practicable, the Company shall return to the Holder any exercise price paid by the Holder for the Reduction Shares. For any reason at any time, upon the written or oral request of the Holder, the Company shall within one (1) Business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Warrant, by the Holder and any other Attribution Party since the date as of which the Reported Outstanding Share Number was reported. In the event that the issuance of shares of Common Stock to the Holder upon exercise of this Warrant results in the Holder and the other Attribution Parties being deemed to beneficially own, in the aggregate, more than the Maximum Percentage of the number of outstanding shares of Common Stock (as determined under Section 13(d) of the 1934 Act), the number of shares so issued by which the Holder’s and the other Attribution Parties’ aggregate beneficial ownership exceeds the Maximum Percentage (the “</w:t>
      </w:r>
      <w:r>
        <w:rPr>
          <w:rFonts w:ascii="Arial" w:cs="Arial" w:eastAsia="Arial" w:hAnsi="Arial"/>
          <w:sz w:val="16"/>
          <w:szCs w:val="16"/>
          <w:b w:val="1"/>
          <w:bCs w:val="1"/>
          <w:color w:val="auto"/>
        </w:rPr>
        <w:t>Excess</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shall be deemed null and void and shall be cancelled ab initio, and the Holder shall not have the power to vote or to transfer the Excess Shares. As</w:t>
      </w:r>
      <w:r>
        <w:rPr>
          <w:rFonts w:ascii="Arial" w:cs="Arial" w:eastAsia="Arial" w:hAnsi="Arial"/>
          <w:sz w:val="16"/>
          <w:szCs w:val="16"/>
          <w:b w:val="1"/>
          <w:bCs w:val="1"/>
          <w:color w:val="auto"/>
        </w:rPr>
        <w:t xml:space="preserve"> </w:t>
      </w:r>
      <w:r>
        <w:rPr>
          <w:rFonts w:ascii="Arial" w:cs="Arial" w:eastAsia="Arial" w:hAnsi="Arial"/>
          <w:sz w:val="16"/>
          <w:szCs w:val="16"/>
          <w:color w:val="auto"/>
        </w:rPr>
        <w:t>soon as reasonably practicable after the issuance of the Excess Shares has been deemed null and void, the Company shall return to the Holder the exercise price paid by the Holder for the Excess Shares. For purposes of clarity, the shares of Common Stock issuable pursuant to the terms of this Warrant in excess of the Maximum Percentage shall not be deemed to be beneficially owned by the Holder for any purpose including for purposes of Section 13(d) or Rule 16a-1(a)(1) of the 1934 Act. No prior inability to exercise this Warrant pursuant to this paragraph shall have any effect on the applicability of the provisions of this paragraph with respect to any subsequent determination of exercisability. The provisions of this paragraph shall be construed and implemented in a manner otherwise than in strict conformity with the terms of this Section 1(f) to the extent necessary to correct this paragraph or any portion of this paragraph which may be defective or inconsistent with the intended beneficial ownership limitation contained in this Section 1(f) or to make changes or supplements necessary or desirable to properly give effect to such limitation. The limitation contained in this paragraph may not be waived and shall apply to a successor holder of this Warrant.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 w:name="page18"/>
    <w:bookmarkEnd w:id="17"/>
    <w:p>
      <w:pPr>
        <w:jc w:val="both"/>
        <w:ind w:firstLine="1952"/>
        <w:spacing w:after="0" w:line="284" w:lineRule="auto"/>
        <w:tabs>
          <w:tab w:leader="none" w:pos="2604" w:val="left"/>
        </w:tabs>
        <w:numPr>
          <w:ilvl w:val="1"/>
          <w:numId w:val="15"/>
        </w:numPr>
        <w:rPr>
          <w:rFonts w:ascii="Arial" w:cs="Arial" w:eastAsia="Arial" w:hAnsi="Arial"/>
          <w:sz w:val="16"/>
          <w:szCs w:val="16"/>
          <w:color w:val="auto"/>
        </w:rPr>
      </w:pPr>
      <w:r>
        <w:rPr>
          <w:rFonts w:ascii="Arial" w:cs="Arial" w:eastAsia="Arial" w:hAnsi="Arial"/>
          <w:sz w:val="16"/>
          <w:szCs w:val="16"/>
          <w:u w:val="single" w:color="auto"/>
          <w:color w:val="auto"/>
        </w:rPr>
        <w:t>Insufficient Authorized Shares</w:t>
      </w:r>
      <w:r>
        <w:rPr>
          <w:rFonts w:ascii="Arial" w:cs="Arial" w:eastAsia="Arial" w:hAnsi="Arial"/>
          <w:sz w:val="16"/>
          <w:szCs w:val="16"/>
          <w:color w:val="auto"/>
        </w:rPr>
        <w:t>. If at any time while this Warrant remains outstanding the Company does not have a sufficient number of authorized and unreserved shares of Common Stock to satisfy its obligation to reserve for issuance upon exercise of this Warrant at least a number of shares of Common Stock equal to the number of shares of Common Stock as shall from time to time be necessary to effect the exercise of all of this Warrant then outstanding (the “</w:t>
      </w:r>
      <w:r>
        <w:rPr>
          <w:rFonts w:ascii="Arial" w:cs="Arial" w:eastAsia="Arial" w:hAnsi="Arial"/>
          <w:sz w:val="16"/>
          <w:szCs w:val="16"/>
          <w:b w:val="1"/>
          <w:bCs w:val="1"/>
          <w:color w:val="auto"/>
        </w:rPr>
        <w:t>Required Reserve Amount</w:t>
      </w:r>
      <w:r>
        <w:rPr>
          <w:rFonts w:ascii="Arial" w:cs="Arial" w:eastAsia="Arial" w:hAnsi="Arial"/>
          <w:sz w:val="16"/>
          <w:szCs w:val="16"/>
          <w:color w:val="auto"/>
        </w:rPr>
        <w:t>” and the failure to have such sufficient number of authorized and unreserved shares of Common Stock, an “</w:t>
      </w:r>
      <w:r>
        <w:rPr>
          <w:rFonts w:ascii="Arial" w:cs="Arial" w:eastAsia="Arial" w:hAnsi="Arial"/>
          <w:sz w:val="16"/>
          <w:szCs w:val="16"/>
          <w:b w:val="1"/>
          <w:bCs w:val="1"/>
          <w:color w:val="auto"/>
        </w:rPr>
        <w:t>Authorized Share Failure</w:t>
      </w:r>
      <w:r>
        <w:rPr>
          <w:rFonts w:ascii="Arial" w:cs="Arial" w:eastAsia="Arial" w:hAnsi="Arial"/>
          <w:sz w:val="16"/>
          <w:szCs w:val="16"/>
          <w:color w:val="auto"/>
        </w:rPr>
        <w:t>”), then the Company shall promptly take all action necessary to increase the Company’s authorized shares of Common Stock to an amount sufficient to allow the Company to reserve the Required Reserve Amount for this Warrant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commercially reasonable efforts to solicit its stockholders’ approval of such increase in authorized shares of Common Stock and to cause its board of directors to recommend to the stockholders that they approve such proposal. Notwithstanding the foregoing, if any such time of an Authorized Share Failure, the Company is able to obtain the written consent of a majority of the shares of its issued and outstanding Common Stock to approve the increase in the number of authorized shares of Common Stock without soliciting its stockholders, the Company may satisfy this obligation by obtaining such consent and submitting for filing with the SEC an Information Statement on Schedule 14C. In the event that upon any exercise of this Warrant, the Company does not have sufficient authorized shares to deliver in satisfaction of such exercise, then unless the Holder elects to void such attempted exercise, the Holder may require the Company to pay to the Holder within three (3) Trading Days of the applicable exercise, cash in an amount equal to the product of (i) the quotient determined by dividing (x) the number of Warrant Shares that the Company is unable to deliver pursuant to this Section 1(g), by (y) the total number of Warrant Shares issuable upon exercise of this Warrant (without regard to any limitations or restrictions on exercise of this Warrant) and (ii) the Black Scholes Value; provided, that (x) references to “the day immediately following the public announcement of the applicable Fundamental Transaction” in the definition of “Black Scholes Value” shall instead refer to “the date the Holder exercises this Warrant and the Company cannot deliver the required number of Warrant Shares because of an Authorized Share Failure” and (y) clause (iii) of the definition of “Black Scholes Value” shall instead refer to “the underlying price per share used in such calculation shall be the highest Weighted Average Price during the period beginning on the date of the applicable date of exercise and the date that the Company makes the applicable cash payment.”</w:t>
      </w:r>
    </w:p>
    <w:p>
      <w:pPr>
        <w:spacing w:after="0" w:line="176" w:lineRule="exact"/>
        <w:rPr>
          <w:rFonts w:ascii="Arial" w:cs="Arial" w:eastAsia="Arial" w:hAnsi="Arial"/>
          <w:sz w:val="16"/>
          <w:szCs w:val="16"/>
          <w:color w:val="auto"/>
        </w:rPr>
      </w:pPr>
    </w:p>
    <w:p>
      <w:pPr>
        <w:ind w:firstLine="1304"/>
        <w:spacing w:after="0" w:line="277" w:lineRule="auto"/>
        <w:tabs>
          <w:tab w:leader="none" w:pos="1921"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ADJUSTMENT OF EXERCISE PRICE AND NUMBER OF WARRANT SHARES</w:t>
      </w:r>
      <w:r>
        <w:rPr>
          <w:rFonts w:ascii="Arial" w:cs="Arial" w:eastAsia="Arial" w:hAnsi="Arial"/>
          <w:sz w:val="18"/>
          <w:szCs w:val="18"/>
          <w:color w:val="auto"/>
        </w:rPr>
        <w:t>. The Exercise Price and the number of Warrant Shares shall be adjusted from time to time as follows:</w:t>
      </w:r>
    </w:p>
    <w:p>
      <w:pPr>
        <w:spacing w:after="0" w:line="170" w:lineRule="exact"/>
        <w:rPr>
          <w:rFonts w:ascii="Arial" w:cs="Arial" w:eastAsia="Arial" w:hAnsi="Arial"/>
          <w:sz w:val="18"/>
          <w:szCs w:val="18"/>
          <w:color w:val="auto"/>
        </w:rPr>
      </w:pPr>
    </w:p>
    <w:p>
      <w:pPr>
        <w:ind w:left="2460" w:hanging="508"/>
        <w:spacing w:after="0"/>
        <w:tabs>
          <w:tab w:leader="none" w:pos="2460"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[Reserved]</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72" w:lineRule="auto"/>
        <w:tabs>
          <w:tab w:leader="none" w:pos="2523" w:val="left"/>
        </w:tabs>
        <w:numPr>
          <w:ilvl w:val="1"/>
          <w:numId w:val="16"/>
        </w:numPr>
        <w:rPr>
          <w:rFonts w:ascii="Arial" w:cs="Arial" w:eastAsia="Arial" w:hAnsi="Arial"/>
          <w:sz w:val="17"/>
          <w:szCs w:val="17"/>
          <w:color w:val="auto"/>
        </w:rPr>
      </w:pPr>
      <w:r>
        <w:rPr>
          <w:rFonts w:ascii="Arial" w:cs="Arial" w:eastAsia="Arial" w:hAnsi="Arial"/>
          <w:sz w:val="17"/>
          <w:szCs w:val="17"/>
          <w:u w:val="single" w:color="auto"/>
          <w:color w:val="auto"/>
        </w:rPr>
        <w:t>Adjustment upon Subdivision or Combination of Shares of Common Stock</w:t>
      </w:r>
      <w:r>
        <w:rPr>
          <w:rFonts w:ascii="Arial" w:cs="Arial" w:eastAsia="Arial" w:hAnsi="Arial"/>
          <w:sz w:val="17"/>
          <w:szCs w:val="17"/>
          <w:color w:val="auto"/>
        </w:rPr>
        <w:t>. If the Company at any time on or after the Issuance Date subdivides (by any stock split, stock dividend, recapitalization or otherwise) one or more classes of its outstanding shares of Common Stock into a greater number of shares, the Exercise Price in effect immediately prior to such subdivision will be proportionately reduced and the number of Warrant Shares will be proportionately increased. If the Company at any time on or after the Issuance Date combines (by combination, reverse stock split or otherwise) one or more classes of its outstanding shares of Common Stock into a smaller number of shares, the Exercise Price in effect immediately prior to such combination will be proportionately increased and the number of Warrant Shares will be proportionately decreased. Any adjustment under this Section 2(b) shall become effective at the close of business on the date the subdivision or combination becomes effective.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 w:name="page19"/>
    <w:bookmarkEnd w:id="18"/>
    <w:p>
      <w:pPr>
        <w:jc w:val="both"/>
        <w:ind w:firstLine="1304"/>
        <w:spacing w:after="0" w:line="287" w:lineRule="auto"/>
        <w:tabs>
          <w:tab w:leader="none" w:pos="1840"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RIGHTS UPON DISTRIBUTION OF ASSETS</w:t>
      </w:r>
      <w:r>
        <w:rPr>
          <w:rFonts w:ascii="Arial" w:cs="Arial" w:eastAsia="Arial" w:hAnsi="Arial"/>
          <w:sz w:val="16"/>
          <w:szCs w:val="16"/>
          <w:color w:val="auto"/>
        </w:rPr>
        <w:t>. If the Company shall declare or make any dividend or other distribution of its assets (or rights to acquire its assets) to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Arial" w:cs="Arial" w:eastAsia="Arial" w:hAnsi="Arial"/>
          <w:sz w:val="16"/>
          <w:szCs w:val="16"/>
          <w:b w:val="1"/>
          <w:bCs w:val="1"/>
          <w:color w:val="auto"/>
        </w:rPr>
        <w:t>Distribution</w:t>
      </w:r>
      <w:r>
        <w:rPr>
          <w:rFonts w:ascii="Arial" w:cs="Arial" w:eastAsia="Arial" w:hAnsi="Arial"/>
          <w:sz w:val="16"/>
          <w:szCs w:val="16"/>
          <w:color w:val="auto"/>
        </w:rPr>
        <w:t>”), at any time after the issuance of this Warrant, then, in each such case, the Holder shall be entitled, and the Company shall reserve the Holder’s pro rata share of the Distribution pending complete exercise of this Warrant, to participate in such Distribution to the same extent that the Holder would have participated therein if the Holder had held the number of shares of Common Stock acquirable upon complete exercise of this Warrant (without regard to any limitations or restrictions on exercise of this Warrant, including without limitation, the Maximum Percentage)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w:t>
      </w:r>
    </w:p>
    <w:p>
      <w:pPr>
        <w:spacing w:after="0" w:line="167" w:lineRule="exact"/>
        <w:rPr>
          <w:rFonts w:ascii="Arial" w:cs="Arial" w:eastAsia="Arial" w:hAnsi="Arial"/>
          <w:sz w:val="16"/>
          <w:szCs w:val="16"/>
          <w:color w:val="auto"/>
        </w:rPr>
      </w:pPr>
    </w:p>
    <w:p>
      <w:pPr>
        <w:ind w:left="1760" w:hanging="456"/>
        <w:spacing w:after="0"/>
        <w:tabs>
          <w:tab w:leader="none" w:pos="176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PURCHASE RIGHTS; FUNDAMENTAL TRANSACTIONS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87" w:lineRule="auto"/>
        <w:tabs>
          <w:tab w:leader="none" w:pos="2458" w:val="left"/>
        </w:tabs>
        <w:numPr>
          <w:ilvl w:val="1"/>
          <w:numId w:val="17"/>
        </w:numPr>
        <w:rPr>
          <w:rFonts w:ascii="Arial" w:cs="Arial" w:eastAsia="Arial" w:hAnsi="Arial"/>
          <w:sz w:val="16"/>
          <w:szCs w:val="16"/>
          <w:color w:val="auto"/>
        </w:rPr>
      </w:pPr>
      <w:r>
        <w:rPr>
          <w:rFonts w:ascii="Arial" w:cs="Arial" w:eastAsia="Arial" w:hAnsi="Arial"/>
          <w:sz w:val="16"/>
          <w:szCs w:val="16"/>
          <w:u w:val="single" w:color="auto"/>
          <w:color w:val="auto"/>
        </w:rPr>
        <w:t>Purchase Rights</w:t>
      </w:r>
      <w:r>
        <w:rPr>
          <w:rFonts w:ascii="Arial" w:cs="Arial" w:eastAsia="Arial" w:hAnsi="Arial"/>
          <w:sz w:val="16"/>
          <w:szCs w:val="16"/>
          <w:color w:val="auto"/>
        </w:rPr>
        <w:t>. In addition to any adjustments pursuant to Section 2 above, if at any time the Company grants, issues or sells any Options, Convertible Securities or rights to purchase stock, warrants, securities or other property pro rata to all of the record holders of any class of Common Stock (the “</w:t>
      </w:r>
      <w:r>
        <w:rPr>
          <w:rFonts w:ascii="Arial" w:cs="Arial" w:eastAsia="Arial" w:hAnsi="Arial"/>
          <w:sz w:val="16"/>
          <w:szCs w:val="16"/>
          <w:b w:val="1"/>
          <w:bCs w:val="1"/>
          <w:color w:val="auto"/>
        </w:rPr>
        <w:t>Purchase Rights</w:t>
      </w:r>
      <w:r>
        <w:rPr>
          <w:rFonts w:ascii="Arial" w:cs="Arial" w:eastAsia="Arial" w:hAnsi="Arial"/>
          <w:sz w:val="16"/>
          <w:szCs w:val="16"/>
          <w:color w:val="auto"/>
        </w:rPr>
        <w:t>”), then the Holder will be entitled, and the Company shall reserve the Holder’s pro rata share of the Purchase Rights pending complete exercise of this Warrant, to acquire, upon the terms applicable to such Purchase Rights, the aggregate Purchase Rights which the Holder could have acquired if the Holder had held the number of shares of Common Stock acquirable upon complete exercise of this Warrant (without regard to any limitations or restrictions on exercise of this Warrant, including without limitation, the Maximum Percentage)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w:t>
      </w:r>
    </w:p>
    <w:p>
      <w:pPr>
        <w:spacing w:after="0" w:line="38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jc w:val="both"/>
        <w:ind w:firstLine="1952"/>
        <w:spacing w:after="0" w:line="287" w:lineRule="auto"/>
        <w:tabs>
          <w:tab w:leader="none" w:pos="2469"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Fundamental Transactions</w:t>
      </w:r>
      <w:r>
        <w:rPr>
          <w:rFonts w:ascii="Arial" w:cs="Arial" w:eastAsia="Arial" w:hAnsi="Arial"/>
          <w:sz w:val="16"/>
          <w:szCs w:val="16"/>
          <w:color w:val="auto"/>
        </w:rPr>
        <w:t>. If, at any time while this Warrant is outstanding, (i) the Company, directly or indirectly, in one or more related transactions effects any merger or consolidation of the Company with or into another Person, (ii) the Company, directly or indirectly, effects any sale, lease, license, assignment, transfer, conveyance or other disposition of all or substantially all of its assets in one or a series of related transactions,</w:t>
      </w:r>
    </w:p>
    <w:p>
      <w:pPr>
        <w:spacing w:after="0" w:line="2" w:lineRule="exact"/>
        <w:rPr>
          <w:rFonts w:ascii="Arial" w:cs="Arial" w:eastAsia="Arial" w:hAnsi="Arial"/>
          <w:sz w:val="16"/>
          <w:szCs w:val="16"/>
          <w:color w:val="auto"/>
        </w:rPr>
      </w:pPr>
    </w:p>
    <w:p>
      <w:pPr>
        <w:jc w:val="both"/>
        <w:ind w:firstLine="8"/>
        <w:spacing w:after="0" w:line="282" w:lineRule="auto"/>
        <w:tabs>
          <w:tab w:leader="none" w:pos="334" w:val="left"/>
        </w:tabs>
        <w:numPr>
          <w:ilvl w:val="0"/>
          <w:numId w:val="19"/>
        </w:numPr>
        <w:rPr>
          <w:rFonts w:ascii="Arial" w:cs="Arial" w:eastAsia="Arial" w:hAnsi="Arial"/>
          <w:sz w:val="16"/>
          <w:szCs w:val="16"/>
          <w:color w:val="auto"/>
        </w:rPr>
      </w:pPr>
      <w:r>
        <w:rPr>
          <w:rFonts w:ascii="Arial" w:cs="Arial" w:eastAsia="Arial" w:hAnsi="Arial"/>
          <w:sz w:val="16"/>
          <w:szCs w:val="16"/>
          <w:color w:val="auto"/>
        </w:rPr>
        <w:t>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6"/>
          <w:szCs w:val="16"/>
          <w:b w:val="1"/>
          <w:bCs w:val="1"/>
          <w:color w:val="auto"/>
        </w:rPr>
        <w:t>Fundamental Transaction</w:t>
      </w:r>
      <w:r>
        <w:rPr>
          <w:rFonts w:ascii="Arial" w:cs="Arial" w:eastAsia="Arial" w:hAnsi="Arial"/>
          <w:sz w:val="16"/>
          <w:szCs w:val="16"/>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6"/>
          <w:szCs w:val="16"/>
          <w:b w:val="1"/>
          <w:bCs w:val="1"/>
          <w:color w:val="auto"/>
        </w:rPr>
        <w:t>Alternate Consideration</w:t>
      </w:r>
      <w:r>
        <w:rPr>
          <w:rFonts w:ascii="Arial" w:cs="Arial" w:eastAsia="Arial" w:hAnsi="Arial"/>
          <w:sz w:val="16"/>
          <w:szCs w:val="16"/>
          <w:color w:val="auto"/>
        </w:rPr>
        <w:t xml:space="preserve">”)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Notwithstanding anything to the contrary, in the event of a Fundamental Transaction, the Company or any Successor Entity (as defined below) shall, at the Holder’s option, exercisable at any time concurrently with, or within 30 days after, the consummation of the Fundamental Transaction, purchase this Warrant from the Holder by paying to the Holder an amount of cash equal to the Black Scholes Value of the remaining unexercised portion of this Warrant on the date of the consummation of such Fundamental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until the first anniversary of the Issuance Date, the Black Scholes Value of the remaining unexercised portion of this Warrant on the date of the consummation of such Fundamental Transaction shall be capped at the initial Exercise Price of this Warrant;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if the Fundamental Transaction is not within the Company’s control, including not approved by the Company’s Board of Directors or the consideration is not in all stock of the Successor Entity, Holder shall have the option to require the Company or any Successor Entity to purchase its Warrant for the Black Scholes Value of the unexercised portion of this Warrant as of the date of consummation of such Fundamental Transaction using the same type or form of consideration (and in the same proportion) that is being offered and paid to the holders of Common Stock of the Company in connection with the Fundamental Transaction, whether that consideration be in the form of cash, stock or any combination thereof, or whether the holders of Common Stock are given the choice to receive from among alternative forms of consideration in connection with the Fundamental Transaction. The Company shall cause any successor entity in a Fundamental Transaction in which the Company is not the survivor (the “</w:t>
      </w:r>
      <w:r>
        <w:rPr>
          <w:rFonts w:ascii="Arial" w:cs="Arial" w:eastAsia="Arial" w:hAnsi="Arial"/>
          <w:sz w:val="16"/>
          <w:szCs w:val="16"/>
          <w:b w:val="1"/>
          <w:bCs w:val="1"/>
          <w:color w:val="auto"/>
        </w:rPr>
        <w:t>Successor Entity</w:t>
      </w:r>
      <w:r>
        <w:rPr>
          <w:rFonts w:ascii="Arial" w:cs="Arial" w:eastAsia="Arial" w:hAnsi="Arial"/>
          <w:sz w:val="16"/>
          <w:szCs w:val="16"/>
          <w:color w:val="auto"/>
        </w:rPr>
        <w:t>”) to assume in writing all of the obligations of the Company under this Warrant and the Purchase Agreement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and the Purchase Agreement referring to the “Company” shall refer instead to the Successor Entity), and may exercise every right and power of the Company and shall assume all of the obligations of the Company under this Warrant and the Purchase Agreement with the same effect as if such Successor Entity had been named as the Company herein.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 w:name="page21"/>
    <w:bookmarkEnd w:id="20"/>
    <w:p>
      <w:pPr>
        <w:jc w:val="both"/>
        <w:ind w:firstLine="1304"/>
        <w:spacing w:after="0" w:line="269" w:lineRule="auto"/>
        <w:tabs>
          <w:tab w:leader="none" w:pos="1759"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NONCIRCUMVENTION</w:t>
      </w:r>
      <w:r>
        <w:rPr>
          <w:rFonts w:ascii="Arial" w:cs="Arial" w:eastAsia="Arial" w:hAnsi="Arial"/>
          <w:sz w:val="17"/>
          <w:szCs w:val="17"/>
          <w:color w:val="auto"/>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Warrant, and will at all times in good faith carry out all of the provisions of this Warrant and take all action as may be required to protect the rights of the Holder. Without limiting the generality of the foregoing, the Company (i) shall not increase the par value of any shares of Common Stock receivable upon the exercise of this Warrant above the Exercise Price then in effect, (ii) shall take all such actions as may be necessary or appropriate in order that the Company may validly and legally issue fully paid and nonassessable shares of Common Stock upon the proper exercise of this Warrant by the Holder, and (iii) shall, so long as this Warrant is outstanding, take all action necessary to reserve and keep available out of its authorized and unissued shares of Common Stock, solely for the purpose of effecting the exercise of this Warrant, the number of shares of Common Stock as shall from time to time be necessary to effect the exercise of this Warrant (without regard to any limitations on exercise).</w:t>
      </w:r>
    </w:p>
    <w:p>
      <w:pPr>
        <w:spacing w:after="0" w:line="185" w:lineRule="exact"/>
        <w:rPr>
          <w:rFonts w:ascii="Arial" w:cs="Arial" w:eastAsia="Arial" w:hAnsi="Arial"/>
          <w:sz w:val="17"/>
          <w:szCs w:val="17"/>
          <w:color w:val="auto"/>
        </w:rPr>
      </w:pPr>
    </w:p>
    <w:p>
      <w:pPr>
        <w:jc w:val="both"/>
        <w:ind w:firstLine="1304"/>
        <w:spacing w:after="0" w:line="288" w:lineRule="auto"/>
        <w:tabs>
          <w:tab w:leader="none" w:pos="1786"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WARRANT HOLDER NOT DEEMED A STOCKHOLDER</w:t>
      </w:r>
      <w:r>
        <w:rPr>
          <w:rFonts w:ascii="Arial" w:cs="Arial" w:eastAsia="Arial" w:hAnsi="Arial"/>
          <w:sz w:val="16"/>
          <w:szCs w:val="16"/>
          <w:color w:val="auto"/>
        </w:rPr>
        <w:t>. Except as otherwise specifically provided herein, the Holder, solely in such Person’s capacity as a holder of this Warrant, shall not be entitled to vote or receive dividends or be deemed the holder of share capital of the Company for any purpose, nor shall anything contained in this Warrant be construed to confer upon the Holder, solely in such Person’s capacity as the Holder of this Warrant, any of the rights of a stockholder of the Company or any right to vote, give or withhold consent to any corporate action (whether any reorganization, issue of stock, reclassification of stock, consolidation, merger, conveyance or otherwise), receive notice of meetings, receive dividends or subscription rights, or otherwise, prior to the issuance to the Holder of the Warrant Shares which such Person is then entitled to receive upon the due exercise of this Warrant. In addition, nothing contained in this Warrant shall be construed as imposing any liabilities on the Holder to purchase any securities (upon exercise of this Warrant or otherwise) or as a stockholder of the Company, whether such liabilities are asserted by the Company or by creditors of the Company. Notwithstanding this Section 6, the Company shall provide the Holder with copies of the same notices and other information given to the stockholders of the Company generally, contemporaneously with the giving thereof to the stockholders.</w:t>
      </w:r>
    </w:p>
    <w:p>
      <w:pPr>
        <w:spacing w:after="0" w:line="168" w:lineRule="exact"/>
        <w:rPr>
          <w:rFonts w:ascii="Arial" w:cs="Arial" w:eastAsia="Arial" w:hAnsi="Arial"/>
          <w:sz w:val="16"/>
          <w:szCs w:val="16"/>
          <w:color w:val="auto"/>
        </w:rPr>
      </w:pPr>
    </w:p>
    <w:p>
      <w:pPr>
        <w:ind w:left="1760" w:hanging="456"/>
        <w:spacing w:after="0"/>
        <w:tabs>
          <w:tab w:leader="none" w:pos="17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REISSUANCE OF WARRANTS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52"/>
        <w:spacing w:after="0" w:line="257" w:lineRule="auto"/>
        <w:tabs>
          <w:tab w:leader="none" w:pos="2647" w:val="left"/>
        </w:tabs>
        <w:numPr>
          <w:ilvl w:val="1"/>
          <w:numId w:val="20"/>
        </w:numPr>
        <w:rPr>
          <w:rFonts w:ascii="Arial" w:cs="Arial" w:eastAsia="Arial" w:hAnsi="Arial"/>
          <w:sz w:val="18"/>
          <w:szCs w:val="18"/>
          <w:color w:val="auto"/>
        </w:rPr>
      </w:pPr>
      <w:r>
        <w:rPr>
          <w:rFonts w:ascii="Arial" w:cs="Arial" w:eastAsia="Arial" w:hAnsi="Arial"/>
          <w:sz w:val="18"/>
          <w:szCs w:val="18"/>
          <w:u w:val="single" w:color="auto"/>
          <w:color w:val="auto"/>
        </w:rPr>
        <w:t>Transfer of Warrant</w:t>
      </w:r>
      <w:r>
        <w:rPr>
          <w:rFonts w:ascii="Arial" w:cs="Arial" w:eastAsia="Arial" w:hAnsi="Arial"/>
          <w:sz w:val="18"/>
          <w:szCs w:val="18"/>
          <w:color w:val="auto"/>
        </w:rPr>
        <w:t>. If this Warrant is to be transferred, the Holder shall surrender this Warrant to the Company, whereupon the Company will forthwith issue and deliver upon the order of the Holder a new Warrant (in accordance with Section 7(d)), registered as the Holder may request, representing the right to purchase the number of Warrant Shares being transferred by the Holder and, if less than the total number of Warrant Shares then underlying this Warrant is being transferred, a new Warrant (in accordance with Section 7(d)) to the Holder representing the right to purchase the number of Warrant Shares not being transferred.</w:t>
      </w:r>
    </w:p>
    <w:p>
      <w:pPr>
        <w:spacing w:after="0" w:line="187" w:lineRule="exact"/>
        <w:rPr>
          <w:rFonts w:ascii="Arial" w:cs="Arial" w:eastAsia="Arial" w:hAnsi="Arial"/>
          <w:sz w:val="18"/>
          <w:szCs w:val="18"/>
          <w:color w:val="auto"/>
        </w:rPr>
      </w:pPr>
    </w:p>
    <w:p>
      <w:pPr>
        <w:jc w:val="both"/>
        <w:ind w:firstLine="1952"/>
        <w:spacing w:after="0" w:line="301" w:lineRule="auto"/>
        <w:tabs>
          <w:tab w:leader="none" w:pos="2496"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Lost, Stolen or Mutilated Warrant</w:t>
      </w:r>
      <w:r>
        <w:rPr>
          <w:rFonts w:ascii="Arial" w:cs="Arial" w:eastAsia="Arial" w:hAnsi="Arial"/>
          <w:sz w:val="16"/>
          <w:szCs w:val="16"/>
          <w:color w:val="auto"/>
        </w:rPr>
        <w:t>. Upon receipt by the Company of evidence reasonably satisfactory to the Company of the loss, theft, destruction or mutilation of this Warrant, and, in the case of loss, theft or destruction, of any indemnification undertaking by the Holder to the Company in customary form and, in the case of mutilation, upon surrender and cancellation of this Warrant, the Company shall execute and deliver to the Holder a new Warrant (in accordance with Section 7(d)) representing the right to purchase the Warrant Shares then underlying this Warrant.</w:t>
      </w:r>
    </w:p>
    <w:p>
      <w:pPr>
        <w:spacing w:after="0" w:line="157" w:lineRule="exact"/>
        <w:rPr>
          <w:rFonts w:ascii="Arial" w:cs="Arial" w:eastAsia="Arial" w:hAnsi="Arial"/>
          <w:sz w:val="16"/>
          <w:szCs w:val="16"/>
          <w:color w:val="auto"/>
        </w:rPr>
      </w:pPr>
    </w:p>
    <w:p>
      <w:pPr>
        <w:jc w:val="both"/>
        <w:ind w:firstLine="1952"/>
        <w:spacing w:after="0" w:line="301" w:lineRule="auto"/>
        <w:tabs>
          <w:tab w:leader="none" w:pos="2607"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Exchangeable for Multiple Warrants</w:t>
      </w:r>
      <w:r>
        <w:rPr>
          <w:rFonts w:ascii="Arial" w:cs="Arial" w:eastAsia="Arial" w:hAnsi="Arial"/>
          <w:sz w:val="16"/>
          <w:szCs w:val="16"/>
          <w:color w:val="auto"/>
        </w:rPr>
        <w:t xml:space="preserve">. This Warrant is exchangeable, upon the surrender hereof by the Holder at the principal office of the Company, for a new Warrant or Warrants (in accordance with Section 7(d)) representing in the aggregate the right to purchase the number of Warrant Shares then underlying this Warrant, and each such new Warrant will represent the right to purchase such portion of such Warrant Shares as is designated by the Holder at the time of such surrender;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no Warrant for fractional Warrant Shares shall be given.</w:t>
      </w:r>
    </w:p>
    <w:p>
      <w:pPr>
        <w:spacing w:after="0" w:line="157" w:lineRule="exact"/>
        <w:rPr>
          <w:rFonts w:ascii="Arial" w:cs="Arial" w:eastAsia="Arial" w:hAnsi="Arial"/>
          <w:sz w:val="16"/>
          <w:szCs w:val="16"/>
          <w:color w:val="auto"/>
        </w:rPr>
      </w:pPr>
    </w:p>
    <w:p>
      <w:pPr>
        <w:jc w:val="both"/>
        <w:ind w:firstLine="1952"/>
        <w:spacing w:after="0" w:line="293" w:lineRule="auto"/>
        <w:tabs>
          <w:tab w:leader="none" w:pos="2590" w:val="left"/>
        </w:tabs>
        <w:numPr>
          <w:ilvl w:val="1"/>
          <w:numId w:val="20"/>
        </w:numPr>
        <w:rPr>
          <w:rFonts w:ascii="Arial" w:cs="Arial" w:eastAsia="Arial" w:hAnsi="Arial"/>
          <w:sz w:val="16"/>
          <w:szCs w:val="16"/>
          <w:color w:val="auto"/>
        </w:rPr>
      </w:pPr>
      <w:r>
        <w:rPr>
          <w:rFonts w:ascii="Arial" w:cs="Arial" w:eastAsia="Arial" w:hAnsi="Arial"/>
          <w:sz w:val="16"/>
          <w:szCs w:val="16"/>
          <w:u w:val="single" w:color="auto"/>
          <w:color w:val="auto"/>
        </w:rPr>
        <w:t>Issuance of New Warrants</w:t>
      </w:r>
      <w:r>
        <w:rPr>
          <w:rFonts w:ascii="Arial" w:cs="Arial" w:eastAsia="Arial" w:hAnsi="Arial"/>
          <w:sz w:val="16"/>
          <w:szCs w:val="16"/>
          <w:color w:val="auto"/>
        </w:rPr>
        <w:t>. Whenever the Company is required to issue a new Warrant pursuant to the terms of this Warrant, such new Warrant (i) shall be of like tenor with this Warrant, (ii) shall represent, as indicated on the face of such new Warrant, the right to purchase the Warrant Shares then underlying this Warrant (or in the case of a new Warrant being issued pursuant to Section 7(a) or Section 7(c), the Warrant Shares designated by the Holder which, when added to the number of shares of Common Stock underlying the other new Warrants issued in connection with such issuance, does not exceed the number of Warrant Shares then underlying this Warrant), (iii) shall have an issuance date, as indicated on the face of such new Warrant which is the same as the Issuance Date, and (iv) shall have the same rights and conditions as this Warrant.</w:t>
      </w:r>
    </w:p>
    <w:p>
      <w:pPr>
        <w:spacing w:after="0" w:line="37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 w:name="page22"/>
    <w:bookmarkEnd w:id="21"/>
    <w:p>
      <w:pPr>
        <w:jc w:val="both"/>
        <w:ind w:firstLine="1304"/>
        <w:spacing w:after="0" w:line="272" w:lineRule="auto"/>
        <w:tabs>
          <w:tab w:leader="none" w:pos="1854"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Whenever notice is required to be given under this Warrant, unless otherwise provided herein, such notice shall be given in writing and, unless otherwise specified herein, shall be (i) personally served, (ii) deposited in the mail, registered or certified, return receipt requested, postage prepaid, (iii) delivered by reputable air courier service with charges prepaid, or (iv) transmitted by hand delivery, telegram, or electronic mail,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or (c) on the date sent by e-mail of a PDF document (with confirmation of transmission) if sent during normal business hours of the recipient on a Business Day, and on the next Business Day if sent after normal business hours of the recipient on a non-Business Day, whichever shall first occur. The addresses for such communications shall be: (i) if to Borrower, to: XpresSpa Group, Inc., 254 West 31</w:t>
      </w:r>
      <w:r>
        <w:rPr>
          <w:rFonts w:ascii="Arial" w:cs="Arial" w:eastAsia="Arial" w:hAnsi="Arial"/>
          <w:sz w:val="26"/>
          <w:szCs w:val="26"/>
          <w:color w:val="auto"/>
          <w:vertAlign w:val="superscript"/>
        </w:rPr>
        <w:t>st</w:t>
      </w:r>
      <w:r>
        <w:rPr>
          <w:rFonts w:ascii="Arial" w:cs="Arial" w:eastAsia="Arial" w:hAnsi="Arial"/>
          <w:sz w:val="16"/>
          <w:szCs w:val="16"/>
          <w:color w:val="auto"/>
        </w:rPr>
        <w:t xml:space="preserve"> Street, 11th Floor, Attn: Douglas Satzman, CEO, email: notices@xpresspagroup.com, with a copy by</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email only to: Mintz, Levin, Cohn, Ferris, Glovsky and Popeo, P.C., Chrysler Center, 666 3</w:t>
      </w:r>
      <w:r>
        <w:rPr>
          <w:rFonts w:ascii="Arial" w:cs="Arial" w:eastAsia="Arial" w:hAnsi="Arial"/>
          <w:sz w:val="26"/>
          <w:szCs w:val="26"/>
          <w:color w:val="auto"/>
          <w:vertAlign w:val="superscript"/>
        </w:rPr>
        <w:t>rd</w:t>
      </w:r>
      <w:r>
        <w:rPr>
          <w:rFonts w:ascii="Arial" w:cs="Arial" w:eastAsia="Arial" w:hAnsi="Arial"/>
          <w:sz w:val="16"/>
          <w:szCs w:val="16"/>
          <w:color w:val="auto"/>
        </w:rPr>
        <w:t xml:space="preserve"> Avenue, New York, NY 10017, Attn: Kenneth R. Koch, Esq., email: krkoch@mintz.com, and (ii) if to the Holder, to the contact and at the address as set forth on signature pages hereto. The Company shall provide the Holder with prompt written notice of all actions taken pursuant to this Warrant, including in reasonable detail a description of such action and the reason therefor. Without limiting the generality of the foregoing, the Company will give written notice to the Holder (i) immediately upon any adjustment of the Exercise Price, setting forth in reasonable detail, and certifying, the calculation of such adjustment and (ii) at least five (5)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in each case that such information shall be made known to the public prior to or in conjunction with such notice being provided to the Holder.</w:t>
      </w:r>
    </w:p>
    <w:p>
      <w:pPr>
        <w:spacing w:after="0" w:line="178" w:lineRule="exact"/>
        <w:rPr>
          <w:sz w:val="20"/>
          <w:szCs w:val="20"/>
          <w:color w:val="auto"/>
        </w:rPr>
      </w:pPr>
    </w:p>
    <w:p>
      <w:pPr>
        <w:jc w:val="both"/>
        <w:ind w:firstLine="1304"/>
        <w:spacing w:after="0" w:line="259" w:lineRule="auto"/>
        <w:tabs>
          <w:tab w:leader="none" w:pos="180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AMENDMENT AND WAIVER</w:t>
      </w:r>
      <w:r>
        <w:rPr>
          <w:rFonts w:ascii="Arial" w:cs="Arial" w:eastAsia="Arial" w:hAnsi="Arial"/>
          <w:sz w:val="18"/>
          <w:szCs w:val="18"/>
          <w:color w:val="auto"/>
        </w:rPr>
        <w:t>. Except as otherwise provided herein, the provisions of this Warrant may be amended or waived and the Company may take any action herein prohibited, or omit to perform any act herein required to be performed by it, only if the Company has obtained the written consent of the Holder, and with respect to any amendment, the amendment is in writing and signed by the Company, except that the Holder may waive the Company’s performance hereunder or provide consent as to only the Holder.</w:t>
      </w:r>
    </w:p>
    <w:p>
      <w:pPr>
        <w:spacing w:after="0" w:line="186" w:lineRule="exact"/>
        <w:rPr>
          <w:rFonts w:ascii="Arial" w:cs="Arial" w:eastAsia="Arial" w:hAnsi="Arial"/>
          <w:sz w:val="18"/>
          <w:szCs w:val="18"/>
          <w:color w:val="auto"/>
        </w:rPr>
      </w:pPr>
    </w:p>
    <w:p>
      <w:pPr>
        <w:jc w:val="both"/>
        <w:ind w:firstLine="1304"/>
        <w:spacing w:after="0" w:line="283" w:lineRule="auto"/>
        <w:tabs>
          <w:tab w:leader="none" w:pos="2052" w:val="left"/>
        </w:tabs>
        <w:numPr>
          <w:ilvl w:val="0"/>
          <w:numId w:val="22"/>
        </w:numPr>
        <w:rPr>
          <w:rFonts w:ascii="Arial" w:cs="Arial" w:eastAsia="Arial" w:hAnsi="Arial"/>
          <w:sz w:val="16"/>
          <w:szCs w:val="16"/>
          <w:color w:val="auto"/>
        </w:rPr>
      </w:pPr>
      <w:r>
        <w:rPr>
          <w:rFonts w:ascii="Arial" w:cs="Arial" w:eastAsia="Arial" w:hAnsi="Arial"/>
          <w:sz w:val="16"/>
          <w:szCs w:val="16"/>
          <w:u w:val="single" w:color="auto"/>
          <w:color w:val="auto"/>
        </w:rPr>
        <w:t>GOVERNING LAW; JURISDICTION; JURY TRIAL</w:t>
      </w:r>
      <w:r>
        <w:rPr>
          <w:rFonts w:ascii="Arial" w:cs="Arial" w:eastAsia="Arial" w:hAnsi="Arial"/>
          <w:sz w:val="16"/>
          <w:szCs w:val="16"/>
          <w:color w:val="auto"/>
        </w:rPr>
        <w:t xml:space="preserve">. This Warrant shall be governed by and construed and enforced in accordance with, and all questions concerning the construction, validity, interpretation and performance of this Warrant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in Section 8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6"/>
          <w:szCs w:val="16"/>
          <w:b w:val="1"/>
          <w:bCs w:val="1"/>
          <w:color w:val="auto"/>
        </w:rPr>
        <w:t>THE COMPANY HEREBY IRREVOCABLY WAIVES ANY RIGHT IT MAY HAVE, AND AGREES NOT TO REQUEST, A JURY</w:t>
      </w:r>
    </w:p>
    <w:p>
      <w:pPr>
        <w:spacing w:after="0" w:line="1" w:lineRule="exact"/>
        <w:rPr>
          <w:rFonts w:ascii="Arial" w:cs="Arial" w:eastAsia="Arial" w:hAnsi="Arial"/>
          <w:sz w:val="16"/>
          <w:szCs w:val="16"/>
          <w:color w:val="auto"/>
        </w:rPr>
      </w:pPr>
    </w:p>
    <w:p>
      <w:pPr>
        <w:ind w:right="20"/>
        <w:spacing w:after="0" w:line="260" w:lineRule="auto"/>
        <w:rPr>
          <w:rFonts w:ascii="Arial" w:cs="Arial" w:eastAsia="Arial" w:hAnsi="Arial"/>
          <w:sz w:val="16"/>
          <w:szCs w:val="16"/>
          <w:color w:val="auto"/>
        </w:rPr>
      </w:pPr>
      <w:r>
        <w:rPr>
          <w:rFonts w:ascii="Arial" w:cs="Arial" w:eastAsia="Arial" w:hAnsi="Arial"/>
          <w:sz w:val="18"/>
          <w:szCs w:val="18"/>
          <w:b w:val="1"/>
          <w:bCs w:val="1"/>
          <w:color w:val="auto"/>
        </w:rPr>
        <w:t>TRIAL FOR THE ADJUDICATION OF ANY DISPUTE HEREUNDER OR IN CONNECTION WITH OR ARISING OUT OF THIS WARRANT OR ANY TRANSACTION CONTEMPLATED HEREBY.</w:t>
      </w:r>
    </w:p>
    <w:p>
      <w:pPr>
        <w:spacing w:after="0" w:line="39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 w:name="page23"/>
    <w:bookmarkEnd w:id="22"/>
    <w:p>
      <w:pPr>
        <w:jc w:val="both"/>
        <w:ind w:firstLine="1304"/>
        <w:spacing w:after="0" w:line="263" w:lineRule="auto"/>
        <w:tabs>
          <w:tab w:leader="none" w:pos="189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CONSTRUCTION; HEADINGS</w:t>
      </w:r>
      <w:r>
        <w:rPr>
          <w:rFonts w:ascii="Arial" w:cs="Arial" w:eastAsia="Arial" w:hAnsi="Arial"/>
          <w:sz w:val="18"/>
          <w:szCs w:val="18"/>
          <w:color w:val="auto"/>
        </w:rPr>
        <w:t>. This Warrant shall be deemed to be jointly drafted by the Company and the Holder and shall not be construed against any Person as the drafter hereof. The headings of this Warrant are for convenience of reference and shall not form part of, or affect the interpretation of, this Warrant.</w:t>
      </w:r>
    </w:p>
    <w:p>
      <w:pPr>
        <w:spacing w:after="0" w:line="183" w:lineRule="exact"/>
        <w:rPr>
          <w:rFonts w:ascii="Arial" w:cs="Arial" w:eastAsia="Arial" w:hAnsi="Arial"/>
          <w:sz w:val="18"/>
          <w:szCs w:val="18"/>
          <w:color w:val="auto"/>
        </w:rPr>
      </w:pPr>
    </w:p>
    <w:p>
      <w:pPr>
        <w:jc w:val="both"/>
        <w:ind w:firstLine="1304"/>
        <w:spacing w:after="0" w:line="269" w:lineRule="auto"/>
        <w:tabs>
          <w:tab w:leader="none" w:pos="189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DISPUTE RESOLUTION</w:t>
      </w:r>
      <w:r>
        <w:rPr>
          <w:rFonts w:ascii="Arial" w:cs="Arial" w:eastAsia="Arial" w:hAnsi="Arial"/>
          <w:sz w:val="17"/>
          <w:szCs w:val="17"/>
          <w:color w:val="auto"/>
        </w:rPr>
        <w:t>. In the case of a dispute as to the determination of the Exercise Price or the arithmetic calculation of the Warrant Shares, the Company shall submit the disputed determinations or arithmetic calculations via electronic mail within two (2) Business Days of receipt of the Exercise Notice giving rise to such dispute, as the case may be, to the Holder. If the Holder and the Company are unable to agree upon such determination or calculation of the Exercise Price or the Warrant Shares within three (3) Business Days of such disputed determination or arithmetic calculation being submitted to the Holder, then the Company shall, within two (2) Business Days submit via electronic mail (a) the disputed determination of the Exercise Price to an independent, reputable investment bank selected by the Company and approved by the Holder or (b) the disputed arithmetic calculation of the Warrant Shares to the Company’s independent, outside accountant. The Company shall cause at its expense the investment bank or the accountant, as the case may be, to perform the determinations or calculations and notify the Company and the Holder of the results no later than ten (10) Business Days from the time it receives the disputed determinations or calculations. Such investment bank’s or accountant’s determination or calculation, as the case may be, shall be binding upon all parties absent demonstrable error.</w:t>
      </w:r>
    </w:p>
    <w:p>
      <w:pPr>
        <w:spacing w:after="0" w:line="185" w:lineRule="exact"/>
        <w:rPr>
          <w:rFonts w:ascii="Arial" w:cs="Arial" w:eastAsia="Arial" w:hAnsi="Arial"/>
          <w:sz w:val="17"/>
          <w:szCs w:val="17"/>
          <w:color w:val="auto"/>
        </w:rPr>
      </w:pPr>
    </w:p>
    <w:p>
      <w:pPr>
        <w:jc w:val="both"/>
        <w:ind w:firstLine="1304"/>
        <w:spacing w:after="0" w:line="272" w:lineRule="auto"/>
        <w:tabs>
          <w:tab w:leader="none" w:pos="1863"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REMEDIES, OTHER OBLIGATIONS, BREACHES AND INJUNCTIVE RELIEF</w:t>
      </w:r>
      <w:r>
        <w:rPr>
          <w:rFonts w:ascii="Arial" w:cs="Arial" w:eastAsia="Arial" w:hAnsi="Arial"/>
          <w:sz w:val="17"/>
          <w:szCs w:val="17"/>
          <w:color w:val="auto"/>
        </w:rPr>
        <w:t>. The remedies provided in this Warrant shall be cumulative and in addition to all other remedies available under this Warrant and the Acknowledgement Agreement, at law or in equity (including a decree of specific performance and/or other injunctive relief), and nothing herein shall limit the right of the Holder to pursue actual damages for any failure by the Company to comply with the terms of this Warrant.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of this Warrant shall be entitled, in addition to all other available remedies, to an injunction restraining any breach, without the necessity of showing economic loss and without any bond or other security being required.</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3" w:name="page24"/>
    <w:bookmarkEnd w:id="23"/>
    <w:p>
      <w:pPr>
        <w:ind w:left="1960" w:hanging="656"/>
        <w:spacing w:after="0"/>
        <w:tabs>
          <w:tab w:leader="none" w:pos="1960"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TRANSFER</w:t>
      </w:r>
      <w:r>
        <w:rPr>
          <w:rFonts w:ascii="Arial" w:cs="Arial" w:eastAsia="Arial" w:hAnsi="Arial"/>
          <w:sz w:val="16"/>
          <w:szCs w:val="16"/>
          <w:color w:val="auto"/>
        </w:rPr>
        <w:t>. This Warrant and the Warrant Shares may be offered for sale, sold, transferred, pledged or assigned without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consent of the Company.</w:t>
      </w:r>
    </w:p>
    <w:p>
      <w:pPr>
        <w:spacing w:after="0" w:line="210" w:lineRule="exact"/>
        <w:rPr>
          <w:rFonts w:ascii="Arial" w:cs="Arial" w:eastAsia="Arial" w:hAnsi="Arial"/>
          <w:sz w:val="16"/>
          <w:szCs w:val="16"/>
          <w:color w:val="auto"/>
        </w:rPr>
      </w:pPr>
    </w:p>
    <w:p>
      <w:pPr>
        <w:jc w:val="both"/>
        <w:ind w:firstLine="1304"/>
        <w:spacing w:after="0" w:line="271" w:lineRule="auto"/>
        <w:tabs>
          <w:tab w:leader="none" w:pos="1836"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provision of this Warrant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Warrant so long as this Warrant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78" w:lineRule="exact"/>
        <w:rPr>
          <w:rFonts w:ascii="Arial" w:cs="Arial" w:eastAsia="Arial" w:hAnsi="Arial"/>
          <w:sz w:val="17"/>
          <w:szCs w:val="17"/>
          <w:color w:val="auto"/>
        </w:rPr>
      </w:pPr>
    </w:p>
    <w:p>
      <w:pPr>
        <w:jc w:val="both"/>
        <w:ind w:firstLine="1304"/>
        <w:spacing w:after="0" w:line="254" w:lineRule="auto"/>
        <w:tabs>
          <w:tab w:leader="none" w:pos="1876"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DISCLOSURE</w:t>
      </w:r>
      <w:r>
        <w:rPr>
          <w:rFonts w:ascii="Arial" w:cs="Arial" w:eastAsia="Arial" w:hAnsi="Arial"/>
          <w:sz w:val="18"/>
          <w:szCs w:val="18"/>
          <w:color w:val="auto"/>
        </w:rPr>
        <w:t>. Upon receipt or delivery by the Company of any notice in accordance with the terms of this Warrant, unless the Company has in good faith determined that the matters relating to such notice do not constitute material, nonpublic information relating to the Company or its Subsidiaries, the Company shall within four (4) Business Days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spacing w:after="0" w:line="194" w:lineRule="exact"/>
        <w:rPr>
          <w:rFonts w:ascii="Arial" w:cs="Arial" w:eastAsia="Arial" w:hAnsi="Arial"/>
          <w:sz w:val="18"/>
          <w:szCs w:val="18"/>
          <w:color w:val="auto"/>
        </w:rPr>
      </w:pPr>
    </w:p>
    <w:p>
      <w:pPr>
        <w:ind w:right="20" w:firstLine="1304"/>
        <w:spacing w:after="0" w:line="342" w:lineRule="auto"/>
        <w:tabs>
          <w:tab w:leader="none" w:pos="1876"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LIMITATIONS OF RIGHTS</w:t>
      </w:r>
      <w:r>
        <w:rPr>
          <w:rFonts w:ascii="Arial" w:cs="Arial" w:eastAsia="Arial" w:hAnsi="Arial"/>
          <w:sz w:val="16"/>
          <w:szCs w:val="16"/>
          <w:color w:val="auto"/>
        </w:rPr>
        <w:t>. The rights granted to the Holder pursuant to Sections 2(a) and 4(b) of this Warrant are personal to the original Holders of this Warrant and shall automatically be cancelled and of no further effect upon any transfer of this Warrant by sale or otherwise.</w:t>
      </w:r>
    </w:p>
    <w:p>
      <w:pPr>
        <w:spacing w:after="0" w:line="123" w:lineRule="exact"/>
        <w:rPr>
          <w:rFonts w:ascii="Arial" w:cs="Arial" w:eastAsia="Arial" w:hAnsi="Arial"/>
          <w:sz w:val="16"/>
          <w:szCs w:val="16"/>
          <w:color w:val="auto"/>
        </w:rPr>
      </w:pPr>
    </w:p>
    <w:p>
      <w:pPr>
        <w:ind w:left="1840" w:hanging="536"/>
        <w:spacing w:after="0"/>
        <w:tabs>
          <w:tab w:leader="none" w:pos="1840"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CERTAIN DEFINITIONS</w:t>
      </w:r>
      <w:r>
        <w:rPr>
          <w:rFonts w:ascii="Arial" w:cs="Arial" w:eastAsia="Arial" w:hAnsi="Arial"/>
          <w:sz w:val="18"/>
          <w:szCs w:val="18"/>
          <w:color w:val="auto"/>
        </w:rPr>
        <w:t>. For purposes of this Warrant, the following terms shall have the following meanings:</w:t>
      </w:r>
    </w:p>
    <w:p>
      <w:pPr>
        <w:spacing w:after="0" w:line="221" w:lineRule="exact"/>
        <w:rPr>
          <w:rFonts w:ascii="Arial" w:cs="Arial" w:eastAsia="Arial" w:hAnsi="Arial"/>
          <w:sz w:val="18"/>
          <w:szCs w:val="18"/>
          <w:color w:val="auto"/>
        </w:rPr>
      </w:pPr>
    </w:p>
    <w:p>
      <w:pPr>
        <w:ind w:left="2460" w:hanging="508"/>
        <w:spacing w:after="0"/>
        <w:tabs>
          <w:tab w:leader="none" w:pos="2460"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1933 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firstLine="1952"/>
        <w:spacing w:after="0" w:line="282" w:lineRule="auto"/>
        <w:tabs>
          <w:tab w:leader="none" w:pos="2496" w:val="left"/>
        </w:tabs>
        <w:numPr>
          <w:ilvl w:val="1"/>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1933 Act.</w:t>
      </w:r>
    </w:p>
    <w:p>
      <w:pPr>
        <w:spacing w:after="0" w:line="161" w:lineRule="exact"/>
        <w:rPr>
          <w:rFonts w:ascii="Arial" w:cs="Arial" w:eastAsia="Arial" w:hAnsi="Arial"/>
          <w:sz w:val="18"/>
          <w:szCs w:val="18"/>
          <w:color w:val="auto"/>
        </w:rPr>
      </w:pPr>
    </w:p>
    <w:p>
      <w:pPr>
        <w:jc w:val="both"/>
        <w:ind w:firstLine="1952"/>
        <w:spacing w:after="0" w:line="274" w:lineRule="auto"/>
        <w:tabs>
          <w:tab w:leader="none" w:pos="2486" w:val="left"/>
        </w:tabs>
        <w:numPr>
          <w:ilvl w:val="1"/>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Attribution Parties</w:t>
      </w:r>
      <w:r>
        <w:rPr>
          <w:rFonts w:ascii="Arial" w:cs="Arial" w:eastAsia="Arial" w:hAnsi="Arial"/>
          <w:sz w:val="17"/>
          <w:szCs w:val="17"/>
          <w:color w:val="auto"/>
        </w:rPr>
        <w:t>” means, collectively, the following Persons and entities: (i) any investment vehicle, including, any funds, feeder funds or managed accounts, currently, or from time to time after the Issuance Date, directly or indirectly managed or advised by the Holder’s investment manager or any of its Affiliates or principals, (ii) any Affiliates of the Holder or any of the foregoing, (iii) any Person acting or who could be deemed to be acting as a Group together with the Holder or any of the foregoing and (iv) any other Persons whose beneficial ownership of the Company’s Common Stock would or could be aggregated with the Holder’s and the other Attribution Parties for purposes of Section 13(d) of the 1934 Act. For clarity, the purpose of the foregoing is to subject collectively the Holder and all other Attribution Parties to the Maximum Percentage.</w:t>
      </w:r>
    </w:p>
    <w:p>
      <w:pPr>
        <w:spacing w:after="0" w:line="386"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 w:name="page25"/>
    <w:bookmarkEnd w:id="24"/>
    <w:p>
      <w:pPr>
        <w:jc w:val="both"/>
        <w:ind w:firstLine="1952"/>
        <w:spacing w:after="0" w:line="271" w:lineRule="auto"/>
        <w:tabs>
          <w:tab w:leader="none" w:pos="2469"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Black Scholes Value</w:t>
      </w:r>
      <w:r>
        <w:rPr>
          <w:rFonts w:ascii="Arial" w:cs="Arial" w:eastAsia="Arial" w:hAnsi="Arial"/>
          <w:sz w:val="17"/>
          <w:szCs w:val="17"/>
          <w:color w:val="auto"/>
        </w:rPr>
        <w:t>” means the value of this Warrant based on the Black-Scholes Option Pricing Model obtained from the “OV” function on Bloomberg determined as of the day immediately following the public announcement of the applicable Fundamental Transaction, or, if the Fundamental Transaction is not publicly announced, the date the Fundamental Transaction is consummated, for pricing purposes and reflecting (i) a risk-free interest rate corresponding to the U.S. Treasury rate for a period equal to the remaining term of this Warrant as of such date of request, (ii) an expected volatility equal to the greater of 100% and the 100 day volatility obtained from the HVT function on Bloomberg as of the day immediately following the public announcement of the applicable Fundamental Transaction, or, if the Fundamental Transaction is not publicly announced, the date the Fundamental Transaction is consummated, (iii) the underlying price per share used in such calculation shall be the sum of the price per share being offered in cash, if any, plus the value of any non-cash consideration, if any, being offered in the Fundamental Transaction, (iv) a zero cost of borrow and (v) a 360 day annualization factor.</w:t>
      </w:r>
    </w:p>
    <w:p>
      <w:pPr>
        <w:spacing w:after="0" w:line="173" w:lineRule="exact"/>
        <w:rPr>
          <w:rFonts w:ascii="Arial" w:cs="Arial" w:eastAsia="Arial" w:hAnsi="Arial"/>
          <w:sz w:val="17"/>
          <w:szCs w:val="17"/>
          <w:color w:val="auto"/>
        </w:rPr>
      </w:pPr>
    </w:p>
    <w:p>
      <w:pPr>
        <w:ind w:left="2460" w:hanging="508"/>
        <w:spacing w:after="0"/>
        <w:tabs>
          <w:tab w:leader="none" w:pos="2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Bloomberg</w:t>
      </w:r>
      <w:r>
        <w:rPr>
          <w:rFonts w:ascii="Arial" w:cs="Arial" w:eastAsia="Arial" w:hAnsi="Arial"/>
          <w:sz w:val="18"/>
          <w:szCs w:val="18"/>
          <w:color w:val="auto"/>
        </w:rPr>
        <w:t>” means Bloomberg Financial Markets.</w:t>
      </w:r>
    </w:p>
    <w:p>
      <w:pPr>
        <w:spacing w:after="0" w:line="225" w:lineRule="exact"/>
        <w:rPr>
          <w:rFonts w:ascii="Arial" w:cs="Arial" w:eastAsia="Arial" w:hAnsi="Arial"/>
          <w:sz w:val="18"/>
          <w:szCs w:val="18"/>
          <w:color w:val="auto"/>
        </w:rPr>
      </w:pPr>
    </w:p>
    <w:p>
      <w:pPr>
        <w:ind w:firstLine="1952"/>
        <w:spacing w:after="0" w:line="347" w:lineRule="auto"/>
        <w:tabs>
          <w:tab w:leader="none" w:pos="2466" w:val="left"/>
        </w:tabs>
        <w:numPr>
          <w:ilvl w:val="0"/>
          <w:numId w:val="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15" w:lineRule="exact"/>
        <w:rPr>
          <w:rFonts w:ascii="Arial" w:cs="Arial" w:eastAsia="Arial" w:hAnsi="Arial"/>
          <w:sz w:val="16"/>
          <w:szCs w:val="16"/>
          <w:color w:val="auto"/>
        </w:rPr>
      </w:pPr>
    </w:p>
    <w:p>
      <w:pPr>
        <w:jc w:val="both"/>
        <w:ind w:firstLine="1952"/>
        <w:spacing w:after="0" w:line="268" w:lineRule="auto"/>
        <w:tabs>
          <w:tab w:leader="none" w:pos="24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Closing Bid Price</w:t>
      </w:r>
      <w:r>
        <w:rPr>
          <w:rFonts w:ascii="Arial" w:cs="Arial" w:eastAsia="Arial" w:hAnsi="Arial"/>
          <w:sz w:val="17"/>
          <w:szCs w:val="17"/>
          <w:color w:val="auto"/>
        </w:rPr>
        <w:t>” and “</w:t>
      </w:r>
      <w:r>
        <w:rPr>
          <w:rFonts w:ascii="Arial" w:cs="Arial" w:eastAsia="Arial" w:hAnsi="Arial"/>
          <w:sz w:val="17"/>
          <w:szCs w:val="17"/>
          <w:b w:val="1"/>
          <w:bCs w:val="1"/>
          <w:color w:val="auto"/>
        </w:rPr>
        <w:t>Closing Sale Price</w:t>
      </w:r>
      <w:r>
        <w:rPr>
          <w:rFonts w:ascii="Arial" w:cs="Arial" w:eastAsia="Arial" w:hAnsi="Arial"/>
          <w:sz w:val="17"/>
          <w:szCs w:val="17"/>
          <w:color w:val="auto"/>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the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in the OTC Link or “pink sheets” by OTC Markets Group Inc. (formerly Pink OTC Markets Inc.).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12. All such determinations to be appropriately adjusted for any stock dividend, stock split, stock combination, reclassification or other similar transaction during the applicable calculation period.</w:t>
      </w:r>
    </w:p>
    <w:p>
      <w:pPr>
        <w:spacing w:after="0" w:line="397"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ind w:firstLine="1952"/>
        <w:spacing w:after="0" w:line="312" w:lineRule="auto"/>
        <w:tabs>
          <w:tab w:leader="none" w:pos="259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w:t>
      </w:r>
      <w:r>
        <w:rPr>
          <w:rFonts w:ascii="Arial" w:cs="Arial" w:eastAsia="Arial" w:hAnsi="Arial"/>
          <w:sz w:val="17"/>
          <w:szCs w:val="17"/>
          <w:color w:val="auto"/>
        </w:rPr>
        <w:t>” means (i) the Company’s shares of Common Stock, par value $0.01 per share, and (ii) any share capital into which such Common Stock shall have been changed or any share capital resulting from a reclassification of such Common Stock.</w:t>
      </w:r>
    </w:p>
    <w:p>
      <w:pPr>
        <w:spacing w:after="0" w:line="139" w:lineRule="exact"/>
        <w:rPr>
          <w:rFonts w:ascii="Arial" w:cs="Arial" w:eastAsia="Arial" w:hAnsi="Arial"/>
          <w:sz w:val="17"/>
          <w:szCs w:val="17"/>
          <w:color w:val="auto"/>
        </w:rPr>
      </w:pPr>
    </w:p>
    <w:p>
      <w:pPr>
        <w:jc w:val="both"/>
        <w:ind w:firstLine="1952"/>
        <w:spacing w:after="0" w:line="289" w:lineRule="auto"/>
        <w:tabs>
          <w:tab w:leader="none" w:pos="2483" w:val="left"/>
        </w:tabs>
        <w:numPr>
          <w:ilvl w:val="0"/>
          <w:numId w:val="26"/>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Common Stock Equivalents</w:t>
      </w:r>
      <w:r>
        <w:rPr>
          <w:rFonts w:ascii="Arial" w:cs="Arial" w:eastAsia="Arial" w:hAnsi="Arial"/>
          <w:sz w:val="17"/>
          <w:szCs w:val="17"/>
          <w:color w:val="auto"/>
        </w:rPr>
        <w:t>” means any securities of the Company or its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57" w:lineRule="exact"/>
        <w:rPr>
          <w:rFonts w:ascii="Arial" w:cs="Arial" w:eastAsia="Arial" w:hAnsi="Arial"/>
          <w:sz w:val="17"/>
          <w:szCs w:val="17"/>
          <w:color w:val="auto"/>
        </w:rPr>
      </w:pPr>
    </w:p>
    <w:p>
      <w:pPr>
        <w:ind w:firstLine="1952"/>
        <w:spacing w:after="0" w:line="282" w:lineRule="auto"/>
        <w:tabs>
          <w:tab w:leader="none" w:pos="255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Convertible Securities</w:t>
      </w:r>
      <w:r>
        <w:rPr>
          <w:rFonts w:ascii="Arial" w:cs="Arial" w:eastAsia="Arial" w:hAnsi="Arial"/>
          <w:sz w:val="18"/>
          <w:szCs w:val="18"/>
          <w:color w:val="auto"/>
        </w:rPr>
        <w:t>” means any stock or securities (other than Options) directly or indirectly convertible into or exercisable or exchangeable for shares of Common Stock.</w:t>
      </w:r>
    </w:p>
    <w:p>
      <w:pPr>
        <w:spacing w:after="0" w:line="161" w:lineRule="exact"/>
        <w:rPr>
          <w:rFonts w:ascii="Arial" w:cs="Arial" w:eastAsia="Arial" w:hAnsi="Arial"/>
          <w:sz w:val="18"/>
          <w:szCs w:val="18"/>
          <w:color w:val="auto"/>
        </w:rPr>
      </w:pPr>
    </w:p>
    <w:p>
      <w:pPr>
        <w:ind w:firstLine="1952"/>
        <w:spacing w:after="0" w:line="282" w:lineRule="auto"/>
        <w:tabs>
          <w:tab w:leader="none" w:pos="252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Market</w:t>
      </w:r>
      <w:r>
        <w:rPr>
          <w:rFonts w:ascii="Arial" w:cs="Arial" w:eastAsia="Arial" w:hAnsi="Arial"/>
          <w:sz w:val="18"/>
          <w:szCs w:val="18"/>
          <w:color w:val="auto"/>
        </w:rPr>
        <w:t>” means the Principal Market, the NYSE American, The Nasdaq Capital Market, The Nasdaq Global Market, The Nasdaq Global Select Market, or The New York Stock Exchange, Inc.</w:t>
      </w:r>
    </w:p>
    <w:p>
      <w:pPr>
        <w:spacing w:after="0" w:line="161" w:lineRule="exact"/>
        <w:rPr>
          <w:rFonts w:ascii="Arial" w:cs="Arial" w:eastAsia="Arial" w:hAnsi="Arial"/>
          <w:sz w:val="18"/>
          <w:szCs w:val="18"/>
          <w:color w:val="auto"/>
        </w:rPr>
      </w:pPr>
    </w:p>
    <w:p>
      <w:pPr>
        <w:ind w:left="2440" w:hanging="488"/>
        <w:spacing w:after="0"/>
        <w:tabs>
          <w:tab w:leader="none" w:pos="24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Date</w:t>
      </w:r>
      <w:r>
        <w:rPr>
          <w:rFonts w:ascii="Arial" w:cs="Arial" w:eastAsia="Arial" w:hAnsi="Arial"/>
          <w:sz w:val="18"/>
          <w:szCs w:val="18"/>
          <w:color w:val="auto"/>
        </w:rPr>
        <w:t>” means the date on which this Warrant is exercised in full.</w:t>
      </w:r>
    </w:p>
    <w:p>
      <w:pPr>
        <w:spacing w:after="0" w:line="225" w:lineRule="exact"/>
        <w:rPr>
          <w:rFonts w:ascii="Arial" w:cs="Arial" w:eastAsia="Arial" w:hAnsi="Arial"/>
          <w:sz w:val="18"/>
          <w:szCs w:val="18"/>
          <w:color w:val="auto"/>
        </w:rPr>
      </w:pPr>
    </w:p>
    <w:p>
      <w:pPr>
        <w:ind w:left="2520" w:hanging="568"/>
        <w:spacing w:after="0"/>
        <w:tabs>
          <w:tab w:leader="none" w:pos="25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Group</w:t>
      </w:r>
      <w:r>
        <w:rPr>
          <w:rFonts w:ascii="Arial" w:cs="Arial" w:eastAsia="Arial" w:hAnsi="Arial"/>
          <w:sz w:val="16"/>
          <w:szCs w:val="16"/>
          <w:color w:val="auto"/>
        </w:rPr>
        <w:t>” means a “group” as that term is used in Section 13(d) of the 1934 Act and as defined in Rule 13d-5 thereunder.</w:t>
      </w:r>
    </w:p>
    <w:p>
      <w:pPr>
        <w:spacing w:after="0" w:line="248" w:lineRule="exact"/>
        <w:rPr>
          <w:rFonts w:ascii="Arial" w:cs="Arial" w:eastAsia="Arial" w:hAnsi="Arial"/>
          <w:sz w:val="16"/>
          <w:szCs w:val="16"/>
          <w:color w:val="auto"/>
        </w:rPr>
      </w:pPr>
    </w:p>
    <w:p>
      <w:pPr>
        <w:ind w:left="2580" w:hanging="628"/>
        <w:spacing w:after="0"/>
        <w:tabs>
          <w:tab w:leader="none" w:pos="25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Options</w:t>
      </w:r>
      <w:r>
        <w:rPr>
          <w:rFonts w:ascii="Arial" w:cs="Arial" w:eastAsia="Arial" w:hAnsi="Arial"/>
          <w:sz w:val="16"/>
          <w:szCs w:val="16"/>
          <w:color w:val="auto"/>
        </w:rPr>
        <w:t>” means any rights, warrants or options to subscribe for or purchase shares of Common Stock or Convertible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Securities.</w:t>
      </w:r>
    </w:p>
    <w:p>
      <w:pPr>
        <w:spacing w:after="0" w:line="206" w:lineRule="exact"/>
        <w:rPr>
          <w:rFonts w:ascii="Arial" w:cs="Arial" w:eastAsia="Arial" w:hAnsi="Arial"/>
          <w:sz w:val="16"/>
          <w:szCs w:val="16"/>
          <w:color w:val="auto"/>
        </w:rPr>
      </w:pPr>
    </w:p>
    <w:p>
      <w:pPr>
        <w:jc w:val="both"/>
        <w:ind w:firstLine="1952"/>
        <w:spacing w:after="0" w:line="258" w:lineRule="auto"/>
        <w:tabs>
          <w:tab w:leader="none" w:pos="2536"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Entity</w:t>
      </w:r>
      <w:r>
        <w:rPr>
          <w:rFonts w:ascii="Arial" w:cs="Arial" w:eastAsia="Arial" w:hAnsi="Arial"/>
          <w:sz w:val="18"/>
          <w:szCs w:val="18"/>
          <w:color w:val="auto"/>
        </w:rPr>
        <w:t>” of a Person means an entity that, directly or indirectly, controls the applicable Person, including such entity whose common shares or common stock or equivalent equity security is quoted or listed on an Eligible Market (or, if so elected by the Holder, any other market, exchange or quotation system), or, if there is more than one such Person or such entity, the Person or such entity designated by the Holder or in the absence of such designation, such Person or entity with the largest public market capitalization as of the date of consummation of the Fundamental Transaction.</w:t>
      </w:r>
    </w:p>
    <w:p>
      <w:pPr>
        <w:spacing w:after="0" w:line="183" w:lineRule="exact"/>
        <w:rPr>
          <w:rFonts w:ascii="Arial" w:cs="Arial" w:eastAsia="Arial" w:hAnsi="Arial"/>
          <w:sz w:val="18"/>
          <w:szCs w:val="18"/>
          <w:color w:val="auto"/>
        </w:rPr>
      </w:pPr>
    </w:p>
    <w:p>
      <w:pPr>
        <w:ind w:firstLine="1952"/>
        <w:spacing w:after="0" w:line="282" w:lineRule="auto"/>
        <w:tabs>
          <w:tab w:leader="none" w:pos="2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1" w:lineRule="exact"/>
        <w:rPr>
          <w:rFonts w:ascii="Arial" w:cs="Arial" w:eastAsia="Arial" w:hAnsi="Arial"/>
          <w:sz w:val="18"/>
          <w:szCs w:val="18"/>
          <w:color w:val="auto"/>
        </w:rPr>
      </w:pPr>
    </w:p>
    <w:p>
      <w:pPr>
        <w:ind w:left="2480" w:hanging="528"/>
        <w:spacing w:after="0"/>
        <w:tabs>
          <w:tab w:leader="none" w:pos="2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Market</w:t>
      </w:r>
      <w:r>
        <w:rPr>
          <w:rFonts w:ascii="Arial" w:cs="Arial" w:eastAsia="Arial" w:hAnsi="Arial"/>
          <w:sz w:val="18"/>
          <w:szCs w:val="18"/>
          <w:color w:val="auto"/>
        </w:rPr>
        <w:t>” means the Nasdaq Capital Market.</w:t>
      </w:r>
    </w:p>
    <w:p>
      <w:pPr>
        <w:spacing w:after="0" w:line="225" w:lineRule="exact"/>
        <w:rPr>
          <w:rFonts w:ascii="Arial" w:cs="Arial" w:eastAsia="Arial" w:hAnsi="Arial"/>
          <w:sz w:val="18"/>
          <w:szCs w:val="18"/>
          <w:color w:val="auto"/>
        </w:rPr>
      </w:pPr>
    </w:p>
    <w:p>
      <w:pPr>
        <w:ind w:left="2600" w:hanging="648"/>
        <w:spacing w:after="0"/>
        <w:tabs>
          <w:tab w:leader="none" w:pos="26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Subject Entity</w:t>
      </w:r>
      <w:r>
        <w:rPr>
          <w:rFonts w:ascii="Arial" w:cs="Arial" w:eastAsia="Arial" w:hAnsi="Arial"/>
          <w:sz w:val="16"/>
          <w:szCs w:val="16"/>
          <w:color w:val="auto"/>
        </w:rPr>
        <w:t>” means any Person, Persons or Group or any Affiliate or associate of any such Person, Persons or</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Group.</w:t>
      </w:r>
    </w:p>
    <w:p>
      <w:pPr>
        <w:spacing w:after="0" w:line="206" w:lineRule="exact"/>
        <w:rPr>
          <w:rFonts w:ascii="Arial" w:cs="Arial" w:eastAsia="Arial" w:hAnsi="Arial"/>
          <w:sz w:val="16"/>
          <w:szCs w:val="16"/>
          <w:color w:val="auto"/>
        </w:rPr>
      </w:pPr>
    </w:p>
    <w:p>
      <w:pPr>
        <w:jc w:val="both"/>
        <w:ind w:firstLine="1952"/>
        <w:spacing w:after="0" w:line="255" w:lineRule="auto"/>
        <w:tabs>
          <w:tab w:leader="none" w:pos="2503"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Subsidiary</w:t>
      </w:r>
      <w:r>
        <w:rPr>
          <w:rFonts w:ascii="Arial" w:cs="Arial" w:eastAsia="Arial" w:hAnsi="Arial"/>
          <w:sz w:val="18"/>
          <w:szCs w:val="18"/>
          <w:color w:val="auto"/>
        </w:rPr>
        <w:t>” means with respect to any entity at any date, any direct or indirect Person, limited or general partnership, limited liability company, trust, estate, association, joint venture or other business entity of which (A) more than 50% of (i) the outstanding capital stock having (in the absence of contingencies) ordinary voting power to elect a majority of the board of directors or other managing body of such entity,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entity, or (B) is under the actual control of the Company.</w:t>
      </w:r>
    </w:p>
    <w:p>
      <w:pPr>
        <w:spacing w:after="0" w:line="200" w:lineRule="exact"/>
        <w:rPr>
          <w:sz w:val="20"/>
          <w:szCs w:val="20"/>
          <w:color w:val="auto"/>
        </w:rPr>
      </w:pP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6" w:name="page27"/>
    <w:bookmarkEnd w:id="26"/>
    <w:p>
      <w:pPr>
        <w:jc w:val="both"/>
        <w:ind w:firstLine="1952"/>
        <w:spacing w:after="0" w:line="266" w:lineRule="auto"/>
        <w:tabs>
          <w:tab w:leader="none" w:pos="244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Successor Entity</w:t>
      </w:r>
      <w:r>
        <w:rPr>
          <w:rFonts w:ascii="Arial" w:cs="Arial" w:eastAsia="Arial" w:hAnsi="Arial"/>
          <w:sz w:val="18"/>
          <w:szCs w:val="18"/>
          <w:color w:val="auto"/>
        </w:rPr>
        <w:t>” means one or more Person or Persons (or, if so elected by the Holder, the Company or Parent Entity) formed by, resulting from or surviving any Fundamental Transaction or one or more Person or Persons (or, if so elected by the Holder, the Company or the Parent Entity) with which such Fundamental Transaction shall have been entered into.</w:t>
      </w:r>
    </w:p>
    <w:p>
      <w:pPr>
        <w:spacing w:after="0" w:line="175" w:lineRule="exact"/>
        <w:rPr>
          <w:rFonts w:ascii="Arial" w:cs="Arial" w:eastAsia="Arial" w:hAnsi="Arial"/>
          <w:sz w:val="18"/>
          <w:szCs w:val="18"/>
          <w:color w:val="auto"/>
        </w:rPr>
      </w:pPr>
    </w:p>
    <w:p>
      <w:pPr>
        <w:jc w:val="both"/>
        <w:ind w:firstLine="1952"/>
        <w:spacing w:after="0" w:line="256" w:lineRule="auto"/>
        <w:tabs>
          <w:tab w:leader="none" w:pos="24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Trading Day</w:t>
      </w:r>
      <w:r>
        <w:rPr>
          <w:rFonts w:ascii="Arial" w:cs="Arial" w:eastAsia="Arial" w:hAnsi="Arial"/>
          <w:sz w:val="18"/>
          <w:szCs w:val="18"/>
          <w:color w:val="auto"/>
        </w:rPr>
        <w:t xml:space="preserve">” means any day on which the Common Stock is traded on the Principal Market, or, if the Principal Market is not the principal trading market for the Common Stock, then on the principal securities exchange or securities market on which the Common Stock is then traded;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“Trading Day” shall not include any day on which the Common Stock is scheduled to trade on such exchange or market for less than 4.5 hours or any day that the Common Stock is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87" w:lineRule="exact"/>
        <w:rPr>
          <w:rFonts w:ascii="Arial" w:cs="Arial" w:eastAsia="Arial" w:hAnsi="Arial"/>
          <w:sz w:val="18"/>
          <w:szCs w:val="18"/>
          <w:color w:val="auto"/>
        </w:rPr>
      </w:pPr>
    </w:p>
    <w:p>
      <w:pPr>
        <w:jc w:val="both"/>
        <w:ind w:firstLine="1952"/>
        <w:spacing w:after="0" w:line="268" w:lineRule="auto"/>
        <w:tabs>
          <w:tab w:leader="none" w:pos="255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Weighted Average Price</w:t>
      </w:r>
      <w:r>
        <w:rPr>
          <w:rFonts w:ascii="Arial" w:cs="Arial" w:eastAsia="Arial" w:hAnsi="Arial"/>
          <w:sz w:val="17"/>
          <w:szCs w:val="17"/>
          <w:color w:val="auto"/>
        </w:rPr>
        <w:t>” means, for any security as of any date, the dollar volume-weighted average price for such security on the Principal Market during the period beginning at 9:30:01 a.m., New York time (or such other time as the Principal Market publicly announces is the official open of trading), and ending at 4:00:00 p.m., New York time (or such other time as the Principal Market publicly announces is the official close of trading),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time (or such other time as such market publicly announces is the official open of trading), and ending at 4:00:00 p.m., New York time (or such other time as such market publicly announces is the official close of trading), as reported by Bloomberg, or, if no dollar volume-weighted average price is reported for such security by Bloomberg for such hours, the average of the highest Closing Bid Price and the lowest closing ask price of any of the market makers for such security as reported in the OTC Link or “pink sheets” by OTC Markets Group Inc. (formerly Pink OTC Markets Inc.). If the Weighted Average Price cannot be calculated for a security on a particular date on any of the foregoing bases, the Weighted Average Price of such security on such date shall be the fair market value as mutually determined by the Company and the Holder. If the Company and the Holder are unable to agree upon the fair market value of such security, then such dispute shall be resolved pursuant to Section 12 with the term “Weighted Average Price” being substituted for the term “Exercise Price.” All such determinations shall be appropriately adjusted for any stock dividend, stock split, stock combination, reclassification or other similar transaction during the applicable calculation period.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 Page Follows]</w:t>
      </w:r>
    </w:p>
    <w:p>
      <w:pPr>
        <w:spacing w:after="0" w:line="200" w:lineRule="exact"/>
        <w:rPr>
          <w:sz w:val="20"/>
          <w:szCs w:val="20"/>
          <w:color w:val="auto"/>
        </w:rPr>
      </w:pPr>
    </w:p>
    <w:p>
      <w:pPr>
        <w:spacing w:after="0" w:line="238"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b w:val="1"/>
          <w:bCs w:val="1"/>
          <w:color w:val="auto"/>
        </w:rPr>
        <w:t xml:space="preserve">IN WITNESS WHEREOF, </w:t>
      </w:r>
      <w:r>
        <w:rPr>
          <w:rFonts w:ascii="Arial" w:cs="Arial" w:eastAsia="Arial" w:hAnsi="Arial"/>
          <w:sz w:val="16"/>
          <w:szCs w:val="16"/>
          <w:color w:val="auto"/>
        </w:rPr>
        <w:t>the Company has caused this Warrant to Purchase Common Stock to be duly executed as of the Issuance Date set out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above.</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Douglas Satzman</w:t>
      </w:r>
    </w:p>
    <w:p>
      <w:pPr>
        <w:spacing w:after="0" w:line="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EXERCISE NOTICE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EXECUTED BY THE REGISTERED HOLDER TO EXERCISE THIS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TO PURCHASE COMMON STOCK</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undersigned holder hereby exercises the right to purchase _________________ of the shares of Common Stock (“</w:t>
      </w:r>
      <w:r>
        <w:rPr>
          <w:rFonts w:ascii="Arial" w:cs="Arial" w:eastAsia="Arial" w:hAnsi="Arial"/>
          <w:sz w:val="17"/>
          <w:szCs w:val="17"/>
          <w:b w:val="1"/>
          <w:bCs w:val="1"/>
          <w:color w:val="auto"/>
        </w:rPr>
        <w:t>Warrant Shares</w:t>
      </w:r>
      <w:r>
        <w:rPr>
          <w:rFonts w:ascii="Arial" w:cs="Arial" w:eastAsia="Arial" w:hAnsi="Arial"/>
          <w:sz w:val="17"/>
          <w:szCs w:val="17"/>
          <w:color w:val="auto"/>
        </w:rPr>
        <w: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XpresSpa Group, Inc., a Delaware corporation (the “</w:t>
      </w:r>
      <w:r>
        <w:rPr>
          <w:rFonts w:ascii="Arial" w:cs="Arial" w:eastAsia="Arial" w:hAnsi="Arial"/>
          <w:sz w:val="17"/>
          <w:szCs w:val="17"/>
          <w:b w:val="1"/>
          <w:bCs w:val="1"/>
          <w:color w:val="auto"/>
        </w:rPr>
        <w:t>Company</w:t>
      </w:r>
      <w:r>
        <w:rPr>
          <w:rFonts w:ascii="Arial" w:cs="Arial" w:eastAsia="Arial" w:hAnsi="Arial"/>
          <w:sz w:val="17"/>
          <w:szCs w:val="17"/>
          <w:color w:val="auto"/>
        </w:rPr>
        <w:t>”), evidenced by the attached Warrant to Purchase Common Stock No. ____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w:t>
      </w:r>
      <w:r>
        <w:rPr>
          <w:rFonts w:ascii="Arial" w:cs="Arial" w:eastAsia="Arial" w:hAnsi="Arial"/>
          <w:sz w:val="18"/>
          <w:szCs w:val="18"/>
          <w:color w:val="auto"/>
        </w:rPr>
        <w:t>”). Capitalized terms used herein and not otherwise defined shall have the respective meanings set forth in the Warrant.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 Form of Exercise Price. The Holder intends that payment of the Exercise Price shall be made as:</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6"/>
          <w:szCs w:val="16"/>
          <w:color w:val="auto"/>
        </w:rPr>
        <w:t>____________ a “</w:t>
      </w:r>
      <w:r>
        <w:rPr>
          <w:rFonts w:ascii="Arial" w:cs="Arial" w:eastAsia="Arial" w:hAnsi="Arial"/>
          <w:sz w:val="16"/>
          <w:szCs w:val="16"/>
          <w:u w:val="single" w:color="auto"/>
          <w:color w:val="auto"/>
        </w:rPr>
        <w:t>Cash Exercise”</w:t>
      </w:r>
      <w:r>
        <w:rPr>
          <w:rFonts w:ascii="Arial" w:cs="Arial" w:eastAsia="Arial" w:hAnsi="Arial"/>
          <w:sz w:val="16"/>
          <w:szCs w:val="16"/>
          <w:color w:val="auto"/>
        </w:rPr>
        <w:t xml:space="preserve"> with respect to _________________ Warrant Shares; and/or</w:t>
      </w:r>
    </w:p>
    <w:p>
      <w:pPr>
        <w:spacing w:after="0" w:line="248" w:lineRule="exact"/>
        <w:rPr>
          <w:sz w:val="20"/>
          <w:szCs w:val="20"/>
          <w:color w:val="auto"/>
        </w:rPr>
      </w:pPr>
    </w:p>
    <w:p>
      <w:pPr>
        <w:ind w:left="4220"/>
        <w:spacing w:after="0"/>
        <w:rPr>
          <w:sz w:val="20"/>
          <w:szCs w:val="20"/>
          <w:color w:val="auto"/>
        </w:rPr>
      </w:pPr>
      <w:r>
        <w:rPr>
          <w:rFonts w:ascii="Arial" w:cs="Arial" w:eastAsia="Arial" w:hAnsi="Arial"/>
          <w:sz w:val="17"/>
          <w:szCs w:val="17"/>
          <w:color w:val="auto"/>
        </w:rPr>
        <w:t>____________ a “</w:t>
      </w:r>
      <w:r>
        <w:rPr>
          <w:rFonts w:ascii="Arial" w:cs="Arial" w:eastAsia="Arial" w:hAnsi="Arial"/>
          <w:sz w:val="17"/>
          <w:szCs w:val="17"/>
          <w:u w:val="single" w:color="auto"/>
          <w:color w:val="auto"/>
        </w:rPr>
        <w:t>Cashless Exercise”</w:t>
      </w:r>
      <w:r>
        <w:rPr>
          <w:rFonts w:ascii="Arial" w:cs="Arial" w:eastAsia="Arial" w:hAnsi="Arial"/>
          <w:sz w:val="17"/>
          <w:szCs w:val="17"/>
          <w:color w:val="auto"/>
        </w:rPr>
        <w:t xml:space="preserve"> with respect to _________________ Warrant Shares.</w:t>
      </w:r>
    </w:p>
    <w:p>
      <w:pPr>
        <w:spacing w:after="0" w:line="237" w:lineRule="exact"/>
        <w:rPr>
          <w:sz w:val="20"/>
          <w:szCs w:val="20"/>
          <w:color w:val="auto"/>
        </w:rPr>
      </w:pPr>
    </w:p>
    <w:p>
      <w:pPr>
        <w:jc w:val="both"/>
        <w:ind w:firstLine="656"/>
        <w:spacing w:after="0" w:line="263" w:lineRule="auto"/>
        <w:tabs>
          <w:tab w:leader="none" w:pos="846"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Payment of Exercise Price. In the event that the holder has elected a Cash Exercise with respect to some or all of the Warrant Shares to be issued pursuant hereto, the holder shall pay the Aggregate Exercise Price in the sum of $___________________ to the Company in accordance with the terms of the Warrant.</w:t>
      </w:r>
    </w:p>
    <w:p>
      <w:pPr>
        <w:spacing w:after="0" w:line="183" w:lineRule="exact"/>
        <w:rPr>
          <w:rFonts w:ascii="Arial" w:cs="Arial" w:eastAsia="Arial" w:hAnsi="Arial"/>
          <w:sz w:val="18"/>
          <w:szCs w:val="18"/>
          <w:color w:val="auto"/>
        </w:rPr>
      </w:pPr>
    </w:p>
    <w:p>
      <w:pPr>
        <w:ind w:left="840" w:hanging="184"/>
        <w:spacing w:after="0"/>
        <w:tabs>
          <w:tab w:leader="none" w:pos="8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Delivery of Warrant Shares. The Company shall deliver to the holder __________ Warrant Shares in accordance with the terms of the Warrant.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_______ Electronic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DTC Participant:</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DTC Number:</w:t>
            </w: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Name:</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800" w:type="dxa"/>
            <w:vAlign w:val="bottom"/>
          </w:tcPr>
          <w:p>
            <w:pPr>
              <w:ind w:left="1120"/>
              <w:spacing w:after="0"/>
              <w:rPr>
                <w:sz w:val="20"/>
                <w:szCs w:val="20"/>
                <w:color w:val="auto"/>
              </w:rPr>
            </w:pPr>
            <w:r>
              <w:rPr>
                <w:rFonts w:ascii="Arial" w:cs="Arial" w:eastAsia="Arial" w:hAnsi="Arial"/>
                <w:sz w:val="18"/>
                <w:szCs w:val="18"/>
                <w:color w:val="auto"/>
              </w:rPr>
              <w:t>Account Number:</w:t>
            </w: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tcPr>
          <w:p>
            <w:pPr>
              <w:spacing w:after="0"/>
              <w:rPr>
                <w:sz w:val="20"/>
                <w:szCs w:val="20"/>
                <w:color w:val="auto"/>
              </w:rPr>
            </w:pPr>
            <w:r>
              <w:rPr>
                <w:rFonts w:ascii="Arial" w:cs="Arial" w:eastAsia="Arial" w:hAnsi="Arial"/>
                <w:sz w:val="18"/>
                <w:szCs w:val="18"/>
                <w:color w:val="auto"/>
              </w:rPr>
              <w:t>_______ Physical Delivery</w:t>
            </w:r>
          </w:p>
        </w:tc>
        <w:tc>
          <w:tcPr>
            <w:tcW w:w="6720" w:type="dxa"/>
            <w:vAlign w:val="bottom"/>
            <w:gridSpan w:val="2"/>
          </w:tcPr>
          <w:p>
            <w:pPr>
              <w:ind w:left="1120"/>
              <w:spacing w:after="0"/>
              <w:rPr>
                <w:sz w:val="20"/>
                <w:szCs w:val="20"/>
                <w:color w:val="auto"/>
              </w:rPr>
            </w:pPr>
            <w:r>
              <w:rPr>
                <w:rFonts w:ascii="Arial" w:cs="Arial" w:eastAsia="Arial" w:hAnsi="Arial"/>
                <w:sz w:val="18"/>
                <w:szCs w:val="18"/>
                <w:color w:val="auto"/>
              </w:rPr>
              <w:t>Address:</w:t>
            </w:r>
          </w:p>
        </w:tc>
        <w:tc>
          <w:tcPr>
            <w:tcW w:w="0" w:type="dxa"/>
            <w:vAlign w:val="bottom"/>
          </w:tcPr>
          <w:p>
            <w:pPr>
              <w:spacing w:after="0"/>
              <w:rPr>
                <w:sz w:val="1"/>
                <w:szCs w:val="1"/>
                <w:color w:val="auto"/>
              </w:rPr>
            </w:pPr>
          </w:p>
        </w:tc>
      </w:tr>
      <w:tr>
        <w:trPr>
          <w:trHeight w:val="210"/>
        </w:trPr>
        <w:tc>
          <w:tcPr>
            <w:tcW w:w="4520" w:type="dxa"/>
            <w:vAlign w:val="bottom"/>
            <w:gridSpan w:val="2"/>
            <w:vMerge w:val="restart"/>
          </w:tcPr>
          <w:p>
            <w:pPr>
              <w:spacing w:after="0"/>
              <w:rPr>
                <w:sz w:val="20"/>
                <w:szCs w:val="20"/>
                <w:color w:val="auto"/>
              </w:rPr>
            </w:pPr>
            <w:r>
              <w:rPr>
                <w:rFonts w:ascii="Arial" w:cs="Arial" w:eastAsia="Arial" w:hAnsi="Arial"/>
                <w:sz w:val="18"/>
                <w:szCs w:val="18"/>
                <w:color w:val="auto"/>
              </w:rPr>
              <w:t>Date: _______________ __, ______</w:t>
            </w:r>
          </w:p>
        </w:tc>
        <w:tc>
          <w:tcPr>
            <w:tcW w:w="2800" w:type="dxa"/>
            <w:vAlign w:val="bottom"/>
          </w:tcPr>
          <w:p>
            <w:pPr>
              <w:spacing w:after="0"/>
              <w:rPr>
                <w:sz w:val="18"/>
                <w:szCs w:val="18"/>
                <w:color w:val="auto"/>
              </w:rPr>
            </w:pPr>
          </w:p>
        </w:tc>
        <w:tc>
          <w:tcPr>
            <w:tcW w:w="392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gridSpan w:val="2"/>
            <w:vMerge w:val="continue"/>
          </w:tcPr>
          <w:p>
            <w:pPr>
              <w:spacing w:after="0"/>
              <w:rPr>
                <w:sz w:val="18"/>
                <w:szCs w:val="18"/>
                <w:color w:val="auto"/>
              </w:rPr>
            </w:pPr>
          </w:p>
        </w:tc>
        <w:tc>
          <w:tcPr>
            <w:tcW w:w="2800" w:type="dxa"/>
            <w:vAlign w:val="bottom"/>
          </w:tcPr>
          <w:p>
            <w:pPr>
              <w:spacing w:after="0"/>
              <w:rPr>
                <w:sz w:val="18"/>
                <w:szCs w:val="18"/>
                <w:color w:val="auto"/>
              </w:rPr>
            </w:pPr>
          </w:p>
        </w:tc>
        <w:tc>
          <w:tcPr>
            <w:tcW w:w="3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4520" w:type="dxa"/>
            <w:vAlign w:val="bottom"/>
            <w:gridSpan w:val="2"/>
            <w:vMerge w:val="continue"/>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4520" w:type="dxa"/>
            <w:vAlign w:val="bottom"/>
            <w:tcBorders>
              <w:bottom w:val="single" w:sz="8" w:color="auto"/>
            </w:tcBorders>
            <w:gridSpan w:val="2"/>
          </w:tcPr>
          <w:p>
            <w:pPr>
              <w:spacing w:after="0"/>
              <w:rPr>
                <w:sz w:val="24"/>
                <w:szCs w:val="24"/>
                <w:color w:val="auto"/>
              </w:rPr>
            </w:pP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520" w:type="dxa"/>
            <w:vAlign w:val="bottom"/>
            <w:gridSpan w:val="2"/>
          </w:tcPr>
          <w:p>
            <w:pPr>
              <w:ind w:left="180"/>
              <w:spacing w:after="0"/>
              <w:rPr>
                <w:sz w:val="20"/>
                <w:szCs w:val="20"/>
                <w:color w:val="auto"/>
              </w:rPr>
            </w:pPr>
            <w:r>
              <w:rPr>
                <w:rFonts w:ascii="Arial" w:cs="Arial" w:eastAsia="Arial" w:hAnsi="Arial"/>
                <w:sz w:val="18"/>
                <w:szCs w:val="18"/>
                <w:color w:val="auto"/>
              </w:rPr>
              <w:t>Name of Registered Holder</w:t>
            </w:r>
          </w:p>
        </w:tc>
        <w:tc>
          <w:tcPr>
            <w:tcW w:w="280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4"/>
        </w:trPr>
        <w:tc>
          <w:tcPr>
            <w:tcW w:w="4520" w:type="dxa"/>
            <w:vAlign w:val="bottom"/>
            <w:gridSpan w:val="2"/>
          </w:tcPr>
          <w:p>
            <w:pPr>
              <w:spacing w:after="0"/>
              <w:rPr>
                <w:sz w:val="20"/>
                <w:szCs w:val="20"/>
                <w:color w:val="auto"/>
              </w:rPr>
            </w:pPr>
            <w:r>
              <w:rPr>
                <w:rFonts w:ascii="Arial" w:cs="Arial" w:eastAsia="Arial" w:hAnsi="Arial"/>
                <w:sz w:val="18"/>
                <w:szCs w:val="18"/>
                <w:color w:val="auto"/>
              </w:rPr>
              <w:t>By:</w:t>
            </w:r>
          </w:p>
        </w:tc>
        <w:tc>
          <w:tcPr>
            <w:tcW w:w="28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580" w:type="dxa"/>
            <w:vAlign w:val="bottom"/>
          </w:tcPr>
          <w:p>
            <w:pPr>
              <w:spacing w:after="0"/>
              <w:rPr>
                <w:sz w:val="16"/>
                <w:szCs w:val="16"/>
                <w:color w:val="auto"/>
              </w:rPr>
            </w:pPr>
          </w:p>
        </w:tc>
        <w:tc>
          <w:tcPr>
            <w:tcW w:w="39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280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Title:</w:t>
            </w:r>
          </w:p>
        </w:tc>
        <w:tc>
          <w:tcPr>
            <w:tcW w:w="280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5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ind w:left="960"/>
              <w:spacing w:after="0"/>
              <w:rPr>
                <w:sz w:val="20"/>
                <w:szCs w:val="20"/>
                <w:color w:val="auto"/>
              </w:rPr>
            </w:pPr>
            <w:r>
              <w:rPr>
                <w:rFonts w:ascii="Arial" w:cs="Arial" w:eastAsia="Arial" w:hAnsi="Arial"/>
                <w:sz w:val="22"/>
                <w:szCs w:val="22"/>
                <w:color w:val="auto"/>
              </w:rPr>
              <w:t>14</w:t>
            </w:r>
          </w:p>
        </w:tc>
        <w:tc>
          <w:tcPr>
            <w:tcW w:w="3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ACKNOWLEDGMENT</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hereby acknowledges this Exercise Notice and hereby directs American Stock Transfer &amp; Trust Company, LLC to issue the above indicated number of shares of Common Stock in accordance with the Exercise Notice.</w:t>
      </w:r>
    </w:p>
    <w:p>
      <w:pPr>
        <w:spacing w:after="0" w:line="166"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Chrysler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-121920</wp:posOffset>
            </wp:positionV>
            <wp:extent cx="694055" cy="8915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4055" cy="891540"/>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666 Third Avenue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212 935 3000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color w:val="auto"/>
        </w:rPr>
        <w:t>March 19, 2020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15 West 38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10</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w:t>
      </w:r>
    </w:p>
    <w:p>
      <w:pPr>
        <w:spacing w:after="0"/>
        <w:rPr>
          <w:sz w:val="20"/>
          <w:szCs w:val="20"/>
          <w:color w:val="auto"/>
        </w:rPr>
      </w:pPr>
      <w:r>
        <w:rPr>
          <w:rFonts w:ascii="Arial" w:cs="Arial" w:eastAsia="Arial" w:hAnsi="Arial"/>
          <w:sz w:val="18"/>
          <w:szCs w:val="18"/>
          <w:color w:val="auto"/>
        </w:rPr>
        <w:t>New York, NY 10018</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acted as counsel to XpresSpa Group,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in connection with the preparation and filing with the Securities and Exchange Commission (the “</w:t>
      </w:r>
      <w:r>
        <w:rPr>
          <w:rFonts w:ascii="Arial" w:cs="Arial" w:eastAsia="Arial" w:hAnsi="Arial"/>
          <w:sz w:val="17"/>
          <w:szCs w:val="17"/>
          <w:u w:val="single" w:color="auto"/>
          <w:color w:val="auto"/>
        </w:rPr>
        <w:t>Commission</w:t>
      </w:r>
      <w:r>
        <w:rPr>
          <w:rFonts w:ascii="Arial" w:cs="Arial" w:eastAsia="Arial" w:hAnsi="Arial"/>
          <w:sz w:val="17"/>
          <w:szCs w:val="17"/>
          <w:color w:val="auto"/>
        </w:rPr>
        <w:t>”) of a Prospectus Supplement, dated March 19, 2020, to a Prospectus, dated July 30, 2019 (the “</w:t>
      </w:r>
      <w:r>
        <w:rPr>
          <w:rFonts w:ascii="Arial" w:cs="Arial" w:eastAsia="Arial" w:hAnsi="Arial"/>
          <w:sz w:val="17"/>
          <w:szCs w:val="17"/>
          <w:u w:val="single" w:color="auto"/>
          <w:color w:val="auto"/>
        </w:rPr>
        <w:t>Prospectus and Prospectus Supplement</w:t>
      </w:r>
      <w:r>
        <w:rPr>
          <w:rFonts w:ascii="Arial" w:cs="Arial" w:eastAsia="Arial" w:hAnsi="Arial"/>
          <w:sz w:val="17"/>
          <w:szCs w:val="17"/>
          <w:color w:val="auto"/>
        </w:rPr>
        <w:t>”), filed pursuant to a Registration Statement on Form S-3, Registration No. 333-232764 (the “</w:t>
      </w:r>
      <w:r>
        <w:rPr>
          <w:rFonts w:ascii="Arial" w:cs="Arial" w:eastAsia="Arial" w:hAnsi="Arial"/>
          <w:sz w:val="17"/>
          <w:szCs w:val="17"/>
          <w:u w:val="single" w:color="auto"/>
          <w:color w:val="auto"/>
        </w:rPr>
        <w:t>Registration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Statement</w:t>
      </w:r>
      <w:r>
        <w:rPr>
          <w:rFonts w:ascii="Arial" w:cs="Arial" w:eastAsia="Arial" w:hAnsi="Arial"/>
          <w:sz w:val="17"/>
          <w:szCs w:val="17"/>
          <w:color w:val="auto"/>
        </w:rPr>
        <w:t>”) and filed by the Company with the Commission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Prospectus Supplement relates to the sale of an aggregate of (i) 4,153,383 shares (the “</w:t>
      </w:r>
      <w:r>
        <w:rPr>
          <w:rFonts w:ascii="Arial" w:cs="Arial" w:eastAsia="Arial" w:hAnsi="Arial"/>
          <w:sz w:val="17"/>
          <w:szCs w:val="17"/>
          <w:u w:val="single" w:color="auto"/>
          <w:color w:val="auto"/>
        </w:rPr>
        <w:t>Shares</w:t>
      </w:r>
      <w:r>
        <w:rPr>
          <w:rFonts w:ascii="Arial" w:cs="Arial" w:eastAsia="Arial" w:hAnsi="Arial"/>
          <w:sz w:val="17"/>
          <w:szCs w:val="17"/>
          <w:color w:val="auto"/>
        </w:rPr>
        <w:t>”) of the Company’s common stock, par value $0.01 per share (the “</w:t>
      </w:r>
      <w:r>
        <w:rPr>
          <w:rFonts w:ascii="Arial" w:cs="Arial" w:eastAsia="Arial" w:hAnsi="Arial"/>
          <w:sz w:val="17"/>
          <w:szCs w:val="17"/>
          <w:u w:val="single" w:color="auto"/>
          <w:color w:val="auto"/>
        </w:rPr>
        <w:t>Common Stock</w:t>
      </w:r>
      <w:r>
        <w:rPr>
          <w:rFonts w:ascii="Arial" w:cs="Arial" w:eastAsia="Arial" w:hAnsi="Arial"/>
          <w:sz w:val="17"/>
          <w:szCs w:val="17"/>
          <w:color w:val="auto"/>
        </w:rPr>
        <w:t>”) and (ii) pre-funded warrants (the “</w:t>
      </w:r>
      <w:r>
        <w:rPr>
          <w:rFonts w:ascii="Arial" w:cs="Arial" w:eastAsia="Arial" w:hAnsi="Arial"/>
          <w:sz w:val="17"/>
          <w:szCs w:val="17"/>
          <w:u w:val="single" w:color="auto"/>
          <w:color w:val="auto"/>
        </w:rPr>
        <w:t>Pre-Funded Warrants</w:t>
      </w:r>
      <w:r>
        <w:rPr>
          <w:rFonts w:ascii="Arial" w:cs="Arial" w:eastAsia="Arial" w:hAnsi="Arial"/>
          <w:sz w:val="17"/>
          <w:szCs w:val="17"/>
          <w:color w:val="auto"/>
        </w:rPr>
        <w:t>”) to purchase up to 2,132,333 shares of Common Stock (the “</w:t>
      </w:r>
      <w:r>
        <w:rPr>
          <w:rFonts w:ascii="Arial" w:cs="Arial" w:eastAsia="Arial" w:hAnsi="Arial"/>
          <w:sz w:val="17"/>
          <w:szCs w:val="17"/>
          <w:u w:val="single" w:color="auto"/>
          <w:color w:val="auto"/>
        </w:rPr>
        <w:t>Warrant Shares</w:t>
      </w:r>
      <w:r>
        <w:rPr>
          <w:rFonts w:ascii="Arial" w:cs="Arial" w:eastAsia="Arial" w:hAnsi="Arial"/>
          <w:sz w:val="17"/>
          <w:szCs w:val="17"/>
          <w:color w:val="auto"/>
        </w:rPr>
        <w:t>” and, collectively with the Shares and the Pre-Funded Warrants, the “</w:t>
      </w:r>
      <w:r>
        <w:rPr>
          <w:rFonts w:ascii="Arial" w:cs="Arial" w:eastAsia="Arial" w:hAnsi="Arial"/>
          <w:sz w:val="17"/>
          <w:szCs w:val="17"/>
          <w:u w:val="single" w:color="auto"/>
          <w:color w:val="auto"/>
        </w:rPr>
        <w:t>Securities</w:t>
      </w:r>
      <w:r>
        <w:rPr>
          <w:rFonts w:ascii="Arial" w:cs="Arial" w:eastAsia="Arial" w:hAnsi="Arial"/>
          <w:sz w:val="17"/>
          <w:szCs w:val="17"/>
          <w:color w:val="auto"/>
        </w:rPr>
        <w:t>”), pursuant to a Securities Purchase Agreement, dated March 19, 2020, between the Company and the purchasers named therein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The Purchase Agreement will be filed as an exhibit to a Current Report on Form 8-K and incorporated by reference into the Registration Statement. This opinion is being rendered in connection with the filing of the Prospectus Supplement with the Commission. All capitalized terms used herein and not otherwise defined shall have the respective meanings given to them in the Registration Statement.</w:t>
      </w:r>
    </w:p>
    <w:p>
      <w:pPr>
        <w:spacing w:after="0" w:line="18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connection with this opinion, we have (i) examined and relied upon: (A) the Registration Statement, the Prospectus and the Prospectus Supplement, (B) the form of the Pre-Funded Warrants to be filed as an exhibit to the Registration Statement, (C) the Company’s Amended and Restated Certificate of Incorporation and Amended and Restated Bylaws, as currently in effect and (D) the originals or copies certified to our satisfaction of such records, documents, certificates, memoranda and other instruments as in our judgment are necessary or appropriate to enable us to render the opinion expressed below; and (ii) assumed that the Securities to be sold by the Company will be sold at a price and on terms established by the Board of Directors of the Company or a duly constituted pricing committee thereof in accordance with Section 153 of the Delaware General Corporation Law. As to certain factual matters, we have relied upon a certificate of an officer of the Company and have not independently verified such matters. In rendering this opinion, we have assumed the genuineness and authenticity of all signatures on signed documents;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where due authorization, execution and delivery are a prerequisite to the effectiveness thereof (except we have not made such assumption with respect to the Company).</w:t>
      </w:r>
    </w:p>
    <w:p>
      <w:pPr>
        <w:spacing w:after="0" w:line="17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opinion is limited to the General Corporation Law of the State of Delaware and, as to the Pre-Funded Warrants constituting valid and binding obligations of the Company, the laws of the State of New York, and we express no opinion with respect to the laws of any other jurisdiction. No opinion is expressed herein with respect to the qualification of the Shares under the securities or blue sky laws of any state or any foreign jurisdiction.</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regard to our opinion concerning the Pre-Funded Warrants constituting valid and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656"/>
        <w:spacing w:after="0" w:line="311" w:lineRule="auto"/>
        <w:tabs>
          <w:tab w:leader="none" w:pos="879"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opinion is subject to, and may be limited by, (a) applicable bankruptcy, reorganization, insolvency, moratorium, fraudulent conveyance, debtor and creditor, and similar laws which relate to or affect creditors’ rights generally, and (b) general principles of equity (including, without limitation, concepts of materiality, reasonableness, good faith and fair dealing) regardless of whether considered in a proceeding in equity or at law.</w:t>
      </w:r>
    </w:p>
    <w:p>
      <w:pPr>
        <w:spacing w:after="0" w:line="148" w:lineRule="exact"/>
        <w:rPr>
          <w:rFonts w:ascii="Arial" w:cs="Arial" w:eastAsia="Arial" w:hAnsi="Arial"/>
          <w:sz w:val="16"/>
          <w:szCs w:val="16"/>
          <w:color w:val="auto"/>
        </w:rPr>
      </w:pPr>
    </w:p>
    <w:p>
      <w:pPr>
        <w:ind w:right="20" w:firstLine="656"/>
        <w:spacing w:after="0" w:line="277" w:lineRule="auto"/>
        <w:tabs>
          <w:tab w:leader="none" w:pos="92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opinion is subject to the qualification that the availability of specific performance, an injunction or other equitable remedies is subject to the discretion of the court before which the request is brought.</w:t>
      </w:r>
    </w:p>
    <w:p>
      <w:pPr>
        <w:spacing w:after="0" w:line="170" w:lineRule="exact"/>
        <w:rPr>
          <w:rFonts w:ascii="Arial" w:cs="Arial" w:eastAsia="Arial" w:hAnsi="Arial"/>
          <w:sz w:val="18"/>
          <w:szCs w:val="18"/>
          <w:color w:val="auto"/>
        </w:rPr>
      </w:pPr>
    </w:p>
    <w:p>
      <w:pPr>
        <w:jc w:val="both"/>
        <w:ind w:firstLine="656"/>
        <w:spacing w:after="0" w:line="293" w:lineRule="auto"/>
        <w:tabs>
          <w:tab w:leader="none" w:pos="972"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express no opinion as to any provision of the Pre-Funded Warrants that: (a) provides for liquidated damages, buy-in damages, monetary penalties, prepayment or make-whole payments or other economic remedies to the extent such provisions may constitute unlawful penalties, (b) relates to advance waivers of claims, defenses, rights granted by law, or notice, opportunity for hearing, evidentiary requirements, statutes of limitations, trial by jury, or procedural rights, (c) restricts non-written modifications and waivers, (d) provides for the payment of legal and other professional fees where such payment is contrary to law or public policy, (e) relates to exclusivity, election or accumulation of rights or remedies, or (f) provides that provisions of the Pre-Funded Warrants are severable to the extent an essential part of the agreed exchange is determined to be invalid and unenforceable.</w:t>
      </w:r>
    </w:p>
    <w:p>
      <w:pPr>
        <w:spacing w:after="0" w:line="164" w:lineRule="exact"/>
        <w:rPr>
          <w:rFonts w:ascii="Arial" w:cs="Arial" w:eastAsia="Arial" w:hAnsi="Arial"/>
          <w:sz w:val="16"/>
          <w:szCs w:val="16"/>
          <w:color w:val="auto"/>
        </w:rPr>
      </w:pPr>
    </w:p>
    <w:p>
      <w:pPr>
        <w:ind w:firstLine="656"/>
        <w:spacing w:after="0" w:line="277" w:lineRule="auto"/>
        <w:tabs>
          <w:tab w:leader="none" w:pos="956"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express no opinion as to whether a state court outside of the State of New York or a federal court of the United States would give effect to the choice of New York law provided for in the Pre-Funded Warrants.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With respect to the Warrant Shares, we express no opinion to the extent that, notwithstanding its current reservation of shares of Common Stock, future issuances of securities, including the Warrant Shares, of the Company and/or adjustments to outstanding securities, including the Pre-Funded Warrants, of the Company may cause the Pre-Funded Warrants to be exercisable for more shares of Common Stock than the number that remain authorized but unissued. Further, we have assumed the Exercise Price (as defined in the Pre-Funded Warrants) will not be adjusted to an amount below the par value per share of the Common Stock.</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the basis of the foregoing, and in reliance thereon, we are of the opinion that (i) the Shares, when sold and issued in accordance with the Registration Statement, the Prospectus and the Prospectus Supplement, will be validly issued, fully paid and nonassessable, (ii) provided that the Pre-Funded Warrants have been duly executed and delivered by the Company and duly delivered to the purchasers thereof against payment therefor, the Pre-Funded Warrants, when sold and issued as contemplated in the Registration Statement, the Prospectus and the Prospectus Supplement, will be valid and binding obligations of the Company, and (iii) the Warrant Shares, when issued and paid for in accordance with the terms of the Pre-Funded Warrants, will be validly issued, fully paid and non-assessable.</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hereby consent to the filing of this opinion as an exhibit to a Current Report on Form 8-K in accordance with the requirements of Item 601(b)</w:t>
      </w:r>
    </w:p>
    <w:p>
      <w:pPr>
        <w:spacing w:after="0" w:line="46" w:lineRule="exact"/>
        <w:rPr>
          <w:sz w:val="20"/>
          <w:szCs w:val="20"/>
          <w:color w:val="auto"/>
        </w:rPr>
      </w:pPr>
    </w:p>
    <w:p>
      <w:pPr>
        <w:jc w:val="both"/>
        <w:ind w:firstLine="8"/>
        <w:spacing w:after="0" w:line="255" w:lineRule="auto"/>
        <w:tabs>
          <w:tab w:leader="none" w:pos="276"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Regulation S-K under the Securities Act and to the use of this Firm’s name therein and in the Prospectus Supplement under the caption “Legal Matters.” In giving such consent, we do not hereby admit that we are in the category of persons whose consent is required under Section 7 of the Securities Act or the rules and regulations of the Commission.</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Mintz, Levin, Cohn, Ferris, Glovsky and Popeo, P.C.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2" w:name="page33"/>
    <w:bookmarkEnd w:id="32"/>
    <w:p>
      <w:pPr>
        <w:ind w:left="10260"/>
        <w:spacing w:after="0"/>
        <w:rPr>
          <w:sz w:val="20"/>
          <w:szCs w:val="20"/>
          <w:color w:val="auto"/>
        </w:rPr>
      </w:pPr>
      <w:r>
        <w:rPr>
          <w:rFonts w:ascii="Arial" w:cs="Arial" w:eastAsia="Arial" w:hAnsi="Arial"/>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PURCHASE AGREEMENT</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This Securities Purchase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March 19, 2020, between XpresSpa Group,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each purchaser identified on the signature pages hereto (each, including its successors and assigns, a “</w:t>
      </w:r>
      <w:r>
        <w:rPr>
          <w:rFonts w:ascii="Arial" w:cs="Arial" w:eastAsia="Arial" w:hAnsi="Arial"/>
          <w:sz w:val="18"/>
          <w:szCs w:val="18"/>
          <w:u w:val="single" w:color="auto"/>
          <w:color w:val="auto"/>
        </w:rPr>
        <w:t>Purchaser</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Purchasers</w:t>
      </w:r>
      <w:r>
        <w:rPr>
          <w:rFonts w:ascii="Arial" w:cs="Arial" w:eastAsia="Arial" w:hAnsi="Arial"/>
          <w:sz w:val="18"/>
          <w:szCs w:val="18"/>
          <w:color w:val="auto"/>
        </w:rPr>
        <w:t>”).</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subject to the terms and conditions set forth in this Agreement and pursuant to (i) an effective registration statement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the Company desires to issue and sell to each Purchaser, and each Purchaser, severally and not jointly, desires to purchase from the Company, securities of the Company as more fully described in this Agreement.</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In addition to the terms defined elsewhere in this Agreement, for all purposes of this Agreement, the following terms have the meanings set forth in this Section 1.1:</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Acquiring Person</w:t>
      </w:r>
      <w:r>
        <w:rPr>
          <w:rFonts w:ascii="Arial" w:cs="Arial" w:eastAsia="Arial" w:hAnsi="Arial"/>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shall have the meaning ascribed to such term in Section 3.1(j).</w:t>
      </w:r>
    </w:p>
    <w:p>
      <w:pPr>
        <w:spacing w:after="0" w:line="225" w:lineRule="exact"/>
        <w:rPr>
          <w:sz w:val="20"/>
          <w:szCs w:val="20"/>
          <w:color w:val="auto"/>
        </w:rPr>
      </w:pPr>
    </w:p>
    <w:p>
      <w:pPr>
        <w:jc w:val="both"/>
        <w:ind w:left="66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jc w:val="both"/>
        <w:ind w:left="660"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means any day except any Saturday, any Sunday, any day which is a federal legal holiday in the United States or any day on which banking institutions in the State of New York are authorized or required by law or other governmental action to close.</w:t>
      </w:r>
    </w:p>
    <w:p>
      <w:pPr>
        <w:spacing w:after="0" w:line="146"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means the closing of the purchase and sale of the Securities pursuant to Section 2.1.</w:t>
      </w:r>
    </w:p>
    <w:p>
      <w:pPr>
        <w:spacing w:after="0" w:line="225" w:lineRule="exact"/>
        <w:rPr>
          <w:sz w:val="20"/>
          <w:szCs w:val="20"/>
          <w:color w:val="auto"/>
        </w:rPr>
      </w:pPr>
    </w:p>
    <w:p>
      <w:pPr>
        <w:jc w:val="both"/>
        <w:ind w:left="660"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Securities, in each case, have been satisfied or waived, but in no event later than the second (2nd) Trading Day following the date hereof.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Price</w:t>
      </w:r>
      <w:r>
        <w:rPr>
          <w:rFonts w:ascii="Arial" w:cs="Arial" w:eastAsia="Arial" w:hAnsi="Arial"/>
          <w:sz w:val="18"/>
          <w:szCs w:val="18"/>
          <w:color w:val="auto"/>
        </w:rPr>
        <w:t>” means, for any date, the price determined by the first of the following clauses that applies: (a) if the Common Stock is then listed or quoted on a Trading Market, the closing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closing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Commission</w:t>
      </w:r>
      <w:r>
        <w:rPr>
          <w:rFonts w:ascii="Arial" w:cs="Arial" w:eastAsia="Arial" w:hAnsi="Arial"/>
          <w:sz w:val="18"/>
          <w:szCs w:val="18"/>
          <w:color w:val="auto"/>
        </w:rPr>
        <w:t>” means the United States Securities and Exchange Commission.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of the Company, par value $0.01 per share, and any other class of securities into which such securities may hereafter be reclassified or changed.</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Common Stock Equivalents</w:t>
      </w:r>
      <w:r>
        <w:rPr>
          <w:rFonts w:ascii="Arial" w:cs="Arial" w:eastAsia="Arial" w:hAnsi="Arial"/>
          <w:sz w:val="17"/>
          <w:szCs w:val="17"/>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Counsel</w:t>
      </w:r>
      <w:r>
        <w:rPr>
          <w:rFonts w:ascii="Arial" w:cs="Arial" w:eastAsia="Arial" w:hAnsi="Arial"/>
          <w:sz w:val="18"/>
          <w:szCs w:val="18"/>
          <w:color w:val="auto"/>
        </w:rPr>
        <w:t>” means, Mintz, Levin, Cohn, Ferris, Glovsky and Popeo, P.C., Chrysler Center, 666 3rd Avenue, New York, NY 10017, Attn: Kenneth R. Koch, Esq., email: krkoch@mintz.com.</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means the Disclosure Schedules of the Company delivered concurrently herewith.</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Time</w:t>
      </w:r>
      <w:r>
        <w:rPr>
          <w:rFonts w:ascii="Arial" w:cs="Arial" w:eastAsia="Arial" w:hAnsi="Arial"/>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EGS</w:t>
      </w:r>
      <w:r>
        <w:rPr>
          <w:rFonts w:ascii="Arial" w:cs="Arial" w:eastAsia="Arial" w:hAnsi="Arial"/>
          <w:sz w:val="17"/>
          <w:szCs w:val="17"/>
          <w:color w:val="auto"/>
        </w:rPr>
        <w:t>” means Ellenoff Grossman &amp; Schole LLP, with offices located at 1345 Avenue of the Americas, New York, New York 10105-</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0302.</w:t>
      </w: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Evaluation Date</w:t>
      </w:r>
      <w:r>
        <w:rPr>
          <w:rFonts w:ascii="Arial" w:cs="Arial" w:eastAsia="Arial" w:hAnsi="Arial"/>
          <w:sz w:val="18"/>
          <w:szCs w:val="18"/>
          <w:color w:val="auto"/>
        </w:rPr>
        <w:t>” shall have the meaning ascribed to such term in Section 3.1(s).</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4" w:name="page35"/>
    <w:bookmarkEnd w:id="34"/>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Exchange Act</w:t>
      </w:r>
      <w:r>
        <w:rPr>
          <w:rFonts w:ascii="Arial" w:cs="Arial" w:eastAsia="Arial" w:hAnsi="Arial"/>
          <w:sz w:val="17"/>
          <w:szCs w:val="17"/>
          <w:color w:val="auto"/>
        </w:rPr>
        <w:t>” means the Securities Exchange Act of 1934, as amended, and the rules and regulations promulgated thereunder.</w:t>
      </w:r>
    </w:p>
    <w:p>
      <w:pPr>
        <w:spacing w:after="0" w:line="237"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Exempt Issuance</w:t>
      </w:r>
      <w:r>
        <w:rPr>
          <w:rFonts w:ascii="Arial" w:cs="Arial" w:eastAsia="Arial" w:hAnsi="Arial"/>
          <w:sz w:val="16"/>
          <w:szCs w:val="16"/>
          <w:color w:val="auto"/>
        </w:rPr>
        <w:t>” means the issuance of (a) shares of Common Stock and options to officers, directors, employees or consultants of the Company after the Closing Date pursuant to plans approved by the shareholders of the Company and which issuances are approved by a majority of the independent members of a committee of the board of directors (provided, if to consultants, not in excess of 100,000 shares of common stock or common stock equivalents in any 30 day period, subject to adjustment for reverse and forward stock splits and the like, provided, further that such securities are restricted for transfer for at least a period of 180 days following the Closing Date), (b) securities upon the exercise or exchange of or conversion of any Securities issued hereunder and/or other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provided that such securities are issued as “restricted securities” (as defined in Rule 144) and carry no registration rights that require or permit the filing of any registration statement in connection therewith from the date hereof until 180 days after the Closing Date, (d) securities as payment for investment banking services provided to the Company (provided not in excess of 250,000 shares of common stock or common stock equivalents in any 12-month period, subject to adjustment for reverse and forward stock splits and the like. provided, further that such securities are restricted for transfer for at least a period of 180 days following the Closing Date), (e) shares of Common Stock issued to third party vendors as payment for goods or services (provided, if to consultants, not in excess of 250,000 shares of common stock or common stock equivalents in any 30 day period, subject to adjustment for reverse and forward stock splits and the like, provided, further that such securities are restricted for transfer for at least a period of 180 days following the Closing Date), (f) shares of Common Stock issued to the Company’s Airport Concession Disadvantaged Business Enterprise partners, (g) Common Stock issued as payment of interest pursuant to that certain Credit Agreement dated as of April 22, 2015, as subsequently amended, by and between XpresSpa Holdings, LLC and B3D, LLC (the “B3D Credit Agreement”) and (h) securities issued as payment of interest pursuant to that certain unsecured convertible note dated as July 8, 2019 by and between the Company and Calm.com, Inc., provided that such securities are issued as “restricted securities” (as defined in Rule 144) and carry no registration rights that require or permit the filing of any registration statement in connection therewith from the date hereof until 180 days after the Closing Date.</w:t>
      </w:r>
    </w:p>
    <w:p>
      <w:pPr>
        <w:spacing w:after="0" w:line="38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5" w:name="page36"/>
    <w:bookmarkEnd w:id="35"/>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FCPA</w:t>
      </w:r>
      <w:r>
        <w:rPr>
          <w:rFonts w:ascii="Arial" w:cs="Arial" w:eastAsia="Arial" w:hAnsi="Arial"/>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w:t>
      </w:r>
      <w:r>
        <w:rPr>
          <w:rFonts w:ascii="Arial" w:cs="Arial" w:eastAsia="Arial" w:hAnsi="Arial"/>
          <w:sz w:val="18"/>
          <w:szCs w:val="18"/>
          <w:color w:val="auto"/>
        </w:rPr>
        <w:t>” means Palladium Capital Advisors LLC.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 Rights</w:t>
      </w:r>
      <w:r>
        <w:rPr>
          <w:rFonts w:ascii="Arial" w:cs="Arial" w:eastAsia="Arial" w:hAnsi="Arial"/>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Legend Removal Date</w:t>
      </w:r>
      <w:r>
        <w:rPr>
          <w:rFonts w:ascii="Arial" w:cs="Arial" w:eastAsia="Arial" w:hAnsi="Arial"/>
          <w:sz w:val="18"/>
          <w:szCs w:val="18"/>
          <w:color w:val="auto"/>
        </w:rPr>
        <w:t>” shall have the meaning ascribed to such term in Section 4.1(c).</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Liens</w:t>
      </w:r>
      <w:r>
        <w:rPr>
          <w:rFonts w:ascii="Arial" w:cs="Arial" w:eastAsia="Arial" w:hAnsi="Arial"/>
          <w:sz w:val="17"/>
          <w:szCs w:val="17"/>
          <w:color w:val="auto"/>
        </w:rPr>
        <w:t>” means a lien, charge, pledge, security interest, encumbrance, right of first refusal, preemptive right or other restriction.</w:t>
      </w:r>
    </w:p>
    <w:p>
      <w:pPr>
        <w:spacing w:after="0" w:line="23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shall have the meaning assigned to such term in Section 3.1(b).</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w:t>
      </w:r>
      <w:r>
        <w:rPr>
          <w:rFonts w:ascii="Arial" w:cs="Arial" w:eastAsia="Arial" w:hAnsi="Arial"/>
          <w:sz w:val="16"/>
          <w:szCs w:val="16"/>
          <w:color w:val="auto"/>
        </w:rPr>
        <w:t>” means the individual and collective reference to the following: (a) Liens for taxes, assessments and other governmental charges or levies not yet due or Liens for taxes, assessments and other governmental charges or levies being contested in good faith and by appropriate proceedings for which adequate reserves (in the good faith judgment of the management of the Company) have been established in accordance with GAAP, (b) Liens imposed by law which were incurred in the ordinary course of the Company’s business, such as carriers’, warehousemen’s and mechanics’ Liens, statutory landlords’ Liens, and other similar Liens arising in the ordinary course of the Company’s business, and which (x) do not individually or in the aggregate materially detract from the value of such property or assets or materially impair the use thereof in the operation of the business of Company and its consolidated Subsidiaries or (y) are being contested in good faith by appropriate proceedings, which proceedings have the effect of preventing for the foreseeable future the forfeiture or sale of the property or asset subject to such Liens, and (c) Liens existing on the date hereof, (d) Liens incurred in connection with the construction, development and/or remodeling of existing XpresSpa locations, provided that such Liens only relate to the assets of the Subsidiary which owns and/or operates such location and only in the assets of such location with respect to such construction, development and/or remodeling, (e) Liens to the extent arising solely from the filing of protective Uniform Commercial Code financing statements in respect of equipment leased to the Company or any Subsidiary in the ordinary course of its business under true, as opposed to finance, leases, only up to the value of such leased equipment, (f) Liens securing the performance of bids, trade contracts, leases, statutory obligations, surety and appeal bonds, performance bonds, and other obligations of like nature, in each case in the ordinary course of business, (g) any interest or title of a lessor of real property secured by a lessor’s interest in such real property under any lease, (h) easements, zoning restrictions, rights-of-way and similar encumbrances on real property imposed by law or arising in the ordinary course of business that do not secure any monetary obligations and do not materially detract from the value of the affected property or interfere with the ordinary conduct of business.</w:t>
      </w:r>
    </w:p>
    <w:p>
      <w:pPr>
        <w:spacing w:after="0" w:line="387"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6" w:name="page37"/>
    <w:bookmarkEnd w:id="36"/>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Purchase Price</w:t>
      </w:r>
      <w:r>
        <w:rPr>
          <w:rFonts w:ascii="Arial" w:cs="Arial" w:eastAsia="Arial" w:hAnsi="Arial"/>
          <w:sz w:val="18"/>
          <w:szCs w:val="18"/>
          <w:color w:val="auto"/>
        </w:rPr>
        <w:t>” equals $0.175,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 action, claim, suit, investigation or proceeding (including, without limitation, an informal investigation or partial proceeding, such as a deposition), whether commenced or threatened.</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means the final prospectus filed for the Registration Statement.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 Supplement</w:t>
      </w:r>
      <w:r>
        <w:rPr>
          <w:rFonts w:ascii="Arial" w:cs="Arial" w:eastAsia="Arial" w:hAnsi="Arial"/>
          <w:sz w:val="18"/>
          <w:szCs w:val="18"/>
          <w:color w:val="auto"/>
        </w:rPr>
        <w:t>” means the supplement to the Prospectus complying with Rule 424(b) of the Securities Act that is filed with the Commission and delivered by the Company to each Purchaser at the Closing.</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Purchaser Party</w:t>
      </w:r>
      <w:r>
        <w:rPr>
          <w:rFonts w:ascii="Arial" w:cs="Arial" w:eastAsia="Arial" w:hAnsi="Arial"/>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Warrants</w:t>
      </w:r>
      <w:r>
        <w:rPr>
          <w:rFonts w:ascii="Arial" w:cs="Arial" w:eastAsia="Arial" w:hAnsi="Arial"/>
          <w:sz w:val="18"/>
          <w:szCs w:val="18"/>
          <w:color w:val="auto"/>
        </w:rPr>
        <w:t xml:space="preserve">” means, collectively, the Common Stock purchase warrants delivered to the Purchasers at the Closing in accordance with Section 2.2(a) hereof, which Pre-Funded Warrants shall be exercisable immediately after their issuance,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Pre-Funded Warrant Shares</w:t>
      </w:r>
      <w:r>
        <w:rPr>
          <w:rFonts w:ascii="Arial" w:cs="Arial" w:eastAsia="Arial" w:hAnsi="Arial"/>
          <w:sz w:val="18"/>
          <w:szCs w:val="18"/>
          <w:color w:val="auto"/>
        </w:rPr>
        <w:t>” means the shares of Common Stock issuable upon exercise of the Pre-Funded Warrants.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w:t>
      </w:r>
      <w:r>
        <w:rPr>
          <w:rFonts w:ascii="Arial" w:cs="Arial" w:eastAsia="Arial" w:hAnsi="Arial"/>
          <w:sz w:val="18"/>
          <w:szCs w:val="18"/>
          <w:color w:val="auto"/>
        </w:rPr>
        <w:t>” means the effective registration statement with Commission file No. 333-232764 which registers the sale of the Securities to the Purchasers.</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Approvals</w:t>
      </w:r>
      <w:r>
        <w:rPr>
          <w:rFonts w:ascii="Arial" w:cs="Arial" w:eastAsia="Arial" w:hAnsi="Arial"/>
          <w:sz w:val="18"/>
          <w:szCs w:val="18"/>
          <w:color w:val="auto"/>
        </w:rPr>
        <w:t>” shall have the meaning ascribed to such term in Section 3.1(e).</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144</w:t>
      </w:r>
      <w:r>
        <w:rPr>
          <w:rFonts w:ascii="Arial" w:cs="Arial" w:eastAsia="Arial" w:hAnsi="Arial"/>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424</w:t>
      </w:r>
      <w:r>
        <w:rPr>
          <w:rFonts w:ascii="Arial" w:cs="Arial" w:eastAsia="Arial" w:hAnsi="Arial"/>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40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7" w:name="page38"/>
    <w:bookmarkEnd w:id="37"/>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Reports</w:t>
      </w:r>
      <w:r>
        <w:rPr>
          <w:rFonts w:ascii="Arial" w:cs="Arial" w:eastAsia="Arial" w:hAnsi="Arial"/>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w:t>
      </w:r>
      <w:r>
        <w:rPr>
          <w:rFonts w:ascii="Arial" w:cs="Arial" w:eastAsia="Arial" w:hAnsi="Arial"/>
          <w:sz w:val="18"/>
          <w:szCs w:val="18"/>
          <w:color w:val="auto"/>
        </w:rPr>
        <w:t>” means the Shares, the Pre-Funded Warrants and the Pre-Funded Warrant Shares.</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Short Sales</w:t>
      </w:r>
      <w:r>
        <w:rPr>
          <w:rFonts w:ascii="Arial" w:cs="Arial" w:eastAsia="Arial" w:hAnsi="Arial"/>
          <w:sz w:val="18"/>
          <w:szCs w:val="18"/>
          <w:color w:val="auto"/>
        </w:rPr>
        <w:t>” means all “short sales” as defined in Rule 200 of Regulation SHO under the Exchange Act (but shall not be deemed to include locating and/or borrowing shares of Common Stock).</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Subscription Amount</w:t>
      </w:r>
      <w:r>
        <w:rPr>
          <w:rFonts w:ascii="Arial" w:cs="Arial" w:eastAsia="Arial" w:hAnsi="Arial"/>
          <w:sz w:val="18"/>
          <w:szCs w:val="18"/>
          <w:color w:val="auto"/>
        </w:rPr>
        <w:t>” means, as to each Purchaser, the aggregate amount to be paid for Shares and Pre-Funded Warrants purchased hereunder at the Closing as specified below such Purchaser’s name on the signature page of this Agreement and next to the heading “Subscription Amount,” in United States dollars and in immediately available funds.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xml:space="preserve">” means any subsidiary of the Company as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and shall, where applicable, also include any direct or indirect subsidiary of the Company formed or acquired after the date hereof.</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Day</w:t>
      </w:r>
      <w:r>
        <w:rPr>
          <w:rFonts w:ascii="Arial" w:cs="Arial" w:eastAsia="Arial" w:hAnsi="Arial"/>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Trading Market</w:t>
      </w:r>
      <w:r>
        <w:rPr>
          <w:rFonts w:ascii="Arial" w:cs="Arial" w:eastAsia="Arial" w:hAnsi="Arial"/>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Pre-Funded Warrants, all exhibits and schedules thereto and hereto and any other documents or agreements executed in connection with the transactions contemplated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Agent</w:t>
      </w:r>
      <w:r>
        <w:rPr>
          <w:rFonts w:ascii="Arial" w:cs="Arial" w:eastAsia="Arial" w:hAnsi="Arial"/>
          <w:sz w:val="18"/>
          <w:szCs w:val="18"/>
          <w:color w:val="auto"/>
        </w:rPr>
        <w:t>” means American Stock Transfer &amp; Trust Company, LLC, located at 6201 15th Avenue, Brooklyn, NY 11219 and any successor transfer agent of the Company.</w:t>
      </w:r>
    </w:p>
    <w:p>
      <w:pPr>
        <w:spacing w:after="0" w:line="17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Variable Rate Transaction</w:t>
      </w:r>
      <w:r>
        <w:rPr>
          <w:rFonts w:ascii="Arial" w:cs="Arial" w:eastAsia="Arial" w:hAnsi="Arial"/>
          <w:sz w:val="18"/>
          <w:szCs w:val="18"/>
          <w:color w:val="auto"/>
        </w:rPr>
        <w:t>” shall have the meaning ascribed to such term in Section 4.11(b).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38" w:name="page39"/>
    <w:bookmarkEnd w:id="38"/>
    <w:p>
      <w:pPr>
        <w:jc w:val="both"/>
        <w:ind w:left="660"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VWAP</w:t>
      </w:r>
      <w:r>
        <w:rPr>
          <w:rFonts w:ascii="Arial" w:cs="Arial" w:eastAsia="Arial" w:hAnsi="Arial"/>
          <w:sz w:val="17"/>
          <w:szCs w:val="17"/>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in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Purchasers of a majority in interest of the Securities then outstanding and reasonably acceptable to the Company, the fees and expenses of which shall be paid by the Company.</w:t>
      </w:r>
    </w:p>
    <w:p>
      <w:pPr>
        <w:spacing w:after="0" w:line="181"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40" w:type="dxa"/>
            <w:vAlign w:val="bottom"/>
          </w:tcPr>
          <w:p>
            <w:pPr>
              <w:spacing w:after="0"/>
              <w:rPr>
                <w:sz w:val="19"/>
                <w:szCs w:val="19"/>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b w:val="1"/>
                <w:bCs w:val="1"/>
                <w:color w:val="auto"/>
              </w:rPr>
              <w:t>ARTICLE II.</w:t>
            </w:r>
          </w:p>
        </w:tc>
      </w:tr>
      <w:tr>
        <w:trPr>
          <w:trHeight w:val="230"/>
        </w:trPr>
        <w:tc>
          <w:tcPr>
            <w:tcW w:w="540" w:type="dxa"/>
            <w:vAlign w:val="bottom"/>
          </w:tcPr>
          <w:p>
            <w:pPr>
              <w:spacing w:after="0"/>
              <w:rPr>
                <w:sz w:val="20"/>
                <w:szCs w:val="20"/>
                <w:color w:val="auto"/>
              </w:rPr>
            </w:pPr>
          </w:p>
        </w:tc>
        <w:tc>
          <w:tcPr>
            <w:tcW w:w="10040" w:type="dxa"/>
            <w:vAlign w:val="bottom"/>
          </w:tcPr>
          <w:p>
            <w:pPr>
              <w:jc w:val="center"/>
              <w:ind w:right="1110"/>
              <w:spacing w:after="0"/>
              <w:rPr>
                <w:sz w:val="20"/>
                <w:szCs w:val="20"/>
                <w:color w:val="auto"/>
              </w:rPr>
            </w:pPr>
            <w:r>
              <w:rPr>
                <w:rFonts w:ascii="Arial" w:cs="Arial" w:eastAsia="Arial" w:hAnsi="Arial"/>
                <w:sz w:val="18"/>
                <w:szCs w:val="18"/>
                <w:color w:val="auto"/>
                <w:w w:val="96"/>
              </w:rPr>
              <w:t>PURCHASE AND SALE</w:t>
            </w:r>
          </w:p>
        </w:tc>
      </w:tr>
      <w:tr>
        <w:trPr>
          <w:trHeight w:val="432"/>
        </w:trPr>
        <w:tc>
          <w:tcPr>
            <w:tcW w:w="540" w:type="dxa"/>
            <w:vAlign w:val="bottom"/>
          </w:tcPr>
          <w:p>
            <w:pPr>
              <w:jc w:val="right"/>
              <w:ind w:right="230"/>
              <w:spacing w:after="0"/>
              <w:rPr>
                <w:sz w:val="20"/>
                <w:szCs w:val="20"/>
                <w:color w:val="auto"/>
              </w:rPr>
            </w:pPr>
            <w:r>
              <w:rPr>
                <w:rFonts w:ascii="Arial" w:cs="Arial" w:eastAsia="Arial" w:hAnsi="Arial"/>
                <w:sz w:val="18"/>
                <w:szCs w:val="18"/>
                <w:color w:val="auto"/>
                <w:w w:val="79"/>
              </w:rPr>
              <w:t>2.1</w:t>
            </w:r>
          </w:p>
        </w:tc>
        <w:tc>
          <w:tcPr>
            <w:tcW w:w="10040" w:type="dxa"/>
            <w:vAlign w:val="bottom"/>
          </w:tcPr>
          <w:p>
            <w:pPr>
              <w:ind w:left="320"/>
              <w:spacing w:after="0"/>
              <w:rPr>
                <w:sz w:val="20"/>
                <w:szCs w:val="20"/>
                <w:color w:val="auto"/>
              </w:rPr>
            </w:pPr>
            <w:r>
              <w:rPr>
                <w:rFonts w:ascii="Arial" w:cs="Arial" w:eastAsia="Arial" w:hAnsi="Arial"/>
                <w:sz w:val="18"/>
                <w:szCs w:val="18"/>
                <w:u w:val="single" w:color="auto"/>
                <w:color w:val="auto"/>
                <w:w w:val="90"/>
              </w:rPr>
              <w:t>Closing.</w:t>
            </w:r>
            <w:r>
              <w:rPr>
                <w:rFonts w:ascii="Arial" w:cs="Arial" w:eastAsia="Arial" w:hAnsi="Arial"/>
                <w:sz w:val="18"/>
                <w:szCs w:val="18"/>
                <w:color w:val="auto"/>
                <w:w w:val="90"/>
              </w:rPr>
              <w:t xml:space="preserve"> On the Closing Date, upon the terms and subject to the conditions set forth herein, substantially concurrent with the execution</w:t>
            </w:r>
          </w:p>
        </w:tc>
      </w:tr>
    </w:tbl>
    <w:p>
      <w:pPr>
        <w:jc w:val="both"/>
        <w:spacing w:after="0" w:line="270" w:lineRule="auto"/>
        <w:rPr>
          <w:sz w:val="20"/>
          <w:szCs w:val="20"/>
          <w:color w:val="auto"/>
        </w:rPr>
      </w:pPr>
      <w:r>
        <w:rPr>
          <w:rFonts w:ascii="Arial" w:cs="Arial" w:eastAsia="Arial" w:hAnsi="Arial"/>
          <w:sz w:val="17"/>
          <w:szCs w:val="17"/>
          <w:color w:val="auto"/>
        </w:rPr>
        <w:t>and delivery of this Agreement by the parties hereto, the Company agrees to sell, and the Purchasers, severally and not jointly, agree to purchase, an aggregate of up to $1,500,000 of Shares and Pre-Funded Warrants. Each Purchaser’s Subscription Amount for the Closing as set forth on the signature page hereto executed by such Purchaser shall be delivered to the Company in immediately available funds, and the Company shall deliver to each Purchaser its respective Shares and a Pre-Funded Warrant (if applicable), as determined pursuant to Section 2.2(a), and the Company and each Purchaser shall deliver the other items set forth in Section 2.2 deliverable at the Closing. Upon satisfaction of the covenants and conditions set forth in Sections 2.2 and 2.3, the Closing shall occur at the offices of EGS or such other location as the parties shall mutually agree.</w:t>
      </w:r>
    </w:p>
    <w:p>
      <w:pPr>
        <w:spacing w:after="0" w:line="178"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Deliveries</w:t>
      </w:r>
      <w:r>
        <w:rPr>
          <w:rFonts w:ascii="Arial" w:cs="Arial" w:eastAsia="Arial" w:hAnsi="Arial"/>
          <w:sz w:val="16"/>
          <w:szCs w:val="16"/>
          <w:color w:val="auto"/>
        </w:rPr>
        <w:t>.</w:t>
      </w:r>
    </w:p>
    <w:p>
      <w:pPr>
        <w:spacing w:after="0" w:line="225" w:lineRule="exact"/>
        <w:rPr>
          <w:sz w:val="20"/>
          <w:szCs w:val="20"/>
          <w:color w:val="auto"/>
        </w:rPr>
      </w:pPr>
    </w:p>
    <w:p>
      <w:pPr>
        <w:ind w:left="2180" w:hanging="876"/>
        <w:spacing w:after="0"/>
        <w:tabs>
          <w:tab w:leader="none" w:pos="21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 or prior to the Closing Date, the Company shall deliver or cause to be delivered to each Purchaser the following:</w:t>
      </w:r>
    </w:p>
    <w:p>
      <w:pPr>
        <w:spacing w:after="0" w:line="236" w:lineRule="exact"/>
        <w:rPr>
          <w:rFonts w:ascii="Arial" w:cs="Arial" w:eastAsia="Arial" w:hAnsi="Arial"/>
          <w:sz w:val="17"/>
          <w:szCs w:val="17"/>
          <w:color w:val="auto"/>
        </w:rPr>
      </w:pPr>
    </w:p>
    <w:p>
      <w:pPr>
        <w:ind w:left="2760" w:hanging="808"/>
        <w:spacing w:after="0"/>
        <w:tabs>
          <w:tab w:leader="none" w:pos="2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this Agreement duly executed by the Company;</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legal opinion of Company Counsel reasonably satisfactory to the Purchasers;</w:t>
      </w:r>
    </w:p>
    <w:p>
      <w:pPr>
        <w:spacing w:after="0" w:line="225" w:lineRule="exact"/>
        <w:rPr>
          <w:rFonts w:ascii="Arial" w:cs="Arial" w:eastAsia="Arial" w:hAnsi="Arial"/>
          <w:sz w:val="18"/>
          <w:szCs w:val="18"/>
          <w:color w:val="auto"/>
        </w:rPr>
      </w:pPr>
    </w:p>
    <w:p>
      <w:pPr>
        <w:ind w:left="1300" w:firstLine="652"/>
        <w:spacing w:after="0" w:line="277" w:lineRule="auto"/>
        <w:tabs>
          <w:tab w:leader="none" w:pos="2726"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subject to the last sentence of Section 2.1, the Company shall have provided each Purchaser with the Company’s wire instructions, on Company letterhead and executed by the Chief Executive Officer or Chief Financial Officer;</w:t>
      </w:r>
    </w:p>
    <w:p>
      <w:pPr>
        <w:spacing w:after="0" w:line="170" w:lineRule="exact"/>
        <w:rPr>
          <w:rFonts w:ascii="Arial" w:cs="Arial" w:eastAsia="Arial" w:hAnsi="Arial"/>
          <w:sz w:val="18"/>
          <w:szCs w:val="18"/>
          <w:color w:val="auto"/>
        </w:rPr>
      </w:pPr>
    </w:p>
    <w:p>
      <w:pPr>
        <w:jc w:val="both"/>
        <w:ind w:left="1300" w:firstLine="652"/>
        <w:spacing w:after="0" w:line="259" w:lineRule="auto"/>
        <w:tabs>
          <w:tab w:leader="none" w:pos="2743" w:val="left"/>
        </w:tabs>
        <w:numPr>
          <w:ilvl w:val="1"/>
          <w:numId w:val="31"/>
        </w:numPr>
        <w:rPr>
          <w:rFonts w:ascii="Arial" w:cs="Arial" w:eastAsia="Arial" w:hAnsi="Arial"/>
          <w:sz w:val="18"/>
          <w:szCs w:val="18"/>
          <w:color w:val="auto"/>
        </w:rPr>
      </w:pPr>
      <w:r>
        <w:rPr>
          <w:rFonts w:ascii="Arial" w:cs="Arial" w:eastAsia="Arial" w:hAnsi="Arial"/>
          <w:sz w:val="18"/>
          <w:szCs w:val="18"/>
          <w:color w:val="auto"/>
        </w:rPr>
        <w:t>subject to the last sentence of Section 2.1, a copy of the irrevocable instructions to the Transfer Agent instructing the Transfer Agent to deliver on an expedited basis via The Depository Trust Company Deposit or Withdrawal at Custodian system (“</w:t>
      </w:r>
      <w:r>
        <w:rPr>
          <w:rFonts w:ascii="Arial" w:cs="Arial" w:eastAsia="Arial" w:hAnsi="Arial"/>
          <w:sz w:val="18"/>
          <w:szCs w:val="18"/>
          <w:u w:val="single" w:color="auto"/>
          <w:color w:val="auto"/>
        </w:rPr>
        <w:t>DWAC</w:t>
      </w:r>
      <w:r>
        <w:rPr>
          <w:rFonts w:ascii="Arial" w:cs="Arial" w:eastAsia="Arial" w:hAnsi="Arial"/>
          <w:sz w:val="18"/>
          <w:szCs w:val="18"/>
          <w:color w:val="auto"/>
        </w:rPr>
        <w:t>”) Shares equal to such Purchaser’s Subscription Amount for the Closing divided by the Per Share Purchase Price applicable to such Closing, registered in the name of such Purchaser;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9" w:name="page40"/>
    <w:bookmarkEnd w:id="39"/>
    <w:p>
      <w:pPr>
        <w:ind w:left="640" w:right="20" w:firstLine="652"/>
        <w:spacing w:after="0" w:line="308" w:lineRule="auto"/>
        <w:tabs>
          <w:tab w:leader="none" w:pos="2109" w:val="left"/>
        </w:tabs>
        <w:numPr>
          <w:ilvl w:val="1"/>
          <w:numId w:val="32"/>
        </w:numPr>
        <w:rPr>
          <w:rFonts w:ascii="Arial" w:cs="Arial" w:eastAsia="Arial" w:hAnsi="Arial"/>
          <w:sz w:val="17"/>
          <w:szCs w:val="17"/>
          <w:color w:val="auto"/>
        </w:rPr>
      </w:pPr>
      <w:r>
        <w:rPr>
          <w:rFonts w:ascii="Arial" w:cs="Arial" w:eastAsia="Arial" w:hAnsi="Arial"/>
          <w:sz w:val="17"/>
          <w:szCs w:val="17"/>
          <w:color w:val="auto"/>
        </w:rPr>
        <w:t>if applicable, a Pre-Funded Warrant registered in the name of such Purchaser to purchase up to a number of shares of Common Stock set forth in the Pre-Funded Warrants, with an exercise price equal to $0.01, subject to adjustment therein;</w:t>
      </w:r>
    </w:p>
    <w:p>
      <w:pPr>
        <w:spacing w:after="0" w:line="146" w:lineRule="exact"/>
        <w:rPr>
          <w:rFonts w:ascii="Arial" w:cs="Arial" w:eastAsia="Arial" w:hAnsi="Arial"/>
          <w:sz w:val="17"/>
          <w:szCs w:val="17"/>
          <w:color w:val="auto"/>
        </w:rPr>
      </w:pPr>
    </w:p>
    <w:p>
      <w:pPr>
        <w:ind w:left="2060" w:hanging="768"/>
        <w:spacing w:after="0"/>
        <w:tabs>
          <w:tab w:leader="none" w:pos="2060" w:val="left"/>
        </w:tabs>
        <w:numPr>
          <w:ilvl w:val="1"/>
          <w:numId w:val="32"/>
        </w:numPr>
        <w:rPr>
          <w:rFonts w:ascii="Arial" w:cs="Arial" w:eastAsia="Arial" w:hAnsi="Arial"/>
          <w:sz w:val="16"/>
          <w:szCs w:val="16"/>
          <w:color w:val="auto"/>
        </w:rPr>
      </w:pPr>
      <w:r>
        <w:rPr>
          <w:rFonts w:ascii="Arial" w:cs="Arial" w:eastAsia="Arial" w:hAnsi="Arial"/>
          <w:sz w:val="16"/>
          <w:szCs w:val="16"/>
          <w:color w:val="auto"/>
        </w:rPr>
        <w:t>the Prospectus and Prospectus Supplement (which may be delivered in accordance with Rule 172 under the Securities</w:t>
      </w:r>
    </w:p>
    <w:p>
      <w:pPr>
        <w:spacing w:after="0" w:line="46" w:lineRule="exact"/>
        <w:rPr>
          <w:rFonts w:ascii="Arial" w:cs="Arial" w:eastAsia="Arial" w:hAnsi="Arial"/>
          <w:sz w:val="16"/>
          <w:szCs w:val="16"/>
          <w:color w:val="auto"/>
        </w:rPr>
      </w:pPr>
    </w:p>
    <w:p>
      <w:pPr>
        <w:ind w:left="6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0" w:lineRule="exact"/>
        <w:rPr>
          <w:rFonts w:ascii="Arial" w:cs="Arial" w:eastAsia="Arial" w:hAnsi="Arial"/>
          <w:sz w:val="16"/>
          <w:szCs w:val="16"/>
          <w:color w:val="auto"/>
        </w:rPr>
      </w:pPr>
    </w:p>
    <w:p>
      <w:pPr>
        <w:ind w:left="1700" w:hanging="1056"/>
        <w:spacing w:after="0"/>
        <w:tabs>
          <w:tab w:leader="none" w:pos="17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On or prior to the Closing Date, each Purchaser shall deliver or cause to be delivered to the Company, as applicable,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following:</w:t>
      </w:r>
    </w:p>
    <w:p>
      <w:pPr>
        <w:spacing w:after="0" w:line="210" w:lineRule="exact"/>
        <w:rPr>
          <w:rFonts w:ascii="Arial" w:cs="Arial" w:eastAsia="Arial" w:hAnsi="Arial"/>
          <w:sz w:val="16"/>
          <w:szCs w:val="16"/>
          <w:color w:val="auto"/>
        </w:rPr>
      </w:pPr>
    </w:p>
    <w:p>
      <w:pPr>
        <w:ind w:left="2100" w:hanging="808"/>
        <w:spacing w:after="0"/>
        <w:tabs>
          <w:tab w:leader="none" w:pos="21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this Agreement duly executed by such Purchaser; and</w:t>
      </w:r>
    </w:p>
    <w:p>
      <w:pPr>
        <w:spacing w:after="0" w:line="225" w:lineRule="exact"/>
        <w:rPr>
          <w:rFonts w:ascii="Arial" w:cs="Arial" w:eastAsia="Arial" w:hAnsi="Arial"/>
          <w:sz w:val="18"/>
          <w:szCs w:val="18"/>
          <w:color w:val="auto"/>
        </w:rPr>
      </w:pPr>
    </w:p>
    <w:p>
      <w:pPr>
        <w:ind w:left="640" w:firstLine="652"/>
        <w:spacing w:after="0" w:line="277" w:lineRule="auto"/>
        <w:tabs>
          <w:tab w:leader="none" w:pos="2268" w:val="left"/>
        </w:tabs>
        <w:numPr>
          <w:ilvl w:val="1"/>
          <w:numId w:val="33"/>
        </w:numPr>
        <w:rPr>
          <w:rFonts w:ascii="Arial" w:cs="Arial" w:eastAsia="Arial" w:hAnsi="Arial"/>
          <w:sz w:val="18"/>
          <w:szCs w:val="18"/>
          <w:color w:val="auto"/>
        </w:rPr>
      </w:pPr>
      <w:r>
        <w:rPr>
          <w:rFonts w:ascii="Arial" w:cs="Arial" w:eastAsia="Arial" w:hAnsi="Arial"/>
          <w:sz w:val="18"/>
          <w:szCs w:val="18"/>
          <w:color w:val="auto"/>
        </w:rPr>
        <w:t>such Purchaser’s Subscription Amount, which shall be made available for “Delivery Versus Payment” settlement with the Company or its designee.</w:t>
      </w:r>
    </w:p>
    <w:p>
      <w:pPr>
        <w:spacing w:after="0" w:line="17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u w:val="single" w:color="auto"/>
          <w:color w:val="auto"/>
        </w:rPr>
        <w:t>Closing Conditions</w:t>
      </w:r>
      <w:r>
        <w:rPr>
          <w:rFonts w:ascii="Arial" w:cs="Arial" w:eastAsia="Arial" w:hAnsi="Arial"/>
          <w:sz w:val="16"/>
          <w:szCs w:val="16"/>
          <w:color w:val="auto"/>
        </w:rPr>
        <w:t>.</w:t>
      </w:r>
    </w:p>
    <w:p>
      <w:pPr>
        <w:spacing w:after="0" w:line="225" w:lineRule="exact"/>
        <w:rPr>
          <w:sz w:val="20"/>
          <w:szCs w:val="20"/>
          <w:color w:val="auto"/>
        </w:rPr>
      </w:pPr>
    </w:p>
    <w:p>
      <w:pPr>
        <w:ind w:left="1160" w:hanging="516"/>
        <w:spacing w:after="0"/>
        <w:tabs>
          <w:tab w:leader="none" w:pos="11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obligations of the Company hereunder in connection with the Closing are subject to the following conditions being met:</w:t>
      </w:r>
    </w:p>
    <w:p>
      <w:pPr>
        <w:spacing w:after="0" w:line="236" w:lineRule="exact"/>
        <w:rPr>
          <w:rFonts w:ascii="Arial" w:cs="Arial" w:eastAsia="Arial" w:hAnsi="Arial"/>
          <w:sz w:val="17"/>
          <w:szCs w:val="17"/>
          <w:color w:val="auto"/>
        </w:rPr>
      </w:pPr>
    </w:p>
    <w:p>
      <w:pPr>
        <w:jc w:val="both"/>
        <w:ind w:left="640" w:firstLine="652"/>
        <w:spacing w:after="0" w:line="286" w:lineRule="auto"/>
        <w:tabs>
          <w:tab w:leader="none" w:pos="2281"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Purchasers contained herein (unless as of a specific date therein in which case they shall be accurate as of such date);</w:t>
      </w:r>
    </w:p>
    <w:p>
      <w:pPr>
        <w:spacing w:after="0" w:line="165" w:lineRule="exact"/>
        <w:rPr>
          <w:rFonts w:ascii="Arial" w:cs="Arial" w:eastAsia="Arial" w:hAnsi="Arial"/>
          <w:sz w:val="17"/>
          <w:szCs w:val="17"/>
          <w:color w:val="auto"/>
        </w:rPr>
      </w:pPr>
    </w:p>
    <w:p>
      <w:pPr>
        <w:ind w:left="640" w:firstLine="652"/>
        <w:spacing w:after="0" w:line="277" w:lineRule="auto"/>
        <w:tabs>
          <w:tab w:leader="none" w:pos="2434" w:val="left"/>
        </w:tabs>
        <w:numPr>
          <w:ilvl w:val="1"/>
          <w:numId w:val="34"/>
        </w:numPr>
        <w:rPr>
          <w:rFonts w:ascii="Arial" w:cs="Arial" w:eastAsia="Arial" w:hAnsi="Arial"/>
          <w:sz w:val="18"/>
          <w:szCs w:val="18"/>
          <w:color w:val="auto"/>
        </w:rPr>
      </w:pPr>
      <w:r>
        <w:rPr>
          <w:rFonts w:ascii="Arial" w:cs="Arial" w:eastAsia="Arial" w:hAnsi="Arial"/>
          <w:sz w:val="18"/>
          <w:szCs w:val="18"/>
          <w:color w:val="auto"/>
        </w:rPr>
        <w:t>all obligations, covenants and agreements of each Purchaser under the Transaction Documents required to be performed at or prior to the Closing Date shall have been performed; and</w:t>
      </w:r>
    </w:p>
    <w:p>
      <w:pPr>
        <w:spacing w:after="0" w:line="170" w:lineRule="exact"/>
        <w:rPr>
          <w:rFonts w:ascii="Arial" w:cs="Arial" w:eastAsia="Arial" w:hAnsi="Arial"/>
          <w:sz w:val="18"/>
          <w:szCs w:val="18"/>
          <w:color w:val="auto"/>
        </w:rPr>
      </w:pPr>
    </w:p>
    <w:p>
      <w:pPr>
        <w:ind w:left="2140" w:hanging="848"/>
        <w:spacing w:after="0"/>
        <w:tabs>
          <w:tab w:leader="none" w:pos="2140"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delivery by each Purchaser of the items set forth in Section 2.2(b) of this Agreement.</w:t>
      </w:r>
    </w:p>
    <w:p>
      <w:pPr>
        <w:spacing w:after="0" w:line="225" w:lineRule="exact"/>
        <w:rPr>
          <w:rFonts w:ascii="Arial" w:cs="Arial" w:eastAsia="Arial" w:hAnsi="Arial"/>
          <w:sz w:val="18"/>
          <w:szCs w:val="18"/>
          <w:color w:val="auto"/>
        </w:rPr>
      </w:pPr>
    </w:p>
    <w:p>
      <w:pPr>
        <w:ind w:left="1540" w:hanging="896"/>
        <w:spacing w:after="0"/>
        <w:tabs>
          <w:tab w:leader="none" w:pos="1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respective obligations of the Purchasers hereunder in connection with the Closing are subject to the following conditions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being met:</w:t>
      </w:r>
    </w:p>
    <w:p>
      <w:pPr>
        <w:spacing w:after="0" w:line="210" w:lineRule="exact"/>
        <w:rPr>
          <w:rFonts w:ascii="Arial" w:cs="Arial" w:eastAsia="Arial" w:hAnsi="Arial"/>
          <w:sz w:val="16"/>
          <w:szCs w:val="16"/>
          <w:color w:val="auto"/>
        </w:rPr>
      </w:pPr>
    </w:p>
    <w:p>
      <w:pPr>
        <w:jc w:val="both"/>
        <w:ind w:left="640" w:firstLine="652"/>
        <w:spacing w:after="0" w:line="286" w:lineRule="auto"/>
        <w:tabs>
          <w:tab w:leader="none" w:pos="2313" w:val="left"/>
        </w:tabs>
        <w:numPr>
          <w:ilvl w:val="1"/>
          <w:numId w:val="34"/>
        </w:numPr>
        <w:rPr>
          <w:rFonts w:ascii="Arial" w:cs="Arial" w:eastAsia="Arial" w:hAnsi="Arial"/>
          <w:sz w:val="17"/>
          <w:szCs w:val="17"/>
          <w:color w:val="auto"/>
        </w:rPr>
      </w:pPr>
      <w:r>
        <w:rPr>
          <w:rFonts w:ascii="Arial" w:cs="Arial" w:eastAsia="Arial" w:hAnsi="Arial"/>
          <w:sz w:val="17"/>
          <w:szCs w:val="17"/>
          <w:color w:val="auto"/>
        </w:rPr>
        <w:t>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as of such date);</w:t>
      </w:r>
    </w:p>
    <w:p>
      <w:pPr>
        <w:spacing w:after="0" w:line="38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14605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40" w:name="page41"/>
    <w:bookmarkEnd w:id="40"/>
    <w:p>
      <w:pPr>
        <w:ind w:left="1300" w:firstLine="652"/>
        <w:spacing w:after="0" w:line="277" w:lineRule="auto"/>
        <w:tabs>
          <w:tab w:leader="none" w:pos="30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all obligations, covenants and agreements of the Company under this Transaction Documents required to be performed at or prior to the Closing Date shall have been performed;</w:t>
      </w:r>
    </w:p>
    <w:p>
      <w:pPr>
        <w:spacing w:after="0" w:line="170" w:lineRule="exact"/>
        <w:rPr>
          <w:rFonts w:ascii="Arial" w:cs="Arial" w:eastAsia="Arial" w:hAnsi="Arial"/>
          <w:sz w:val="18"/>
          <w:szCs w:val="18"/>
          <w:color w:val="auto"/>
        </w:rPr>
      </w:pPr>
    </w:p>
    <w:p>
      <w:pPr>
        <w:ind w:left="2760" w:hanging="808"/>
        <w:spacing w:after="0"/>
        <w:tabs>
          <w:tab w:leader="none" w:pos="2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delivery by the Company of the items set forth in Section 2.2(a) of this Agreement;</w:t>
      </w:r>
    </w:p>
    <w:p>
      <w:pPr>
        <w:spacing w:after="0" w:line="225" w:lineRule="exact"/>
        <w:rPr>
          <w:rFonts w:ascii="Arial" w:cs="Arial" w:eastAsia="Arial" w:hAnsi="Arial"/>
          <w:sz w:val="18"/>
          <w:szCs w:val="18"/>
          <w:color w:val="auto"/>
        </w:rPr>
      </w:pPr>
    </w:p>
    <w:p>
      <w:pPr>
        <w:ind w:left="2760" w:hanging="808"/>
        <w:spacing w:after="0"/>
        <w:tabs>
          <w:tab w:leader="none" w:pos="27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shall have been no Material Adverse Effect with respect to the Company since the date hereof;</w:t>
      </w:r>
    </w:p>
    <w:p>
      <w:pPr>
        <w:spacing w:after="0" w:line="225" w:lineRule="exact"/>
        <w:rPr>
          <w:rFonts w:ascii="Arial" w:cs="Arial" w:eastAsia="Arial" w:hAnsi="Arial"/>
          <w:sz w:val="18"/>
          <w:szCs w:val="18"/>
          <w:color w:val="auto"/>
        </w:rPr>
      </w:pPr>
    </w:p>
    <w:p>
      <w:pPr>
        <w:jc w:val="both"/>
        <w:ind w:left="1300" w:firstLine="652"/>
        <w:spacing w:after="0" w:line="291" w:lineRule="auto"/>
        <w:tabs>
          <w:tab w:leader="none" w:pos="299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Securities at the Closing.</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580" w:type="dxa"/>
            <w:vAlign w:val="bottom"/>
          </w:tcPr>
          <w:p>
            <w:pPr>
              <w:spacing w:after="0"/>
              <w:rPr>
                <w:sz w:val="19"/>
                <w:szCs w:val="19"/>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b w:val="1"/>
                <w:bCs w:val="1"/>
                <w:color w:val="auto"/>
              </w:rPr>
              <w:t>ARTICLE III.</w:t>
            </w:r>
          </w:p>
        </w:tc>
      </w:tr>
      <w:tr>
        <w:trPr>
          <w:trHeight w:val="230"/>
        </w:trPr>
        <w:tc>
          <w:tcPr>
            <w:tcW w:w="580" w:type="dxa"/>
            <w:vAlign w:val="bottom"/>
          </w:tcPr>
          <w:p>
            <w:pPr>
              <w:spacing w:after="0"/>
              <w:rPr>
                <w:sz w:val="20"/>
                <w:szCs w:val="20"/>
                <w:color w:val="auto"/>
              </w:rPr>
            </w:pPr>
          </w:p>
        </w:tc>
        <w:tc>
          <w:tcPr>
            <w:tcW w:w="10000" w:type="dxa"/>
            <w:vAlign w:val="bottom"/>
          </w:tcPr>
          <w:p>
            <w:pPr>
              <w:jc w:val="center"/>
              <w:ind w:right="1150"/>
              <w:spacing w:after="0"/>
              <w:rPr>
                <w:sz w:val="20"/>
                <w:szCs w:val="20"/>
                <w:color w:val="auto"/>
              </w:rPr>
            </w:pPr>
            <w:r>
              <w:rPr>
                <w:rFonts w:ascii="Arial" w:cs="Arial" w:eastAsia="Arial" w:hAnsi="Arial"/>
                <w:sz w:val="18"/>
                <w:szCs w:val="18"/>
                <w:color w:val="auto"/>
                <w:w w:val="95"/>
              </w:rPr>
              <w:t>REPRESENTATIONS AND WARRANTIES</w:t>
            </w:r>
          </w:p>
        </w:tc>
      </w:tr>
      <w:tr>
        <w:trPr>
          <w:trHeight w:val="432"/>
        </w:trPr>
        <w:tc>
          <w:tcPr>
            <w:tcW w:w="580" w:type="dxa"/>
            <w:vAlign w:val="bottom"/>
          </w:tcPr>
          <w:p>
            <w:pPr>
              <w:jc w:val="right"/>
              <w:ind w:right="270"/>
              <w:spacing w:after="0"/>
              <w:rPr>
                <w:sz w:val="20"/>
                <w:szCs w:val="20"/>
                <w:color w:val="auto"/>
              </w:rPr>
            </w:pPr>
            <w:r>
              <w:rPr>
                <w:rFonts w:ascii="Arial" w:cs="Arial" w:eastAsia="Arial" w:hAnsi="Arial"/>
                <w:sz w:val="18"/>
                <w:szCs w:val="18"/>
                <w:color w:val="auto"/>
                <w:w w:val="79"/>
              </w:rPr>
              <w:t>3.1</w:t>
            </w:r>
          </w:p>
        </w:tc>
        <w:tc>
          <w:tcPr>
            <w:tcW w:w="10000" w:type="dxa"/>
            <w:vAlign w:val="bottom"/>
          </w:tcPr>
          <w:p>
            <w:pPr>
              <w:ind w:left="380"/>
              <w:spacing w:after="0"/>
              <w:rPr>
                <w:sz w:val="20"/>
                <w:szCs w:val="20"/>
                <w:color w:val="auto"/>
              </w:rPr>
            </w:pPr>
            <w:r>
              <w:rPr>
                <w:rFonts w:ascii="Arial" w:cs="Arial" w:eastAsia="Arial" w:hAnsi="Arial"/>
                <w:sz w:val="18"/>
                <w:szCs w:val="18"/>
                <w:u w:val="single" w:color="auto"/>
                <w:color w:val="auto"/>
                <w:w w:val="91"/>
              </w:rPr>
              <w:t>Representations and Warranties of the Company</w:t>
            </w:r>
            <w:r>
              <w:rPr>
                <w:rFonts w:ascii="Arial" w:cs="Arial" w:eastAsia="Arial" w:hAnsi="Arial"/>
                <w:sz w:val="18"/>
                <w:szCs w:val="18"/>
                <w:color w:val="auto"/>
                <w:w w:val="91"/>
              </w:rPr>
              <w:t>. Except as set forth in the SEC Reports (other than with respect to Sections 3.1(b),</w:t>
            </w:r>
          </w:p>
        </w:tc>
      </w:tr>
    </w:tbl>
    <w:p>
      <w:pPr>
        <w:jc w:val="both"/>
        <w:spacing w:after="0" w:line="255" w:lineRule="auto"/>
        <w:rPr>
          <w:sz w:val="20"/>
          <w:szCs w:val="20"/>
          <w:color w:val="auto"/>
        </w:rPr>
      </w:pPr>
      <w:r>
        <w:rPr>
          <w:rFonts w:ascii="Arial" w:cs="Arial" w:eastAsia="Arial" w:hAnsi="Arial"/>
          <w:sz w:val="18"/>
          <w:szCs w:val="18"/>
          <w:color w:val="auto"/>
        </w:rPr>
        <w:t>3.1(c), 3.1(d), 3.1(e) and 3.1(g)) or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90" w:lineRule="exact"/>
        <w:rPr>
          <w:sz w:val="20"/>
          <w:szCs w:val="20"/>
          <w:color w:val="auto"/>
        </w:rPr>
      </w:pPr>
    </w:p>
    <w:p>
      <w:pPr>
        <w:jc w:val="both"/>
        <w:ind w:left="660" w:firstLine="644"/>
        <w:spacing w:after="0" w:line="259" w:lineRule="auto"/>
        <w:tabs>
          <w:tab w:leader="none" w:pos="2209"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Subsidiaries</w:t>
      </w:r>
      <w:r>
        <w:rPr>
          <w:rFonts w:ascii="Arial" w:cs="Arial" w:eastAsia="Arial" w:hAnsi="Arial"/>
          <w:sz w:val="18"/>
          <w:szCs w:val="18"/>
          <w:color w:val="auto"/>
        </w:rPr>
        <w:t xml:space="preserve">. All of the direct and indirect subsidiaries of the Company are set forth on </w:t>
      </w:r>
      <w:r>
        <w:rPr>
          <w:rFonts w:ascii="Arial" w:cs="Arial" w:eastAsia="Arial" w:hAnsi="Arial"/>
          <w:sz w:val="18"/>
          <w:szCs w:val="18"/>
          <w:u w:val="single" w:color="auto"/>
          <w:color w:val="auto"/>
        </w:rPr>
        <w:t>Schedule 3.1(a)</w:t>
      </w:r>
      <w:r>
        <w:rPr>
          <w:rFonts w:ascii="Arial" w:cs="Arial" w:eastAsia="Arial" w:hAnsi="Arial"/>
          <w:sz w:val="18"/>
          <w:szCs w:val="18"/>
          <w:color w:val="auto"/>
        </w:rPr>
        <w:t>. The Company owns, directly or indirectly, all or a majority of the capital stock or other equity interests of each Subsidiary free and clear of any Liens other than Permitted Liens, and all of the issued and outstanding shares of capital stock of each Subsidiary are validly issued and are fully paid, non-assessable and free of preemptive and similar rights to subscribe for or purchase securities.</w:t>
      </w:r>
    </w:p>
    <w:p>
      <w:pPr>
        <w:spacing w:after="0" w:line="186" w:lineRule="exact"/>
        <w:rPr>
          <w:rFonts w:ascii="Arial" w:cs="Arial" w:eastAsia="Arial" w:hAnsi="Arial"/>
          <w:sz w:val="18"/>
          <w:szCs w:val="18"/>
          <w:color w:val="auto"/>
        </w:rPr>
      </w:pPr>
    </w:p>
    <w:p>
      <w:pPr>
        <w:jc w:val="both"/>
        <w:ind w:left="660" w:firstLine="644"/>
        <w:spacing w:after="0" w:line="259" w:lineRule="auto"/>
        <w:tabs>
          <w:tab w:leader="none" w:pos="2273"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 The Company and each of the Subsidiaries is an entity duly incorporated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1" w:name="page42"/>
    <w:bookmarkEnd w:id="41"/>
    <w:p>
      <w:pPr>
        <w:jc w:val="both"/>
        <w:ind w:left="-460" w:firstLine="644"/>
        <w:spacing w:after="0" w:line="287" w:lineRule="auto"/>
        <w:tabs>
          <w:tab w:leader="none" w:pos="1116" w:val="left"/>
        </w:tabs>
        <w:numPr>
          <w:ilvl w:val="0"/>
          <w:numId w:val="37"/>
        </w:numPr>
        <w:rPr>
          <w:rFonts w:ascii="Arial" w:cs="Arial" w:eastAsia="Arial" w:hAnsi="Arial"/>
          <w:sz w:val="16"/>
          <w:szCs w:val="16"/>
          <w:color w:val="auto"/>
        </w:rPr>
      </w:pPr>
      <w:r>
        <w:rPr>
          <w:rFonts w:ascii="Arial" w:cs="Arial" w:eastAsia="Arial" w:hAnsi="Arial"/>
          <w:sz w:val="16"/>
          <w:szCs w:val="16"/>
          <w:u w:val="single" w:color="auto"/>
          <w:color w:val="auto"/>
        </w:rPr>
        <w:t>Authorization; Enforcement</w:t>
      </w:r>
      <w:r>
        <w:rPr>
          <w:rFonts w:ascii="Arial" w:cs="Arial" w:eastAsia="Arial" w:hAnsi="Arial"/>
          <w:sz w:val="16"/>
          <w:szCs w:val="16"/>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71" w:lineRule="exact"/>
        <w:rPr>
          <w:rFonts w:ascii="Arial" w:cs="Arial" w:eastAsia="Arial" w:hAnsi="Arial"/>
          <w:sz w:val="16"/>
          <w:szCs w:val="16"/>
          <w:color w:val="auto"/>
        </w:rPr>
      </w:pPr>
    </w:p>
    <w:p>
      <w:pPr>
        <w:jc w:val="both"/>
        <w:ind w:left="-460" w:firstLine="644"/>
        <w:spacing w:after="0" w:line="268" w:lineRule="auto"/>
        <w:tabs>
          <w:tab w:leader="none" w:pos="1369"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xml:space="preserve">.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(ii) except as set forth on </w:t>
      </w:r>
      <w:r>
        <w:rPr>
          <w:rFonts w:ascii="Arial" w:cs="Arial" w:eastAsia="Arial" w:hAnsi="Arial"/>
          <w:sz w:val="17"/>
          <w:szCs w:val="17"/>
          <w:u w:val="single" w:color="auto"/>
          <w:color w:val="auto"/>
        </w:rPr>
        <w:t>Schedule 3.1(d)</w:t>
      </w:r>
      <w:r>
        <w:rPr>
          <w:rFonts w:ascii="Arial" w:cs="Arial" w:eastAsia="Arial" w:hAnsi="Arial"/>
          <w:sz w:val="17"/>
          <w:szCs w:val="17"/>
          <w:color w:val="auto"/>
        </w:rPr>
        <w:t>,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a material adverse effect on the legality, validity or enforceability of any Transaction Document, B) a material adverse effect on the results of operations, assets, business, prospects or condition (financial or otherwise) of the Company and the Subsidiaries, taken as a whole, or (C) a material adverse effect on the Company’s ability to perform in any material respect on a timely basis its obligations under any Transaction Document (any of (A), (B) or (C), a “</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w:t>
      </w:r>
    </w:p>
    <w:p>
      <w:pPr>
        <w:spacing w:after="0" w:line="39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2" w:name="page43"/>
    <w:bookmarkEnd w:id="42"/>
    <w:p>
      <w:pPr>
        <w:jc w:val="both"/>
        <w:ind w:left="-460" w:firstLine="644"/>
        <w:spacing w:after="0" w:line="254" w:lineRule="auto"/>
        <w:tabs>
          <w:tab w:leader="none" w:pos="1103"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Filings, Consents and Approvals</w:t>
      </w:r>
      <w:r>
        <w:rPr>
          <w:rFonts w:ascii="Arial" w:cs="Arial" w:eastAsia="Arial" w:hAnsi="Arial"/>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application(s) to each applicable Trading Market for the listing of the Shares and Pre-Funded Warrant Shares for trading thereon in the time and manner required thereby, and (iv) the filing of a Form D with the Commission and such filings as are required to be made under applicable state securities laws (collectively, the “</w:t>
      </w:r>
      <w:r>
        <w:rPr>
          <w:rFonts w:ascii="Arial" w:cs="Arial" w:eastAsia="Arial" w:hAnsi="Arial"/>
          <w:sz w:val="18"/>
          <w:szCs w:val="18"/>
          <w:u w:val="single" w:color="auto"/>
          <w:color w:val="auto"/>
        </w:rPr>
        <w:t>Required Approvals</w:t>
      </w:r>
      <w:r>
        <w:rPr>
          <w:rFonts w:ascii="Arial" w:cs="Arial" w:eastAsia="Arial" w:hAnsi="Arial"/>
          <w:sz w:val="18"/>
          <w:szCs w:val="18"/>
          <w:color w:val="auto"/>
        </w:rPr>
        <w:t>”).</w:t>
      </w:r>
    </w:p>
    <w:p>
      <w:pPr>
        <w:spacing w:after="0" w:line="194" w:lineRule="exact"/>
        <w:rPr>
          <w:rFonts w:ascii="Arial" w:cs="Arial" w:eastAsia="Arial" w:hAnsi="Arial"/>
          <w:sz w:val="18"/>
          <w:szCs w:val="18"/>
          <w:color w:val="auto"/>
        </w:rPr>
      </w:pPr>
    </w:p>
    <w:p>
      <w:pPr>
        <w:jc w:val="both"/>
        <w:ind w:left="-460" w:firstLine="644"/>
        <w:spacing w:after="0" w:line="284" w:lineRule="auto"/>
        <w:tabs>
          <w:tab w:leader="none" w:pos="1101"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Issuance of the Securities; Registration</w:t>
      </w:r>
      <w:r>
        <w:rPr>
          <w:rFonts w:ascii="Arial" w:cs="Arial" w:eastAsia="Arial" w:hAnsi="Arial"/>
          <w:sz w:val="16"/>
          <w:szCs w:val="16"/>
          <w:color w:val="auto"/>
        </w:rPr>
        <w:t>. The Shares are duly authorized and, when issued and paid for in accordance with the applicable Transaction Documents, will be duly and validly issued, fully paid and nonassessable, free and clear of all Liens imposed by the Company. The Pre-Funded Warrant Shares, when issued in accordance with the terms of the Pre-Funded Warrants, will be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July 30, 2019,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months prior to this offering, as set forth in General Instruction I.B.6 of Form S-3.</w:t>
      </w:r>
    </w:p>
    <w:p>
      <w:pPr>
        <w:spacing w:after="0" w:line="398"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3" w:name="page44"/>
    <w:bookmarkEnd w:id="43"/>
    <w:p>
      <w:pPr>
        <w:jc w:val="both"/>
        <w:ind w:left="-460" w:firstLine="644"/>
        <w:spacing w:after="0" w:line="284" w:lineRule="auto"/>
        <w:tabs>
          <w:tab w:leader="none" w:pos="120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xml:space="preserve">. The capitalization of the Company as of the date hereof is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which Schedule 3.1(g) shall also include the number of shares of Common Stock owned beneficially, and of record, by Affiliates of the Company as of the date hereof. The Company has not issued any capital stock since its most recently filed periodic report under the Exchange Act, other than (i) pursuant to the exercise of employee stock options under the Company’s stock option plans, (ii) the issuance of shares of Common Stock to employees pursuant to the Company’s employee stock purchase plans, (iii) pursuant to the conversion and/or exercise of Common Stock Equivalents outstanding as of the date of the most recently filed periodic report under the Exchange Act and (iv) as the payment of interest with respect to outstanding indebtedness.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Securities will not obligate the Company or any Subsidiary to issue shares of Common Stock or other securities to any Person (other than the Purchasers). Except as set forth on </w:t>
      </w:r>
      <w:r>
        <w:rPr>
          <w:rFonts w:ascii="Arial" w:cs="Arial" w:eastAsia="Arial" w:hAnsi="Arial"/>
          <w:sz w:val="16"/>
          <w:szCs w:val="16"/>
          <w:u w:val="single" w:color="auto"/>
          <w:color w:val="auto"/>
        </w:rPr>
        <w:t>Schedule 3.1(g)</w:t>
      </w:r>
      <w:r>
        <w:rPr>
          <w:rFonts w:ascii="Arial" w:cs="Arial" w:eastAsia="Arial" w:hAnsi="Arial"/>
          <w:sz w:val="16"/>
          <w:szCs w:val="16"/>
          <w:color w:val="auto"/>
        </w:rPr>
        <w:t xml:space="preserve">,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material compliance with all federal and state securities laws, and none of such outstanding shares was issued in violation of any preemptive rights or similar rights to subscribe for or purchase securities. Except as contemplated by </w:t>
      </w:r>
      <w:r>
        <w:rPr>
          <w:rFonts w:ascii="Arial" w:cs="Arial" w:eastAsia="Arial" w:hAnsi="Arial"/>
          <w:sz w:val="16"/>
          <w:szCs w:val="16"/>
          <w:u w:val="single" w:color="auto"/>
          <w:color w:val="auto"/>
        </w:rPr>
        <w:t>Section 3.1(e)</w:t>
      </w:r>
      <w:r>
        <w:rPr>
          <w:rFonts w:ascii="Arial" w:cs="Arial" w:eastAsia="Arial" w:hAnsi="Arial"/>
          <w:sz w:val="16"/>
          <w:szCs w:val="16"/>
          <w:color w:val="auto"/>
        </w:rPr>
        <w:t>, no further approval or authorization of any stockholder, the Board of Directors or others is required for the issuance and sale of the Securities.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94" w:lineRule="exact"/>
        <w:rPr>
          <w:rFonts w:ascii="Arial" w:cs="Arial" w:eastAsia="Arial" w:hAnsi="Arial"/>
          <w:sz w:val="16"/>
          <w:szCs w:val="16"/>
          <w:color w:val="auto"/>
        </w:rPr>
      </w:pPr>
    </w:p>
    <w:p>
      <w:pPr>
        <w:jc w:val="both"/>
        <w:ind w:left="-460" w:firstLine="644"/>
        <w:spacing w:after="0" w:line="285" w:lineRule="auto"/>
        <w:tabs>
          <w:tab w:leader="none" w:pos="1207"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SEC Reports; Financial Statements</w:t>
      </w:r>
      <w:r>
        <w:rPr>
          <w:rFonts w:ascii="Arial" w:cs="Arial" w:eastAsia="Arial" w:hAnsi="Arial"/>
          <w:sz w:val="16"/>
          <w:szCs w:val="16"/>
          <w:color w:val="auto"/>
        </w:rPr>
        <w:t>. 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Arial" w:cs="Arial" w:eastAsia="Arial" w:hAnsi="Arial"/>
          <w:sz w:val="16"/>
          <w:szCs w:val="16"/>
          <w:u w:val="single" w:color="auto"/>
          <w:color w:val="auto"/>
        </w:rPr>
        <w:t>SEC Reports</w:t>
      </w:r>
      <w:r>
        <w:rPr>
          <w:rFonts w:ascii="Arial" w:cs="Arial" w:eastAsia="Arial" w:hAnsi="Arial"/>
          <w:sz w:val="16"/>
          <w:szCs w:val="16"/>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Arial" w:cs="Arial" w:eastAsia="Arial" w:hAnsi="Arial"/>
          <w:sz w:val="16"/>
          <w:szCs w:val="16"/>
          <w:u w:val="single" w:color="auto"/>
          <w:color w:val="auto"/>
        </w:rPr>
        <w:t>GAAP</w:t>
      </w:r>
      <w:r>
        <w:rPr>
          <w:rFonts w:ascii="Arial" w:cs="Arial" w:eastAsia="Arial" w:hAnsi="Arial"/>
          <w:sz w:val="16"/>
          <w:szCs w:val="16"/>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4" w:name="page45"/>
    <w:bookmarkEnd w:id="44"/>
    <w:p>
      <w:pPr>
        <w:jc w:val="both"/>
        <w:ind w:left="4" w:firstLine="644"/>
        <w:spacing w:after="0" w:line="285" w:lineRule="auto"/>
        <w:tabs>
          <w:tab w:leader="none" w:pos="1613" w:val="left"/>
        </w:tabs>
        <w:numPr>
          <w:ilvl w:val="1"/>
          <w:numId w:val="40"/>
        </w:numPr>
        <w:rPr>
          <w:rFonts w:ascii="Arial" w:cs="Arial" w:eastAsia="Arial" w:hAnsi="Arial"/>
          <w:sz w:val="16"/>
          <w:szCs w:val="16"/>
          <w:color w:val="auto"/>
        </w:rPr>
      </w:pPr>
      <w:r>
        <w:rPr>
          <w:rFonts w:ascii="Arial" w:cs="Arial" w:eastAsia="Arial" w:hAnsi="Arial"/>
          <w:sz w:val="16"/>
          <w:szCs w:val="16"/>
          <w:u w:val="single" w:color="auto"/>
          <w:color w:val="auto"/>
        </w:rPr>
        <w:t>Material Changes; Undisclosed Events, Liabilities or Developments</w:t>
      </w:r>
      <w:r>
        <w:rPr>
          <w:rFonts w:ascii="Arial" w:cs="Arial" w:eastAsia="Arial" w:hAnsi="Arial"/>
          <w:sz w:val="16"/>
          <w:szCs w:val="16"/>
          <w:color w:val="auto"/>
        </w:rPr>
        <w:t xml:space="preserve">. Since the date of the latest audited financial statements included within the SEC Reports, except as set forth on </w:t>
      </w:r>
      <w:r>
        <w:rPr>
          <w:rFonts w:ascii="Arial" w:cs="Arial" w:eastAsia="Arial" w:hAnsi="Arial"/>
          <w:sz w:val="16"/>
          <w:szCs w:val="16"/>
          <w:u w:val="single" w:color="auto"/>
          <w:color w:val="auto"/>
        </w:rPr>
        <w:t>Schedule 3.1(i)</w:t>
      </w:r>
      <w:r>
        <w:rPr>
          <w:rFonts w:ascii="Arial" w:cs="Arial" w:eastAsia="Arial" w:hAnsi="Arial"/>
          <w:sz w:val="16"/>
          <w:szCs w:val="16"/>
          <w:color w:val="auto"/>
        </w:rPr>
        <w:t>, (i) there has been no event, occurrence or development that has had or that could reasonably be expected to result in a Material Adverse Effect, (ii) the Company has not incurred any material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w:t>
      </w:r>
    </w:p>
    <w:p>
      <w:pPr>
        <w:spacing w:after="0" w:line="1" w:lineRule="exact"/>
        <w:rPr>
          <w:rFonts w:ascii="Arial" w:cs="Arial" w:eastAsia="Arial" w:hAnsi="Arial"/>
          <w:sz w:val="16"/>
          <w:szCs w:val="16"/>
          <w:color w:val="auto"/>
        </w:rPr>
      </w:pPr>
    </w:p>
    <w:p>
      <w:pPr>
        <w:jc w:val="both"/>
        <w:ind w:left="4" w:hanging="4"/>
        <w:spacing w:after="0" w:line="251" w:lineRule="auto"/>
        <w:tabs>
          <w:tab w:leader="none" w:pos="334"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Securities contemplated by this Agreement or as set forth on </w:t>
      </w:r>
      <w:r>
        <w:rPr>
          <w:rFonts w:ascii="Arial" w:cs="Arial" w:eastAsia="Arial" w:hAnsi="Arial"/>
          <w:sz w:val="18"/>
          <w:szCs w:val="18"/>
          <w:u w:val="single" w:color="auto"/>
          <w:color w:val="auto"/>
        </w:rPr>
        <w:t>Schedule 3.1(i)</w:t>
      </w:r>
      <w:r>
        <w:rPr>
          <w:rFonts w:ascii="Arial" w:cs="Arial" w:eastAsia="Arial" w:hAnsi="Arial"/>
          <w:sz w:val="18"/>
          <w:szCs w:val="18"/>
          <w:color w:val="auto"/>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spacing w:after="0" w:line="197" w:lineRule="exact"/>
        <w:rPr>
          <w:rFonts w:ascii="Arial" w:cs="Arial" w:eastAsia="Arial" w:hAnsi="Arial"/>
          <w:sz w:val="18"/>
          <w:szCs w:val="18"/>
          <w:color w:val="auto"/>
        </w:rPr>
      </w:pPr>
    </w:p>
    <w:p>
      <w:pPr>
        <w:jc w:val="both"/>
        <w:ind w:left="4" w:firstLine="644"/>
        <w:spacing w:after="0" w:line="288" w:lineRule="auto"/>
        <w:tabs>
          <w:tab w:leader="none" w:pos="1654"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xml:space="preserve">”) which (i) adversely affects or challenges the legality, validity or enforceability of any of the Transaction Documents or the Securities or (ii) except as set forth in </w:t>
      </w:r>
      <w:r>
        <w:rPr>
          <w:rFonts w:ascii="Arial" w:cs="Arial" w:eastAsia="Arial" w:hAnsi="Arial"/>
          <w:sz w:val="16"/>
          <w:szCs w:val="16"/>
          <w:u w:val="single" w:color="auto"/>
          <w:color w:val="auto"/>
        </w:rPr>
        <w:t>Schedule 3.1(j)</w:t>
      </w:r>
      <w:r>
        <w:rPr>
          <w:rFonts w:ascii="Arial" w:cs="Arial" w:eastAsia="Arial" w:hAnsi="Arial"/>
          <w:sz w:val="16"/>
          <w:szCs w:val="16"/>
          <w:color w:val="auto"/>
        </w:rPr>
        <w:t>, could, if there were an unfavorable decision, have or reasonably be expected to result in a Material Adverse Effect. Neither the Company nor any Subsidiary, nor, to the Company’s knowledge,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to the Company’s knowledge,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38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45" w:name="page46"/>
    <w:bookmarkEnd w:id="45"/>
    <w:p>
      <w:pPr>
        <w:jc w:val="both"/>
        <w:ind w:left="-460" w:firstLine="644"/>
        <w:spacing w:after="0" w:line="287" w:lineRule="auto"/>
        <w:tabs>
          <w:tab w:leader="none" w:pos="1342" w:val="left"/>
        </w:tabs>
        <w:numPr>
          <w:ilvl w:val="0"/>
          <w:numId w:val="42"/>
        </w:numPr>
        <w:rPr>
          <w:rFonts w:ascii="Arial" w:cs="Arial" w:eastAsia="Arial" w:hAnsi="Arial"/>
          <w:sz w:val="16"/>
          <w:szCs w:val="16"/>
          <w:color w:val="auto"/>
        </w:rPr>
      </w:pPr>
      <w:r>
        <w:rPr>
          <w:rFonts w:ascii="Arial" w:cs="Arial" w:eastAsia="Arial" w:hAnsi="Arial"/>
          <w:sz w:val="16"/>
          <w:szCs w:val="16"/>
          <w:u w:val="single" w:color="auto"/>
          <w:color w:val="auto"/>
        </w:rPr>
        <w:t>Labor Relations</w:t>
      </w:r>
      <w:r>
        <w:rPr>
          <w:rFonts w:ascii="Arial" w:cs="Arial" w:eastAsia="Arial" w:hAnsi="Arial"/>
          <w:sz w:val="16"/>
          <w:szCs w:val="16"/>
          <w:color w:val="auto"/>
        </w:rPr>
        <w:t xml:space="preserve">. No labor dispute exists or, to the knowledge of the Company, is imminent with respect to any of the employees of the Company, which could reasonably be expected to result in a Material Adverse Effect. Except as disclosed on </w:t>
      </w:r>
      <w:r>
        <w:rPr>
          <w:rFonts w:ascii="Arial" w:cs="Arial" w:eastAsia="Arial" w:hAnsi="Arial"/>
          <w:sz w:val="16"/>
          <w:szCs w:val="16"/>
          <w:u w:val="single" w:color="auto"/>
          <w:color w:val="auto"/>
        </w:rPr>
        <w:t>Section 3.1(k)</w:t>
      </w:r>
      <w:r>
        <w:rPr>
          <w:rFonts w:ascii="Arial" w:cs="Arial" w:eastAsia="Arial" w:hAnsi="Arial"/>
          <w:sz w:val="16"/>
          <w:szCs w:val="16"/>
          <w:color w:val="auto"/>
        </w:rPr>
        <w:t xml:space="preserve"> of the Disclosure Schedules,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71" w:lineRule="exact"/>
        <w:rPr>
          <w:rFonts w:ascii="Arial" w:cs="Arial" w:eastAsia="Arial" w:hAnsi="Arial"/>
          <w:sz w:val="16"/>
          <w:szCs w:val="16"/>
          <w:color w:val="auto"/>
        </w:rPr>
      </w:pPr>
    </w:p>
    <w:p>
      <w:pPr>
        <w:jc w:val="both"/>
        <w:ind w:left="-460" w:firstLine="644"/>
        <w:spacing w:after="0" w:line="270" w:lineRule="auto"/>
        <w:tabs>
          <w:tab w:leader="none" w:pos="1284"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Compliance</w:t>
      </w:r>
      <w:r>
        <w:rPr>
          <w:rFonts w:ascii="Arial" w:cs="Arial" w:eastAsia="Arial" w:hAnsi="Arial"/>
          <w:sz w:val="17"/>
          <w:szCs w:val="17"/>
          <w:color w:val="auto"/>
        </w:rPr>
        <w:t xml:space="preserve">. To the Company’s knowledge, neither the Company nor any Subsidiary: (i) except as set forth on </w:t>
      </w:r>
      <w:r>
        <w:rPr>
          <w:rFonts w:ascii="Arial" w:cs="Arial" w:eastAsia="Arial" w:hAnsi="Arial"/>
          <w:sz w:val="17"/>
          <w:szCs w:val="17"/>
          <w:u w:val="single" w:color="auto"/>
          <w:color w:val="auto"/>
        </w:rPr>
        <w:t>Schedule</w:t>
      </w:r>
      <w:r>
        <w:rPr>
          <w:rFonts w:ascii="Arial" w:cs="Arial" w:eastAsia="Arial" w:hAnsi="Arial"/>
          <w:sz w:val="17"/>
          <w:szCs w:val="17"/>
          <w:color w:val="auto"/>
        </w:rPr>
        <w:t xml:space="preserve"> </w:t>
      </w:r>
      <w:r>
        <w:rPr>
          <w:rFonts w:ascii="Arial" w:cs="Arial" w:eastAsia="Arial" w:hAnsi="Arial"/>
          <w:sz w:val="17"/>
          <w:szCs w:val="17"/>
          <w:u w:val="single" w:color="auto"/>
          <w:color w:val="auto"/>
        </w:rPr>
        <w:t>3.1(l)(i)</w:t>
      </w:r>
      <w:r>
        <w:rPr>
          <w:rFonts w:ascii="Arial" w:cs="Arial" w:eastAsia="Arial" w:hAnsi="Arial"/>
          <w:sz w:val="17"/>
          <w:szCs w:val="17"/>
          <w:color w:val="auto"/>
        </w:rPr>
        <w:t xml:space="preserve"> of the Disclosure Schedules,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180" w:lineRule="exact"/>
        <w:rPr>
          <w:rFonts w:ascii="Arial" w:cs="Arial" w:eastAsia="Arial" w:hAnsi="Arial"/>
          <w:sz w:val="17"/>
          <w:szCs w:val="17"/>
          <w:color w:val="auto"/>
        </w:rPr>
      </w:pPr>
    </w:p>
    <w:p>
      <w:pPr>
        <w:jc w:val="both"/>
        <w:ind w:left="-460" w:firstLine="644"/>
        <w:spacing w:after="0" w:line="269" w:lineRule="auto"/>
        <w:tabs>
          <w:tab w:leader="none" w:pos="1127" w:val="left"/>
        </w:tabs>
        <w:numPr>
          <w:ilvl w:val="0"/>
          <w:numId w:val="42"/>
        </w:numPr>
        <w:rPr>
          <w:rFonts w:ascii="Arial" w:cs="Arial" w:eastAsia="Arial" w:hAnsi="Arial"/>
          <w:sz w:val="17"/>
          <w:szCs w:val="17"/>
          <w:color w:val="auto"/>
        </w:rPr>
      </w:pPr>
      <w:r>
        <w:rPr>
          <w:rFonts w:ascii="Arial" w:cs="Arial" w:eastAsia="Arial" w:hAnsi="Arial"/>
          <w:sz w:val="17"/>
          <w:szCs w:val="17"/>
          <w:u w:val="single" w:color="auto"/>
          <w:color w:val="auto"/>
        </w:rPr>
        <w:t>Environmental Laws</w:t>
      </w:r>
      <w:r>
        <w:rPr>
          <w:rFonts w:ascii="Arial" w:cs="Arial" w:eastAsia="Arial" w:hAnsi="Arial"/>
          <w:sz w:val="17"/>
          <w:szCs w:val="17"/>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7"/>
          <w:szCs w:val="17"/>
          <w:u w:val="single" w:color="auto"/>
          <w:color w:val="auto"/>
        </w:rPr>
        <w:t>Hazardous Materials</w:t>
      </w:r>
      <w:r>
        <w:rPr>
          <w:rFonts w:ascii="Arial" w:cs="Arial" w:eastAsia="Arial" w:hAnsi="Arial"/>
          <w:sz w:val="17"/>
          <w:szCs w:val="17"/>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7"/>
          <w:szCs w:val="17"/>
          <w:u w:val="single" w:color="auto"/>
          <w:color w:val="auto"/>
        </w:rPr>
        <w:t>Environmental Laws</w:t>
      </w:r>
      <w:r>
        <w:rPr>
          <w:rFonts w:ascii="Arial" w:cs="Arial" w:eastAsia="Arial" w:hAnsi="Arial"/>
          <w:sz w:val="17"/>
          <w:szCs w:val="17"/>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200" w:lineRule="exact"/>
        <w:rPr>
          <w:sz w:val="20"/>
          <w:szCs w:val="20"/>
          <w:color w:val="auto"/>
        </w:rPr>
      </w:pPr>
    </w:p>
    <w:p>
      <w:pPr>
        <w:spacing w:after="0" w:line="201"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6" w:name="page47"/>
    <w:bookmarkEnd w:id="46"/>
    <w:p>
      <w:pPr>
        <w:jc w:val="both"/>
        <w:ind w:left="-460" w:firstLine="644"/>
        <w:spacing w:after="0" w:line="301" w:lineRule="auto"/>
        <w:tabs>
          <w:tab w:leader="none" w:pos="1275"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Regulatory Permits</w:t>
      </w:r>
      <w:r>
        <w:rPr>
          <w:rFonts w:ascii="Arial" w:cs="Arial" w:eastAsia="Arial" w:hAnsi="Arial"/>
          <w:sz w:val="16"/>
          <w:szCs w:val="16"/>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Arial" w:cs="Arial" w:eastAsia="Arial" w:hAnsi="Arial"/>
          <w:sz w:val="16"/>
          <w:szCs w:val="16"/>
          <w:u w:val="single" w:color="auto"/>
          <w:color w:val="auto"/>
        </w:rPr>
        <w:t>Material Permits</w:t>
      </w:r>
      <w:r>
        <w:rPr>
          <w:rFonts w:ascii="Arial" w:cs="Arial" w:eastAsia="Arial" w:hAnsi="Arial"/>
          <w:sz w:val="16"/>
          <w:szCs w:val="16"/>
          <w:color w:val="auto"/>
        </w:rPr>
        <w:t>”), and neither the Company nor any Subsidiary has received any notice of proceedings relating to the revocation or modification of any Material Permit.</w:t>
      </w:r>
    </w:p>
    <w:p>
      <w:pPr>
        <w:spacing w:after="0" w:line="157" w:lineRule="exact"/>
        <w:rPr>
          <w:rFonts w:ascii="Arial" w:cs="Arial" w:eastAsia="Arial" w:hAnsi="Arial"/>
          <w:sz w:val="16"/>
          <w:szCs w:val="16"/>
          <w:color w:val="auto"/>
        </w:rPr>
      </w:pPr>
    </w:p>
    <w:p>
      <w:pPr>
        <w:jc w:val="both"/>
        <w:ind w:left="-460" w:firstLine="644"/>
        <w:spacing w:after="0" w:line="291" w:lineRule="auto"/>
        <w:tabs>
          <w:tab w:leader="none" w:pos="1086"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Title to Assets</w:t>
      </w:r>
      <w:r>
        <w:rPr>
          <w:rFonts w:ascii="Arial" w:cs="Arial" w:eastAsia="Arial" w:hAnsi="Arial"/>
          <w:sz w:val="16"/>
          <w:szCs w:val="16"/>
          <w:color w:val="auto"/>
        </w:rPr>
        <w:t>. The Company and the Subsidiaries have good and marketable title in fee simple to all real property owned by them and good and marketable title in all personal property (if any) owned by them that is material to the business of the Company and the Subsidiaries, in each case free and clear of all Liens except for Permitted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66" w:lineRule="exact"/>
        <w:rPr>
          <w:rFonts w:ascii="Arial" w:cs="Arial" w:eastAsia="Arial" w:hAnsi="Arial"/>
          <w:sz w:val="16"/>
          <w:szCs w:val="16"/>
          <w:color w:val="auto"/>
        </w:rPr>
      </w:pPr>
    </w:p>
    <w:p>
      <w:pPr>
        <w:jc w:val="both"/>
        <w:ind w:left="-460" w:firstLine="644"/>
        <w:spacing w:after="0" w:line="287" w:lineRule="auto"/>
        <w:tabs>
          <w:tab w:leader="none" w:pos="1410" w:val="left"/>
        </w:tabs>
        <w:numPr>
          <w:ilvl w:val="0"/>
          <w:numId w:val="43"/>
        </w:numPr>
        <w:rPr>
          <w:rFonts w:ascii="Arial" w:cs="Arial" w:eastAsia="Arial" w:hAnsi="Arial"/>
          <w:sz w:val="16"/>
          <w:szCs w:val="16"/>
          <w:color w:val="auto"/>
        </w:rPr>
      </w:pPr>
      <w:r>
        <w:rPr>
          <w:rFonts w:ascii="Arial" w:cs="Arial" w:eastAsia="Arial" w:hAnsi="Arial"/>
          <w:sz w:val="16"/>
          <w:szCs w:val="16"/>
          <w:u w:val="single" w:color="auto"/>
          <w:color w:val="auto"/>
        </w:rPr>
        <w:t>Intellectual Property</w:t>
      </w:r>
      <w:r>
        <w:rPr>
          <w:rFonts w:ascii="Arial" w:cs="Arial" w:eastAsia="Arial" w:hAnsi="Arial"/>
          <w:sz w:val="16"/>
          <w:szCs w:val="16"/>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Arial" w:cs="Arial" w:eastAsia="Arial" w:hAnsi="Arial"/>
          <w:sz w:val="16"/>
          <w:szCs w:val="16"/>
          <w:u w:val="single" w:color="auto"/>
          <w:color w:val="auto"/>
        </w:rPr>
        <w:t>Intellectual Property Rights</w:t>
      </w:r>
      <w:r>
        <w:rPr>
          <w:rFonts w:ascii="Arial" w:cs="Arial" w:eastAsia="Arial" w:hAnsi="Arial"/>
          <w:sz w:val="16"/>
          <w:szCs w:val="16"/>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38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7" w:name="page48"/>
    <w:bookmarkEnd w:id="47"/>
    <w:p>
      <w:pPr>
        <w:jc w:val="both"/>
        <w:ind w:left="-460" w:firstLine="644"/>
        <w:spacing w:after="0" w:line="296" w:lineRule="auto"/>
        <w:tabs>
          <w:tab w:leader="none" w:pos="127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Insurance</w:t>
      </w:r>
      <w:r>
        <w:rPr>
          <w:rFonts w:ascii="Arial" w:cs="Arial" w:eastAsia="Arial" w:hAnsi="Arial"/>
          <w:sz w:val="16"/>
          <w:szCs w:val="16"/>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61" w:lineRule="exact"/>
        <w:rPr>
          <w:rFonts w:ascii="Arial" w:cs="Arial" w:eastAsia="Arial" w:hAnsi="Arial"/>
          <w:sz w:val="16"/>
          <w:szCs w:val="16"/>
          <w:color w:val="auto"/>
        </w:rPr>
      </w:pPr>
    </w:p>
    <w:p>
      <w:pPr>
        <w:jc w:val="both"/>
        <w:ind w:left="-460" w:firstLine="644"/>
        <w:spacing w:after="0" w:line="270" w:lineRule="auto"/>
        <w:tabs>
          <w:tab w:leader="none" w:pos="1182"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Transactions With Affiliates and Employees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3.1(r)</w:t>
      </w:r>
      <w:r>
        <w:rPr>
          <w:rFonts w:ascii="Arial" w:cs="Arial" w:eastAsia="Arial" w:hAnsi="Arial"/>
          <w:sz w:val="17"/>
          <w:szCs w:val="17"/>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or any Subsidiary and (iii) other employee benefits, including stock option agreements under any stock option plan of the Company.</w:t>
      </w:r>
    </w:p>
    <w:p>
      <w:pPr>
        <w:spacing w:after="0" w:line="180" w:lineRule="exact"/>
        <w:rPr>
          <w:rFonts w:ascii="Arial" w:cs="Arial" w:eastAsia="Arial" w:hAnsi="Arial"/>
          <w:sz w:val="17"/>
          <w:szCs w:val="17"/>
          <w:color w:val="auto"/>
        </w:rPr>
      </w:pPr>
    </w:p>
    <w:p>
      <w:pPr>
        <w:jc w:val="both"/>
        <w:ind w:left="-460" w:firstLine="644"/>
        <w:spacing w:after="0" w:line="285" w:lineRule="auto"/>
        <w:tabs>
          <w:tab w:leader="none" w:pos="1165" w:val="left"/>
        </w:tabs>
        <w:numPr>
          <w:ilvl w:val="0"/>
          <w:numId w:val="44"/>
        </w:numPr>
        <w:rPr>
          <w:rFonts w:ascii="Arial" w:cs="Arial" w:eastAsia="Arial" w:hAnsi="Arial"/>
          <w:sz w:val="16"/>
          <w:szCs w:val="16"/>
          <w:color w:val="auto"/>
        </w:rPr>
      </w:pPr>
      <w:r>
        <w:rPr>
          <w:rFonts w:ascii="Arial" w:cs="Arial" w:eastAsia="Arial" w:hAnsi="Arial"/>
          <w:sz w:val="16"/>
          <w:szCs w:val="16"/>
          <w:u w:val="single" w:color="auto"/>
          <w:color w:val="auto"/>
        </w:rPr>
        <w:t>Sarbanes-Oxley; Internal Accounting Controls</w:t>
      </w:r>
      <w:r>
        <w:rPr>
          <w:rFonts w:ascii="Arial" w:cs="Arial" w:eastAsia="Arial" w:hAnsi="Arial"/>
          <w:sz w:val="16"/>
          <w:szCs w:val="16"/>
          <w:color w:val="auto"/>
        </w:rPr>
        <w:t>. The Company and the Subsidiaries are in material compliance with any and all applicable requirements of the Sarbanes-Oxley Act of 2002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Arial" w:cs="Arial" w:eastAsia="Arial" w:hAnsi="Arial"/>
          <w:sz w:val="16"/>
          <w:szCs w:val="16"/>
          <w:u w:val="single" w:color="auto"/>
          <w:color w:val="auto"/>
        </w:rPr>
        <w:t>Evaluation Date</w:t>
      </w:r>
      <w:r>
        <w:rPr>
          <w:rFonts w:ascii="Arial" w:cs="Arial" w:eastAsia="Arial" w:hAnsi="Arial"/>
          <w:sz w:val="16"/>
          <w:szCs w:val="16"/>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390"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8" w:name="page49"/>
    <w:bookmarkEnd w:id="48"/>
    <w:p>
      <w:pPr>
        <w:jc w:val="both"/>
        <w:ind w:left="-460" w:firstLine="644"/>
        <w:spacing w:after="0" w:line="296" w:lineRule="auto"/>
        <w:tabs>
          <w:tab w:leader="none" w:pos="1365"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Certain Fees</w:t>
      </w:r>
      <w:r>
        <w:rPr>
          <w:rFonts w:ascii="Arial" w:cs="Arial" w:eastAsia="Arial" w:hAnsi="Arial"/>
          <w:sz w:val="16"/>
          <w:szCs w:val="16"/>
          <w:color w:val="auto"/>
        </w:rPr>
        <w:t xml:space="preserve">. Except as set forth in the Prospectus Supplement and on </w:t>
      </w:r>
      <w:r>
        <w:rPr>
          <w:rFonts w:ascii="Arial" w:cs="Arial" w:eastAsia="Arial" w:hAnsi="Arial"/>
          <w:sz w:val="16"/>
          <w:szCs w:val="16"/>
          <w:u w:val="single" w:color="auto"/>
          <w:color w:val="auto"/>
        </w:rPr>
        <w:t>Schedule 3.1(t)</w:t>
      </w:r>
      <w:r>
        <w:rPr>
          <w:rFonts w:ascii="Arial" w:cs="Arial" w:eastAsia="Arial" w:hAnsi="Arial"/>
          <w:sz w:val="16"/>
          <w:szCs w:val="16"/>
          <w:color w:val="auto"/>
        </w:rPr>
        <w:t xml:space="preserve"> of the Disclosure Schedules,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61" w:lineRule="exact"/>
        <w:rPr>
          <w:rFonts w:ascii="Arial" w:cs="Arial" w:eastAsia="Arial" w:hAnsi="Arial"/>
          <w:sz w:val="16"/>
          <w:szCs w:val="16"/>
          <w:color w:val="auto"/>
        </w:rPr>
      </w:pPr>
    </w:p>
    <w:p>
      <w:pPr>
        <w:jc w:val="both"/>
        <w:ind w:left="-460" w:firstLine="644"/>
        <w:spacing w:after="0" w:line="259" w:lineRule="auto"/>
        <w:tabs>
          <w:tab w:leader="none" w:pos="1302"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Investment Company</w:t>
      </w:r>
      <w:r>
        <w:rPr>
          <w:rFonts w:ascii="Arial" w:cs="Arial" w:eastAsia="Arial" w:hAnsi="Arial"/>
          <w:sz w:val="18"/>
          <w:szCs w:val="18"/>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86" w:lineRule="exact"/>
        <w:rPr>
          <w:rFonts w:ascii="Arial" w:cs="Arial" w:eastAsia="Arial" w:hAnsi="Arial"/>
          <w:sz w:val="18"/>
          <w:szCs w:val="18"/>
          <w:color w:val="auto"/>
        </w:rPr>
      </w:pPr>
    </w:p>
    <w:p>
      <w:pPr>
        <w:ind w:left="-460" w:firstLine="644"/>
        <w:spacing w:after="0" w:line="277" w:lineRule="auto"/>
        <w:tabs>
          <w:tab w:leader="none" w:pos="1248"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No Person has any right to cause the Company or any Subsidiary to effect the registration under the Securities Act of any securities of the Company or any Subsidiary.</w:t>
      </w:r>
    </w:p>
    <w:p>
      <w:pPr>
        <w:spacing w:after="0" w:line="170" w:lineRule="exact"/>
        <w:rPr>
          <w:rFonts w:ascii="Arial" w:cs="Arial" w:eastAsia="Arial" w:hAnsi="Arial"/>
          <w:sz w:val="18"/>
          <w:szCs w:val="18"/>
          <w:color w:val="auto"/>
        </w:rPr>
      </w:pPr>
    </w:p>
    <w:p>
      <w:pPr>
        <w:jc w:val="both"/>
        <w:ind w:left="-460" w:firstLine="644"/>
        <w:spacing w:after="0" w:line="289" w:lineRule="auto"/>
        <w:tabs>
          <w:tab w:leader="none" w:pos="1063"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w:t>
      </w:r>
      <w:r>
        <w:rPr>
          <w:rFonts w:ascii="Arial" w:cs="Arial" w:eastAsia="Arial" w:hAnsi="Arial"/>
          <w:sz w:val="16"/>
          <w:szCs w:val="16"/>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year following the Closing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38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49" w:name="page50"/>
    <w:bookmarkEnd w:id="49"/>
    <w:p>
      <w:pPr>
        <w:jc w:val="both"/>
        <w:ind w:left="-460" w:firstLine="644"/>
        <w:spacing w:after="0" w:line="255" w:lineRule="auto"/>
        <w:tabs>
          <w:tab w:leader="none" w:pos="1234"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Application of Takeover Protections</w:t>
      </w:r>
      <w:r>
        <w:rPr>
          <w:rFonts w:ascii="Arial" w:cs="Arial" w:eastAsia="Arial" w:hAnsi="Arial"/>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Securities and the Purchasers’ ownership of the Securities.</w:t>
      </w:r>
    </w:p>
    <w:p>
      <w:pPr>
        <w:spacing w:after="0" w:line="192" w:lineRule="exact"/>
        <w:rPr>
          <w:rFonts w:ascii="Arial" w:cs="Arial" w:eastAsia="Arial" w:hAnsi="Arial"/>
          <w:sz w:val="18"/>
          <w:szCs w:val="18"/>
          <w:color w:val="auto"/>
        </w:rPr>
      </w:pPr>
    </w:p>
    <w:p>
      <w:pPr>
        <w:jc w:val="both"/>
        <w:ind w:left="-460" w:firstLine="644"/>
        <w:spacing w:after="0" w:line="268" w:lineRule="auto"/>
        <w:tabs>
          <w:tab w:leader="none" w:pos="1248"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when taken together as a whole,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186" w:lineRule="exact"/>
        <w:rPr>
          <w:rFonts w:ascii="Arial" w:cs="Arial" w:eastAsia="Arial" w:hAnsi="Arial"/>
          <w:sz w:val="17"/>
          <w:szCs w:val="17"/>
          <w:color w:val="auto"/>
        </w:rPr>
      </w:pPr>
    </w:p>
    <w:p>
      <w:pPr>
        <w:jc w:val="both"/>
        <w:ind w:left="-460" w:firstLine="644"/>
        <w:spacing w:after="0" w:line="275" w:lineRule="auto"/>
        <w:tabs>
          <w:tab w:leader="none" w:pos="1224" w:val="left"/>
        </w:tabs>
        <w:numPr>
          <w:ilvl w:val="0"/>
          <w:numId w:val="46"/>
        </w:numPr>
        <w:rPr>
          <w:rFonts w:ascii="Arial" w:cs="Arial" w:eastAsia="Arial" w:hAnsi="Arial"/>
          <w:sz w:val="17"/>
          <w:szCs w:val="17"/>
          <w:color w:val="auto"/>
        </w:rPr>
      </w:pPr>
      <w:r>
        <w:rPr>
          <w:rFonts w:ascii="Arial" w:cs="Arial" w:eastAsia="Arial" w:hAnsi="Arial"/>
          <w:sz w:val="17"/>
          <w:szCs w:val="17"/>
          <w:u w:val="single" w:color="auto"/>
          <w:color w:val="auto"/>
        </w:rPr>
        <w:t>No Integrated Offering</w:t>
      </w:r>
      <w:r>
        <w:rPr>
          <w:rFonts w:ascii="Arial" w:cs="Arial" w:eastAsia="Arial" w:hAnsi="Arial"/>
          <w:sz w:val="17"/>
          <w:szCs w:val="17"/>
          <w:color w:val="auto"/>
        </w:rPr>
        <w:t>. Assuming the accuracy of the Purchasers’ representations and warranties set forth in Section 3.2, neither the Company, nor, to the Company’s knowledge, any of its Affiliates, nor any Person acting on its or, to the Company’s knowledge, their behalf has, directly or indirectly, made any offers or sales of any security or solicited any offers to buy any security, under circumstances that would cause this offering of the Securities to be integrated with prior offerings by the Company for purposes of any applicable shareholder approval provisions of any Trading Market on which any of the securities of the Company are listed or designated.</w:t>
      </w:r>
    </w:p>
    <w:p>
      <w:pPr>
        <w:spacing w:after="0" w:line="39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0" w:name="page51"/>
    <w:bookmarkEnd w:id="50"/>
    <w:p>
      <w:pPr>
        <w:jc w:val="both"/>
        <w:ind w:left="-460" w:firstLine="644"/>
        <w:spacing w:after="0" w:line="285" w:lineRule="auto"/>
        <w:tabs>
          <w:tab w:leader="none" w:pos="1223"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Solvency</w:t>
      </w:r>
      <w:r>
        <w:rPr>
          <w:rFonts w:ascii="Arial" w:cs="Arial" w:eastAsia="Arial" w:hAnsi="Arial"/>
          <w:sz w:val="16"/>
          <w:szCs w:val="16"/>
          <w:color w:val="auto"/>
        </w:rPr>
        <w:t xml:space="preserve">. Except as set forth on </w:t>
      </w:r>
      <w:r>
        <w:rPr>
          <w:rFonts w:ascii="Arial" w:cs="Arial" w:eastAsia="Arial" w:hAnsi="Arial"/>
          <w:sz w:val="16"/>
          <w:szCs w:val="16"/>
          <w:u w:val="single" w:color="auto"/>
          <w:color w:val="auto"/>
        </w:rPr>
        <w:t>Schedule (aa)</w:t>
      </w:r>
      <w:r>
        <w:rPr>
          <w:rFonts w:ascii="Arial" w:cs="Arial" w:eastAsia="Arial" w:hAnsi="Arial"/>
          <w:sz w:val="16"/>
          <w:szCs w:val="16"/>
          <w:color w:val="auto"/>
        </w:rPr>
        <w:t>, based on the consolidated financial condition of the Company as of the Closing Date, and the Company’s good faith estimate of the fair market value of its assets, after giving effect to the receipt by the Company of the proceeds from the sale of the Securities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 Reports set forth as of the date hereof all outstanding secured and unsecured Indebtedness of the Company or any Subsidiary, or for which the Company or any Subsidiary has commitments. For the purposes of this Agreement, “</w:t>
      </w:r>
      <w:r>
        <w:rPr>
          <w:rFonts w:ascii="Arial" w:cs="Arial" w:eastAsia="Arial" w:hAnsi="Arial"/>
          <w:sz w:val="16"/>
          <w:szCs w:val="16"/>
          <w:u w:val="single" w:color="auto"/>
          <w:color w:val="auto"/>
        </w:rPr>
        <w:t>Indebtedness</w:t>
      </w:r>
      <w:r>
        <w:rPr>
          <w:rFonts w:ascii="Arial" w:cs="Arial" w:eastAsia="Arial" w:hAnsi="Arial"/>
          <w:sz w:val="16"/>
          <w:szCs w:val="16"/>
          <w:color w:val="auto"/>
        </w:rPr>
        <w:t>” means (x) any liabilities for borrowed money or amounts owed in excess of $100,000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$100,000 due under leases required to be capitalized in accordance with GAAP. Neither the Company nor any Subsidiary is in default with respect to any Indebtedness.</w:t>
      </w:r>
    </w:p>
    <w:p>
      <w:pPr>
        <w:spacing w:after="0" w:line="168" w:lineRule="exact"/>
        <w:rPr>
          <w:rFonts w:ascii="Arial" w:cs="Arial" w:eastAsia="Arial" w:hAnsi="Arial"/>
          <w:sz w:val="16"/>
          <w:szCs w:val="16"/>
          <w:color w:val="auto"/>
        </w:rPr>
      </w:pPr>
    </w:p>
    <w:p>
      <w:pPr>
        <w:jc w:val="both"/>
        <w:ind w:left="-460" w:firstLine="644"/>
        <w:spacing w:after="0" w:line="254" w:lineRule="auto"/>
        <w:tabs>
          <w:tab w:leader="none" w:pos="1063"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Tax Status</w:t>
      </w:r>
      <w:r>
        <w:rPr>
          <w:rFonts w:ascii="Arial" w:cs="Arial" w:eastAsia="Arial" w:hAnsi="Arial"/>
          <w:sz w:val="18"/>
          <w:szCs w:val="18"/>
          <w:color w:val="auto"/>
        </w:rPr>
        <w:t xml:space="preserve">. Except for matters that would not, individually or in the aggregate, have or reasonably be expected to result in a Material Adverse Effect, the Company and its Subsidiaries each (i) has made or filed all required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Except as set forth on </w:t>
      </w:r>
      <w:r>
        <w:rPr>
          <w:rFonts w:ascii="Arial" w:cs="Arial" w:eastAsia="Arial" w:hAnsi="Arial"/>
          <w:sz w:val="18"/>
          <w:szCs w:val="18"/>
          <w:u w:val="single" w:color="auto"/>
          <w:color w:val="auto"/>
        </w:rPr>
        <w:t>Schedule 3.1(aa)</w:t>
      </w:r>
      <w:r>
        <w:rPr>
          <w:rFonts w:ascii="Arial" w:cs="Arial" w:eastAsia="Arial" w:hAnsi="Arial"/>
          <w:sz w:val="18"/>
          <w:szCs w:val="18"/>
          <w:color w:val="auto"/>
        </w:rPr>
        <w:t>, there are no unpaid taxes in any material amount claimed to be due by the taxing authority of any jurisdiction, and the officers of the Company or of any Subsidiary know of no reasonable basis for any such claim.</w:t>
      </w:r>
    </w:p>
    <w:p>
      <w:pPr>
        <w:spacing w:after="0" w:line="191" w:lineRule="exact"/>
        <w:rPr>
          <w:rFonts w:ascii="Arial" w:cs="Arial" w:eastAsia="Arial" w:hAnsi="Arial"/>
          <w:sz w:val="18"/>
          <w:szCs w:val="18"/>
          <w:color w:val="auto"/>
        </w:rPr>
      </w:pPr>
    </w:p>
    <w:p>
      <w:pPr>
        <w:jc w:val="both"/>
        <w:ind w:left="-460" w:firstLine="644"/>
        <w:spacing w:after="0" w:line="273" w:lineRule="auto"/>
        <w:tabs>
          <w:tab w:leader="none" w:pos="1021"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Foreign Corrupt Practices</w:t>
      </w:r>
      <w:r>
        <w:rPr>
          <w:rFonts w:ascii="Arial" w:cs="Arial" w:eastAsia="Arial" w:hAnsi="Arial"/>
          <w:sz w:val="17"/>
          <w:szCs w:val="17"/>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39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1" w:name="page52"/>
    <w:bookmarkEnd w:id="51"/>
    <w:p>
      <w:pPr>
        <w:jc w:val="both"/>
        <w:ind w:left="4" w:firstLine="644"/>
        <w:spacing w:after="0" w:line="286" w:lineRule="auto"/>
        <w:tabs>
          <w:tab w:leader="none" w:pos="1662"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Accountants</w:t>
      </w:r>
      <w:r>
        <w:rPr>
          <w:rFonts w:ascii="Arial" w:cs="Arial" w:eastAsia="Arial" w:hAnsi="Arial"/>
          <w:sz w:val="17"/>
          <w:szCs w:val="17"/>
          <w:color w:val="auto"/>
        </w:rPr>
        <w:t>. The Company’s accounting firm is CohnReznick LLP.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2019.</w:t>
      </w:r>
    </w:p>
    <w:p>
      <w:pPr>
        <w:spacing w:after="0" w:line="165" w:lineRule="exact"/>
        <w:rPr>
          <w:rFonts w:ascii="Arial" w:cs="Arial" w:eastAsia="Arial" w:hAnsi="Arial"/>
          <w:sz w:val="17"/>
          <w:szCs w:val="17"/>
          <w:color w:val="auto"/>
        </w:rPr>
      </w:pPr>
    </w:p>
    <w:p>
      <w:pPr>
        <w:jc w:val="both"/>
        <w:ind w:left="4" w:firstLine="644"/>
        <w:spacing w:after="0" w:line="271" w:lineRule="auto"/>
        <w:tabs>
          <w:tab w:leader="none" w:pos="1633"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Purchase of</w:t>
      </w:r>
      <w:r>
        <w:rPr>
          <w:rFonts w:ascii="Arial" w:cs="Arial" w:eastAsia="Arial" w:hAnsi="Arial"/>
          <w:sz w:val="17"/>
          <w:szCs w:val="17"/>
          <w:color w:val="auto"/>
        </w:rPr>
        <w:t xml:space="preserve"> Securities.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Securities.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178" w:lineRule="exact"/>
        <w:rPr>
          <w:rFonts w:ascii="Arial" w:cs="Arial" w:eastAsia="Arial" w:hAnsi="Arial"/>
          <w:sz w:val="17"/>
          <w:szCs w:val="17"/>
          <w:color w:val="auto"/>
        </w:rPr>
      </w:pPr>
    </w:p>
    <w:p>
      <w:pPr>
        <w:jc w:val="both"/>
        <w:ind w:left="4" w:firstLine="644"/>
        <w:spacing w:after="0" w:line="268" w:lineRule="auto"/>
        <w:tabs>
          <w:tab w:leader="none" w:pos="1626" w:val="left"/>
        </w:tabs>
        <w:numPr>
          <w:ilvl w:val="1"/>
          <w:numId w:val="48"/>
        </w:numPr>
        <w:rPr>
          <w:rFonts w:ascii="Arial" w:cs="Arial" w:eastAsia="Arial" w:hAnsi="Arial"/>
          <w:sz w:val="17"/>
          <w:szCs w:val="17"/>
          <w:color w:val="auto"/>
        </w:rPr>
      </w:pPr>
      <w:r>
        <w:rPr>
          <w:rFonts w:ascii="Arial" w:cs="Arial" w:eastAsia="Arial" w:hAnsi="Arial"/>
          <w:sz w:val="17"/>
          <w:szCs w:val="17"/>
          <w:u w:val="single" w:color="auto"/>
          <w:color w:val="auto"/>
        </w:rPr>
        <w:t>Acknowledgment Regarding Purchaser’s Trading Activity</w:t>
      </w:r>
      <w:r>
        <w:rPr>
          <w:rFonts w:ascii="Arial" w:cs="Arial" w:eastAsia="Arial" w:hAnsi="Arial"/>
          <w:sz w:val="17"/>
          <w:szCs w:val="17"/>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Securities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6" w:lineRule="exact"/>
        <w:rPr>
          <w:rFonts w:ascii="Arial" w:cs="Arial" w:eastAsia="Arial" w:hAnsi="Arial"/>
          <w:sz w:val="17"/>
          <w:szCs w:val="17"/>
          <w:color w:val="auto"/>
        </w:rPr>
      </w:pPr>
    </w:p>
    <w:p>
      <w:pPr>
        <w:jc w:val="both"/>
        <w:ind w:left="4" w:firstLine="644"/>
        <w:spacing w:after="0" w:line="287" w:lineRule="auto"/>
        <w:tabs>
          <w:tab w:leader="none" w:pos="1500" w:val="left"/>
        </w:tabs>
        <w:numPr>
          <w:ilvl w:val="1"/>
          <w:numId w:val="48"/>
        </w:numPr>
        <w:rPr>
          <w:rFonts w:ascii="Arial" w:cs="Arial" w:eastAsia="Arial" w:hAnsi="Arial"/>
          <w:sz w:val="16"/>
          <w:szCs w:val="16"/>
          <w:color w:val="auto"/>
        </w:rPr>
      </w:pPr>
      <w:r>
        <w:rPr>
          <w:rFonts w:ascii="Arial" w:cs="Arial" w:eastAsia="Arial" w:hAnsi="Arial"/>
          <w:sz w:val="16"/>
          <w:szCs w:val="16"/>
          <w:u w:val="single" w:color="auto"/>
          <w:color w:val="auto"/>
        </w:rPr>
        <w:t>Regulation M Compliance</w:t>
      </w:r>
      <w:r>
        <w:rPr>
          <w:rFonts w:ascii="Arial" w:cs="Arial" w:eastAsia="Arial" w:hAnsi="Arial"/>
          <w:sz w:val="16"/>
          <w:szCs w:val="16"/>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Securities, (ii) sold, bid for, purchased, or, paid any compensation for soliciting purchases of, any of the Securities, or</w:t>
      </w:r>
    </w:p>
    <w:p>
      <w:pPr>
        <w:spacing w:after="0" w:line="2" w:lineRule="exact"/>
        <w:rPr>
          <w:rFonts w:ascii="Arial" w:cs="Arial" w:eastAsia="Arial" w:hAnsi="Arial"/>
          <w:sz w:val="16"/>
          <w:szCs w:val="16"/>
          <w:color w:val="auto"/>
        </w:rPr>
      </w:pPr>
    </w:p>
    <w:p>
      <w:pPr>
        <w:ind w:left="4" w:hanging="4"/>
        <w:spacing w:after="0" w:line="323" w:lineRule="auto"/>
        <w:tabs>
          <w:tab w:leader="none" w:pos="319" w:val="left"/>
        </w:tabs>
        <w:numPr>
          <w:ilvl w:val="0"/>
          <w:numId w:val="49"/>
        </w:numPr>
        <w:rPr>
          <w:rFonts w:ascii="Arial" w:cs="Arial" w:eastAsia="Arial" w:hAnsi="Arial"/>
          <w:sz w:val="16"/>
          <w:szCs w:val="16"/>
          <w:color w:val="auto"/>
        </w:rPr>
      </w:pPr>
      <w:r>
        <w:rPr>
          <w:rFonts w:ascii="Arial" w:cs="Arial" w:eastAsia="Arial" w:hAnsi="Arial"/>
          <w:sz w:val="16"/>
          <w:szCs w:val="16"/>
          <w:color w:val="auto"/>
        </w:rPr>
        <w:t>paid or agreed to pay to any Person any compensation for soliciting another to purchase any other securities of the Company, other than, in the case of clauses (ii) and (iii), compensation paid to the Company’s placement agent in connection with the placement of the Securities.</w:t>
      </w:r>
    </w:p>
    <w:p>
      <w:pPr>
        <w:spacing w:after="0" w:line="354"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52" w:name="page53"/>
    <w:bookmarkEnd w:id="52"/>
    <w:p>
      <w:pPr>
        <w:ind w:left="980" w:hanging="796"/>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225" w:lineRule="exact"/>
        <w:rPr>
          <w:rFonts w:ascii="Arial" w:cs="Arial" w:eastAsia="Arial" w:hAnsi="Arial"/>
          <w:sz w:val="18"/>
          <w:szCs w:val="18"/>
          <w:color w:val="auto"/>
        </w:rPr>
      </w:pPr>
    </w:p>
    <w:p>
      <w:pPr>
        <w:jc w:val="both"/>
        <w:ind w:left="-460" w:firstLine="644"/>
        <w:spacing w:after="0" w:line="293" w:lineRule="auto"/>
        <w:tabs>
          <w:tab w:leader="none" w:pos="117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Stock Option Plans</w:t>
      </w:r>
      <w:r>
        <w:rPr>
          <w:rFonts w:ascii="Arial" w:cs="Arial" w:eastAsia="Arial" w:hAnsi="Arial"/>
          <w:sz w:val="16"/>
          <w:szCs w:val="16"/>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64" w:lineRule="exact"/>
        <w:rPr>
          <w:rFonts w:ascii="Arial" w:cs="Arial" w:eastAsia="Arial" w:hAnsi="Arial"/>
          <w:sz w:val="16"/>
          <w:szCs w:val="16"/>
          <w:color w:val="auto"/>
        </w:rPr>
      </w:pPr>
    </w:p>
    <w:p>
      <w:pPr>
        <w:jc w:val="both"/>
        <w:ind w:left="-460" w:firstLine="644"/>
        <w:spacing w:after="0" w:line="263" w:lineRule="auto"/>
        <w:tabs>
          <w:tab w:leader="none" w:pos="1132"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Office of Foreign Assets Control</w:t>
      </w:r>
      <w:r>
        <w:rPr>
          <w:rFonts w:ascii="Arial" w:cs="Arial" w:eastAsia="Arial" w:hAnsi="Arial"/>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Arial" w:cs="Arial" w:eastAsia="Arial" w:hAnsi="Arial"/>
          <w:sz w:val="18"/>
          <w:szCs w:val="18"/>
          <w:u w:val="single" w:color="auto"/>
          <w:color w:val="auto"/>
        </w:rPr>
        <w:t>OFAC</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jc w:val="both"/>
        <w:ind w:left="-460" w:firstLine="644"/>
        <w:spacing w:after="0" w:line="342" w:lineRule="auto"/>
        <w:tabs>
          <w:tab w:leader="none" w:pos="1104"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U.S. Real Property Holding Corporation</w:t>
      </w:r>
      <w:r>
        <w:rPr>
          <w:rFonts w:ascii="Arial" w:cs="Arial" w:eastAsia="Arial" w:hAnsi="Arial"/>
          <w:sz w:val="16"/>
          <w:szCs w:val="16"/>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23" w:lineRule="exact"/>
        <w:rPr>
          <w:rFonts w:ascii="Arial" w:cs="Arial" w:eastAsia="Arial" w:hAnsi="Arial"/>
          <w:sz w:val="16"/>
          <w:szCs w:val="16"/>
          <w:color w:val="auto"/>
        </w:rPr>
      </w:pPr>
    </w:p>
    <w:p>
      <w:pPr>
        <w:jc w:val="both"/>
        <w:ind w:left="-460" w:firstLine="644"/>
        <w:spacing w:after="0" w:line="273" w:lineRule="auto"/>
        <w:tabs>
          <w:tab w:leader="none" w:pos="1159" w:val="left"/>
        </w:tabs>
        <w:numPr>
          <w:ilvl w:val="0"/>
          <w:numId w:val="50"/>
        </w:numPr>
        <w:rPr>
          <w:rFonts w:ascii="Arial" w:cs="Arial" w:eastAsia="Arial" w:hAnsi="Arial"/>
          <w:sz w:val="17"/>
          <w:szCs w:val="17"/>
          <w:color w:val="auto"/>
        </w:rPr>
      </w:pPr>
      <w:r>
        <w:rPr>
          <w:rFonts w:ascii="Arial" w:cs="Arial" w:eastAsia="Arial" w:hAnsi="Arial"/>
          <w:sz w:val="17"/>
          <w:szCs w:val="17"/>
          <w:u w:val="single" w:color="auto"/>
          <w:color w:val="auto"/>
        </w:rPr>
        <w:t>Bank Holding Company Act</w:t>
      </w:r>
      <w:r>
        <w:rPr>
          <w:rFonts w:ascii="Arial" w:cs="Arial" w:eastAsia="Arial" w:hAnsi="Arial"/>
          <w:sz w:val="17"/>
          <w:szCs w:val="17"/>
          <w:color w:val="auto"/>
        </w:rPr>
        <w:t>. Neither the Company nor any of its Subsidiaries or Affiliates is subject to the Bank Holding Company Act of 1956, as amended (the “</w:t>
      </w:r>
      <w:r>
        <w:rPr>
          <w:rFonts w:ascii="Arial" w:cs="Arial" w:eastAsia="Arial" w:hAnsi="Arial"/>
          <w:sz w:val="17"/>
          <w:szCs w:val="17"/>
          <w:u w:val="single" w:color="auto"/>
          <w:color w:val="auto"/>
        </w:rPr>
        <w:t>BHCA</w:t>
      </w:r>
      <w:r>
        <w:rPr>
          <w:rFonts w:ascii="Arial" w:cs="Arial" w:eastAsia="Arial" w:hAnsi="Arial"/>
          <w:sz w:val="17"/>
          <w:szCs w:val="17"/>
          <w:color w:val="auto"/>
        </w:rPr>
        <w:t>”) and to regulation by the Board of Governors of the Federal Reserve System (the “</w:t>
      </w:r>
      <w:r>
        <w:rPr>
          <w:rFonts w:ascii="Arial" w:cs="Arial" w:eastAsia="Arial" w:hAnsi="Arial"/>
          <w:sz w:val="17"/>
          <w:szCs w:val="17"/>
          <w:u w:val="single" w:color="auto"/>
          <w:color w:val="auto"/>
        </w:rPr>
        <w:t>Federal</w:t>
      </w:r>
      <w:r>
        <w:rPr>
          <w:rFonts w:ascii="Arial" w:cs="Arial" w:eastAsia="Arial" w:hAnsi="Arial"/>
          <w:sz w:val="17"/>
          <w:szCs w:val="17"/>
          <w:color w:val="auto"/>
        </w:rPr>
        <w:t xml:space="preserve"> </w:t>
      </w:r>
      <w:r>
        <w:rPr>
          <w:rFonts w:ascii="Arial" w:cs="Arial" w:eastAsia="Arial" w:hAnsi="Arial"/>
          <w:sz w:val="17"/>
          <w:szCs w:val="17"/>
          <w:u w:val="single" w:color="auto"/>
          <w:color w:val="auto"/>
        </w:rPr>
        <w:t>Reserve</w:t>
      </w:r>
      <w:r>
        <w:rPr>
          <w:rFonts w:ascii="Arial" w:cs="Arial" w:eastAsia="Arial" w:hAnsi="Arial"/>
          <w:sz w:val="17"/>
          <w:szCs w:val="17"/>
          <w:color w:val="auto"/>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77" w:lineRule="exact"/>
        <w:rPr>
          <w:rFonts w:ascii="Arial" w:cs="Arial" w:eastAsia="Arial" w:hAnsi="Arial"/>
          <w:sz w:val="17"/>
          <w:szCs w:val="17"/>
          <w:color w:val="auto"/>
        </w:rPr>
      </w:pPr>
    </w:p>
    <w:p>
      <w:pPr>
        <w:jc w:val="both"/>
        <w:ind w:left="-460" w:firstLine="644"/>
        <w:spacing w:after="0" w:line="296" w:lineRule="auto"/>
        <w:tabs>
          <w:tab w:leader="none" w:pos="858"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377"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53" w:name="page54"/>
    <w:bookmarkEnd w:id="53"/>
    <w:p>
      <w:pPr>
        <w:jc w:val="both"/>
        <w:ind w:left="660" w:firstLine="644"/>
        <w:spacing w:after="0" w:line="263" w:lineRule="auto"/>
        <w:tabs>
          <w:tab w:leader="none" w:pos="2251"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Other Covered Persons</w:t>
      </w:r>
      <w:r>
        <w:rPr>
          <w:rFonts w:ascii="Arial" w:cs="Arial" w:eastAsia="Arial" w:hAnsi="Arial"/>
          <w:sz w:val="18"/>
          <w:szCs w:val="18"/>
          <w:color w:val="auto"/>
        </w:rPr>
        <w:t>. Other than the Financial Advisor, the Company is not aware of any person (other than any Issuer Covered Person) that has been or will be paid (directly or indirectly) remuneration for solicitation of purchasers in connection with the sale of any Securities.</w:t>
      </w:r>
    </w:p>
    <w:p>
      <w:pPr>
        <w:spacing w:after="0" w:line="183" w:lineRule="exact"/>
        <w:rPr>
          <w:rFonts w:ascii="Arial" w:cs="Arial" w:eastAsia="Arial" w:hAnsi="Arial"/>
          <w:sz w:val="18"/>
          <w:szCs w:val="18"/>
          <w:color w:val="auto"/>
        </w:rPr>
      </w:pPr>
    </w:p>
    <w:p>
      <w:pPr>
        <w:jc w:val="both"/>
        <w:ind w:left="660" w:firstLine="644"/>
        <w:spacing w:after="0" w:line="263" w:lineRule="auto"/>
        <w:tabs>
          <w:tab w:leader="none" w:pos="2237"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Notice of Disqualification Events</w:t>
      </w:r>
      <w:r>
        <w:rPr>
          <w:rFonts w:ascii="Arial" w:cs="Arial" w:eastAsia="Arial" w:hAnsi="Arial"/>
          <w:sz w:val="18"/>
          <w:szCs w:val="18"/>
          <w:color w:val="auto"/>
        </w:rPr>
        <w:t>. The Company will notify the Purchasers in writing, prior to the Closing Date of (i) any Disqualification Event relating to any Issuer Covered Person and (ii) any event that would, with the passage of time, reasonably be expected to become a Disqualification Event relating to any Issuer Covered Person, in each case of which it is aware.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Representations and Warranties of the Purchasers</w:t>
      </w:r>
      <w:r>
        <w:rPr>
          <w:rFonts w:ascii="Arial" w:cs="Arial" w:eastAsia="Arial" w:hAnsi="Arial"/>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84" w:lineRule="exact"/>
        <w:rPr>
          <w:sz w:val="20"/>
          <w:szCs w:val="20"/>
          <w:color w:val="auto"/>
        </w:rPr>
      </w:pPr>
    </w:p>
    <w:p>
      <w:pPr>
        <w:jc w:val="both"/>
        <w:ind w:left="380" w:firstLine="924"/>
        <w:spacing w:after="0" w:line="269" w:lineRule="auto"/>
        <w:tabs>
          <w:tab w:leader="none" w:pos="2199" w:val="left"/>
        </w:tabs>
        <w:numPr>
          <w:ilvl w:val="0"/>
          <w:numId w:val="52"/>
        </w:numPr>
        <w:rPr>
          <w:rFonts w:ascii="Arial" w:cs="Arial" w:eastAsia="Arial" w:hAnsi="Arial"/>
          <w:sz w:val="17"/>
          <w:szCs w:val="17"/>
          <w:color w:val="auto"/>
        </w:rPr>
      </w:pPr>
      <w:r>
        <w:rPr>
          <w:rFonts w:ascii="Arial" w:cs="Arial" w:eastAsia="Arial" w:hAnsi="Arial"/>
          <w:sz w:val="17"/>
          <w:szCs w:val="17"/>
          <w:u w:val="single" w:color="auto"/>
          <w:color w:val="auto"/>
        </w:rPr>
        <w:t>Organization; Authority</w:t>
      </w:r>
      <w:r>
        <w:rPr>
          <w:rFonts w:ascii="Arial" w:cs="Arial" w:eastAsia="Arial" w:hAnsi="Arial"/>
          <w:sz w:val="17"/>
          <w:szCs w:val="17"/>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1" w:lineRule="exact"/>
        <w:rPr>
          <w:rFonts w:ascii="Arial" w:cs="Arial" w:eastAsia="Arial" w:hAnsi="Arial"/>
          <w:sz w:val="17"/>
          <w:szCs w:val="17"/>
          <w:color w:val="auto"/>
        </w:rPr>
      </w:pPr>
    </w:p>
    <w:p>
      <w:pPr>
        <w:jc w:val="both"/>
        <w:ind w:left="380" w:firstLine="924"/>
        <w:spacing w:after="0" w:line="301" w:lineRule="auto"/>
        <w:tabs>
          <w:tab w:leader="none" w:pos="2371" w:val="left"/>
        </w:tabs>
        <w:numPr>
          <w:ilvl w:val="0"/>
          <w:numId w:val="52"/>
        </w:numPr>
        <w:rPr>
          <w:rFonts w:ascii="Arial" w:cs="Arial" w:eastAsia="Arial" w:hAnsi="Arial"/>
          <w:sz w:val="16"/>
          <w:szCs w:val="16"/>
          <w:color w:val="auto"/>
        </w:rPr>
      </w:pPr>
      <w:r>
        <w:rPr>
          <w:rFonts w:ascii="Arial" w:cs="Arial" w:eastAsia="Arial" w:hAnsi="Arial"/>
          <w:sz w:val="16"/>
          <w:szCs w:val="16"/>
          <w:u w:val="single" w:color="auto"/>
          <w:color w:val="auto"/>
        </w:rPr>
        <w:t>Understandings or Arrangements</w:t>
      </w:r>
      <w:r>
        <w:rPr>
          <w:rFonts w:ascii="Arial" w:cs="Arial" w:eastAsia="Arial" w:hAnsi="Arial"/>
          <w:sz w:val="16"/>
          <w:szCs w:val="16"/>
          <w:color w:val="auto"/>
        </w:rPr>
        <w:t>. Such Purchaser is acquiring the Securities as principal for its own account and has no direct or indirect arrangement or understandings with any other persons to distribute or regarding the distribution of such Securities (this representation and warranty not limiting such Purchaser’s right to sell the Securities pursuant to the Registration Statement or otherwise in compliance with applicable federal and state securities laws). Such Purchaser is acquiring the Securities hereunder in the ordinary course of its business.</w:t>
      </w:r>
    </w:p>
    <w:p>
      <w:pPr>
        <w:spacing w:after="0" w:line="157" w:lineRule="exact"/>
        <w:rPr>
          <w:rFonts w:ascii="Arial" w:cs="Arial" w:eastAsia="Arial" w:hAnsi="Arial"/>
          <w:sz w:val="16"/>
          <w:szCs w:val="16"/>
          <w:color w:val="auto"/>
        </w:rPr>
      </w:pPr>
    </w:p>
    <w:p>
      <w:pPr>
        <w:jc w:val="both"/>
        <w:ind w:left="380" w:firstLine="924"/>
        <w:spacing w:after="0" w:line="263" w:lineRule="auto"/>
        <w:tabs>
          <w:tab w:leader="none" w:pos="228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Purchaser Status</w:t>
      </w:r>
      <w:r>
        <w:rPr>
          <w:rFonts w:ascii="Arial" w:cs="Arial" w:eastAsia="Arial" w:hAnsi="Arial"/>
          <w:sz w:val="18"/>
          <w:szCs w:val="18"/>
          <w:color w:val="auto"/>
        </w:rPr>
        <w:t>. At the time such Purchaser was offered the Securities, it was, and as of the date hereof it is, either: (i) an “accredited investor” as defined in Rule 501(a)(1), (a)(2), (a)(3), (a)(7) or (a)(8) under the Securities Act or (ii) a “qualified institutional buyer” as defined in Rule 144A(a) under the Securities Act.</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jc w:val="both"/>
        <w:ind w:firstLine="924"/>
        <w:spacing w:after="0" w:line="259" w:lineRule="auto"/>
        <w:tabs>
          <w:tab w:leader="none" w:pos="2113"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Experience of Such Purchaser</w:t>
      </w:r>
      <w:r>
        <w:rPr>
          <w:rFonts w:ascii="Arial" w:cs="Arial" w:eastAsia="Arial" w:hAnsi="Arial"/>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Securities, and has so evaluated the merits and risks of such investment. Such Purchaser is able to bear the economic risk of an investment in the Securities and, at the present time, is able to afford a complete loss of such investment.</w:t>
      </w:r>
    </w:p>
    <w:p>
      <w:pPr>
        <w:spacing w:after="0" w:line="186" w:lineRule="exact"/>
        <w:rPr>
          <w:rFonts w:ascii="Arial" w:cs="Arial" w:eastAsia="Arial" w:hAnsi="Arial"/>
          <w:sz w:val="18"/>
          <w:szCs w:val="18"/>
          <w:color w:val="auto"/>
        </w:rPr>
      </w:pPr>
    </w:p>
    <w:p>
      <w:pPr>
        <w:jc w:val="both"/>
        <w:ind w:firstLine="924"/>
        <w:spacing w:after="0" w:line="287" w:lineRule="auto"/>
        <w:tabs>
          <w:tab w:leader="none" w:pos="1914"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Access to Information</w:t>
      </w:r>
      <w:r>
        <w:rPr>
          <w:rFonts w:ascii="Arial" w:cs="Arial" w:eastAsia="Arial" w:hAnsi="Arial"/>
          <w:sz w:val="16"/>
          <w:szCs w:val="16"/>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Securities and the merits and risks of investing in the Securities;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 Such Purchaser acknowledges and agrees that neither the Financial Advisor nor any Affiliate of the Financial Advisor has provided such Purchaser with any information or advice with respect to the Securities nor is such information or advice necessary or desired. Neither the Financial Advisor nor any Affiliate has made or makes any representation as to the Company or the quality of the Securities and the Financial Advisor and any Affiliate may have acquired non-public information with respect to the Company which such Purchaser agrees need not be provided to it. In connection with the issuance of the Securities to such Purchaser, neither the Financial Advisor nor any of its Affiliates has acted as a financial advisor or fiduciary to such Purchaser.</w:t>
      </w:r>
    </w:p>
    <w:p>
      <w:pPr>
        <w:spacing w:after="0" w:line="167" w:lineRule="exact"/>
        <w:rPr>
          <w:rFonts w:ascii="Arial" w:cs="Arial" w:eastAsia="Arial" w:hAnsi="Arial"/>
          <w:sz w:val="16"/>
          <w:szCs w:val="16"/>
          <w:color w:val="auto"/>
        </w:rPr>
      </w:pPr>
    </w:p>
    <w:p>
      <w:pPr>
        <w:jc w:val="both"/>
        <w:ind w:firstLine="924"/>
        <w:spacing w:after="0" w:line="286" w:lineRule="auto"/>
        <w:tabs>
          <w:tab w:leader="none" w:pos="1831" w:val="left"/>
        </w:tabs>
        <w:numPr>
          <w:ilvl w:val="0"/>
          <w:numId w:val="53"/>
        </w:numPr>
        <w:rPr>
          <w:rFonts w:ascii="Arial" w:cs="Arial" w:eastAsia="Arial" w:hAnsi="Arial"/>
          <w:sz w:val="16"/>
          <w:szCs w:val="16"/>
          <w:color w:val="auto"/>
        </w:rPr>
      </w:pP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Securities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r>
        <w:rPr>
          <w:rFonts w:ascii="Arial" w:cs="Arial" w:eastAsia="Arial" w:hAnsi="Arial"/>
          <w:sz w:val="16"/>
          <w:szCs w:val="16"/>
          <w:u w:val="single" w:color="auto"/>
          <w:color w:val="auto"/>
        </w:rPr>
        <w:t>.</w:t>
      </w:r>
    </w:p>
    <w:p>
      <w:pPr>
        <w:spacing w:after="0" w:line="390"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14605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700" w:top="908" w:right="339" w:bottom="1440" w:gutter="0" w:footer="0" w:header="0"/>
        </w:sectPr>
      </w:pPr>
    </w:p>
    <w:bookmarkStart w:id="55" w:name="page56"/>
    <w:bookmarkEnd w:id="55"/>
    <w:p>
      <w:pPr>
        <w:jc w:val="both"/>
        <w:ind w:left="380" w:firstLine="924"/>
        <w:spacing w:after="0" w:line="286" w:lineRule="auto"/>
        <w:tabs>
          <w:tab w:leader="none" w:pos="2223"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General Solicitation</w:t>
      </w:r>
      <w:r>
        <w:rPr>
          <w:rFonts w:ascii="Arial" w:cs="Arial" w:eastAsia="Arial" w:hAnsi="Arial"/>
          <w:sz w:val="17"/>
          <w:szCs w:val="17"/>
          <w:color w:val="auto"/>
        </w:rPr>
        <w:t>. Such Purchaser is not purchasing the Securities as a result of any advertisement, article, notice or other communication regarding the Securities published in any newspaper, magazine or similar media or broadcast over television or radio or presented at any seminar or, to the knowledge of such Purchaser, any other general solicitation or general advertisement.</w:t>
      </w:r>
    </w:p>
    <w:p>
      <w:pPr>
        <w:spacing w:after="0" w:line="165" w:lineRule="exact"/>
        <w:rPr>
          <w:rFonts w:ascii="Arial" w:cs="Arial" w:eastAsia="Arial" w:hAnsi="Arial"/>
          <w:sz w:val="17"/>
          <w:szCs w:val="17"/>
          <w:color w:val="auto"/>
        </w:rPr>
      </w:pPr>
    </w:p>
    <w:p>
      <w:pPr>
        <w:jc w:val="both"/>
        <w:ind w:left="380" w:firstLine="924"/>
        <w:spacing w:after="0" w:line="269" w:lineRule="auto"/>
        <w:tabs>
          <w:tab w:leader="none" w:pos="2398" w:val="left"/>
        </w:tabs>
        <w:numPr>
          <w:ilvl w:val="0"/>
          <w:numId w:val="54"/>
        </w:numPr>
        <w:rPr>
          <w:rFonts w:ascii="Arial" w:cs="Arial" w:eastAsia="Arial" w:hAnsi="Arial"/>
          <w:sz w:val="17"/>
          <w:szCs w:val="17"/>
          <w:color w:val="auto"/>
        </w:rPr>
      </w:pPr>
      <w:r>
        <w:rPr>
          <w:rFonts w:ascii="Arial" w:cs="Arial" w:eastAsia="Arial" w:hAnsi="Arial"/>
          <w:sz w:val="17"/>
          <w:szCs w:val="17"/>
          <w:u w:val="single" w:color="auto"/>
          <w:color w:val="auto"/>
        </w:rPr>
        <w:t>No Conflicts</w:t>
      </w:r>
      <w:r>
        <w:rPr>
          <w:rFonts w:ascii="Arial" w:cs="Arial" w:eastAsia="Arial" w:hAnsi="Arial"/>
          <w:sz w:val="17"/>
          <w:szCs w:val="17"/>
          <w:color w:val="auto"/>
        </w:rPr>
        <w:t>. The execution, delivery and performance of this Agreement and performance under the other Transaction Documents and the consummation by such Purchaser of the transactions contemplated hereby and thereby or relating hereto or thereto do not and will not (i) result in a violation of such Purchaser’s charter documents, bylaws or other organizational documents, if applicable, (ii) conflict with nor constitute a default (or an event which with notice or lapse of time or both would become a default) under any agreement to which such Purchaser is a party, nor (iii) result in a violation of any law, rule, or regulation, or any order, judgment or decree of any court or governmental agency applicable to such Purchaser or its properties (except for such conflicts, defaults and violations as would not, individually or in the aggregate, have a material adverse effect on such Purchaser). Such Purchaser is not required to obtain any consent, authorization or order of, or make any filing or registration with, any court or governmental agency in order for it to execute, deliver or perform any of its obligations under this Agreement or perform under the other Transaction Documents nor to purchase the Securities in accordance with the terms hereof, provided that for purposes of the representation made in this sentence, such Purchaser is assuming and relying upon the accuracy of the relevant representations and agreements of the Company herein.</w:t>
      </w:r>
    </w:p>
    <w:p>
      <w:pPr>
        <w:spacing w:after="0" w:line="18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b w:val="1"/>
                <w:bCs w:val="1"/>
                <w:color w:val="auto"/>
              </w:rPr>
              <w:t>ARTICLE IV.</w:t>
            </w:r>
          </w:p>
        </w:tc>
      </w:tr>
      <w:tr>
        <w:trPr>
          <w:trHeight w:val="230"/>
        </w:trPr>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740" w:type="dxa"/>
            <w:vAlign w:val="bottom"/>
          </w:tcPr>
          <w:p>
            <w:pPr>
              <w:jc w:val="center"/>
              <w:ind w:right="3370"/>
              <w:spacing w:after="0"/>
              <w:rPr>
                <w:sz w:val="20"/>
                <w:szCs w:val="20"/>
                <w:color w:val="auto"/>
              </w:rPr>
            </w:pPr>
            <w:r>
              <w:rPr>
                <w:rFonts w:ascii="Arial" w:cs="Arial" w:eastAsia="Arial" w:hAnsi="Arial"/>
                <w:sz w:val="18"/>
                <w:szCs w:val="18"/>
                <w:color w:val="auto"/>
                <w:w w:val="94"/>
              </w:rPr>
              <w:t>OTHER AGREEMENTS OF THE PARTIES</w:t>
            </w:r>
          </w:p>
        </w:tc>
      </w:tr>
      <w:tr>
        <w:trPr>
          <w:trHeight w:val="391"/>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4.1</w:t>
            </w:r>
          </w:p>
        </w:tc>
        <w:tc>
          <w:tcPr>
            <w:tcW w:w="9700" w:type="dxa"/>
            <w:vAlign w:val="bottom"/>
            <w:gridSpan w:val="4"/>
          </w:tcPr>
          <w:p>
            <w:pPr>
              <w:spacing w:after="0"/>
              <w:rPr>
                <w:sz w:val="20"/>
                <w:szCs w:val="20"/>
                <w:color w:val="auto"/>
              </w:rPr>
            </w:pPr>
            <w:r>
              <w:rPr>
                <w:rFonts w:ascii="Arial" w:cs="Arial" w:eastAsia="Arial" w:hAnsi="Arial"/>
                <w:sz w:val="18"/>
                <w:szCs w:val="18"/>
                <w:color w:val="auto"/>
              </w:rPr>
              <w:t>[Reserved].</w:t>
            </w:r>
          </w:p>
        </w:tc>
      </w:tr>
      <w:tr>
        <w:trPr>
          <w:trHeight w:val="20"/>
        </w:trPr>
        <w:tc>
          <w:tcPr>
            <w:tcW w:w="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r>
        <w:trPr>
          <w:trHeight w:val="412"/>
        </w:trPr>
        <w:tc>
          <w:tcPr>
            <w:tcW w:w="860" w:type="dxa"/>
            <w:vAlign w:val="bottom"/>
          </w:tcPr>
          <w:p>
            <w:pPr>
              <w:jc w:val="right"/>
              <w:ind w:right="550"/>
              <w:spacing w:after="0"/>
              <w:rPr>
                <w:sz w:val="20"/>
                <w:szCs w:val="20"/>
                <w:color w:val="auto"/>
              </w:rPr>
            </w:pPr>
            <w:r>
              <w:rPr>
                <w:rFonts w:ascii="Arial" w:cs="Arial" w:eastAsia="Arial" w:hAnsi="Arial"/>
                <w:sz w:val="18"/>
                <w:szCs w:val="18"/>
                <w:color w:val="auto"/>
                <w:w w:val="79"/>
              </w:rPr>
              <w:t>4.2</w:t>
            </w:r>
          </w:p>
        </w:tc>
        <w:tc>
          <w:tcPr>
            <w:tcW w:w="8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Arial" w:cs="Arial" w:eastAsia="Arial" w:hAnsi="Arial"/>
                <w:sz w:val="18"/>
                <w:szCs w:val="18"/>
                <w:color w:val="auto"/>
                <w:w w:val="92"/>
              </w:rPr>
              <w:t>Furnishing of Information. Until the earliest of the time that no Purchaser owns Securities, the Company covenants to timely file (or</w:t>
            </w:r>
          </w:p>
        </w:tc>
      </w:tr>
      <w:tr>
        <w:trPr>
          <w:trHeight w:val="20"/>
        </w:trPr>
        <w:tc>
          <w:tcPr>
            <w:tcW w:w="8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jc w:val="both"/>
        <w:ind w:firstLine="648"/>
        <w:spacing w:after="0" w:line="279"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Integration</w:t>
      </w:r>
      <w:r>
        <w:rPr>
          <w:rFonts w:ascii="Arial" w:cs="Arial" w:eastAsia="Arial" w:hAnsi="Arial"/>
          <w:sz w:val="17"/>
          <w:szCs w:val="17"/>
          <w:color w:val="auto"/>
        </w:rPr>
        <w:t>. The Company shall not sell, offer for sale or solicit offers to buy or otherwise negotiate in respect of any security (as defined in Section 2 of the Securities Act) that would be integrated with the offer or sale of the Securities in a manner that would be integrated with the offer or sale of the Securities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17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Securities Laws Disclosure; Publicity</w:t>
      </w:r>
      <w:r>
        <w:rPr>
          <w:rFonts w:ascii="Arial" w:cs="Arial" w:eastAsia="Arial" w:hAnsi="Arial"/>
          <w:sz w:val="16"/>
          <w:szCs w:val="16"/>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w:t>
      </w:r>
    </w:p>
    <w:p>
      <w:pPr>
        <w:spacing w:after="0" w:line="3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Shareholder Rights Plan</w:t>
      </w:r>
      <w:r>
        <w:rPr>
          <w:rFonts w:ascii="Arial" w:cs="Arial" w:eastAsia="Arial" w:hAnsi="Arial"/>
          <w:sz w:val="18"/>
          <w:szCs w:val="18"/>
          <w:color w:val="auto"/>
        </w:rPr>
        <w:t>. No claim will be made or enforced by the Company or, with the consent of the Company, any other Person, that any Purchaser is an “</w:t>
      </w:r>
      <w:r>
        <w:rPr>
          <w:rFonts w:ascii="Arial" w:cs="Arial" w:eastAsia="Arial" w:hAnsi="Arial"/>
          <w:sz w:val="18"/>
          <w:szCs w:val="18"/>
          <w:u w:val="single" w:color="auto"/>
          <w:color w:val="auto"/>
        </w:rPr>
        <w:t>Acquiring Person</w:t>
      </w:r>
      <w:r>
        <w:rPr>
          <w:rFonts w:ascii="Arial" w:cs="Arial" w:eastAsia="Arial" w:hAnsi="Arial"/>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Securities under the Transaction Documents or under any other agreement between the Company and the Purchasers.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7" w:name="page58"/>
    <w:bookmarkEnd w:id="57"/>
    <w:p>
      <w:pPr>
        <w:jc w:val="both"/>
        <w:ind w:firstLine="648"/>
        <w:spacing w:after="0" w:line="268" w:lineRule="auto"/>
        <w:rPr>
          <w:sz w:val="20"/>
          <w:szCs w:val="20"/>
          <w:color w:val="auto"/>
        </w:rPr>
      </w:pPr>
      <w:r>
        <w:rPr>
          <w:rFonts w:ascii="Arial" w:cs="Arial" w:eastAsia="Arial" w:hAnsi="Arial"/>
          <w:sz w:val="17"/>
          <w:szCs w:val="17"/>
          <w:color w:val="auto"/>
        </w:rPr>
        <w:t xml:space="preserve">4.6 </w:t>
      </w:r>
      <w:r>
        <w:rPr>
          <w:rFonts w:ascii="Arial" w:cs="Arial" w:eastAsia="Arial" w:hAnsi="Arial"/>
          <w:sz w:val="17"/>
          <w:szCs w:val="17"/>
          <w:u w:val="single" w:color="auto"/>
          <w:color w:val="auto"/>
        </w:rPr>
        <w:t>Non-Public Information</w:t>
      </w:r>
      <w:r>
        <w:rPr>
          <w:rFonts w:ascii="Arial" w:cs="Arial" w:eastAsia="Arial" w:hAnsi="Arial"/>
          <w:sz w:val="17"/>
          <w:szCs w:val="17"/>
          <w:color w:val="auto"/>
        </w:rPr>
        <w:t xml:space="preserve">.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to the receipt of such information and agreed with the Company to keep such information confidential. The Company understands and confirms that each Purchaser shall be relying on the foregoing covenant in effecting transactions in securities of the Company. To the extent that the Company delivers any material, non-public information to a Purchaser without such Purchaser’s consent, the Company hereby covenants and agrees that such Purchaser shall not have any duty of confidentiality to </w:t>
      </w:r>
      <w:r>
        <w:rPr>
          <w:rFonts w:ascii="Arial" w:cs="Arial" w:eastAsia="Arial" w:hAnsi="Arial"/>
          <w:sz w:val="17"/>
          <w:szCs w:val="17"/>
          <w:u w:val="single" w:color="auto"/>
          <w:color w:val="auto"/>
        </w:rPr>
        <w:t>t</w:t>
      </w:r>
      <w:r>
        <w:rPr>
          <w:rFonts w:ascii="Arial" w:cs="Arial" w:eastAsia="Arial" w:hAnsi="Arial"/>
          <w:sz w:val="17"/>
          <w:szCs w:val="17"/>
          <w:color w:val="auto"/>
        </w:rPr>
        <w:t>he Company, any of its Subsidiaries, or any of their respective officers, directors, agents, employees or Affiliates, or a duty to the Company, any of its Subsidiaries or any of their respective officers, directors, agents,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 The Company understands and confirms that each Purchaser shall be relying on the foregoing covenant in effecting transactions in securities of the Company.</w:t>
      </w:r>
    </w:p>
    <w:p>
      <w:pPr>
        <w:spacing w:after="0" w:line="18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Use of Proceeds</w:t>
      </w:r>
      <w:r>
        <w:rPr>
          <w:rFonts w:ascii="Arial" w:cs="Arial" w:eastAsia="Arial" w:hAnsi="Arial"/>
          <w:sz w:val="17"/>
          <w:szCs w:val="17"/>
          <w:color w:val="auto"/>
        </w:rPr>
        <w:t xml:space="preserve">. Except as set forth on </w:t>
      </w:r>
      <w:r>
        <w:rPr>
          <w:rFonts w:ascii="Arial" w:cs="Arial" w:eastAsia="Arial" w:hAnsi="Arial"/>
          <w:sz w:val="17"/>
          <w:szCs w:val="17"/>
          <w:u w:val="single" w:color="auto"/>
          <w:color w:val="auto"/>
        </w:rPr>
        <w:t>Schedule 4.7</w:t>
      </w:r>
      <w:r>
        <w:rPr>
          <w:rFonts w:ascii="Arial" w:cs="Arial" w:eastAsia="Arial" w:hAnsi="Arial"/>
          <w:sz w:val="17"/>
          <w:szCs w:val="17"/>
          <w:color w:val="auto"/>
        </w:rPr>
        <w:t xml:space="preserve"> attached hereto, the Company shall use the net proceeds from the sale of the Securities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jc w:val="both"/>
        <w:ind w:firstLine="648"/>
        <w:spacing w:after="0" w:line="283"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Indemnification of Purchasers</w:t>
      </w:r>
      <w:r>
        <w:rPr>
          <w:rFonts w:ascii="Arial" w:cs="Arial" w:eastAsia="Arial" w:hAnsi="Arial"/>
          <w:sz w:val="16"/>
          <w:szCs w:val="16"/>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Arial" w:cs="Arial" w:eastAsia="Arial" w:hAnsi="Arial"/>
          <w:sz w:val="16"/>
          <w:szCs w:val="16"/>
          <w:u w:val="single" w:color="auto"/>
          <w:color w:val="auto"/>
        </w:rPr>
        <w:t>Purchaser Party</w:t>
      </w:r>
      <w:r>
        <w:rPr>
          <w:rFonts w:ascii="Arial" w:cs="Arial" w:eastAsia="Arial" w:hAnsi="Arial"/>
          <w:sz w:val="16"/>
          <w:szCs w:val="16"/>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the Company will indemnify each Purchaser Party, to the fullest extent permitted by applicable law, from and against any and all losses, claims, damages, liabilities, costs (including, without limitation, reasonable attorneys’ fees) and expenses, as incurred, arising out of or relating to (i) any untrue or alleged untrue statement of a material fact contained in such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the light of the circumstances under which they were made) not misleading, except to the extent, but only to the extent, that such untrue statements or omissions are based solely upon information regarding such Purchaser Party furnished in writing to the Company by such Purchaser Party expressly for use therein, or (ii) any violation or alleged violation by the Company of the Securities Act, the Exchange Act or any state securities law, or any rule or regulation thereunder in connection therewith.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(x) the employment thereof has been specifically authorized by the Company in writing, (y) the Company has failed after a reasonable period of time to assume such defense and to employ counsel or (z)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(1) for any settlement by a Purchaser Party effected without the Company’s prior written consent, which shall not be unreasonably withheld or delayed; or (2)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9" w:name="page60"/>
    <w:bookmarkEnd w:id="59"/>
    <w:p>
      <w:pPr>
        <w:jc w:val="both"/>
        <w:ind w:firstLine="648"/>
        <w:spacing w:after="0" w:line="286" w:lineRule="auto"/>
        <w:rPr>
          <w:sz w:val="20"/>
          <w:szCs w:val="20"/>
          <w:color w:val="auto"/>
        </w:rPr>
      </w:pPr>
      <w:r>
        <w:rPr>
          <w:rFonts w:ascii="Arial" w:cs="Arial" w:eastAsia="Arial" w:hAnsi="Arial"/>
          <w:sz w:val="17"/>
          <w:szCs w:val="17"/>
          <w:color w:val="auto"/>
        </w:rPr>
        <w:t xml:space="preserve">4.9 </w:t>
      </w:r>
      <w:r>
        <w:rPr>
          <w:rFonts w:ascii="Arial" w:cs="Arial" w:eastAsia="Arial" w:hAnsi="Arial"/>
          <w:sz w:val="17"/>
          <w:szCs w:val="17"/>
          <w:u w:val="single" w:color="auto"/>
          <w:color w:val="auto"/>
        </w:rPr>
        <w:t>Reservation of Common Stock</w:t>
      </w:r>
      <w:r>
        <w:rPr>
          <w:rFonts w:ascii="Arial" w:cs="Arial" w:eastAsia="Arial" w:hAnsi="Arial"/>
          <w:sz w:val="17"/>
          <w:szCs w:val="17"/>
          <w:color w:val="auto"/>
        </w:rPr>
        <w:t>. As of the date hereof, the Company has reserved and the Company shall continue to reserve and keep available at all times, free of preemptive rights, a sufficient number of shares of Common Stock for the purpose of enabling the Company to issue Shares pursuant to this Agreement and Pre-Funded Warrant Shares pursuant to any exercise of the Pre-Funded Warrants.</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Listing of Common Stock</w:t>
      </w:r>
      <w:r>
        <w:rPr>
          <w:rFonts w:ascii="Arial" w:cs="Arial" w:eastAsia="Arial" w:hAnsi="Arial"/>
          <w:sz w:val="16"/>
          <w:szCs w:val="16"/>
          <w:color w:val="auto"/>
        </w:rPr>
        <w:t>. The Company hereby agrees to use best efforts to maintain the listing or quotation of the Common Stock on the Trading Market on which it is currently listed, and concurrently with the Closing, the Company shall apply to list or quote all of the Shares and Pre-Funded Warrant Shares on such Trading Market and promptly secure the listing of all of the Shares and Pre-Funded Warrant Shares on such Trading Market. The Company further agrees, if the Company applies to have the Common Stock traded on any other Trading Market, it will then include in such application all of the Share</w:t>
      </w:r>
      <w:r>
        <w:rPr>
          <w:rFonts w:ascii="Arial" w:cs="Arial" w:eastAsia="Arial" w:hAnsi="Arial"/>
          <w:sz w:val="16"/>
          <w:szCs w:val="16"/>
          <w:u w:val="single" w:color="auto"/>
          <w:color w:val="auto"/>
        </w:rPr>
        <w:t>s</w:t>
      </w:r>
      <w:r>
        <w:rPr>
          <w:rFonts w:ascii="Arial" w:cs="Arial" w:eastAsia="Arial" w:hAnsi="Arial"/>
          <w:sz w:val="16"/>
          <w:szCs w:val="16"/>
          <w:color w:val="auto"/>
        </w:rPr>
        <w:t xml:space="preserve"> and Pre-Funded Warrant Shares, and will take such other action as is necessary to cause all of the Shares and Pre-Funded Warrant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0" w:name="page61"/>
    <w:bookmarkEnd w:id="60"/>
    <w:p>
      <w:pPr>
        <w:ind w:left="660"/>
        <w:spacing w:after="0"/>
        <w:tabs>
          <w:tab w:leader="none" w:pos="140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5"/>
          <w:szCs w:val="15"/>
          <w:u w:val="single" w:color="auto"/>
          <w:color w:val="auto"/>
        </w:rPr>
        <w:t>Subsequent Equity Sales</w:t>
      </w:r>
      <w:r>
        <w:rPr>
          <w:rFonts w:ascii="Arial" w:cs="Arial" w:eastAsia="Arial" w:hAnsi="Arial"/>
          <w:sz w:val="15"/>
          <w:szCs w:val="15"/>
          <w:color w:val="auto"/>
        </w:rPr>
        <w:t>.</w:t>
      </w:r>
    </w:p>
    <w:p>
      <w:pPr>
        <w:spacing w:after="0" w:line="225" w:lineRule="exact"/>
        <w:rPr>
          <w:sz w:val="20"/>
          <w:szCs w:val="20"/>
          <w:color w:val="auto"/>
        </w:rPr>
      </w:pPr>
    </w:p>
    <w:p>
      <w:pPr>
        <w:ind w:left="660" w:firstLine="644"/>
        <w:spacing w:after="0" w:line="277" w:lineRule="auto"/>
        <w:tabs>
          <w:tab w:leader="none" w:pos="2331" w:val="left"/>
        </w:tabs>
        <w:numPr>
          <w:ilvl w:val="0"/>
          <w:numId w:val="55"/>
        </w:numPr>
        <w:rPr>
          <w:rFonts w:ascii="Arial" w:cs="Arial" w:eastAsia="Arial" w:hAnsi="Arial"/>
          <w:sz w:val="18"/>
          <w:szCs w:val="18"/>
          <w:color w:val="auto"/>
        </w:rPr>
      </w:pPr>
      <w:r>
        <w:rPr>
          <w:rFonts w:ascii="Arial" w:cs="Arial" w:eastAsia="Arial" w:hAnsi="Arial"/>
          <w:sz w:val="18"/>
          <w:szCs w:val="18"/>
          <w:color w:val="auto"/>
        </w:rPr>
        <w:t>From the date hereof until May 2, 2020, neither the Company nor any Subsidiary shall issue, enter into any agreement to issue or announce the issuance or proposed issuance of any shares of Common Stock or Common Stock Equivalents.</w:t>
      </w:r>
    </w:p>
    <w:p>
      <w:pPr>
        <w:spacing w:after="0" w:line="170" w:lineRule="exact"/>
        <w:rPr>
          <w:rFonts w:ascii="Arial" w:cs="Arial" w:eastAsia="Arial" w:hAnsi="Arial"/>
          <w:sz w:val="18"/>
          <w:szCs w:val="18"/>
          <w:color w:val="auto"/>
        </w:rPr>
      </w:pPr>
    </w:p>
    <w:p>
      <w:pPr>
        <w:jc w:val="both"/>
        <w:ind w:left="660" w:firstLine="644"/>
        <w:spacing w:after="0" w:line="287" w:lineRule="auto"/>
        <w:tabs>
          <w:tab w:leader="none" w:pos="2273" w:val="left"/>
        </w:tabs>
        <w:numPr>
          <w:ilvl w:val="0"/>
          <w:numId w:val="55"/>
        </w:numPr>
        <w:rPr>
          <w:rFonts w:ascii="Arial" w:cs="Arial" w:eastAsia="Arial" w:hAnsi="Arial"/>
          <w:sz w:val="16"/>
          <w:szCs w:val="16"/>
          <w:color w:val="auto"/>
        </w:rPr>
      </w:pPr>
      <w:r>
        <w:rPr>
          <w:rFonts w:ascii="Arial" w:cs="Arial" w:eastAsia="Arial" w:hAnsi="Arial"/>
          <w:sz w:val="16"/>
          <w:szCs w:val="16"/>
          <w:color w:val="auto"/>
        </w:rPr>
        <w:t>From the date hereof until the 9-month anniversary of the Closing Date,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Arial" w:cs="Arial" w:eastAsia="Arial" w:hAnsi="Arial"/>
          <w:sz w:val="16"/>
          <w:szCs w:val="16"/>
          <w:u w:val="single" w:color="auto"/>
          <w:color w:val="auto"/>
        </w:rPr>
        <w:t>Variable Rate Transaction</w:t>
      </w:r>
      <w:r>
        <w:rPr>
          <w:rFonts w:ascii="Arial" w:cs="Arial" w:eastAsia="Arial" w:hAnsi="Arial"/>
          <w:sz w:val="16"/>
          <w:szCs w:val="16"/>
          <w:color w:val="auto"/>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whereby the Company may issue securities at a future determined price. Any Purchaser shall be entitled to obtain injunctive relief against the Company to preclude any such issuance, which remedy shall be in addition to any right to collect damages.</w:t>
      </w:r>
    </w:p>
    <w:p>
      <w:pPr>
        <w:spacing w:after="0" w:line="171" w:lineRule="exact"/>
        <w:rPr>
          <w:rFonts w:ascii="Arial" w:cs="Arial" w:eastAsia="Arial" w:hAnsi="Arial"/>
          <w:sz w:val="16"/>
          <w:szCs w:val="16"/>
          <w:color w:val="auto"/>
        </w:rPr>
      </w:pPr>
    </w:p>
    <w:p>
      <w:pPr>
        <w:jc w:val="both"/>
        <w:ind w:left="660" w:firstLine="644"/>
        <w:spacing w:after="0" w:line="271" w:lineRule="auto"/>
        <w:tabs>
          <w:tab w:leader="none" w:pos="2182" w:val="left"/>
        </w:tabs>
        <w:numPr>
          <w:ilvl w:val="0"/>
          <w:numId w:val="55"/>
        </w:numPr>
        <w:rPr>
          <w:rFonts w:ascii="Arial" w:cs="Arial" w:eastAsia="Arial" w:hAnsi="Arial"/>
          <w:sz w:val="17"/>
          <w:szCs w:val="17"/>
          <w:color w:val="auto"/>
        </w:rPr>
      </w:pPr>
      <w:r>
        <w:rPr>
          <w:rFonts w:ascii="Arial" w:cs="Arial" w:eastAsia="Arial" w:hAnsi="Arial"/>
          <w:sz w:val="17"/>
          <w:szCs w:val="17"/>
          <w:color w:val="auto"/>
        </w:rPr>
        <w:t>Notwithstanding the foregoing, this Section 4.11 shall not apply in respect of (i) Common Stock issued as payment of interest for the month of April 2020 pursuant to the B3D Credit Agreement, (ii) if the Company seeks to pay interest for the month of May 2020 pursuant to the B3D Credit Agreement prior to May 2, 2020, solely to the extent that the price per share of Common Stock to be issued to B3D for the month of May 2020 would be greater than the Per Share Purchase Price and (iii) securities upon the exercise or exchange of or conversion of any Securities issued hereunder and/or other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w:t>
      </w:r>
    </w:p>
    <w:p>
      <w:pPr>
        <w:spacing w:after="0" w:line="17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Equal Treatment of Purchasers</w:t>
      </w:r>
      <w:r>
        <w:rPr>
          <w:rFonts w:ascii="Arial" w:cs="Arial" w:eastAsia="Arial" w:hAnsi="Arial"/>
          <w:sz w:val="16"/>
          <w:szCs w:val="16"/>
          <w:color w:val="auto"/>
        </w:rPr>
        <w:t>. No consideration (including any modification of any Transaction Document) shall be offered or paid to any Person to amend or consent to a waiver or modification of any provision of the Transaction Documents unless the same consideration is also offered to all of the parties to the Transaction Documents.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Securities or otherwise.</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1" w:name="page62"/>
    <w:bookmarkEnd w:id="61"/>
    <w:p>
      <w:pPr>
        <w:jc w:val="both"/>
        <w:ind w:firstLine="648"/>
        <w:spacing w:after="0" w:line="285"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Certain Transactions and Confidentiality</w:t>
      </w:r>
      <w:r>
        <w:rPr>
          <w:rFonts w:ascii="Arial" w:cs="Arial" w:eastAsia="Arial" w:hAnsi="Arial"/>
          <w:sz w:val="16"/>
          <w:szCs w:val="16"/>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or its Subsidiaries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Securities covered by this Agreement.</w:t>
      </w:r>
    </w:p>
    <w:p>
      <w:pPr>
        <w:spacing w:after="0" w:line="174"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u w:val="single" w:color="auto"/>
          <w:color w:val="auto"/>
        </w:rPr>
        <w:t>Exercise Procedures</w:t>
      </w:r>
      <w:r>
        <w:rPr>
          <w:rFonts w:ascii="Arial" w:cs="Arial" w:eastAsia="Arial" w:hAnsi="Arial"/>
          <w:sz w:val="17"/>
          <w:szCs w:val="17"/>
          <w:color w:val="auto"/>
        </w:rPr>
        <w:t>. The form of Notice of Exercise included in the Pre-Funded Warrants sets forth the totality of the procedures required of the Purchasers in order to exercise the Pre-Funded Warrants. No additional legal opinion, other information or instructions shall be required of the Purchasers to exercise their Pre-Funded Warrants. Without limiting the preceding sentences, no ink-original Notice of Exercise shall be required, nor shall any medallion guarantee (or other type of guarantee or notarization) of any Notice of Exercise form be required in order to exercise the Pre-Funded Warrants. The Company shall honor exercises of the Pre-Funded Warrants and shall deliver Pre-Funded Warrant Shares in accordance with the terms, conditions and time periods set forth in the Transaction Documents.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2" w:name="page63"/>
    <w:bookmarkEnd w:id="62"/>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jc w:val="both"/>
        <w:spacing w:after="0" w:line="209" w:lineRule="auto"/>
        <w:rPr>
          <w:sz w:val="20"/>
          <w:szCs w:val="20"/>
          <w:color w:val="auto"/>
        </w:rPr>
      </w:pPr>
      <w:r>
        <w:rPr>
          <w:rFonts w:ascii="Arial" w:cs="Arial" w:eastAsia="Arial" w:hAnsi="Arial"/>
          <w:sz w:val="18"/>
          <w:szCs w:val="18"/>
          <w:color w:val="auto"/>
        </w:rPr>
        <w:t>consummated on or before the fifth (5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Trading Day following the date 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termination will affect the right of any party to sue for any breach by any other party (or parties).</w:t>
      </w:r>
    </w:p>
    <w:p>
      <w:pPr>
        <w:spacing w:after="0" w:line="20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Securities to the Purchasers.</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Entire Agreement</w:t>
      </w:r>
      <w:r>
        <w:rPr>
          <w:rFonts w:ascii="Arial" w:cs="Arial" w:eastAsia="Arial" w:hAnsi="Arial"/>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7"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at the email address as set forth on the signature pages attached hereto on a day that is not a Trading Day or later than 5:30</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p.m. (New York City time) on any Trading Day, (c) the second (2</w:t>
      </w:r>
      <w:r>
        <w:rPr>
          <w:rFonts w:ascii="Arial" w:cs="Arial" w:eastAsia="Arial" w:hAnsi="Arial"/>
          <w:sz w:val="29"/>
          <w:szCs w:val="29"/>
          <w:color w:val="auto"/>
          <w:vertAlign w:val="superscript"/>
        </w:rPr>
        <w:t>nd</w:t>
      </w:r>
      <w:r>
        <w:rPr>
          <w:rFonts w:ascii="Arial" w:cs="Arial" w:eastAsia="Arial" w:hAnsi="Arial"/>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both"/>
        <w:ind w:firstLine="648"/>
        <w:spacing w:after="0" w:line="288"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Amendments; Waivers</w:t>
      </w:r>
      <w:r>
        <w:rPr>
          <w:rFonts w:ascii="Arial" w:cs="Arial" w:eastAsia="Arial" w:hAnsi="Arial"/>
          <w:sz w:val="16"/>
          <w:szCs w:val="16"/>
          <w:color w:val="auto"/>
        </w:rPr>
        <w:t>. No provision of this Agreement may be waived, modified, supplemented or amended except in a written instrument signed, in the case of an amendment, by the Company and Purchasers holding at least 70% in interest of the component of the affected Securities then outstanding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Securities and the Company.</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5.6</w:t>
            </w:r>
          </w:p>
        </w:tc>
        <w:tc>
          <w:tcPr>
            <w:tcW w:w="9720" w:type="dxa"/>
            <w:vAlign w:val="bottom"/>
            <w:gridSpan w:val="4"/>
          </w:tcPr>
          <w:p>
            <w:pPr>
              <w:spacing w:after="0"/>
              <w:rPr>
                <w:sz w:val="20"/>
                <w:szCs w:val="20"/>
                <w:color w:val="auto"/>
              </w:rPr>
            </w:pPr>
            <w:r>
              <w:rPr>
                <w:rFonts w:ascii="Arial" w:cs="Arial" w:eastAsia="Arial" w:hAnsi="Arial"/>
                <w:sz w:val="18"/>
                <w:szCs w:val="18"/>
                <w:color w:val="auto"/>
                <w:w w:val="90"/>
              </w:rPr>
              <w:t>Headings. The headings herein are for convenience only, do not constitute a part of this Agreement and shall not be deemed to limit or</w:t>
            </w:r>
          </w:p>
        </w:tc>
      </w:tr>
      <w:tr>
        <w:trPr>
          <w:trHeight w:val="20"/>
        </w:trPr>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r>
        <w:trPr>
          <w:trHeight w:val="237"/>
        </w:trPr>
        <w:tc>
          <w:tcPr>
            <w:tcW w:w="11240" w:type="dxa"/>
            <w:vAlign w:val="bottom"/>
            <w:gridSpan w:val="5"/>
          </w:tcPr>
          <w:p>
            <w:pPr>
              <w:spacing w:after="0"/>
              <w:rPr>
                <w:sz w:val="20"/>
                <w:szCs w:val="20"/>
                <w:color w:val="auto"/>
              </w:rPr>
            </w:pPr>
            <w:r>
              <w:rPr>
                <w:rFonts w:ascii="Arial" w:cs="Arial" w:eastAsia="Arial" w:hAnsi="Arial"/>
                <w:sz w:val="18"/>
                <w:szCs w:val="18"/>
                <w:color w:val="auto"/>
              </w:rPr>
              <w:t>affect any of the provisions hereof.</w:t>
            </w:r>
          </w:p>
        </w:tc>
      </w:tr>
      <w:tr>
        <w:trPr>
          <w:trHeight w:val="392"/>
        </w:trPr>
        <w:tc>
          <w:tcPr>
            <w:tcW w:w="1520" w:type="dxa"/>
            <w:vAlign w:val="bottom"/>
          </w:tcPr>
          <w:p>
            <w:pPr>
              <w:jc w:val="right"/>
              <w:ind w:right="550"/>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4"/>
                <w:szCs w:val="24"/>
                <w:color w:val="auto"/>
              </w:rPr>
            </w:pPr>
          </w:p>
        </w:tc>
        <w:tc>
          <w:tcPr>
            <w:tcW w:w="9460" w:type="dxa"/>
            <w:vAlign w:val="bottom"/>
            <w:gridSpan w:val="3"/>
          </w:tcPr>
          <w:p>
            <w:pPr>
              <w:spacing w:after="0"/>
              <w:rPr>
                <w:sz w:val="20"/>
                <w:szCs w:val="20"/>
                <w:color w:val="auto"/>
              </w:rPr>
            </w:pPr>
            <w:r>
              <w:rPr>
                <w:rFonts w:ascii="Arial" w:cs="Arial" w:eastAsia="Arial" w:hAnsi="Arial"/>
                <w:sz w:val="18"/>
                <w:szCs w:val="18"/>
                <w:color w:val="auto"/>
                <w:w w:val="93"/>
              </w:rPr>
              <w:t>Successors and Assigns. This Agreement shall be binding upon and inure to the benefit of the parties and their successors and</w:t>
            </w:r>
          </w:p>
        </w:tc>
      </w:tr>
      <w:tr>
        <w:trPr>
          <w:trHeight w:val="20"/>
        </w:trPr>
        <w:tc>
          <w:tcPr>
            <w:tcW w:w="1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700" w:type="dxa"/>
            <w:vAlign w:val="bottom"/>
          </w:tcPr>
          <w:p>
            <w:pPr>
              <w:spacing w:after="0" w:line="20" w:lineRule="exact"/>
              <w:rPr>
                <w:sz w:val="1"/>
                <w:szCs w:val="1"/>
                <w:color w:val="auto"/>
              </w:rPr>
            </w:pPr>
          </w:p>
        </w:tc>
      </w:tr>
    </w:tbl>
    <w:p>
      <w:pPr>
        <w:spacing w:after="0" w:line="1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Securities, provided that such transferee agrees in writing to be bound, with respect to the transferred Securities, by the provisions of the Transaction Documents that apply to the “Purchasers.”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5.8 </w:t>
      </w:r>
      <w:r>
        <w:rPr>
          <w:rFonts w:ascii="Arial" w:cs="Arial" w:eastAsia="Arial" w:hAnsi="Arial"/>
          <w:sz w:val="18"/>
          <w:szCs w:val="18"/>
          <w:u w:val="single" w:color="auto"/>
          <w:color w:val="auto"/>
        </w:rPr>
        <w:t>No Third-Party Beneficiaries</w:t>
      </w:r>
      <w:r>
        <w:rPr>
          <w:rFonts w:ascii="Arial" w:cs="Arial" w:eastAsia="Arial" w:hAnsi="Arial"/>
          <w:sz w:val="18"/>
          <w:szCs w:val="18"/>
          <w:color w:val="auto"/>
        </w:rPr>
        <w:t>. The Financial Advisor shall be the third party beneficiary of the representations and warranties of the Company in Section 3.1 and the representations and warranties of the Purchasers in Section 3.2.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5.9 </w:t>
      </w: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4" w:name="page65"/>
    <w:bookmarkEnd w:id="64"/>
    <w:p>
      <w:pPr>
        <w:ind w:left="660"/>
        <w:spacing w:after="0"/>
        <w:tabs>
          <w:tab w:leader="none" w:pos="1400" w:val="left"/>
        </w:tabs>
        <w:rPr>
          <w:sz w:val="20"/>
          <w:szCs w:val="20"/>
          <w:color w:val="auto"/>
        </w:rPr>
      </w:pPr>
      <w:r>
        <w:rPr>
          <w:rFonts w:ascii="Arial" w:cs="Arial" w:eastAsia="Arial" w:hAnsi="Arial"/>
          <w:sz w:val="18"/>
          <w:szCs w:val="18"/>
          <w:color w:val="auto"/>
        </w:rPr>
        <w:t>5.10</w:t>
      </w:r>
      <w:r>
        <w:rPr>
          <w:sz w:val="20"/>
          <w:szCs w:val="20"/>
          <w:color w:val="auto"/>
        </w:rPr>
        <w:tab/>
      </w:r>
      <w:r>
        <w:rPr>
          <w:rFonts w:ascii="Arial" w:cs="Arial" w:eastAsia="Arial" w:hAnsi="Arial"/>
          <w:sz w:val="16"/>
          <w:szCs w:val="16"/>
          <w:u w:val="single" w:color="auto"/>
          <w:color w:val="auto"/>
        </w:rPr>
        <w:t>Survival</w:t>
      </w:r>
      <w:r>
        <w:rPr>
          <w:rFonts w:ascii="Arial" w:cs="Arial" w:eastAsia="Arial" w:hAnsi="Arial"/>
          <w:sz w:val="16"/>
          <w:szCs w:val="16"/>
          <w:color w:val="auto"/>
        </w:rPr>
        <w:t>. The representations and warranties contained herein shall survive the Closing and the delivery of the Securities.</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5.11 </w:t>
      </w:r>
      <w:r>
        <w:rPr>
          <w:rFonts w:ascii="Arial" w:cs="Arial" w:eastAsia="Arial" w:hAnsi="Arial"/>
          <w:sz w:val="17"/>
          <w:szCs w:val="17"/>
          <w:u w:val="single" w:color="auto"/>
          <w:color w:val="auto"/>
        </w:rPr>
        <w:t>Execution</w:t>
      </w:r>
      <w:r>
        <w:rPr>
          <w:rFonts w:ascii="Arial" w:cs="Arial" w:eastAsia="Arial" w:hAnsi="Arial"/>
          <w:sz w:val="17"/>
          <w:szCs w:val="17"/>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5.12 </w:t>
      </w: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78"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 xml:space="preserve">5.13 </w:t>
      </w:r>
      <w:r>
        <w:rPr>
          <w:rFonts w:ascii="Arial" w:cs="Arial" w:eastAsia="Arial" w:hAnsi="Arial"/>
          <w:sz w:val="17"/>
          <w:szCs w:val="17"/>
          <w:u w:val="single" w:color="auto"/>
          <w:color w:val="auto"/>
        </w:rPr>
        <w:t>Rescission and Withdrawal Right</w:t>
      </w:r>
      <w:r>
        <w:rPr>
          <w:rFonts w:ascii="Arial" w:cs="Arial" w:eastAsia="Arial" w:hAnsi="Arial"/>
          <w:sz w:val="17"/>
          <w:szCs w:val="17"/>
          <w:color w:val="auto"/>
        </w:rPr>
        <w:t xml:space="preserve">.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case of a rescission of an exercise of a Pre-Funded Warrant, the applicable Purchaser shall be required to return any shares of Common Stock subject to any such rescinded exercise notice concurrently with the return to such Purchaser of the aggregate exercise price paid to the Company for such shares and the restoration of such Purchaser’s right to acquire such shares pursuant to such Purchaser’s Pre-Funded Warrant (including, issuance of a replacement warrant certificate evidencing such restored right).</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Replacement of Securities</w:t>
      </w:r>
      <w:r>
        <w:rPr>
          <w:rFonts w:ascii="Arial" w:cs="Arial" w:eastAsia="Arial" w:hAnsi="Arial"/>
          <w:sz w:val="18"/>
          <w:szCs w:val="18"/>
          <w:color w:val="auto"/>
        </w:rPr>
        <w:t>. If any certificate or instrument evidencing any Securities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5" w:name="page66"/>
    <w:bookmarkEnd w:id="65"/>
    <w:p>
      <w:pPr>
        <w:jc w:val="both"/>
        <w:ind w:firstLine="648"/>
        <w:spacing w:after="0" w:line="301" w:lineRule="auto"/>
        <w:rPr>
          <w:sz w:val="20"/>
          <w:szCs w:val="20"/>
          <w:color w:val="auto"/>
        </w:rPr>
      </w:pPr>
      <w:r>
        <w:rPr>
          <w:rFonts w:ascii="Arial" w:cs="Arial" w:eastAsia="Arial" w:hAnsi="Arial"/>
          <w:sz w:val="16"/>
          <w:szCs w:val="16"/>
          <w:color w:val="auto"/>
        </w:rPr>
        <w:t xml:space="preserve">5.15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5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 xml:space="preserve">5.16 </w:t>
      </w:r>
      <w:r>
        <w:rPr>
          <w:rFonts w:ascii="Arial" w:cs="Arial" w:eastAsia="Arial" w:hAnsi="Arial"/>
          <w:sz w:val="16"/>
          <w:szCs w:val="16"/>
          <w:u w:val="single" w:color="auto"/>
          <w:color w:val="auto"/>
        </w:rPr>
        <w:t>Payment Set Aside</w:t>
      </w:r>
      <w:r>
        <w:rPr>
          <w:rFonts w:ascii="Arial" w:cs="Arial" w:eastAsia="Arial" w:hAnsi="Arial"/>
          <w:sz w:val="16"/>
          <w:szCs w:val="16"/>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 xml:space="preserve">5.17 </w:t>
      </w:r>
      <w:r>
        <w:rPr>
          <w:rFonts w:ascii="Arial" w:cs="Arial" w:eastAsia="Arial" w:hAnsi="Arial"/>
          <w:sz w:val="16"/>
          <w:szCs w:val="16"/>
          <w:u w:val="single" w:color="auto"/>
          <w:color w:val="auto"/>
        </w:rPr>
        <w:t>Independent Nature of Purchasers’ Obligations and Rights</w:t>
      </w:r>
      <w:r>
        <w:rPr>
          <w:rFonts w:ascii="Arial" w:cs="Arial" w:eastAsia="Arial" w:hAnsi="Arial"/>
          <w:sz w:val="16"/>
          <w:szCs w:val="16"/>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For reasons of administrative convenience only, each Purchaser and its respective counsel have chosen to communicate with the Company through EGS. EGS does not represent any of the Purchasers and only represents the Financial Advisor.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6" w:name="page67"/>
    <w:bookmarkEnd w:id="66"/>
    <w:p>
      <w:pPr>
        <w:jc w:val="both"/>
        <w:ind w:firstLine="648"/>
        <w:spacing w:after="0" w:line="259" w:lineRule="auto"/>
        <w:rPr>
          <w:sz w:val="20"/>
          <w:szCs w:val="20"/>
          <w:color w:val="auto"/>
        </w:rPr>
      </w:pPr>
      <w:r>
        <w:rPr>
          <w:rFonts w:ascii="Arial" w:cs="Arial" w:eastAsia="Arial" w:hAnsi="Arial"/>
          <w:sz w:val="18"/>
          <w:szCs w:val="18"/>
          <w:color w:val="auto"/>
        </w:rPr>
        <w:t xml:space="preserve">5.18 </w:t>
      </w:r>
      <w:r>
        <w:rPr>
          <w:rFonts w:ascii="Arial" w:cs="Arial" w:eastAsia="Arial" w:hAnsi="Arial"/>
          <w:sz w:val="18"/>
          <w:szCs w:val="18"/>
          <w:u w:val="single" w:color="auto"/>
          <w:color w:val="auto"/>
        </w:rPr>
        <w:t>Liquidated Damages</w:t>
      </w:r>
      <w:r>
        <w:rPr>
          <w:rFonts w:ascii="Arial" w:cs="Arial" w:eastAsia="Arial" w:hAnsi="Arial"/>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7"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 xml:space="preserve">5.19 </w:t>
      </w:r>
      <w:r>
        <w:rPr>
          <w:rFonts w:ascii="Arial" w:cs="Arial" w:eastAsia="Arial" w:hAnsi="Arial"/>
          <w:sz w:val="17"/>
          <w:szCs w:val="17"/>
          <w:u w:val="single" w:color="auto"/>
          <w:color w:val="auto"/>
        </w:rPr>
        <w:t>Saturdays, Sundays, Holidays, etc.</w:t>
      </w:r>
      <w:r>
        <w:rPr>
          <w:rFonts w:ascii="Arial" w:cs="Arial" w:eastAsia="Arial" w:hAnsi="Arial"/>
          <w:sz w:val="17"/>
          <w:szCs w:val="17"/>
          <w:color w:val="auto"/>
        </w:rPr>
        <w:t xml:space="preserve">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5.20 </w:t>
      </w:r>
      <w:r>
        <w:rPr>
          <w:rFonts w:ascii="Arial" w:cs="Arial" w:eastAsia="Arial" w:hAnsi="Arial"/>
          <w:sz w:val="17"/>
          <w:szCs w:val="17"/>
          <w:u w:val="single" w:color="auto"/>
          <w:color w:val="auto"/>
        </w:rPr>
        <w:t>Construction</w:t>
      </w:r>
      <w:r>
        <w:rPr>
          <w:rFonts w:ascii="Arial" w:cs="Arial" w:eastAsia="Arial" w:hAnsi="Arial"/>
          <w:sz w:val="17"/>
          <w:szCs w:val="17"/>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2"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w:t>
      </w:r>
      <w:r>
        <w:rPr>
          <w:rFonts w:ascii="Arial" w:cs="Arial" w:eastAsia="Arial" w:hAnsi="Arial"/>
          <w:sz w:val="18"/>
          <w:szCs w:val="18"/>
          <w:b w:val="1"/>
          <w:bCs w:val="1"/>
          <w:u w:val="single" w:color="auto"/>
          <w:color w:val="auto"/>
        </w:rPr>
        <w:t xml:space="preserve"> IN ANY ACTION, SUIT, OR PROCEEDING IN ANY JURISDICTION BROUGHT BY ANY</w:t>
      </w:r>
    </w:p>
    <w:p>
      <w:pPr>
        <w:spacing w:after="0" w:line="27"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90"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5.22 </w:t>
      </w:r>
      <w:r>
        <w:rPr>
          <w:rFonts w:ascii="Arial" w:cs="Arial" w:eastAsia="Arial" w:hAnsi="Arial"/>
          <w:sz w:val="18"/>
          <w:szCs w:val="18"/>
          <w:u w:val="single" w:color="auto"/>
          <w:color w:val="auto"/>
        </w:rPr>
        <w:t>Equitable Adjustment</w:t>
      </w:r>
      <w:r>
        <w:rPr>
          <w:rFonts w:ascii="Arial" w:cs="Arial" w:eastAsia="Arial" w:hAnsi="Arial"/>
          <w:sz w:val="18"/>
          <w:szCs w:val="18"/>
          <w:color w:val="auto"/>
        </w:rPr>
        <w:t>. Trading volume amounts, price/volume amounts, the amount of Pre-Funded Warrants, the amount of shares of Common Stock identified in this Agreement and similar figures in the Transaction Documents shall be equitably adjusted (but without duplication) to offset the effect of stock splits, similar events and as otherwise described in the Transaction Documents.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Pages Follow)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7" w:name="page68"/>
    <w:bookmarkEnd w:id="67"/>
    <w:p>
      <w:pPr>
        <w:ind w:firstLine="648"/>
        <w:spacing w:after="0" w:line="277" w:lineRule="auto"/>
        <w:rPr>
          <w:sz w:val="20"/>
          <w:szCs w:val="20"/>
          <w:color w:val="auto"/>
        </w:rPr>
      </w:pPr>
      <w:r>
        <w:rPr>
          <w:rFonts w:ascii="Arial" w:cs="Arial" w:eastAsia="Arial" w:hAnsi="Arial"/>
          <w:sz w:val="18"/>
          <w:szCs w:val="18"/>
          <w:color w:val="auto"/>
        </w:rPr>
        <w:t>IN WITNESS WHEREOF, the parties hereto have caused this Securities Purchase Agreement to be duly executed by their respective authorized signatories as of the date first indicated above.</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XPRESSPA GROUP, INC.</w:t>
            </w:r>
          </w:p>
        </w:tc>
        <w:tc>
          <w:tcPr>
            <w:tcW w:w="100" w:type="dxa"/>
            <w:vAlign w:val="bottom"/>
          </w:tcPr>
          <w:p>
            <w:pPr>
              <w:spacing w:after="0"/>
              <w:rPr>
                <w:sz w:val="17"/>
                <w:szCs w:val="17"/>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Address For Notice:</w:t>
            </w:r>
          </w:p>
        </w:tc>
      </w:tr>
      <w:tr>
        <w:trPr>
          <w:trHeight w:val="507"/>
        </w:trPr>
        <w:tc>
          <w:tcPr>
            <w:tcW w:w="5660" w:type="dxa"/>
            <w:vAlign w:val="bottom"/>
            <w:gridSpan w:val="2"/>
          </w:tcPr>
          <w:p>
            <w:pPr>
              <w:spacing w:after="0"/>
              <w:rPr>
                <w:sz w:val="20"/>
                <w:szCs w:val="20"/>
                <w:color w:val="auto"/>
              </w:rPr>
            </w:pPr>
            <w:r>
              <w:rPr>
                <w:rFonts w:ascii="Arial" w:cs="Arial" w:eastAsia="Arial" w:hAnsi="Arial"/>
                <w:sz w:val="18"/>
                <w:szCs w:val="18"/>
                <w:color w:val="auto"/>
              </w:rPr>
              <w:t>By:/s/ Douglas Satzman</w:t>
            </w: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24"/>
        </w:trPr>
        <w:tc>
          <w:tcPr>
            <w:tcW w:w="280" w:type="dxa"/>
            <w:vAlign w:val="bottom"/>
          </w:tcPr>
          <w:p>
            <w:pPr>
              <w:spacing w:after="0"/>
              <w:rPr>
                <w:sz w:val="19"/>
                <w:szCs w:val="19"/>
                <w:color w:val="auto"/>
              </w:rPr>
            </w:pPr>
          </w:p>
        </w:tc>
        <w:tc>
          <w:tcPr>
            <w:tcW w:w="5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 Douglas Satzman</w:t>
            </w:r>
          </w:p>
        </w:tc>
        <w:tc>
          <w:tcPr>
            <w:tcW w:w="100" w:type="dxa"/>
            <w:vAlign w:val="bottom"/>
          </w:tcPr>
          <w:p>
            <w:pPr>
              <w:spacing w:after="0"/>
              <w:rPr>
                <w:sz w:val="19"/>
                <w:szCs w:val="19"/>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E-Mail:</w:t>
            </w:r>
          </w:p>
        </w:tc>
      </w:tr>
      <w:tr>
        <w:trPr>
          <w:trHeight w:val="242"/>
        </w:trPr>
        <w:tc>
          <w:tcPr>
            <w:tcW w:w="280" w:type="dxa"/>
            <w:vAlign w:val="bottom"/>
          </w:tcPr>
          <w:p>
            <w:pPr>
              <w:spacing w:after="0"/>
              <w:rPr>
                <w:sz w:val="21"/>
                <w:szCs w:val="21"/>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Title: Chief Executive Officer</w:t>
            </w:r>
          </w:p>
        </w:tc>
        <w:tc>
          <w:tcPr>
            <w:tcW w:w="100" w:type="dxa"/>
            <w:vAlign w:val="bottom"/>
          </w:tcPr>
          <w:p>
            <w:pPr>
              <w:spacing w:after="0"/>
              <w:rPr>
                <w:sz w:val="21"/>
                <w:szCs w:val="21"/>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Fax:</w:t>
            </w: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With a copy to (which shall not constitute notice):</w:t>
            </w:r>
          </w:p>
        </w:tc>
        <w:tc>
          <w:tcPr>
            <w:tcW w:w="100" w:type="dxa"/>
            <w:vAlign w:val="bottom"/>
          </w:tcPr>
          <w:p>
            <w:pPr>
              <w:spacing w:after="0"/>
              <w:rPr>
                <w:sz w:val="21"/>
                <w:szCs w:val="21"/>
                <w:color w:val="auto"/>
              </w:rPr>
            </w:pPr>
          </w:p>
        </w:tc>
        <w:tc>
          <w:tcPr>
            <w:tcW w:w="1460" w:type="dxa"/>
            <w:vAlign w:val="bottom"/>
          </w:tcPr>
          <w:p>
            <w:pPr>
              <w:spacing w:after="0"/>
              <w:rPr>
                <w:sz w:val="21"/>
                <w:szCs w:val="2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[REMAINDER OF PAGE INTENTIONALLY LEFT BLANK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FOR PURCHASER FOLLOWS]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Intracoastal Capital, LLC</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90"/>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Keith A. Goodman</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Keith A. Goodman</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Authorized Signatory</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KG@intracc.com</w:t>
            </w:r>
          </w:p>
        </w:tc>
      </w:tr>
      <w:tr>
        <w:trPr>
          <w:trHeight w:val="209"/>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5"/>
        </w:trPr>
        <w:tc>
          <w:tcPr>
            <w:tcW w:w="2820" w:type="dxa"/>
            <w:vAlign w:val="bottom"/>
            <w:gridSpan w:val="2"/>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Intracoastal Capital LLC</w:t>
            </w:r>
          </w:p>
        </w:tc>
      </w:tr>
      <w:tr>
        <w:trPr>
          <w:trHeight w:val="216"/>
        </w:trPr>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2211A Lakeside Drive</w:t>
            </w:r>
          </w:p>
        </w:tc>
      </w:tr>
      <w:tr>
        <w:trPr>
          <w:trHeight w:val="230"/>
        </w:trPr>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Bannockbum, IL 60015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$166,665.98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Shares:</w:t>
      </w:r>
      <w:r>
        <w:rPr>
          <w:sz w:val="20"/>
          <w:szCs w:val="20"/>
          <w:color w:val="auto"/>
        </w:rPr>
        <w:tab/>
      </w:r>
      <w:r>
        <w:rPr>
          <w:rFonts w:ascii="Arial" w:cs="Arial" w:eastAsia="Arial" w:hAnsi="Arial"/>
          <w:sz w:val="18"/>
          <w:szCs w:val="18"/>
          <w:color w:val="auto"/>
        </w:rPr>
        <w:t>952,377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56"/>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51"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L1 Capital Global Opportunities Master Fund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9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5"/>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David Feldman</w:t>
            </w:r>
          </w:p>
        </w:tc>
      </w:tr>
      <w:tr>
        <w:trPr>
          <w:trHeight w:val="210"/>
        </w:trPr>
        <w:tc>
          <w:tcPr>
            <w:tcW w:w="2820" w:type="dxa"/>
            <w:vAlign w:val="bottom"/>
            <w:gridSpan w:val="3"/>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0"/>
              </w:rPr>
              <w:t>David Feldman</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3"/>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dfeldman@l1capitalglobal.com</w:t>
            </w:r>
          </w:p>
        </w:tc>
      </w:tr>
      <w:tr>
        <w:trPr>
          <w:trHeight w:val="210"/>
        </w:trPr>
        <w:tc>
          <w:tcPr>
            <w:tcW w:w="3380" w:type="dxa"/>
            <w:vAlign w:val="bottom"/>
            <w:gridSpan w:val="4"/>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236"/>
        </w:trPr>
        <w:tc>
          <w:tcPr>
            <w:tcW w:w="2820" w:type="dxa"/>
            <w:vAlign w:val="bottom"/>
            <w:gridSpan w:val="3"/>
          </w:tcPr>
          <w:p>
            <w:pPr>
              <w:spacing w:after="0"/>
              <w:rPr>
                <w:sz w:val="20"/>
                <w:szCs w:val="20"/>
                <w:color w:val="auto"/>
              </w:rPr>
            </w:pPr>
            <w:r>
              <w:rPr>
                <w:rFonts w:ascii="Arial" w:cs="Arial" w:eastAsia="Arial" w:hAnsi="Arial"/>
                <w:sz w:val="18"/>
                <w:szCs w:val="18"/>
                <w:color w:val="auto"/>
              </w:rPr>
              <w:t>Address for Notice to Purchaser:</w:t>
            </w:r>
          </w:p>
        </w:tc>
        <w:tc>
          <w:tcPr>
            <w:tcW w:w="560" w:type="dxa"/>
            <w:vAlign w:val="bottom"/>
          </w:tcPr>
          <w:p>
            <w:pPr>
              <w:spacing w:after="0"/>
              <w:rPr>
                <w:sz w:val="20"/>
                <w:szCs w:val="20"/>
                <w:color w:val="auto"/>
              </w:rPr>
            </w:pPr>
            <w:r>
              <w:rPr>
                <w:rFonts w:ascii="Arial" w:cs="Arial" w:eastAsia="Arial" w:hAnsi="Arial"/>
                <w:sz w:val="18"/>
                <w:szCs w:val="18"/>
                <w:color w:val="auto"/>
                <w:w w:val="75"/>
              </w:rPr>
              <w:t>135 East</w:t>
            </w:r>
          </w:p>
        </w:tc>
        <w:tc>
          <w:tcPr>
            <w:tcW w:w="7860" w:type="dxa"/>
            <w:vAlign w:val="bottom"/>
            <w:gridSpan w:val="2"/>
          </w:tcPr>
          <w:p>
            <w:pPr>
              <w:ind w:left="100"/>
              <w:spacing w:after="0" w:line="236" w:lineRule="exact"/>
              <w:rPr>
                <w:sz w:val="20"/>
                <w:szCs w:val="20"/>
                <w:color w:val="auto"/>
              </w:rPr>
            </w:pPr>
            <w:r>
              <w:rPr>
                <w:rFonts w:ascii="Arial" w:cs="Arial" w:eastAsia="Arial" w:hAnsi="Arial"/>
                <w:sz w:val="17"/>
                <w:szCs w:val="17"/>
                <w:color w:val="auto"/>
              </w:rPr>
              <w:t>57</w:t>
            </w:r>
            <w:r>
              <w:rPr>
                <w:rFonts w:ascii="Arial" w:cs="Arial" w:eastAsia="Arial" w:hAnsi="Arial"/>
                <w:sz w:val="27"/>
                <w:szCs w:val="27"/>
                <w:color w:val="auto"/>
                <w:vertAlign w:val="superscript"/>
              </w:rPr>
              <w:t>th</w:t>
            </w:r>
            <w:r>
              <w:rPr>
                <w:rFonts w:ascii="Arial" w:cs="Arial" w:eastAsia="Arial" w:hAnsi="Arial"/>
                <w:sz w:val="17"/>
                <w:szCs w:val="17"/>
                <w:color w:val="auto"/>
              </w:rPr>
              <w:t xml:space="preserve"> St, 23</w:t>
            </w:r>
            <w:r>
              <w:rPr>
                <w:rFonts w:ascii="Arial" w:cs="Arial" w:eastAsia="Arial" w:hAnsi="Arial"/>
                <w:sz w:val="27"/>
                <w:szCs w:val="27"/>
                <w:color w:val="auto"/>
                <w:vertAlign w:val="superscript"/>
              </w:rPr>
              <w:t>rd</w:t>
            </w:r>
            <w:r>
              <w:rPr>
                <w:rFonts w:ascii="Arial" w:cs="Arial" w:eastAsia="Arial" w:hAnsi="Arial"/>
                <w:sz w:val="17"/>
                <w:szCs w:val="17"/>
                <w:color w:val="auto"/>
              </w:rPr>
              <w:t xml:space="preserve"> Floor</w:t>
            </w:r>
          </w:p>
        </w:tc>
      </w:tr>
      <w:tr>
        <w:trPr>
          <w:trHeight w:val="230"/>
        </w:trPr>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New York, NY, 10022</w:t>
            </w:r>
          </w:p>
        </w:tc>
      </w:tr>
      <w:tr>
        <w:trPr>
          <w:trHeight w:val="459"/>
        </w:trPr>
        <w:tc>
          <w:tcPr>
            <w:tcW w:w="2820" w:type="dxa"/>
            <w:vAlign w:val="bottom"/>
            <w:gridSpan w:val="3"/>
          </w:tcPr>
          <w:p>
            <w:pPr>
              <w:spacing w:after="0"/>
              <w:rPr>
                <w:sz w:val="20"/>
                <w:szCs w:val="20"/>
                <w:color w:val="auto"/>
              </w:rPr>
            </w:pPr>
            <w:r>
              <w:rPr>
                <w:rFonts w:ascii="Arial" w:cs="Arial" w:eastAsia="Arial" w:hAnsi="Arial"/>
                <w:sz w:val="18"/>
                <w:szCs w:val="18"/>
                <w:color w:val="auto"/>
              </w:rPr>
              <w:t>Subscription Amount: $181,668</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300" w:type="dxa"/>
            <w:vAlign w:val="bottom"/>
          </w:tcPr>
          <w:p>
            <w:pPr>
              <w:spacing w:after="0"/>
              <w:rPr>
                <w:sz w:val="24"/>
                <w:szCs w:val="24"/>
                <w:color w:val="auto"/>
              </w:rPr>
            </w:pPr>
          </w:p>
        </w:tc>
      </w:tr>
      <w:tr>
        <w:trPr>
          <w:trHeight w:val="453"/>
        </w:trPr>
        <w:tc>
          <w:tcPr>
            <w:tcW w:w="920" w:type="dxa"/>
            <w:vAlign w:val="bottom"/>
          </w:tcPr>
          <w:p>
            <w:pPr>
              <w:spacing w:after="0"/>
              <w:rPr>
                <w:sz w:val="20"/>
                <w:szCs w:val="20"/>
                <w:color w:val="auto"/>
              </w:rPr>
            </w:pPr>
            <w:r>
              <w:rPr>
                <w:rFonts w:ascii="Arial" w:cs="Arial" w:eastAsia="Arial" w:hAnsi="Arial"/>
                <w:sz w:val="18"/>
                <w:szCs w:val="18"/>
                <w:color w:val="auto"/>
              </w:rPr>
              <w:t>Shares:</w:t>
            </w:r>
          </w:p>
        </w:tc>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6"/>
              </w:rPr>
              <w:t>916,918</w:t>
            </w:r>
          </w:p>
        </w:tc>
        <w:tc>
          <w:tcPr>
            <w:tcW w:w="112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7300" w:type="dxa"/>
            <w:vAlign w:val="bottom"/>
            <w:tcBorders>
              <w:top w:val="single" w:sz="8" w:color="auto"/>
              <w:bottom w:val="single" w:sz="8" w:color="auto"/>
            </w:tcBorders>
          </w:tcPr>
          <w:p>
            <w:pPr>
              <w:spacing w:after="0"/>
              <w:rPr>
                <w:sz w:val="24"/>
                <w:szCs w:val="24"/>
                <w:color w:val="auto"/>
              </w:rPr>
            </w:pPr>
          </w:p>
        </w:tc>
      </w:tr>
    </w:tbl>
    <w:p>
      <w:pPr>
        <w:spacing w:after="0" w:line="229" w:lineRule="exact"/>
        <w:rPr>
          <w:sz w:val="20"/>
          <w:szCs w:val="20"/>
          <w:color w:val="auto"/>
        </w:rPr>
      </w:pPr>
    </w:p>
    <w:p>
      <w:pPr>
        <w:spacing w:after="0"/>
        <w:tabs>
          <w:tab w:leader="none" w:pos="2240" w:val="left"/>
        </w:tabs>
        <w:rPr>
          <w:sz w:val="20"/>
          <w:szCs w:val="20"/>
          <w:color w:val="auto"/>
        </w:rPr>
      </w:pPr>
      <w:r>
        <w:rPr>
          <w:rFonts w:ascii="Arial" w:cs="Arial" w:eastAsia="Arial" w:hAnsi="Arial"/>
          <w:sz w:val="18"/>
          <w:szCs w:val="18"/>
          <w:color w:val="auto"/>
        </w:rPr>
        <w:t>Pre-Funded Warrant Shares:</w:t>
      </w:r>
      <w:r>
        <w:rPr>
          <w:sz w:val="20"/>
          <w:szCs w:val="20"/>
          <w:color w:val="auto"/>
        </w:rPr>
        <w:tab/>
      </w:r>
      <w:r>
        <w:rPr>
          <w:rFonts w:ascii="Arial" w:cs="Arial" w:eastAsia="Arial" w:hAnsi="Arial"/>
          <w:sz w:val="16"/>
          <w:szCs w:val="16"/>
          <w:color w:val="auto"/>
        </w:rPr>
        <w:t>121,185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57"/>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Brio Capital Master Fund Ltd.</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Shaye Hirsch</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Shaye Hirsch</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Director</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shaye@briocapital.com</w:t>
            </w:r>
          </w:p>
        </w:tc>
      </w:tr>
      <w:tr>
        <w:trPr>
          <w:trHeight w:val="210"/>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646-390-2158</w:t>
            </w:r>
          </w:p>
        </w:tc>
      </w:tr>
      <w:tr>
        <w:trPr>
          <w:trHeight w:val="211"/>
        </w:trPr>
        <w:tc>
          <w:tcPr>
            <w:tcW w:w="2820" w:type="dxa"/>
            <w:vAlign w:val="bottom"/>
            <w:gridSpan w:val="2"/>
          </w:tcPr>
          <w:p>
            <w:pPr>
              <w:spacing w:after="0"/>
              <w:rPr>
                <w:sz w:val="20"/>
                <w:szCs w:val="20"/>
                <w:color w:val="auto"/>
              </w:rPr>
            </w:pPr>
            <w:r>
              <w:rPr>
                <w:rFonts w:ascii="Arial" w:cs="Arial" w:eastAsia="Arial" w:hAnsi="Arial"/>
                <w:sz w:val="18"/>
                <w:szCs w:val="18"/>
                <w:color w:val="auto"/>
              </w:rPr>
              <w:t>Address for Notice to Purchaser:</w:t>
            </w:r>
          </w:p>
        </w:tc>
        <w:tc>
          <w:tcPr>
            <w:tcW w:w="560" w:type="dxa"/>
            <w:vAlign w:val="bottom"/>
          </w:tcPr>
          <w:p>
            <w:pPr>
              <w:spacing w:after="0"/>
              <w:rPr>
                <w:sz w:val="20"/>
                <w:szCs w:val="20"/>
                <w:color w:val="auto"/>
              </w:rPr>
            </w:pPr>
            <w:r>
              <w:rPr>
                <w:rFonts w:ascii="Arial" w:cs="Arial" w:eastAsia="Arial" w:hAnsi="Arial"/>
                <w:sz w:val="18"/>
                <w:szCs w:val="18"/>
                <w:color w:val="auto"/>
                <w:w w:val="88"/>
              </w:rPr>
              <w:t>c/o Brio</w:t>
            </w:r>
          </w:p>
        </w:tc>
        <w:tc>
          <w:tcPr>
            <w:tcW w:w="7860" w:type="dxa"/>
            <w:vAlign w:val="bottom"/>
            <w:gridSpan w:val="2"/>
          </w:tcPr>
          <w:p>
            <w:pPr>
              <w:ind w:left="60"/>
              <w:spacing w:after="0"/>
              <w:rPr>
                <w:sz w:val="20"/>
                <w:szCs w:val="20"/>
                <w:color w:val="auto"/>
              </w:rPr>
            </w:pPr>
            <w:r>
              <w:rPr>
                <w:rFonts w:ascii="Arial" w:cs="Arial" w:eastAsia="Arial" w:hAnsi="Arial"/>
                <w:sz w:val="18"/>
                <w:szCs w:val="18"/>
                <w:color w:val="auto"/>
              </w:rPr>
              <w:t>Capital Management LLC</w:t>
            </w:r>
          </w:p>
        </w:tc>
      </w:tr>
    </w:tbl>
    <w:p>
      <w:pPr>
        <w:ind w:left="2820"/>
        <w:spacing w:after="0"/>
        <w:rPr>
          <w:sz w:val="20"/>
          <w:szCs w:val="20"/>
          <w:color w:val="auto"/>
        </w:rPr>
      </w:pPr>
      <w:r>
        <w:rPr>
          <w:rFonts w:ascii="Arial" w:cs="Arial" w:eastAsia="Arial" w:hAnsi="Arial"/>
          <w:sz w:val="18"/>
          <w:szCs w:val="18"/>
          <w:color w:val="auto"/>
        </w:rPr>
        <w:t>100 Merrick Road, Suite 401W</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Rockville Centre, NY 11570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$50,000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8" w:val="left"/>
        </w:tabs>
        <w:numPr>
          <w:ilvl w:val="0"/>
          <w:numId w:val="58"/>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1" w:name="page72"/>
    <w:bookmarkEnd w:id="71"/>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Alpha Capital Anstalt</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Nicola Feuerstein</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78"/>
              </w:rPr>
              <w:t>Nicola Feuerstein</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Secretary</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feuerstein@alphacapital.li</w:t>
            </w:r>
          </w:p>
        </w:tc>
      </w:tr>
      <w:tr>
        <w:trPr>
          <w:trHeight w:val="210"/>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560" w:type="dxa"/>
            <w:vAlign w:val="bottom"/>
            <w:tcBorders>
              <w:bottom w:val="single" w:sz="8" w:color="auto"/>
            </w:tcBorders>
          </w:tcPr>
          <w:p>
            <w:pPr>
              <w:spacing w:after="0"/>
              <w:rPr>
                <w:sz w:val="18"/>
                <w:szCs w:val="18"/>
                <w:color w:val="auto"/>
              </w:rPr>
            </w:pPr>
          </w:p>
        </w:tc>
        <w:tc>
          <w:tcPr>
            <w:tcW w:w="7300" w:type="dxa"/>
            <w:vAlign w:val="bottom"/>
            <w:tcBorders>
              <w:bottom w:val="single" w:sz="8" w:color="auto"/>
            </w:tcBorders>
          </w:tcPr>
          <w:p>
            <w:pPr>
              <w:spacing w:after="0"/>
              <w:rPr>
                <w:sz w:val="18"/>
                <w:szCs w:val="18"/>
                <w:color w:val="auto"/>
              </w:rPr>
            </w:pPr>
          </w:p>
        </w:tc>
      </w:tr>
      <w:tr>
        <w:trPr>
          <w:trHeight w:val="195"/>
        </w:trPr>
        <w:tc>
          <w:tcPr>
            <w:tcW w:w="2820" w:type="dxa"/>
            <w:vAlign w:val="bottom"/>
            <w:gridSpan w:val="2"/>
          </w:tcPr>
          <w:p>
            <w:pPr>
              <w:spacing w:after="0" w:line="195" w:lineRule="exact"/>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line="195" w:lineRule="exact"/>
              <w:rPr>
                <w:sz w:val="20"/>
                <w:szCs w:val="20"/>
                <w:color w:val="auto"/>
              </w:rPr>
            </w:pPr>
            <w:r>
              <w:rPr>
                <w:rFonts w:ascii="Arial" w:cs="Arial" w:eastAsia="Arial" w:hAnsi="Arial"/>
                <w:sz w:val="18"/>
                <w:szCs w:val="18"/>
                <w:color w:val="auto"/>
              </w:rPr>
              <w:t>LH Financial Services</w:t>
            </w:r>
          </w:p>
        </w:tc>
      </w:tr>
      <w:tr>
        <w:trPr>
          <w:trHeight w:val="230"/>
        </w:trPr>
        <w:tc>
          <w:tcPr>
            <w:tcW w:w="17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420" w:type="dxa"/>
            <w:vAlign w:val="bottom"/>
            <w:gridSpan w:val="3"/>
          </w:tcPr>
          <w:p>
            <w:pPr>
              <w:spacing w:after="0"/>
              <w:rPr>
                <w:sz w:val="20"/>
                <w:szCs w:val="20"/>
                <w:color w:val="auto"/>
              </w:rPr>
            </w:pPr>
            <w:r>
              <w:rPr>
                <w:rFonts w:ascii="Arial" w:cs="Arial" w:eastAsia="Arial" w:hAnsi="Arial"/>
                <w:sz w:val="18"/>
                <w:szCs w:val="18"/>
                <w:color w:val="auto"/>
              </w:rPr>
              <w:t>510 Madison Avenue</w:t>
            </w:r>
          </w:p>
        </w:tc>
      </w:tr>
    </w:tbl>
    <w:p>
      <w:pPr>
        <w:ind w:left="2820"/>
        <w:spacing w:after="0"/>
        <w:rPr>
          <w:sz w:val="20"/>
          <w:szCs w:val="20"/>
          <w:color w:val="auto"/>
        </w:rPr>
      </w:pPr>
      <w:r>
        <w:rPr>
          <w:rFonts w:ascii="Arial" w:cs="Arial" w:eastAsia="Arial" w:hAnsi="Arial"/>
          <w:sz w:val="18"/>
          <w:szCs w:val="18"/>
          <w:color w:val="auto"/>
        </w:rPr>
        <w:t>Suite 1400</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59"/>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Anson Investments Master Fund LP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7300" w:type="dxa"/>
            <w:vAlign w:val="bottom"/>
            <w:shd w:val="clear" w:color="auto" w:fill="000000"/>
          </w:tcPr>
          <w:p>
            <w:pPr>
              <w:spacing w:after="0" w:line="20" w:lineRule="exact"/>
              <w:rPr>
                <w:sz w:val="1"/>
                <w:szCs w:val="1"/>
                <w:color w:val="auto"/>
              </w:rPr>
            </w:pPr>
          </w:p>
        </w:tc>
      </w:tr>
      <w:tr>
        <w:trPr>
          <w:trHeight w:val="189"/>
        </w:trPr>
        <w:tc>
          <w:tcPr>
            <w:tcW w:w="3940" w:type="dxa"/>
            <w:vAlign w:val="bottom"/>
            <w:gridSpan w:val="4"/>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300" w:type="dxa"/>
            <w:vAlign w:val="bottom"/>
            <w:tcBorders>
              <w:bottom w:val="single" w:sz="8" w:color="auto"/>
            </w:tcBorders>
          </w:tcPr>
          <w:p>
            <w:pPr>
              <w:ind w:left="20"/>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Amin Nathoo</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Amin Nathoo</w:t>
            </w:r>
          </w:p>
        </w:tc>
        <w:tc>
          <w:tcPr>
            <w:tcW w:w="730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842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Director of Anson Advisors Inc., co-investment advisor of the Purchaser</w:t>
            </w: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notices@ansonfunds.com</w:t>
            </w:r>
          </w:p>
        </w:tc>
      </w:tr>
      <w:tr>
        <w:trPr>
          <w:trHeight w:val="210"/>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416-352-1880</w:t>
            </w:r>
          </w:p>
        </w:tc>
      </w:tr>
      <w:tr>
        <w:trPr>
          <w:trHeight w:val="211"/>
        </w:trPr>
        <w:tc>
          <w:tcPr>
            <w:tcW w:w="2820" w:type="dxa"/>
            <w:vAlign w:val="bottom"/>
            <w:gridSpan w:val="2"/>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3"/>
          </w:tcPr>
          <w:p>
            <w:pPr>
              <w:spacing w:after="0"/>
              <w:rPr>
                <w:sz w:val="20"/>
                <w:szCs w:val="20"/>
                <w:color w:val="auto"/>
              </w:rPr>
            </w:pPr>
            <w:r>
              <w:rPr>
                <w:rFonts w:ascii="Arial" w:cs="Arial" w:eastAsia="Arial" w:hAnsi="Arial"/>
                <w:sz w:val="18"/>
                <w:szCs w:val="18"/>
                <w:color w:val="auto"/>
              </w:rPr>
              <w:t>155 University Avenue, Suite 207</w:t>
            </w:r>
          </w:p>
        </w:tc>
      </w:tr>
    </w:tbl>
    <w:p>
      <w:pPr>
        <w:ind w:left="2820"/>
        <w:spacing w:after="0"/>
        <w:rPr>
          <w:sz w:val="20"/>
          <w:szCs w:val="20"/>
          <w:color w:val="auto"/>
        </w:rPr>
      </w:pPr>
      <w:r>
        <w:rPr>
          <w:rFonts w:ascii="Arial" w:cs="Arial" w:eastAsia="Arial" w:hAnsi="Arial"/>
          <w:sz w:val="18"/>
          <w:szCs w:val="18"/>
          <w:color w:val="auto"/>
        </w:rPr>
        <w:t>Toronto, Ontario</w:t>
      </w:r>
    </w:p>
    <w:p>
      <w:pPr>
        <w:spacing w:after="0" w:line="7"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M5H 3B7</w:t>
      </w:r>
    </w:p>
    <w:p>
      <w:pPr>
        <w:spacing w:after="0" w:line="9" w:lineRule="exact"/>
        <w:rPr>
          <w:sz w:val="20"/>
          <w:szCs w:val="20"/>
          <w:color w:val="auto"/>
        </w:rPr>
      </w:pPr>
    </w:p>
    <w:p>
      <w:pPr>
        <w:ind w:left="2820"/>
        <w:spacing w:after="0"/>
        <w:rPr>
          <w:sz w:val="20"/>
          <w:szCs w:val="20"/>
          <w:color w:val="auto"/>
        </w:rPr>
      </w:pPr>
      <w:r>
        <w:rPr>
          <w:rFonts w:ascii="Arial" w:cs="Arial" w:eastAsia="Arial" w:hAnsi="Arial"/>
          <w:sz w:val="18"/>
          <w:szCs w:val="18"/>
          <w:color w:val="auto"/>
        </w:rPr>
        <w:t>AttN: Amin Nathoo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$166,666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60"/>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3" w:name="page74"/>
    <w:bookmarkEnd w:id="73"/>
    <w:p>
      <w:pPr>
        <w:jc w:val="center"/>
        <w:spacing w:after="0"/>
        <w:rPr>
          <w:sz w:val="20"/>
          <w:szCs w:val="20"/>
          <w:color w:val="auto"/>
        </w:rPr>
      </w:pPr>
      <w:r>
        <w:rPr>
          <w:rFonts w:ascii="Arial" w:cs="Arial" w:eastAsia="Arial" w:hAnsi="Arial"/>
          <w:sz w:val="18"/>
          <w:szCs w:val="18"/>
          <w:color w:val="auto"/>
        </w:rPr>
        <w:t>[PURCHASER SIGNATURE PAGES TO XPRESSPA GROUP, INC. SECURITIES PURCHASE AGREEMENT]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WITNESS WHEREOF, the undersigned have caused this Securities Purchase Agreement to be duly executed by their respective authorized signatories as of the date first indicated above.</w:t>
      </w:r>
    </w:p>
    <w:p>
      <w:pPr>
        <w:spacing w:after="0" w:line="170"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color w:val="auto"/>
        </w:rPr>
        <w:t>Name of Purchaser:</w:t>
      </w:r>
      <w:r>
        <w:rPr>
          <w:sz w:val="20"/>
          <w:szCs w:val="20"/>
          <w:color w:val="auto"/>
        </w:rPr>
        <w:tab/>
      </w:r>
      <w:r>
        <w:rPr>
          <w:rFonts w:ascii="Arial" w:cs="Arial" w:eastAsia="Arial" w:hAnsi="Arial"/>
          <w:sz w:val="16"/>
          <w:szCs w:val="16"/>
          <w:color w:val="auto"/>
        </w:rPr>
        <w:t>The Hewlett Fund LP</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280" w:type="dxa"/>
            <w:vAlign w:val="bottom"/>
            <w:shd w:val="clear" w:color="auto" w:fill="000000"/>
          </w:tcPr>
          <w:p>
            <w:pPr>
              <w:spacing w:after="0" w:line="20" w:lineRule="exact"/>
              <w:rPr>
                <w:sz w:val="1"/>
                <w:szCs w:val="1"/>
                <w:color w:val="auto"/>
              </w:rPr>
            </w:pPr>
          </w:p>
        </w:tc>
      </w:tr>
      <w:tr>
        <w:trPr>
          <w:trHeight w:val="189"/>
        </w:trPr>
        <w:tc>
          <w:tcPr>
            <w:tcW w:w="3960" w:type="dxa"/>
            <w:vAlign w:val="bottom"/>
            <w:gridSpan w:val="5"/>
          </w:tcPr>
          <w:p>
            <w:pPr>
              <w:spacing w:after="0" w:line="189" w:lineRule="exact"/>
              <w:rPr>
                <w:sz w:val="20"/>
                <w:szCs w:val="20"/>
                <w:color w:val="auto"/>
              </w:rPr>
            </w:pPr>
            <w:r>
              <w:rPr>
                <w:rFonts w:ascii="Arial" w:cs="Arial" w:eastAsia="Arial" w:hAnsi="Arial"/>
                <w:sz w:val="18"/>
                <w:szCs w:val="18"/>
                <w:i w:val="1"/>
                <w:iCs w:val="1"/>
                <w:color w:val="auto"/>
              </w:rPr>
              <w:t>Signature of Authorized Signatory of Purchaser</w:t>
            </w:r>
            <w:r>
              <w:rPr>
                <w:rFonts w:ascii="Arial" w:cs="Arial" w:eastAsia="Arial" w:hAnsi="Arial"/>
                <w:sz w:val="18"/>
                <w:szCs w:val="18"/>
                <w:color w:val="auto"/>
              </w:rPr>
              <w:t>:</w:t>
            </w:r>
          </w:p>
        </w:tc>
        <w:tc>
          <w:tcPr>
            <w:tcW w:w="7280" w:type="dxa"/>
            <w:vAlign w:val="bottom"/>
          </w:tcPr>
          <w:p>
            <w:pPr>
              <w:spacing w:after="0" w:line="189" w:lineRule="exact"/>
              <w:rPr>
                <w:sz w:val="20"/>
                <w:szCs w:val="20"/>
                <w:color w:val="auto"/>
              </w:rPr>
            </w:pPr>
            <w:r>
              <w:rPr>
                <w:rFonts w:ascii="Arial" w:cs="Arial" w:eastAsia="Arial" w:hAnsi="Arial"/>
                <w:sz w:val="18"/>
                <w:szCs w:val="18"/>
                <w:color w:val="auto"/>
              </w:rPr>
              <w:t>/s/</w:t>
            </w:r>
            <w:r>
              <w:rPr>
                <w:rFonts w:ascii="Arial" w:cs="Arial" w:eastAsia="Arial" w:hAnsi="Arial"/>
                <w:sz w:val="18"/>
                <w:szCs w:val="18"/>
                <w:i w:val="1"/>
                <w:iCs w:val="1"/>
                <w:color w:val="auto"/>
              </w:rPr>
              <w:t>Martin Chopp</w:t>
            </w:r>
            <w:r>
              <w:rPr>
                <w:rFonts w:ascii="Arial" w:cs="Arial" w:eastAsia="Arial" w:hAnsi="Arial"/>
                <w:sz w:val="18"/>
                <w:szCs w:val="18"/>
                <w:color w:val="auto"/>
              </w:rPr>
              <w:t xml:space="preserve"> G.P.</w:t>
            </w:r>
          </w:p>
        </w:tc>
      </w:tr>
      <w:tr>
        <w:trPr>
          <w:trHeight w:val="210"/>
        </w:trPr>
        <w:tc>
          <w:tcPr>
            <w:tcW w:w="2820" w:type="dxa"/>
            <w:vAlign w:val="bottom"/>
            <w:gridSpan w:val="2"/>
          </w:tcPr>
          <w:p>
            <w:pPr>
              <w:spacing w:after="0"/>
              <w:rPr>
                <w:sz w:val="20"/>
                <w:szCs w:val="20"/>
                <w:color w:val="auto"/>
              </w:rPr>
            </w:pPr>
            <w:r>
              <w:rPr>
                <w:rFonts w:ascii="Arial" w:cs="Arial" w:eastAsia="Arial" w:hAnsi="Arial"/>
                <w:sz w:val="18"/>
                <w:szCs w:val="18"/>
                <w:color w:val="auto"/>
              </w:rPr>
              <w:t>Name of Authorized Signatory:</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Martin Chopp</w:t>
            </w:r>
          </w:p>
        </w:tc>
        <w:tc>
          <w:tcPr>
            <w:tcW w:w="20" w:type="dxa"/>
            <w:vAlign w:val="bottom"/>
            <w:tcBorders>
              <w:top w:val="single" w:sz="8" w:color="auto"/>
              <w:bottom w:val="single" w:sz="8" w:color="auto"/>
            </w:tcBorders>
          </w:tcPr>
          <w:p>
            <w:pPr>
              <w:spacing w:after="0"/>
              <w:rPr>
                <w:sz w:val="18"/>
                <w:szCs w:val="18"/>
                <w:color w:val="auto"/>
              </w:rPr>
            </w:pPr>
          </w:p>
        </w:tc>
        <w:tc>
          <w:tcPr>
            <w:tcW w:w="7280" w:type="dxa"/>
            <w:vAlign w:val="bottom"/>
            <w:tcBorders>
              <w:top w:val="single" w:sz="8" w:color="auto"/>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rPr>
              <w:t>Title of Authorized Signatory:</w:t>
            </w:r>
          </w:p>
        </w:tc>
        <w:tc>
          <w:tcPr>
            <w:tcW w:w="11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7"/>
              </w:rPr>
              <w:t>General Partner</w:t>
            </w:r>
          </w:p>
        </w:tc>
        <w:tc>
          <w:tcPr>
            <w:tcW w:w="7280" w:type="dxa"/>
            <w:vAlign w:val="bottom"/>
            <w:tcBorders>
              <w:bottom w:val="single" w:sz="8" w:color="auto"/>
            </w:tcBorders>
          </w:tcPr>
          <w:p>
            <w:pPr>
              <w:spacing w:after="0"/>
              <w:rPr>
                <w:sz w:val="18"/>
                <w:szCs w:val="18"/>
                <w:color w:val="auto"/>
              </w:rPr>
            </w:pPr>
          </w:p>
        </w:tc>
      </w:tr>
      <w:tr>
        <w:trPr>
          <w:trHeight w:val="209"/>
        </w:trPr>
        <w:tc>
          <w:tcPr>
            <w:tcW w:w="2820" w:type="dxa"/>
            <w:vAlign w:val="bottom"/>
            <w:gridSpan w:val="2"/>
          </w:tcPr>
          <w:p>
            <w:pPr>
              <w:spacing w:after="0"/>
              <w:rPr>
                <w:sz w:val="20"/>
                <w:szCs w:val="20"/>
                <w:color w:val="auto"/>
              </w:rPr>
            </w:pPr>
            <w:r>
              <w:rPr>
                <w:rFonts w:ascii="Arial" w:cs="Arial" w:eastAsia="Arial" w:hAnsi="Arial"/>
                <w:sz w:val="18"/>
                <w:szCs w:val="18"/>
                <w:color w:val="auto"/>
                <w:w w:val="89"/>
              </w:rPr>
              <w:t>Email Address of Authorized Signatory:</w:t>
            </w:r>
          </w:p>
        </w:tc>
        <w:tc>
          <w:tcPr>
            <w:tcW w:w="560" w:type="dxa"/>
            <w:vAlign w:val="bottom"/>
          </w:tcPr>
          <w:p>
            <w:pPr>
              <w:spacing w:after="0"/>
              <w:rPr>
                <w:sz w:val="18"/>
                <w:szCs w:val="18"/>
                <w:color w:val="auto"/>
              </w:rPr>
            </w:pPr>
          </w:p>
        </w:tc>
        <w:tc>
          <w:tcPr>
            <w:tcW w:w="7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MC@hewlettfund.com</w:t>
            </w:r>
          </w:p>
        </w:tc>
      </w:tr>
      <w:tr>
        <w:trPr>
          <w:trHeight w:val="210"/>
        </w:trPr>
        <w:tc>
          <w:tcPr>
            <w:tcW w:w="3380" w:type="dxa"/>
            <w:vAlign w:val="bottom"/>
            <w:gridSpan w:val="3"/>
          </w:tcPr>
          <w:p>
            <w:pPr>
              <w:spacing w:after="0"/>
              <w:rPr>
                <w:sz w:val="20"/>
                <w:szCs w:val="20"/>
                <w:color w:val="auto"/>
              </w:rPr>
            </w:pPr>
            <w:r>
              <w:rPr>
                <w:rFonts w:ascii="Arial" w:cs="Arial" w:eastAsia="Arial" w:hAnsi="Arial"/>
                <w:sz w:val="18"/>
                <w:szCs w:val="18"/>
                <w:color w:val="auto"/>
                <w:w w:val="98"/>
              </w:rPr>
              <w:t>Facsimile Number of Authorized Signatory:</w:t>
            </w:r>
          </w:p>
        </w:tc>
        <w:tc>
          <w:tcPr>
            <w:tcW w:w="78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516-887-8990</w:t>
            </w:r>
          </w:p>
        </w:tc>
      </w:tr>
      <w:tr>
        <w:trPr>
          <w:trHeight w:val="211"/>
        </w:trPr>
        <w:tc>
          <w:tcPr>
            <w:tcW w:w="2820" w:type="dxa"/>
            <w:vAlign w:val="bottom"/>
            <w:gridSpan w:val="2"/>
          </w:tcPr>
          <w:p>
            <w:pPr>
              <w:spacing w:after="0"/>
              <w:rPr>
                <w:sz w:val="20"/>
                <w:szCs w:val="20"/>
                <w:color w:val="auto"/>
              </w:rPr>
            </w:pPr>
            <w:r>
              <w:rPr>
                <w:rFonts w:ascii="Arial" w:cs="Arial" w:eastAsia="Arial" w:hAnsi="Arial"/>
                <w:sz w:val="18"/>
                <w:szCs w:val="18"/>
                <w:color w:val="auto"/>
              </w:rPr>
              <w:t>Address for Notice to Purchaser:</w:t>
            </w:r>
          </w:p>
        </w:tc>
        <w:tc>
          <w:tcPr>
            <w:tcW w:w="8420" w:type="dxa"/>
            <w:vAlign w:val="bottom"/>
            <w:gridSpan w:val="4"/>
          </w:tcPr>
          <w:p>
            <w:pPr>
              <w:spacing w:after="0"/>
              <w:rPr>
                <w:sz w:val="20"/>
                <w:szCs w:val="20"/>
                <w:color w:val="auto"/>
              </w:rPr>
            </w:pPr>
            <w:r>
              <w:rPr>
                <w:rFonts w:ascii="Arial" w:cs="Arial" w:eastAsia="Arial" w:hAnsi="Arial"/>
                <w:sz w:val="18"/>
                <w:szCs w:val="18"/>
                <w:color w:val="auto"/>
              </w:rPr>
              <w:t>100 Merrick Rd- Ste 400W,</w:t>
            </w:r>
          </w:p>
        </w:tc>
      </w:tr>
    </w:tbl>
    <w:p>
      <w:pPr>
        <w:ind w:left="2820"/>
        <w:spacing w:after="0"/>
        <w:rPr>
          <w:sz w:val="20"/>
          <w:szCs w:val="20"/>
          <w:color w:val="auto"/>
        </w:rPr>
      </w:pPr>
      <w:r>
        <w:rPr>
          <w:rFonts w:ascii="Arial" w:cs="Arial" w:eastAsia="Arial" w:hAnsi="Arial"/>
          <w:sz w:val="18"/>
          <w:szCs w:val="18"/>
          <w:color w:val="auto"/>
        </w:rPr>
        <w:t>Rockville Centre, NY 11570</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Subscription Amount: $35,000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14605</wp:posOffset>
            </wp:positionV>
            <wp:extent cx="60604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060440"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65576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7645" cy="825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Pre-Funded Warrant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1436370</wp:posOffset>
            </wp:positionH>
            <wp:positionV relativeFrom="paragraph">
              <wp:posOffset>14605</wp:posOffset>
            </wp:positionV>
            <wp:extent cx="570039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19" w:lineRule="exact"/>
        <w:rPr>
          <w:sz w:val="20"/>
          <w:szCs w:val="20"/>
          <w:color w:val="auto"/>
        </w:rPr>
      </w:pPr>
    </w:p>
    <w:p>
      <w:pPr>
        <w:jc w:val="both"/>
        <w:ind w:right="20" w:firstLine="8"/>
        <w:spacing w:after="0" w:line="291" w:lineRule="auto"/>
        <w:tabs>
          <w:tab w:leader="none" w:pos="220" w:val="left"/>
        </w:tabs>
        <w:numPr>
          <w:ilvl w:val="0"/>
          <w:numId w:val="61"/>
        </w:numPr>
        <w:rPr>
          <w:rFonts w:ascii="MS PGothic" w:cs="MS PGothic" w:eastAsia="MS PGothic" w:hAnsi="MS PGothic"/>
          <w:sz w:val="16"/>
          <w:szCs w:val="16"/>
          <w:color w:val="auto"/>
        </w:rPr>
      </w:pPr>
      <w:r>
        <w:rPr>
          <w:rFonts w:ascii="Arial" w:cs="Arial" w:eastAsia="Arial" w:hAnsi="Arial"/>
          <w:sz w:val="16"/>
          <w:szCs w:val="16"/>
          <w:color w:val="auto"/>
        </w:rPr>
        <w:t>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jc w:val="both"/>
        <w:spacing w:after="0" w:line="244" w:lineRule="auto"/>
        <w:rPr>
          <w:sz w:val="20"/>
          <w:szCs w:val="20"/>
          <w:color w:val="auto"/>
        </w:rPr>
      </w:pPr>
      <w:r>
        <w:rPr>
          <w:rFonts w:ascii="Arial" w:cs="Arial" w:eastAsia="Arial" w:hAnsi="Arial"/>
          <w:sz w:val="17"/>
          <w:szCs w:val="17"/>
          <w:color w:val="auto"/>
        </w:rPr>
        <w:t>the above-signed, shall be unconditional and all conditions to Closing shall be disregarded, (ii) the Closing shall occur on the second (2</w:t>
      </w:r>
      <w:r>
        <w:rPr>
          <w:rFonts w:ascii="Arial" w:cs="Arial" w:eastAsia="Arial" w:hAnsi="Arial"/>
          <w:sz w:val="28"/>
          <w:szCs w:val="28"/>
          <w:color w:val="auto"/>
          <w:vertAlign w:val="superscript"/>
        </w:rPr>
        <w:t>nd</w:t>
      </w:r>
      <w:r>
        <w:rPr>
          <w:rFonts w:ascii="Arial" w:cs="Arial" w:eastAsia="Arial" w:hAnsi="Arial"/>
          <w:sz w:val="17"/>
          <w:szCs w:val="17"/>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4" w:name="page75"/>
    <w:bookmarkEnd w:id="74"/>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EXCHANGE AGREEMENT</w:t>
      </w:r>
    </w:p>
    <w:p>
      <w:pPr>
        <w:spacing w:after="0" w:line="225" w:lineRule="exact"/>
        <w:rPr>
          <w:sz w:val="20"/>
          <w:szCs w:val="20"/>
          <w:color w:val="auto"/>
        </w:rPr>
      </w:pPr>
    </w:p>
    <w:p>
      <w:pPr>
        <w:ind w:right="740" w:firstLine="1143"/>
        <w:spacing w:after="0" w:line="282" w:lineRule="auto"/>
        <w:rPr>
          <w:sz w:val="20"/>
          <w:szCs w:val="20"/>
          <w:color w:val="auto"/>
        </w:rPr>
      </w:pPr>
      <w:r>
        <w:rPr>
          <w:rFonts w:ascii="Arial" w:cs="Arial" w:eastAsia="Arial" w:hAnsi="Arial"/>
          <w:sz w:val="18"/>
          <w:szCs w:val="18"/>
          <w:b w:val="1"/>
          <w:bCs w:val="1"/>
          <w:color w:val="auto"/>
        </w:rPr>
        <w:t xml:space="preserve">THIS EXCHANGE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March 19, 2020, by and between XpresSpa Group, Inc.,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(the “</w:t>
      </w:r>
      <w:r>
        <w:rPr>
          <w:rFonts w:ascii="Arial" w:cs="Arial" w:eastAsia="Arial" w:hAnsi="Arial"/>
          <w:sz w:val="18"/>
          <w:szCs w:val="18"/>
          <w:b w:val="1"/>
          <w:bCs w:val="1"/>
          <w:color w:val="auto"/>
        </w:rPr>
        <w:t>Company</w:t>
      </w:r>
      <w:r>
        <w:rPr>
          <w:rFonts w:ascii="Arial" w:cs="Arial" w:eastAsia="Arial" w:hAnsi="Arial"/>
          <w:sz w:val="18"/>
          <w:szCs w:val="18"/>
          <w:color w:val="auto"/>
        </w:rPr>
        <w:t>”), and [ ] (the “</w:t>
      </w:r>
      <w:r>
        <w:rPr>
          <w:rFonts w:ascii="Arial" w:cs="Arial" w:eastAsia="Arial" w:hAnsi="Arial"/>
          <w:sz w:val="18"/>
          <w:szCs w:val="18"/>
          <w:b w:val="1"/>
          <w:bCs w:val="1"/>
          <w:color w:val="auto"/>
        </w:rPr>
        <w:t>Investor</w:t>
      </w:r>
      <w:r>
        <w:rPr>
          <w:rFonts w:ascii="Arial" w:cs="Arial" w:eastAsia="Arial" w:hAnsi="Arial"/>
          <w:sz w:val="18"/>
          <w:szCs w:val="18"/>
          <w:color w:val="auto"/>
        </w:rPr>
        <w:t>”).</w:t>
      </w:r>
    </w:p>
    <w:p>
      <w:pPr>
        <w:spacing w:after="0" w:line="162" w:lineRule="exact"/>
        <w:rPr>
          <w:sz w:val="20"/>
          <w:szCs w:val="20"/>
          <w:color w:val="auto"/>
        </w:rPr>
      </w:pPr>
    </w:p>
    <w:p>
      <w:pPr>
        <w:ind w:left="1160"/>
        <w:spacing w:after="0"/>
        <w:rPr>
          <w:sz w:val="20"/>
          <w:szCs w:val="20"/>
          <w:color w:val="auto"/>
        </w:rPr>
      </w:pPr>
      <w:r>
        <w:rPr>
          <w:rFonts w:ascii="Arial" w:cs="Arial" w:eastAsia="Arial" w:hAnsi="Arial"/>
          <w:sz w:val="18"/>
          <w:szCs w:val="18"/>
          <w:b w:val="1"/>
          <w:bCs w:val="1"/>
          <w:color w:val="auto"/>
        </w:rPr>
        <w:t>WHEREAS:</w:t>
      </w:r>
    </w:p>
    <w:p>
      <w:pPr>
        <w:spacing w:after="0" w:line="225" w:lineRule="exact"/>
        <w:rPr>
          <w:sz w:val="20"/>
          <w:szCs w:val="20"/>
          <w:color w:val="auto"/>
        </w:rPr>
      </w:pPr>
    </w:p>
    <w:p>
      <w:pPr>
        <w:ind w:right="200" w:firstLine="1061"/>
        <w:spacing w:after="0" w:line="261" w:lineRule="auto"/>
        <w:tabs>
          <w:tab w:leader="none" w:pos="1363" w:val="left"/>
        </w:tabs>
        <w:numPr>
          <w:ilvl w:val="0"/>
          <w:numId w:val="62"/>
        </w:numPr>
        <w:rPr>
          <w:rFonts w:ascii="Arial" w:cs="Arial" w:eastAsia="Arial" w:hAnsi="Arial"/>
          <w:sz w:val="18"/>
          <w:szCs w:val="18"/>
          <w:color w:val="auto"/>
        </w:rPr>
      </w:pPr>
      <w:r>
        <w:rPr>
          <w:rFonts w:ascii="Arial" w:cs="Arial" w:eastAsia="Arial" w:hAnsi="Arial"/>
          <w:sz w:val="18"/>
          <w:szCs w:val="18"/>
          <w:color w:val="auto"/>
        </w:rPr>
        <w:t>Pursuant to that certain [ ], dated as of [ ], by and among the Company and the investors party thereto (the “</w:t>
      </w:r>
      <w:r>
        <w:rPr>
          <w:rFonts w:ascii="Arial" w:cs="Arial" w:eastAsia="Arial" w:hAnsi="Arial"/>
          <w:sz w:val="18"/>
          <w:szCs w:val="18"/>
          <w:b w:val="1"/>
          <w:bCs w:val="1"/>
          <w:color w:val="auto"/>
        </w:rPr>
        <w:t>Agreemen</w:t>
      </w:r>
      <w:r>
        <w:rPr>
          <w:rFonts w:ascii="Arial" w:cs="Arial" w:eastAsia="Arial" w:hAnsi="Arial"/>
          <w:sz w:val="18"/>
          <w:szCs w:val="18"/>
          <w:color w:val="auto"/>
        </w:rPr>
        <w:t>t”), the Investor and certain other investors (the “</w:t>
      </w:r>
      <w:r>
        <w:rPr>
          <w:rFonts w:ascii="Arial" w:cs="Arial" w:eastAsia="Arial" w:hAnsi="Arial"/>
          <w:sz w:val="18"/>
          <w:szCs w:val="18"/>
          <w:b w:val="1"/>
          <w:bCs w:val="1"/>
          <w:color w:val="auto"/>
        </w:rPr>
        <w:t>Other Investors</w:t>
      </w:r>
      <w:r>
        <w:rPr>
          <w:rFonts w:ascii="Arial" w:cs="Arial" w:eastAsia="Arial" w:hAnsi="Arial"/>
          <w:sz w:val="18"/>
          <w:szCs w:val="18"/>
          <w:color w:val="auto"/>
        </w:rPr>
        <w:t>” and together with the Investor, the “</w:t>
      </w:r>
      <w:r>
        <w:rPr>
          <w:rFonts w:ascii="Arial" w:cs="Arial" w:eastAsia="Arial" w:hAnsi="Arial"/>
          <w:sz w:val="18"/>
          <w:szCs w:val="18"/>
          <w:b w:val="1"/>
          <w:bCs w:val="1"/>
          <w:color w:val="auto"/>
        </w:rPr>
        <w:t>Investors</w:t>
      </w:r>
      <w:r>
        <w:rPr>
          <w:rFonts w:ascii="Arial" w:cs="Arial" w:eastAsia="Arial" w:hAnsi="Arial"/>
          <w:sz w:val="18"/>
          <w:szCs w:val="18"/>
          <w:color w:val="auto"/>
        </w:rPr>
        <w:t>”) received, among other securities, warrants (the “</w:t>
      </w:r>
      <w:r>
        <w:rPr>
          <w:rFonts w:ascii="Arial" w:cs="Arial" w:eastAsia="Arial" w:hAnsi="Arial"/>
          <w:sz w:val="18"/>
          <w:szCs w:val="18"/>
          <w:b w:val="1"/>
          <w:bCs w:val="1"/>
          <w:color w:val="auto"/>
        </w:rPr>
        <w:t>Warrants</w:t>
      </w:r>
      <w:r>
        <w:rPr>
          <w:rFonts w:ascii="Arial" w:cs="Arial" w:eastAsia="Arial" w:hAnsi="Arial"/>
          <w:sz w:val="18"/>
          <w:szCs w:val="18"/>
          <w:color w:val="auto"/>
        </w:rPr>
        <w:t>”) to purchase shares of the Company’s Common Stock, par value $0.01 per share (the “</w:t>
      </w:r>
      <w:r>
        <w:rPr>
          <w:rFonts w:ascii="Arial" w:cs="Arial" w:eastAsia="Arial" w:hAnsi="Arial"/>
          <w:sz w:val="18"/>
          <w:szCs w:val="18"/>
          <w:b w:val="1"/>
          <w:bCs w:val="1"/>
          <w:color w:val="auto"/>
        </w:rPr>
        <w:t>Common Stock</w:t>
      </w:r>
      <w:r>
        <w:rPr>
          <w:rFonts w:ascii="Arial" w:cs="Arial" w:eastAsia="Arial" w:hAnsi="Arial"/>
          <w:sz w:val="18"/>
          <w:szCs w:val="18"/>
          <w:color w:val="auto"/>
        </w:rPr>
        <w:t>”) as set forth therein (the “</w:t>
      </w:r>
      <w:r>
        <w:rPr>
          <w:rFonts w:ascii="Arial" w:cs="Arial" w:eastAsia="Arial" w:hAnsi="Arial"/>
          <w:sz w:val="18"/>
          <w:szCs w:val="18"/>
          <w:b w:val="1"/>
          <w:bCs w:val="1"/>
          <w:color w:val="auto"/>
        </w:rPr>
        <w:t>Warrant</w:t>
      </w:r>
      <w:r>
        <w:rPr>
          <w:rFonts w:ascii="Arial" w:cs="Arial" w:eastAsia="Arial" w:hAnsi="Arial"/>
          <w:sz w:val="18"/>
          <w:szCs w:val="18"/>
          <w:color w:val="auto"/>
        </w:rPr>
        <w:t xml:space="preserve"> </w:t>
      </w:r>
      <w:r>
        <w:rPr>
          <w:rFonts w:ascii="Arial" w:cs="Arial" w:eastAsia="Arial" w:hAnsi="Arial"/>
          <w:sz w:val="18"/>
          <w:szCs w:val="18"/>
          <w:b w:val="1"/>
          <w:bCs w:val="1"/>
          <w:color w:val="auto"/>
        </w:rPr>
        <w:t>Shares</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60" w:firstLine="1061"/>
        <w:spacing w:after="0" w:line="257" w:lineRule="auto"/>
        <w:tabs>
          <w:tab w:leader="none" w:pos="1353"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Company and the Investor desire to enter into this Agreement, pursuant to which, among other things, at the Closing (as defined below), and subject to receipt of the approval of the shareholders of the Company pursuant to Nasdaq Listing Rule 5635(d) and the receipt of the approval of the shareholders of the Company to increase the Company’s authorized shares pursuant to its certificate of incorporation (collectively, the “</w:t>
      </w:r>
      <w:r>
        <w:rPr>
          <w:rFonts w:ascii="Arial" w:cs="Arial" w:eastAsia="Arial" w:hAnsi="Arial"/>
          <w:sz w:val="18"/>
          <w:szCs w:val="18"/>
          <w:b w:val="1"/>
          <w:bCs w:val="1"/>
          <w:color w:val="auto"/>
        </w:rPr>
        <w:t>Shareholder</w:t>
      </w:r>
      <w:r>
        <w:rPr>
          <w:rFonts w:ascii="Arial" w:cs="Arial" w:eastAsia="Arial" w:hAnsi="Arial"/>
          <w:sz w:val="18"/>
          <w:szCs w:val="18"/>
          <w:color w:val="auto"/>
        </w:rPr>
        <w:t xml:space="preserve"> </w:t>
      </w:r>
      <w:r>
        <w:rPr>
          <w:rFonts w:ascii="Arial" w:cs="Arial" w:eastAsia="Arial" w:hAnsi="Arial"/>
          <w:sz w:val="18"/>
          <w:szCs w:val="18"/>
          <w:b w:val="1"/>
          <w:bCs w:val="1"/>
          <w:color w:val="auto"/>
        </w:rPr>
        <w:t>Approval</w:t>
      </w:r>
      <w:r>
        <w:rPr>
          <w:rFonts w:ascii="Arial" w:cs="Arial" w:eastAsia="Arial" w:hAnsi="Arial"/>
          <w:sz w:val="18"/>
          <w:szCs w:val="18"/>
          <w:color w:val="auto"/>
        </w:rPr>
        <w:t>”), the Company and the Investor shall exchange the Warrants held by the investor at the Closing as determined pursuant to Section 1(a) below;</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187" w:lineRule="exact"/>
        <w:rPr>
          <w:rFonts w:ascii="Arial" w:cs="Arial" w:eastAsia="Arial" w:hAnsi="Arial"/>
          <w:sz w:val="18"/>
          <w:szCs w:val="18"/>
          <w:color w:val="auto"/>
        </w:rPr>
      </w:pPr>
    </w:p>
    <w:p>
      <w:pPr>
        <w:ind w:right="340" w:firstLine="1061"/>
        <w:spacing w:after="0" w:line="308" w:lineRule="auto"/>
        <w:tabs>
          <w:tab w:leader="none" w:pos="1353"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exchange of the Warrants for the securities to be issued pursuant to Section 1(a) below are each being made in reliance upon the exemption from registration provided by Section 3(a)(9) of the Securities Act of 1933, as amended (the “</w:t>
      </w:r>
      <w:r>
        <w:rPr>
          <w:rFonts w:ascii="Arial" w:cs="Arial" w:eastAsia="Arial" w:hAnsi="Arial"/>
          <w:sz w:val="17"/>
          <w:szCs w:val="17"/>
          <w:b w:val="1"/>
          <w:bCs w:val="1"/>
          <w:color w:val="auto"/>
        </w:rPr>
        <w:t>Securities Act</w:t>
      </w:r>
      <w:r>
        <w:rPr>
          <w:rFonts w:ascii="Arial" w:cs="Arial" w:eastAsia="Arial" w:hAnsi="Arial"/>
          <w:sz w:val="17"/>
          <w:szCs w:val="17"/>
          <w:color w:val="auto"/>
        </w:rPr>
        <w:t>”).</w:t>
      </w:r>
    </w:p>
    <w:p>
      <w:pPr>
        <w:spacing w:after="0" w:line="146" w:lineRule="exact"/>
        <w:rPr>
          <w:sz w:val="20"/>
          <w:szCs w:val="20"/>
          <w:color w:val="auto"/>
        </w:rPr>
      </w:pPr>
    </w:p>
    <w:p>
      <w:pPr>
        <w:ind w:left="1420"/>
        <w:spacing w:after="0"/>
        <w:rPr>
          <w:sz w:val="20"/>
          <w:szCs w:val="20"/>
          <w:color w:val="auto"/>
        </w:rPr>
      </w:pPr>
      <w:r>
        <w:rPr>
          <w:rFonts w:ascii="Arial" w:cs="Arial" w:eastAsia="Arial" w:hAnsi="Arial"/>
          <w:sz w:val="16"/>
          <w:szCs w:val="16"/>
          <w:color w:val="auto"/>
        </w:rPr>
        <w:t>NOW, THEREFORE, in consideration of the foregoing premises and the mutual covenants hereinafter contained, the parties hereto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agree as follows:</w:t>
      </w:r>
    </w:p>
    <w:p>
      <w:pPr>
        <w:spacing w:after="0" w:line="211" w:lineRule="exact"/>
        <w:rPr>
          <w:sz w:val="20"/>
          <w:szCs w:val="20"/>
          <w:color w:val="auto"/>
        </w:rPr>
      </w:pPr>
    </w:p>
    <w:p>
      <w:pPr>
        <w:ind w:left="660" w:hanging="328"/>
        <w:spacing w:after="0"/>
        <w:tabs>
          <w:tab w:leader="none" w:pos="6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EXCHANGE.</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257" w:val="left"/>
        </w:tabs>
        <w:numPr>
          <w:ilvl w:val="1"/>
          <w:numId w:val="63"/>
        </w:numPr>
        <w:rPr>
          <w:rFonts w:ascii="Arial" w:cs="Arial" w:eastAsia="Arial" w:hAnsi="Arial"/>
          <w:sz w:val="16"/>
          <w:szCs w:val="16"/>
          <w:color w:val="auto"/>
        </w:rPr>
      </w:pPr>
      <w:r>
        <w:rPr>
          <w:rFonts w:ascii="Arial" w:cs="Arial" w:eastAsia="Arial" w:hAnsi="Arial"/>
          <w:sz w:val="16"/>
          <w:szCs w:val="16"/>
          <w:u w:val="single" w:color="auto"/>
          <w:color w:val="auto"/>
        </w:rPr>
        <w:t>Exchange</w:t>
      </w:r>
      <w:r>
        <w:rPr>
          <w:rFonts w:ascii="Arial" w:cs="Arial" w:eastAsia="Arial" w:hAnsi="Arial"/>
          <w:sz w:val="16"/>
          <w:szCs w:val="16"/>
          <w:color w:val="auto"/>
        </w:rPr>
        <w:t>. Subject to the satisfaction or waiver of the conditions with respect to the Closing set forth in Sections 4 and 5 below, at the Closing the Investor and the Company shall, pursuant to Section 3(a)(9) of the Securities Act, exchange the Warrants for a number of shares of Common Stock (the “</w:t>
      </w:r>
      <w:r>
        <w:rPr>
          <w:rFonts w:ascii="Arial" w:cs="Arial" w:eastAsia="Arial" w:hAnsi="Arial"/>
          <w:sz w:val="16"/>
          <w:szCs w:val="16"/>
          <w:b w:val="1"/>
          <w:bCs w:val="1"/>
          <w:color w:val="auto"/>
        </w:rPr>
        <w:t>Shares</w:t>
      </w:r>
      <w:r>
        <w:rPr>
          <w:rFonts w:ascii="Arial" w:cs="Arial" w:eastAsia="Arial" w:hAnsi="Arial"/>
          <w:sz w:val="16"/>
          <w:szCs w:val="16"/>
          <w:color w:val="auto"/>
        </w:rPr>
        <w:t xml:space="preserve">”) in an amount equal to the product of (i) the number of Warrant Shares and (ii) 1.5;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Base Share Price (as defined in the Warrants) is greater than the average the two lowest VWAPs during the five (5) trading days prior to the receipt of Shareholder Approval (the “</w:t>
      </w:r>
      <w:r>
        <w:rPr>
          <w:rFonts w:ascii="Arial" w:cs="Arial" w:eastAsia="Arial" w:hAnsi="Arial"/>
          <w:sz w:val="16"/>
          <w:szCs w:val="16"/>
          <w:b w:val="1"/>
          <w:bCs w:val="1"/>
          <w:color w:val="auto"/>
        </w:rPr>
        <w:t>Average VWAP</w:t>
      </w:r>
      <w:r>
        <w:rPr>
          <w:rFonts w:ascii="Arial" w:cs="Arial" w:eastAsia="Arial" w:hAnsi="Arial"/>
          <w:sz w:val="16"/>
          <w:szCs w:val="16"/>
          <w:color w:val="auto"/>
        </w:rPr>
        <w:t xml:space="preserve">”), then, for purposes of this Section 1(a), the number of Warrant Shares shall equal the quotient resulting from (x) the aggregate Exercise Price (as defined in the Warrants), divided by (y) the Average VWAP; </w:t>
      </w:r>
      <w:r>
        <w:rPr>
          <w:rFonts w:ascii="Arial" w:cs="Arial" w:eastAsia="Arial" w:hAnsi="Arial"/>
          <w:sz w:val="16"/>
          <w:szCs w:val="16"/>
          <w:i w:val="1"/>
          <w:iCs w:val="1"/>
          <w:color w:val="auto"/>
        </w:rPr>
        <w:t>provided, further, however</w:t>
      </w:r>
      <w:r>
        <w:rPr>
          <w:rFonts w:ascii="Arial" w:cs="Arial" w:eastAsia="Arial" w:hAnsi="Arial"/>
          <w:sz w:val="16"/>
          <w:szCs w:val="16"/>
          <w:color w:val="auto"/>
        </w:rPr>
        <w:t>, that in no event shall such Average VWAP be less than $0.01 (the “</w:t>
      </w:r>
      <w:r>
        <w:rPr>
          <w:rFonts w:ascii="Arial" w:cs="Arial" w:eastAsia="Arial" w:hAnsi="Arial"/>
          <w:sz w:val="16"/>
          <w:szCs w:val="16"/>
          <w:b w:val="1"/>
          <w:bCs w:val="1"/>
          <w:color w:val="auto"/>
        </w:rPr>
        <w:t>Floor Price</w:t>
      </w:r>
      <w:r>
        <w:rPr>
          <w:rFonts w:ascii="Arial" w:cs="Arial" w:eastAsia="Arial" w:hAnsi="Arial"/>
          <w:sz w:val="16"/>
          <w:szCs w:val="16"/>
          <w:color w:val="auto"/>
        </w:rPr>
        <w:t>”), and it being understood that if the Average VWAP is less than the Floor Price, the Average VWAP shall be equal to the Floor Price (the “</w:t>
      </w:r>
      <w:r>
        <w:rPr>
          <w:rFonts w:ascii="Arial" w:cs="Arial" w:eastAsia="Arial" w:hAnsi="Arial"/>
          <w:sz w:val="16"/>
          <w:szCs w:val="16"/>
          <w:b w:val="1"/>
          <w:bCs w:val="1"/>
          <w:color w:val="auto"/>
        </w:rPr>
        <w:t>Exchange</w:t>
      </w:r>
      <w:r>
        <w:rPr>
          <w:rFonts w:ascii="Arial" w:cs="Arial" w:eastAsia="Arial" w:hAnsi="Arial"/>
          <w:sz w:val="16"/>
          <w:szCs w:val="16"/>
          <w:color w:val="auto"/>
        </w:rPr>
        <w:t>”). For example, if the Holder presently holds Warrant Shares to purchase 1,000 shares of Common Stock and the Base Share Price is equal to $0.20 and the Average VWAP is equal to $0.05, the Holder will exchange the Warrant Shares for 6,000 shares, which is equal to the product of (i) 4,000 shares and (ii) 1.5. Notwithstanding anything herein, if the Investor would otherwise beneficially own in excess of any beneficial ownership limitation applicable to the Investor after giving effect to the Exchange, the Investor’s Warrants shall be exchanged for a number of Shares issuable to the Investor without violating the applicable beneficial ownership limitation and the remainder of the Investor’s Warrants shall automatically convert into pre-funded warrants to purchase the number of shares of Common Stock equal to the number of shares of Common Stock in excess of the applicable beneficial ownership limitation (the “</w:t>
      </w:r>
      <w:r>
        <w:rPr>
          <w:rFonts w:ascii="Arial" w:cs="Arial" w:eastAsia="Arial" w:hAnsi="Arial"/>
          <w:sz w:val="16"/>
          <w:szCs w:val="16"/>
          <w:b w:val="1"/>
          <w:bCs w:val="1"/>
          <w:color w:val="auto"/>
        </w:rPr>
        <w:t>Pre-Funded Warrants</w:t>
      </w:r>
      <w:r>
        <w:rPr>
          <w:rFonts w:ascii="Arial" w:cs="Arial" w:eastAsia="Arial" w:hAnsi="Arial"/>
          <w:sz w:val="16"/>
          <w:szCs w:val="16"/>
          <w:color w:val="auto"/>
        </w:rPr>
        <w:t xml:space="preserve">”). The form of pre-funded warrant is set forth as </w:t>
      </w:r>
      <w:r>
        <w:rPr>
          <w:rFonts w:ascii="Arial" w:cs="Arial" w:eastAsia="Arial" w:hAnsi="Arial"/>
          <w:sz w:val="16"/>
          <w:szCs w:val="16"/>
          <w:u w:val="single" w:color="auto"/>
          <w:color w:val="auto"/>
        </w:rPr>
        <w:t>Exhibit A</w:t>
      </w:r>
      <w:r>
        <w:rPr>
          <w:rFonts w:ascii="Arial" w:cs="Arial" w:eastAsia="Arial" w:hAnsi="Arial"/>
          <w:sz w:val="16"/>
          <w:szCs w:val="16"/>
          <w:color w:val="auto"/>
        </w:rPr>
        <w:t>.</w:t>
      </w:r>
    </w:p>
    <w:p>
      <w:pPr>
        <w:spacing w:after="0" w:line="16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For purposes of this Section 1(a), “</w:t>
      </w:r>
      <w:r>
        <w:rPr>
          <w:rFonts w:ascii="Arial" w:cs="Arial" w:eastAsia="Arial" w:hAnsi="Arial"/>
          <w:sz w:val="16"/>
          <w:szCs w:val="16"/>
          <w:b w:val="1"/>
          <w:bCs w:val="1"/>
          <w:color w:val="auto"/>
        </w:rPr>
        <w:t>VWAP</w:t>
      </w:r>
      <w:r>
        <w:rPr>
          <w:rFonts w:ascii="Arial" w:cs="Arial" w:eastAsia="Arial" w:hAnsi="Arial"/>
          <w:sz w:val="16"/>
          <w:szCs w:val="16"/>
          <w:color w:val="auto"/>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the Common Stock is not then listed or quoted for trading on a trading market but is then reported on the OTC Pink Marketplace maintained by the OTC Markets Group, Inc. (or a similar organization or agency succeeding to its functions of reporting prices), the volume weighted average price of the Common Stock on the first such facility (or a similar organization or agency succeeding to its functions of reporting prices), or (c) in all other cases, the fair market value of a share of Common Stock as determined by an independent appraiser selected in good faith by the Investor and reasonably acceptable to the Company,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404495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jc w:val="both"/>
        <w:ind w:left="-8" w:firstLine="980"/>
        <w:spacing w:after="0" w:line="270" w:lineRule="auto"/>
        <w:tabs>
          <w:tab w:leader="none" w:pos="1374" w:val="left"/>
        </w:tabs>
        <w:numPr>
          <w:ilvl w:val="3"/>
          <w:numId w:val="64"/>
        </w:numPr>
        <w:rPr>
          <w:rFonts w:ascii="Arial" w:cs="Arial" w:eastAsia="Arial" w:hAnsi="Arial"/>
          <w:sz w:val="17"/>
          <w:szCs w:val="17"/>
          <w:color w:val="auto"/>
        </w:rPr>
      </w:pPr>
      <w:r>
        <w:rPr>
          <w:rFonts w:ascii="Arial" w:cs="Arial" w:eastAsia="Arial" w:hAnsi="Arial"/>
          <w:sz w:val="17"/>
          <w:szCs w:val="17"/>
          <w:u w:val="single" w:color="auto"/>
          <w:color w:val="auto"/>
        </w:rPr>
        <w:t>Closing</w:t>
      </w:r>
      <w:r>
        <w:rPr>
          <w:rFonts w:ascii="Arial" w:cs="Arial" w:eastAsia="Arial" w:hAnsi="Arial"/>
          <w:sz w:val="17"/>
          <w:szCs w:val="17"/>
          <w:color w:val="auto"/>
        </w:rPr>
        <w:t>. The issuance of the Shares and/or Pre-Funded Warrants, as the case may be (the “</w:t>
      </w:r>
      <w:r>
        <w:rPr>
          <w:rFonts w:ascii="Arial" w:cs="Arial" w:eastAsia="Arial" w:hAnsi="Arial"/>
          <w:sz w:val="17"/>
          <w:szCs w:val="17"/>
          <w:b w:val="1"/>
          <w:bCs w:val="1"/>
          <w:color w:val="auto"/>
        </w:rPr>
        <w:t>Closing</w:t>
      </w:r>
      <w:r>
        <w:rPr>
          <w:rFonts w:ascii="Arial" w:cs="Arial" w:eastAsia="Arial" w:hAnsi="Arial"/>
          <w:sz w:val="17"/>
          <w:szCs w:val="17"/>
          <w:color w:val="auto"/>
        </w:rPr>
        <w:t>”), shall occur at the offices of Mintz, Levin, Cohn, Ferris, Glovsky and Popeo, P.C., 666 3rd Avenue, New York, NY 10017. The date and time of the Closing shall be 10:00 a.m., New York time, on the first (1st) Business Day on which the conditions to the Closing set forth in Sections 4 and 5 below are satisfied or waived (or such later date as is mutually agreed to by the Company and each Investor) (the “</w:t>
      </w:r>
      <w:r>
        <w:rPr>
          <w:rFonts w:ascii="Arial" w:cs="Arial" w:eastAsia="Arial" w:hAnsi="Arial"/>
          <w:sz w:val="17"/>
          <w:szCs w:val="17"/>
          <w:b w:val="1"/>
          <w:bCs w:val="1"/>
          <w:color w:val="auto"/>
        </w:rPr>
        <w:t>Closing Date</w:t>
      </w:r>
      <w:r>
        <w:rPr>
          <w:rFonts w:ascii="Arial" w:cs="Arial" w:eastAsia="Arial" w:hAnsi="Arial"/>
          <w:sz w:val="17"/>
          <w:szCs w:val="17"/>
          <w:color w:val="auto"/>
        </w:rPr>
        <w:t>”). If the Company fails for any reason to deliver to the Holder the Shares within 2 trading days of the date on which the conditions set forth in Sections 4 and 5 are satisfied or waived, or, as to shares underlying Pre-Funded Warrants within 2 trading days of the applicable Notice of Exercise, the Company shall pay to the Investor, in cash, as liquidated damages and not as a penalty, for each $1,000 of Shares or underlying shares subject to such delivery obligation (based on the VWAP of the Common Stock on the date hereof as to Shares and of the applicable Notice of Exercise as to shares underlying Prefunded Warrants), $10 per trading day (increasing to $20 per trading day on the fifth Trading Day after such liquidated damages begin to accrue) for each trading day after the applicable due date until such shares of Common Stock are delivered to the Investor.</w:t>
      </w:r>
    </w:p>
    <w:p>
      <w:pPr>
        <w:spacing w:after="0" w:line="180" w:lineRule="exact"/>
        <w:rPr>
          <w:rFonts w:ascii="Arial" w:cs="Arial" w:eastAsia="Arial" w:hAnsi="Arial"/>
          <w:sz w:val="17"/>
          <w:szCs w:val="17"/>
          <w:color w:val="auto"/>
        </w:rPr>
      </w:pPr>
    </w:p>
    <w:p>
      <w:pPr>
        <w:ind w:left="-8" w:firstLine="980"/>
        <w:spacing w:after="0" w:line="277" w:lineRule="auto"/>
        <w:tabs>
          <w:tab w:leader="none" w:pos="1487" w:val="left"/>
        </w:tabs>
        <w:numPr>
          <w:ilvl w:val="3"/>
          <w:numId w:val="64"/>
        </w:numPr>
        <w:rPr>
          <w:rFonts w:ascii="Arial" w:cs="Arial" w:eastAsia="Arial" w:hAnsi="Arial"/>
          <w:sz w:val="18"/>
          <w:szCs w:val="18"/>
          <w:color w:val="auto"/>
        </w:rPr>
      </w:pPr>
      <w:r>
        <w:rPr>
          <w:rFonts w:ascii="Arial" w:cs="Arial" w:eastAsia="Arial" w:hAnsi="Arial"/>
          <w:sz w:val="18"/>
          <w:szCs w:val="18"/>
          <w:u w:val="single" w:color="auto"/>
          <w:color w:val="auto"/>
        </w:rPr>
        <w:t>Consideration</w:t>
      </w:r>
      <w:r>
        <w:rPr>
          <w:rFonts w:ascii="Arial" w:cs="Arial" w:eastAsia="Arial" w:hAnsi="Arial"/>
          <w:sz w:val="18"/>
          <w:szCs w:val="18"/>
          <w:color w:val="auto"/>
        </w:rPr>
        <w:t>. At the Closing, the Shares and/or Pre-Funded Warrants shall be issued to the Investor in exchange for the Warrants without the payment of any additional consideration.</w:t>
      </w:r>
    </w:p>
    <w:p>
      <w:pPr>
        <w:spacing w:after="0" w:line="170" w:lineRule="exact"/>
        <w:rPr>
          <w:rFonts w:ascii="Arial" w:cs="Arial" w:eastAsia="Arial" w:hAnsi="Arial"/>
          <w:sz w:val="18"/>
          <w:szCs w:val="18"/>
          <w:color w:val="auto"/>
        </w:rPr>
      </w:pPr>
    </w:p>
    <w:p>
      <w:pPr>
        <w:jc w:val="both"/>
        <w:ind w:left="-8" w:firstLine="980"/>
        <w:spacing w:after="0" w:line="257" w:lineRule="auto"/>
        <w:tabs>
          <w:tab w:leader="none" w:pos="1411" w:val="left"/>
        </w:tabs>
        <w:numPr>
          <w:ilvl w:val="3"/>
          <w:numId w:val="64"/>
        </w:numPr>
        <w:rPr>
          <w:rFonts w:ascii="Arial" w:cs="Arial" w:eastAsia="Arial" w:hAnsi="Arial"/>
          <w:sz w:val="18"/>
          <w:szCs w:val="18"/>
          <w:color w:val="auto"/>
        </w:rPr>
      </w:pPr>
      <w:r>
        <w:rPr>
          <w:rFonts w:ascii="Arial" w:cs="Arial" w:eastAsia="Arial" w:hAnsi="Arial"/>
          <w:sz w:val="18"/>
          <w:szCs w:val="18"/>
          <w:u w:val="single" w:color="auto"/>
          <w:color w:val="auto"/>
        </w:rPr>
        <w:t>Delivery</w:t>
      </w:r>
      <w:r>
        <w:rPr>
          <w:rFonts w:ascii="Arial" w:cs="Arial" w:eastAsia="Arial" w:hAnsi="Arial"/>
          <w:sz w:val="18"/>
          <w:szCs w:val="18"/>
          <w:color w:val="auto"/>
        </w:rPr>
        <w:t>. In exchange for the Warrants, the Company shall, at the Closing, (i) cause American Stock Transfer &amp; Trust Company, LLC (together with any subsequent transfer agent, the “</w:t>
      </w:r>
      <w:r>
        <w:rPr>
          <w:rFonts w:ascii="Arial" w:cs="Arial" w:eastAsia="Arial" w:hAnsi="Arial"/>
          <w:sz w:val="18"/>
          <w:szCs w:val="18"/>
          <w:b w:val="1"/>
          <w:bCs w:val="1"/>
          <w:color w:val="auto"/>
        </w:rPr>
        <w:t>Transfer Agent</w:t>
      </w:r>
      <w:r>
        <w:rPr>
          <w:rFonts w:ascii="Arial" w:cs="Arial" w:eastAsia="Arial" w:hAnsi="Arial"/>
          <w:sz w:val="18"/>
          <w:szCs w:val="18"/>
          <w:color w:val="auto"/>
        </w:rPr>
        <w:t>”) through the Depository Trust Company (“</w:t>
      </w:r>
      <w:r>
        <w:rPr>
          <w:rFonts w:ascii="Arial" w:cs="Arial" w:eastAsia="Arial" w:hAnsi="Arial"/>
          <w:sz w:val="18"/>
          <w:szCs w:val="18"/>
          <w:b w:val="1"/>
          <w:bCs w:val="1"/>
          <w:color w:val="auto"/>
        </w:rPr>
        <w:t>DTC</w:t>
      </w:r>
      <w:r>
        <w:rPr>
          <w:rFonts w:ascii="Arial" w:cs="Arial" w:eastAsia="Arial" w:hAnsi="Arial"/>
          <w:sz w:val="18"/>
          <w:szCs w:val="18"/>
          <w:color w:val="auto"/>
        </w:rPr>
        <w:t>”) Fast Automated Securities Transfer Program, to credit the Shares to the Investor’s or its designee’s balance account with DTC through its Deposit/Withdrawal at Custodian system and (ii) if applicable, deliver or cause to be delivered to the Investor Pre-Funded Warrants. As of the Closing Date, all of the Investor’s rights under the Warrants shall be extinguished.</w:t>
      </w:r>
    </w:p>
    <w:p>
      <w:pPr>
        <w:spacing w:after="0" w:line="187" w:lineRule="exact"/>
        <w:rPr>
          <w:rFonts w:ascii="Arial" w:cs="Arial" w:eastAsia="Arial" w:hAnsi="Arial"/>
          <w:sz w:val="18"/>
          <w:szCs w:val="18"/>
          <w:color w:val="auto"/>
        </w:rPr>
      </w:pPr>
    </w:p>
    <w:p>
      <w:pPr>
        <w:ind w:left="-8" w:firstLine="656"/>
        <w:spacing w:after="0" w:line="277" w:lineRule="auto"/>
        <w:tabs>
          <w:tab w:leader="none" w:pos="1259" w:val="left"/>
        </w:tabs>
        <w:numPr>
          <w:ilvl w:val="2"/>
          <w:numId w:val="65"/>
        </w:numPr>
        <w:rPr>
          <w:rFonts w:ascii="Arial" w:cs="Arial" w:eastAsia="Arial" w:hAnsi="Arial"/>
          <w:sz w:val="18"/>
          <w:szCs w:val="18"/>
          <w:color w:val="auto"/>
        </w:rPr>
      </w:pPr>
      <w:r>
        <w:rPr>
          <w:rFonts w:ascii="Arial" w:cs="Arial" w:eastAsia="Arial" w:hAnsi="Arial"/>
          <w:sz w:val="18"/>
          <w:szCs w:val="18"/>
          <w:u w:val="single" w:color="auto"/>
          <w:color w:val="auto"/>
        </w:rPr>
        <w:t>Other Documents</w:t>
      </w:r>
      <w:r>
        <w:rPr>
          <w:rFonts w:ascii="Arial" w:cs="Arial" w:eastAsia="Arial" w:hAnsi="Arial"/>
          <w:sz w:val="18"/>
          <w:szCs w:val="18"/>
          <w:color w:val="auto"/>
        </w:rPr>
        <w:t>. The Company and the Investor shall execute and/or deliver such other documents and agreements as are reasonably necessary to effectuate the Exchange.</w:t>
      </w:r>
    </w:p>
    <w:p>
      <w:pPr>
        <w:spacing w:after="0" w:line="170" w:lineRule="exact"/>
        <w:rPr>
          <w:rFonts w:ascii="Arial" w:cs="Arial" w:eastAsia="Arial" w:hAnsi="Arial"/>
          <w:sz w:val="18"/>
          <w:szCs w:val="18"/>
          <w:color w:val="auto"/>
        </w:rPr>
      </w:pPr>
    </w:p>
    <w:p>
      <w:pPr>
        <w:ind w:left="652" w:hanging="328"/>
        <w:spacing w:after="0"/>
        <w:tabs>
          <w:tab w:leader="none" w:pos="652" w:val="left"/>
        </w:tabs>
        <w:numPr>
          <w:ilvl w:val="1"/>
          <w:numId w:val="66"/>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225" w:lineRule="exact"/>
        <w:rPr>
          <w:rFonts w:ascii="Arial" w:cs="Arial" w:eastAsia="Arial" w:hAnsi="Arial"/>
          <w:sz w:val="18"/>
          <w:szCs w:val="18"/>
          <w:color w:val="auto"/>
        </w:rPr>
      </w:pPr>
    </w:p>
    <w:p>
      <w:pPr>
        <w:ind w:left="1172" w:hanging="524"/>
        <w:spacing w:after="0"/>
        <w:tabs>
          <w:tab w:leader="none" w:pos="1172" w:val="left"/>
        </w:tabs>
        <w:numPr>
          <w:ilvl w:val="2"/>
          <w:numId w:val="66"/>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hereby represents and warrants to the Company as follows:</w:t>
      </w:r>
    </w:p>
    <w:p>
      <w:pPr>
        <w:spacing w:after="0" w:line="225" w:lineRule="exact"/>
        <w:rPr>
          <w:rFonts w:ascii="Arial" w:cs="Arial" w:eastAsia="Arial" w:hAnsi="Arial"/>
          <w:sz w:val="18"/>
          <w:szCs w:val="18"/>
          <w:color w:val="auto"/>
        </w:rPr>
      </w:pPr>
    </w:p>
    <w:p>
      <w:pPr>
        <w:jc w:val="both"/>
        <w:ind w:left="-8" w:firstLine="980"/>
        <w:spacing w:after="0" w:line="284" w:lineRule="auto"/>
        <w:tabs>
          <w:tab w:leader="none" w:pos="1495" w:val="left"/>
        </w:tabs>
        <w:numPr>
          <w:ilvl w:val="3"/>
          <w:numId w:val="66"/>
        </w:numPr>
        <w:rPr>
          <w:rFonts w:ascii="Arial" w:cs="Arial" w:eastAsia="Arial" w:hAnsi="Arial"/>
          <w:sz w:val="16"/>
          <w:szCs w:val="16"/>
          <w:color w:val="auto"/>
        </w:rPr>
      </w:pPr>
      <w:r>
        <w:rPr>
          <w:rFonts w:ascii="Arial" w:cs="Arial" w:eastAsia="Arial" w:hAnsi="Arial"/>
          <w:sz w:val="16"/>
          <w:szCs w:val="16"/>
          <w:i w:val="1"/>
          <w:iCs w:val="1"/>
          <w:color w:val="auto"/>
        </w:rPr>
        <w:t>Organization; Authority</w:t>
      </w:r>
      <w:r>
        <w:rPr>
          <w:rFonts w:ascii="Arial" w:cs="Arial" w:eastAsia="Arial" w:hAnsi="Arial"/>
          <w:sz w:val="16"/>
          <w:szCs w:val="16"/>
          <w:color w:val="auto"/>
        </w:rPr>
        <w:t>. The Investor is either an individual or an entity duly incorporated or formed, validly existing and in good</w:t>
      </w:r>
      <w:r>
        <w:rPr>
          <w:rFonts w:ascii="Arial" w:cs="Arial" w:eastAsia="Arial" w:hAnsi="Arial"/>
          <w:sz w:val="16"/>
          <w:szCs w:val="16"/>
          <w:i w:val="1"/>
          <w:iCs w:val="1"/>
          <w:color w:val="auto"/>
        </w:rPr>
        <w:t xml:space="preserve"> </w:t>
      </w:r>
      <w:r>
        <w:rPr>
          <w:rFonts w:ascii="Arial" w:cs="Arial" w:eastAsia="Arial" w:hAnsi="Arial"/>
          <w:sz w:val="16"/>
          <w:szCs w:val="16"/>
          <w:color w:val="auto"/>
        </w:rPr>
        <w:t>standing under the laws of the jurisdiction of its incorporation or formation with full capacity, right, corporate, partnership, limited liability company or similar power and authority, as applicable, to enter into and to consummate the transactions contemplated by this Agreement and otherwise to carry out its obligations hereunder. The execution and delivery of this Agreement and performance by the Investor of the transactions contemplated by this Agreement have been duly authorized by all necessary corporate, partnership, limited liability company or similar action, as applicable, on the part of the Investor. This Agreement has been duly executed by the Investor, and when delivered by the Investor in accordance with the terms hereof, will constitute the valid and legally binding obligation of the Investor, enforceable against it in accordance with its terms, except: (i) as limited by general equitable principles and applicable bankruptcy, insolvency, reorganization, moratorium and other laws of general application affecting enforcement of creditors’ rights generally,</w:t>
      </w:r>
    </w:p>
    <w:p>
      <w:pPr>
        <w:ind w:left="-8" w:firstLine="8"/>
        <w:spacing w:after="0" w:line="260" w:lineRule="auto"/>
        <w:tabs>
          <w:tab w:leader="none" w:pos="267" w:val="left"/>
        </w:tabs>
        <w:numPr>
          <w:ilvl w:val="0"/>
          <w:numId w:val="67"/>
        </w:numPr>
        <w:rPr>
          <w:rFonts w:ascii="Arial" w:cs="Arial" w:eastAsia="Arial" w:hAnsi="Arial"/>
          <w:sz w:val="18"/>
          <w:szCs w:val="18"/>
          <w:color w:val="auto"/>
        </w:rPr>
      </w:pPr>
      <w:r>
        <w:rPr>
          <w:rFonts w:ascii="Arial" w:cs="Arial" w:eastAsia="Arial" w:hAnsi="Arial"/>
          <w:sz w:val="18"/>
          <w:szCs w:val="18"/>
          <w:color w:val="auto"/>
        </w:rPr>
        <w:t>as limited by laws relating to the availability of specific performance, injunctive relief or other equitable remedies and (iii) insofar as indemnification and contribution provisions may be limited by applicable law.</w:t>
      </w:r>
    </w:p>
    <w:p>
      <w:pPr>
        <w:spacing w:after="0" w:line="185" w:lineRule="exact"/>
        <w:rPr>
          <w:rFonts w:ascii="Arial" w:cs="Arial" w:eastAsia="Arial" w:hAnsi="Arial"/>
          <w:sz w:val="18"/>
          <w:szCs w:val="18"/>
          <w:color w:val="auto"/>
        </w:rPr>
      </w:pPr>
    </w:p>
    <w:p>
      <w:pPr>
        <w:jc w:val="both"/>
        <w:ind w:left="-8" w:firstLine="980"/>
        <w:spacing w:after="0" w:line="257" w:lineRule="auto"/>
        <w:tabs>
          <w:tab w:leader="none" w:pos="1464" w:val="left"/>
        </w:tabs>
        <w:numPr>
          <w:ilvl w:val="3"/>
          <w:numId w:val="67"/>
        </w:numPr>
        <w:rPr>
          <w:rFonts w:ascii="Arial" w:cs="Arial" w:eastAsia="Arial" w:hAnsi="Arial"/>
          <w:sz w:val="18"/>
          <w:szCs w:val="18"/>
          <w:color w:val="auto"/>
        </w:rPr>
      </w:pPr>
      <w:r>
        <w:rPr>
          <w:rFonts w:ascii="Arial" w:cs="Arial" w:eastAsia="Arial" w:hAnsi="Arial"/>
          <w:sz w:val="18"/>
          <w:szCs w:val="18"/>
          <w:i w:val="1"/>
          <w:iCs w:val="1"/>
          <w:color w:val="auto"/>
        </w:rPr>
        <w:t>Understandings or Arrangements</w:t>
      </w:r>
      <w:r>
        <w:rPr>
          <w:rFonts w:ascii="Arial" w:cs="Arial" w:eastAsia="Arial" w:hAnsi="Arial"/>
          <w:sz w:val="18"/>
          <w:szCs w:val="18"/>
          <w:color w:val="auto"/>
        </w:rPr>
        <w:t>. The Investor is acquiring the Shares and/or Pre-Funded Warrants hereunder as principal for its own</w:t>
      </w:r>
      <w:r>
        <w:rPr>
          <w:rFonts w:ascii="Arial" w:cs="Arial" w:eastAsia="Arial" w:hAnsi="Arial"/>
          <w:sz w:val="18"/>
          <w:szCs w:val="18"/>
          <w:i w:val="1"/>
          <w:iCs w:val="1"/>
          <w:color w:val="auto"/>
        </w:rPr>
        <w:t xml:space="preserve"> </w:t>
      </w:r>
      <w:r>
        <w:rPr>
          <w:rFonts w:ascii="Arial" w:cs="Arial" w:eastAsia="Arial" w:hAnsi="Arial"/>
          <w:sz w:val="18"/>
          <w:szCs w:val="18"/>
          <w:color w:val="auto"/>
        </w:rPr>
        <w:t>account and has no direct or indirect arrangement or understandings with any other persons to distribute or regarding the distribution of such Shares and/or Pre-Funded Warrants (this representation and warranty not limiting the Investor’s right to sell the Shares pursuant to any effective registration statement or otherwise in compliance with applicable federal and state securities laws). The Investor is acquiring the Shares and/or Pre-Funded Warrants hereunder in the ordinary course of its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419735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32"/>
          </w:cols>
          <w:pgMar w:left="328" w:top="1120" w:right="339" w:bottom="1440" w:gutter="0" w:footer="0" w:header="0"/>
        </w:sectPr>
      </w:pPr>
    </w:p>
    <w:bookmarkStart w:id="76" w:name="page77"/>
    <w:bookmarkEnd w:id="76"/>
    <w:p>
      <w:pPr>
        <w:jc w:val="both"/>
        <w:ind w:firstLine="980"/>
        <w:spacing w:after="0" w:line="257" w:lineRule="auto"/>
        <w:tabs>
          <w:tab w:leader="none" w:pos="1482"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Reliance on Exemptions</w:t>
      </w:r>
      <w:r>
        <w:rPr>
          <w:rFonts w:ascii="Arial" w:cs="Arial" w:eastAsia="Arial" w:hAnsi="Arial"/>
          <w:sz w:val="18"/>
          <w:szCs w:val="18"/>
          <w:color w:val="auto"/>
        </w:rPr>
        <w:t>. The Investor understands that the Shares and/or Pre-Funded Warrants are being offered and sold to in reliance</w:t>
      </w:r>
      <w:r>
        <w:rPr>
          <w:rFonts w:ascii="Arial" w:cs="Arial" w:eastAsia="Arial" w:hAnsi="Arial"/>
          <w:sz w:val="18"/>
          <w:szCs w:val="18"/>
          <w:i w:val="1"/>
          <w:iCs w:val="1"/>
          <w:color w:val="auto"/>
        </w:rPr>
        <w:t xml:space="preserve"> </w:t>
      </w:r>
      <w:r>
        <w:rPr>
          <w:rFonts w:ascii="Arial" w:cs="Arial" w:eastAsia="Arial" w:hAnsi="Arial"/>
          <w:sz w:val="18"/>
          <w:szCs w:val="18"/>
          <w:color w:val="auto"/>
        </w:rPr>
        <w:t>upon specific exemptions from the registration requirements of the Securities Act and state securities laws and that the Company is relying upon the truth and accuracy of, and the Investor’s compliance with, the representations, warranties, covenants, agreements, acknowledgments and understandings of the Investor contained in this Agreement in order to determine the availability of such exemptions and the eligibility of the Investor to acquire the Shares and/or Pre-Funded Warrants.</w:t>
      </w:r>
    </w:p>
    <w:p>
      <w:pPr>
        <w:spacing w:after="0" w:line="187" w:lineRule="exact"/>
        <w:rPr>
          <w:rFonts w:ascii="Arial" w:cs="Arial" w:eastAsia="Arial" w:hAnsi="Arial"/>
          <w:sz w:val="18"/>
          <w:szCs w:val="18"/>
          <w:color w:val="auto"/>
        </w:rPr>
      </w:pPr>
    </w:p>
    <w:p>
      <w:pPr>
        <w:jc w:val="both"/>
        <w:ind w:firstLine="980"/>
        <w:spacing w:after="0" w:line="254" w:lineRule="auto"/>
        <w:tabs>
          <w:tab w:leader="none" w:pos="1514" w:val="left"/>
        </w:tabs>
        <w:numPr>
          <w:ilvl w:val="1"/>
          <w:numId w:val="68"/>
        </w:numPr>
        <w:rPr>
          <w:rFonts w:ascii="Arial" w:cs="Arial" w:eastAsia="Arial" w:hAnsi="Arial"/>
          <w:sz w:val="18"/>
          <w:szCs w:val="18"/>
          <w:color w:val="auto"/>
        </w:rPr>
      </w:pPr>
      <w:r>
        <w:rPr>
          <w:rFonts w:ascii="Arial" w:cs="Arial" w:eastAsia="Arial" w:hAnsi="Arial"/>
          <w:sz w:val="18"/>
          <w:szCs w:val="18"/>
          <w:i w:val="1"/>
          <w:iCs w:val="1"/>
          <w:color w:val="auto"/>
        </w:rPr>
        <w:t>Risk of Loss</w:t>
      </w:r>
      <w:r>
        <w:rPr>
          <w:rFonts w:ascii="Arial" w:cs="Arial" w:eastAsia="Arial" w:hAnsi="Arial"/>
          <w:sz w:val="18"/>
          <w:szCs w:val="18"/>
          <w:color w:val="auto"/>
        </w:rPr>
        <w:t>. The Investor understands that its investment in the Shares and/or Pre-Funded Warrants hereunder involves a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degree of risk, including a risk of total loss of the Investor’s investment, and the Investor has full cognizance of and understands all of the risk factors related to the issuance of the Shares and/or Pre-Funded Warrants, including, but not limited to, those risk factors included in all reports, schedules, forms, statements and other documents filed by the Company under the Securities Act and the Securities Exchange Act of 1934, as amended (the “</w:t>
      </w:r>
      <w:r>
        <w:rPr>
          <w:rFonts w:ascii="Arial" w:cs="Arial" w:eastAsia="Arial" w:hAnsi="Arial"/>
          <w:sz w:val="18"/>
          <w:szCs w:val="18"/>
          <w:b w:val="1"/>
          <w:bCs w:val="1"/>
          <w:color w:val="auto"/>
        </w:rPr>
        <w:t>Exchange</w:t>
      </w:r>
      <w:r>
        <w:rPr>
          <w:rFonts w:ascii="Arial" w:cs="Arial" w:eastAsia="Arial" w:hAnsi="Arial"/>
          <w:sz w:val="18"/>
          <w:szCs w:val="18"/>
          <w:color w:val="auto"/>
        </w:rPr>
        <w:t xml:space="preserve"> </w:t>
      </w:r>
      <w:r>
        <w:rPr>
          <w:rFonts w:ascii="Arial" w:cs="Arial" w:eastAsia="Arial" w:hAnsi="Arial"/>
          <w:sz w:val="18"/>
          <w:szCs w:val="18"/>
          <w:b w:val="1"/>
          <w:bCs w:val="1"/>
          <w:color w:val="auto"/>
        </w:rPr>
        <w:t>Act</w:t>
      </w:r>
      <w:r>
        <w:rPr>
          <w:rFonts w:ascii="Arial" w:cs="Arial" w:eastAsia="Arial" w:hAnsi="Arial"/>
          <w:sz w:val="18"/>
          <w:szCs w:val="18"/>
          <w:color w:val="auto"/>
        </w:rPr>
        <w:t>”), including pursuant to Section 13(a) or 15(d) thereof, for the two years preceding the date hereof, including the exhibits thereto and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incorporated by reference therein (the “</w:t>
      </w:r>
      <w:r>
        <w:rPr>
          <w:rFonts w:ascii="Arial" w:cs="Arial" w:eastAsia="Arial" w:hAnsi="Arial"/>
          <w:sz w:val="18"/>
          <w:szCs w:val="18"/>
          <w:b w:val="1"/>
          <w:bCs w:val="1"/>
          <w:color w:val="auto"/>
        </w:rPr>
        <w:t>SEC Reports</w:t>
      </w:r>
      <w:r>
        <w:rPr>
          <w:rFonts w:ascii="Arial" w:cs="Arial" w:eastAsia="Arial" w:hAnsi="Arial"/>
          <w:sz w:val="18"/>
          <w:szCs w:val="18"/>
          <w:color w:val="auto"/>
        </w:rPr>
        <w:t>”). The Investor understands that no representation is being made as to the future value of the Shares and/or Pre-Funded Warrants.</w:t>
      </w:r>
    </w:p>
    <w:p>
      <w:pPr>
        <w:spacing w:after="0" w:line="194" w:lineRule="exact"/>
        <w:rPr>
          <w:rFonts w:ascii="Arial" w:cs="Arial" w:eastAsia="Arial" w:hAnsi="Arial"/>
          <w:sz w:val="18"/>
          <w:szCs w:val="18"/>
          <w:color w:val="auto"/>
        </w:rPr>
      </w:pPr>
    </w:p>
    <w:p>
      <w:pPr>
        <w:ind w:left="1440" w:hanging="460"/>
        <w:spacing w:after="0"/>
        <w:tabs>
          <w:tab w:leader="none" w:pos="1440" w:val="left"/>
        </w:tabs>
        <w:numPr>
          <w:ilvl w:val="1"/>
          <w:numId w:val="68"/>
        </w:numPr>
        <w:rPr>
          <w:rFonts w:ascii="Arial" w:cs="Arial" w:eastAsia="Arial" w:hAnsi="Arial"/>
          <w:sz w:val="16"/>
          <w:szCs w:val="16"/>
          <w:color w:val="auto"/>
        </w:rPr>
      </w:pPr>
      <w:r>
        <w:rPr>
          <w:rFonts w:ascii="Arial" w:cs="Arial" w:eastAsia="Arial" w:hAnsi="Arial"/>
          <w:sz w:val="16"/>
          <w:szCs w:val="16"/>
          <w:i w:val="1"/>
          <w:iCs w:val="1"/>
          <w:color w:val="auto"/>
        </w:rPr>
        <w:t>Investor Status</w:t>
      </w:r>
      <w:r>
        <w:rPr>
          <w:rFonts w:ascii="Arial" w:cs="Arial" w:eastAsia="Arial" w:hAnsi="Arial"/>
          <w:sz w:val="16"/>
          <w:szCs w:val="16"/>
          <w:color w:val="auto"/>
        </w:rPr>
        <w:t>. At the time the Investor was offered the Shares and/or Pre-Funded Warrants hereunder, it was, and as of the date hereof</w:t>
      </w:r>
    </w:p>
    <w:p>
      <w:pPr>
        <w:spacing w:after="0" w:line="46" w:lineRule="exact"/>
        <w:rPr>
          <w:rFonts w:ascii="Arial" w:cs="Arial" w:eastAsia="Arial" w:hAnsi="Arial"/>
          <w:sz w:val="16"/>
          <w:szCs w:val="16"/>
          <w:color w:val="auto"/>
        </w:rPr>
      </w:pPr>
    </w:p>
    <w:p>
      <w:pPr>
        <w:spacing w:after="0" w:line="323" w:lineRule="auto"/>
        <w:rPr>
          <w:rFonts w:ascii="Arial" w:cs="Arial" w:eastAsia="Arial" w:hAnsi="Arial"/>
          <w:sz w:val="16"/>
          <w:szCs w:val="16"/>
          <w:color w:val="auto"/>
        </w:rPr>
      </w:pPr>
      <w:r>
        <w:rPr>
          <w:rFonts w:ascii="Arial" w:cs="Arial" w:eastAsia="Arial" w:hAnsi="Arial"/>
          <w:sz w:val="16"/>
          <w:szCs w:val="16"/>
          <w:color w:val="auto"/>
        </w:rPr>
        <w:t>it is either: (i) an “accredited investor” as defined in Rule 501 of Regulation D promulgated under the Securities Act or (ii) a “qualified institutional buyer” as defined in Rule 144A under the Securities Act. The Investor is not required to be registered as a broker-dealer under Section 15 of the Exchange Act.</w:t>
      </w:r>
    </w:p>
    <w:p>
      <w:pPr>
        <w:spacing w:after="0" w:line="138" w:lineRule="exact"/>
        <w:rPr>
          <w:rFonts w:ascii="Arial" w:cs="Arial" w:eastAsia="Arial" w:hAnsi="Arial"/>
          <w:sz w:val="16"/>
          <w:szCs w:val="16"/>
          <w:color w:val="auto"/>
        </w:rPr>
      </w:pPr>
    </w:p>
    <w:p>
      <w:pPr>
        <w:jc w:val="both"/>
        <w:ind w:firstLine="980"/>
        <w:spacing w:after="0" w:line="279" w:lineRule="auto"/>
        <w:tabs>
          <w:tab w:leader="none" w:pos="1607" w:val="left"/>
        </w:tabs>
        <w:numPr>
          <w:ilvl w:val="1"/>
          <w:numId w:val="68"/>
        </w:numPr>
        <w:rPr>
          <w:rFonts w:ascii="Arial" w:cs="Arial" w:eastAsia="Arial" w:hAnsi="Arial"/>
          <w:sz w:val="17"/>
          <w:szCs w:val="17"/>
          <w:color w:val="auto"/>
        </w:rPr>
      </w:pPr>
      <w:r>
        <w:rPr>
          <w:rFonts w:ascii="Arial" w:cs="Arial" w:eastAsia="Arial" w:hAnsi="Arial"/>
          <w:sz w:val="17"/>
          <w:szCs w:val="17"/>
          <w:i w:val="1"/>
          <w:iCs w:val="1"/>
          <w:color w:val="auto"/>
        </w:rPr>
        <w:t>Experience of the Investor</w:t>
      </w:r>
      <w:r>
        <w:rPr>
          <w:rFonts w:ascii="Arial" w:cs="Arial" w:eastAsia="Arial" w:hAnsi="Arial"/>
          <w:sz w:val="17"/>
          <w:szCs w:val="17"/>
          <w:color w:val="auto"/>
        </w:rPr>
        <w:t>. The Investor, either alone or together with its representatives, has such knowledge, sophistication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business and financial matters so as to be capable of evaluating the merits and risks of the prospective investment in the Shares and/or Pre-Funded Warrants, and has so evaluated the merits and risks of such investment. The Investor is able to bear the economic risk of an investment in the Shares and/or Pre-Funded Warrants and, at the present time, is able to afford a complete loss of such investment.</w:t>
      </w:r>
    </w:p>
    <w:p>
      <w:pPr>
        <w:spacing w:after="0" w:line="171" w:lineRule="exact"/>
        <w:rPr>
          <w:rFonts w:ascii="Arial" w:cs="Arial" w:eastAsia="Arial" w:hAnsi="Arial"/>
          <w:sz w:val="17"/>
          <w:szCs w:val="17"/>
          <w:color w:val="auto"/>
        </w:rPr>
      </w:pPr>
    </w:p>
    <w:p>
      <w:pPr>
        <w:ind w:left="1180" w:hanging="524"/>
        <w:spacing w:after="0"/>
        <w:tabs>
          <w:tab w:leader="none" w:pos="118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Company Representations and Warranties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980"/>
        <w:spacing w:after="0" w:line="259" w:lineRule="auto"/>
        <w:tabs>
          <w:tab w:leader="none" w:pos="1382" w:val="left"/>
        </w:tabs>
        <w:numPr>
          <w:ilvl w:val="1"/>
          <w:numId w:val="69"/>
        </w:numPr>
        <w:rPr>
          <w:rFonts w:ascii="Arial" w:cs="Arial" w:eastAsia="Arial" w:hAnsi="Arial"/>
          <w:sz w:val="18"/>
          <w:szCs w:val="18"/>
          <w:color w:val="auto"/>
        </w:rPr>
      </w:pPr>
      <w:r>
        <w:rPr>
          <w:rFonts w:ascii="Arial" w:cs="Arial" w:eastAsia="Arial" w:hAnsi="Arial"/>
          <w:sz w:val="18"/>
          <w:szCs w:val="18"/>
          <w:i w:val="1"/>
          <w:iCs w:val="1"/>
          <w:color w:val="auto"/>
        </w:rPr>
        <w:t>Organization and Qualification</w:t>
      </w:r>
      <w:r>
        <w:rPr>
          <w:rFonts w:ascii="Arial" w:cs="Arial" w:eastAsia="Arial" w:hAnsi="Arial"/>
          <w:sz w:val="18"/>
          <w:szCs w:val="18"/>
          <w:color w:val="auto"/>
        </w:rPr>
        <w:t>. The Company is an entity duly incorporated or otherwise organized under the laws of the jurisdiction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its incorporation or organization, with the requisite power and authority to own and use its properties and assets and to carry on its business as currently conducted. The Company is not in violation nor default of any of the provisions of its respective certificate or articles of incorporation, bylaws or other organizational or charter documents.</w:t>
      </w:r>
    </w:p>
    <w:p>
      <w:pPr>
        <w:spacing w:after="0" w:line="186" w:lineRule="exact"/>
        <w:rPr>
          <w:rFonts w:ascii="Arial" w:cs="Arial" w:eastAsia="Arial" w:hAnsi="Arial"/>
          <w:sz w:val="18"/>
          <w:szCs w:val="18"/>
          <w:color w:val="auto"/>
        </w:rPr>
      </w:pPr>
    </w:p>
    <w:p>
      <w:pPr>
        <w:jc w:val="both"/>
        <w:ind w:firstLine="980"/>
        <w:spacing w:after="0" w:line="270" w:lineRule="auto"/>
        <w:tabs>
          <w:tab w:leader="none" w:pos="1607" w:val="left"/>
        </w:tabs>
        <w:numPr>
          <w:ilvl w:val="1"/>
          <w:numId w:val="69"/>
        </w:numPr>
        <w:rPr>
          <w:rFonts w:ascii="Arial" w:cs="Arial" w:eastAsia="Arial" w:hAnsi="Arial"/>
          <w:sz w:val="17"/>
          <w:szCs w:val="17"/>
          <w:color w:val="auto"/>
        </w:rPr>
      </w:pPr>
      <w:r>
        <w:rPr>
          <w:rFonts w:ascii="Arial" w:cs="Arial" w:eastAsia="Arial" w:hAnsi="Arial"/>
          <w:sz w:val="17"/>
          <w:szCs w:val="17"/>
          <w:i w:val="1"/>
          <w:iCs w:val="1"/>
          <w:color w:val="auto"/>
        </w:rPr>
        <w:t>Authorization; Enforcement</w:t>
      </w:r>
      <w:r>
        <w:rPr>
          <w:rFonts w:ascii="Arial" w:cs="Arial" w:eastAsia="Arial" w:hAnsi="Arial"/>
          <w:sz w:val="17"/>
          <w:szCs w:val="17"/>
          <w:color w:val="auto"/>
        </w:rPr>
        <w:t>. The Company has the requisite corporate power and authority to enter into and to consummate the</w:t>
      </w:r>
      <w:r>
        <w:rPr>
          <w:rFonts w:ascii="Arial" w:cs="Arial" w:eastAsia="Arial" w:hAnsi="Arial"/>
          <w:sz w:val="17"/>
          <w:szCs w:val="17"/>
          <w:i w:val="1"/>
          <w:iCs w:val="1"/>
          <w:color w:val="auto"/>
        </w:rPr>
        <w:t xml:space="preserve"> </w:t>
      </w:r>
      <w:r>
        <w:rPr>
          <w:rFonts w:ascii="Arial" w:cs="Arial" w:eastAsia="Arial" w:hAnsi="Arial"/>
          <w:sz w:val="17"/>
          <w:szCs w:val="17"/>
          <w:color w:val="auto"/>
        </w:rPr>
        <w:t>transactions contemplated by this Agreement and otherwise to carry out its obligations hereunder and thereunder. The execution and delivery of this Agreement by the Company and the consummation by it of the transactions contemplated have been duly authorized by all necessary action on the part of the Company and no further action is required by the Company, the Board of Directors of the Company or the Company’s stockholders in connection herewith. This Agreement has been (or upon delivery will have been) duly executed by the Company and, when delivered in accordance with the terms 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80" w:lineRule="exact"/>
        <w:rPr>
          <w:rFonts w:ascii="Arial" w:cs="Arial" w:eastAsia="Arial" w:hAnsi="Arial"/>
          <w:sz w:val="17"/>
          <w:szCs w:val="17"/>
          <w:color w:val="auto"/>
        </w:rPr>
      </w:pPr>
    </w:p>
    <w:p>
      <w:pPr>
        <w:jc w:val="both"/>
        <w:ind w:firstLine="980"/>
        <w:spacing w:after="0" w:line="287" w:lineRule="auto"/>
        <w:tabs>
          <w:tab w:leader="none" w:pos="1590" w:val="left"/>
        </w:tabs>
        <w:numPr>
          <w:ilvl w:val="1"/>
          <w:numId w:val="69"/>
        </w:numPr>
        <w:rPr>
          <w:rFonts w:ascii="Arial" w:cs="Arial" w:eastAsia="Arial" w:hAnsi="Arial"/>
          <w:sz w:val="16"/>
          <w:szCs w:val="16"/>
          <w:color w:val="auto"/>
        </w:rPr>
      </w:pPr>
      <w:r>
        <w:rPr>
          <w:rFonts w:ascii="Arial" w:cs="Arial" w:eastAsia="Arial" w:hAnsi="Arial"/>
          <w:sz w:val="16"/>
          <w:szCs w:val="16"/>
          <w:i w:val="1"/>
          <w:iCs w:val="1"/>
          <w:color w:val="auto"/>
        </w:rPr>
        <w:t>No Conflicts</w:t>
      </w:r>
      <w:r>
        <w:rPr>
          <w:rFonts w:ascii="Arial" w:cs="Arial" w:eastAsia="Arial" w:hAnsi="Arial"/>
          <w:sz w:val="16"/>
          <w:szCs w:val="16"/>
          <w:color w:val="auto"/>
        </w:rPr>
        <w:t>. The execution, delivery and performance by the Company of this Agreement, the issuance of the Shares and/or Pre-Funded Warrants hereunder and the consummation by it of the transactions contemplated hereby and thereby do not and will not: (i) conflict with or violate any provision of the Company’s certificate or articles of incorporation, bylaws or other organizational or charter documents, (ii) conflict with, or constitute a default (or an event that with notice or lapse of time or both would become a default) under, result in the creation of any lien upon any of the properties or assets of the Company, or give to others any rights of termination, amendment, acceleration or cancellation (with or without notice, lapse of time or both) of, any agreement, credit facility, debt or other instrument (evidencing a Company debt or otherwise) or other understanding to which the Company is a party or by which any property or asset of the Company is bound or affected, or (iii) conflict with or result in a violation of any law, rule, regulation, order, judgment, injunction, decree or other restriction of any court or governmental authority to which the Company is subject, or by which any property or asset of the Company is bound or affected; except in the case of each of clauses (ii) and (iii), such as could not have or reasonably be expected to result in a (i) a material adverse effect on the legality, validity or enforceability of this Agreement, (ii) a material adverse effect on the results of operations, assets, business, prospects or condition (financial or otherwise) of the Company and its Subsidiaries, taken as a whole, or (iii) a material adverse effect on the Company’s ability to perform in any material respect on a timely basis its obligations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544195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7" w:name="page78"/>
    <w:bookmarkEnd w:id="77"/>
    <w:p>
      <w:pPr>
        <w:jc w:val="both"/>
        <w:ind w:left="-332" w:firstLine="980"/>
        <w:spacing w:after="0" w:line="279" w:lineRule="auto"/>
        <w:tabs>
          <w:tab w:leader="none" w:pos="1142" w:val="left"/>
        </w:tabs>
        <w:numPr>
          <w:ilvl w:val="1"/>
          <w:numId w:val="70"/>
        </w:numPr>
        <w:rPr>
          <w:rFonts w:ascii="Arial" w:cs="Arial" w:eastAsia="Arial" w:hAnsi="Arial"/>
          <w:sz w:val="17"/>
          <w:szCs w:val="17"/>
          <w:color w:val="auto"/>
        </w:rPr>
      </w:pPr>
      <w:r>
        <w:rPr>
          <w:rFonts w:ascii="Arial" w:cs="Arial" w:eastAsia="Arial" w:hAnsi="Arial"/>
          <w:sz w:val="17"/>
          <w:szCs w:val="17"/>
          <w:i w:val="1"/>
          <w:iCs w:val="1"/>
          <w:color w:val="auto"/>
        </w:rPr>
        <w:t>Issuance of the Shares and/or Pre-Funded Warrants</w:t>
      </w:r>
      <w:r>
        <w:rPr>
          <w:rFonts w:ascii="Arial" w:cs="Arial" w:eastAsia="Arial" w:hAnsi="Arial"/>
          <w:sz w:val="17"/>
          <w:szCs w:val="17"/>
          <w:color w:val="auto"/>
        </w:rPr>
        <w:t>. The Shares to be issued hereunder are duly authorized and, when issued and paid</w:t>
      </w:r>
      <w:r>
        <w:rPr>
          <w:rFonts w:ascii="Arial" w:cs="Arial" w:eastAsia="Arial" w:hAnsi="Arial"/>
          <w:sz w:val="17"/>
          <w:szCs w:val="17"/>
          <w:i w:val="1"/>
          <w:iCs w:val="1"/>
          <w:color w:val="auto"/>
        </w:rPr>
        <w:t xml:space="preserve"> </w:t>
      </w:r>
      <w:r>
        <w:rPr>
          <w:rFonts w:ascii="Arial" w:cs="Arial" w:eastAsia="Arial" w:hAnsi="Arial"/>
          <w:sz w:val="17"/>
          <w:szCs w:val="17"/>
          <w:color w:val="auto"/>
        </w:rPr>
        <w:t>for in accordance with this Agreement and upon receipt of Shareholder Approval, will be duly and validly issued, fully paid and nonassessable, free and clear of all liens imposed by the Company. The Pre-Funded Warrants to be issued hereunder are duly authorized and, when issued and paid for in accordance with this Agreement, will be duly and validly issued, free and clear of all liens imposed by the Company.</w:t>
      </w:r>
    </w:p>
    <w:p>
      <w:pPr>
        <w:spacing w:after="0" w:line="171" w:lineRule="exact"/>
        <w:rPr>
          <w:rFonts w:ascii="Arial" w:cs="Arial" w:eastAsia="Arial" w:hAnsi="Arial"/>
          <w:sz w:val="17"/>
          <w:szCs w:val="17"/>
          <w:color w:val="auto"/>
        </w:rPr>
      </w:pPr>
    </w:p>
    <w:p>
      <w:pPr>
        <w:ind w:left="328" w:hanging="328"/>
        <w:spacing w:after="0"/>
        <w:tabs>
          <w:tab w:leader="none" w:pos="328" w:val="left"/>
        </w:tabs>
        <w:numPr>
          <w:ilvl w:val="0"/>
          <w:numId w:val="71"/>
        </w:numPr>
        <w:rPr>
          <w:rFonts w:ascii="Arial" w:cs="Arial" w:eastAsia="Arial" w:hAnsi="Arial"/>
          <w:sz w:val="18"/>
          <w:szCs w:val="18"/>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left="-332" w:firstLine="332"/>
        <w:spacing w:after="0" w:line="263" w:lineRule="auto"/>
        <w:tabs>
          <w:tab w:leader="none" w:pos="601"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Commercially Reasonable Efforts</w:t>
      </w:r>
      <w:r>
        <w:rPr>
          <w:rFonts w:ascii="Arial" w:cs="Arial" w:eastAsia="Arial" w:hAnsi="Arial"/>
          <w:sz w:val="18"/>
          <w:szCs w:val="18"/>
          <w:color w:val="auto"/>
        </w:rPr>
        <w:t>. The Company shall use its commercially reasonable efforts to timely satisfy each of the conditions to be satisfied by it as provided in Section 4 of this Agreement. The Investor shall use its commercially reasonable efforts to timely satisfy each of the conditions to be satisfied by it as provided in Section 5 of this Agreement.</w:t>
      </w:r>
    </w:p>
    <w:p>
      <w:pPr>
        <w:spacing w:after="0" w:line="183" w:lineRule="exact"/>
        <w:rPr>
          <w:rFonts w:ascii="Arial" w:cs="Arial" w:eastAsia="Arial" w:hAnsi="Arial"/>
          <w:sz w:val="18"/>
          <w:szCs w:val="18"/>
          <w:color w:val="auto"/>
        </w:rPr>
      </w:pPr>
    </w:p>
    <w:p>
      <w:pPr>
        <w:jc w:val="both"/>
        <w:ind w:left="-332" w:firstLine="332"/>
        <w:spacing w:after="0" w:line="286" w:lineRule="auto"/>
        <w:tabs>
          <w:tab w:leader="none" w:pos="517" w:val="left"/>
        </w:tabs>
        <w:numPr>
          <w:ilvl w:val="0"/>
          <w:numId w:val="72"/>
        </w:numPr>
        <w:rPr>
          <w:rFonts w:ascii="Arial" w:cs="Arial" w:eastAsia="Arial" w:hAnsi="Arial"/>
          <w:sz w:val="17"/>
          <w:szCs w:val="17"/>
          <w:color w:val="auto"/>
        </w:rPr>
      </w:pPr>
      <w:r>
        <w:rPr>
          <w:rFonts w:ascii="Arial" w:cs="Arial" w:eastAsia="Arial" w:hAnsi="Arial"/>
          <w:sz w:val="17"/>
          <w:szCs w:val="17"/>
          <w:u w:val="single" w:color="auto"/>
          <w:color w:val="auto"/>
        </w:rPr>
        <w:t>Disclosure of Transactions and Other Material Information</w:t>
      </w:r>
      <w:r>
        <w:rPr>
          <w:rFonts w:ascii="Arial" w:cs="Arial" w:eastAsia="Arial" w:hAnsi="Arial"/>
          <w:sz w:val="17"/>
          <w:szCs w:val="17"/>
          <w:color w:val="auto"/>
        </w:rPr>
        <w:t>. On or before 9:30 a.m., New York time, on March 19, 2020, the Company shall file a Current Report on Form 8-K describing all the material terms of the transactions contemplated by the Agreement in the form required by the Exchange Act, and attaching this Agreement and the form of Pre-Funded Warrant thereto as exhibits (including all attachments, the “</w:t>
      </w:r>
      <w:r>
        <w:rPr>
          <w:rFonts w:ascii="Arial" w:cs="Arial" w:eastAsia="Arial" w:hAnsi="Arial"/>
          <w:sz w:val="17"/>
          <w:szCs w:val="17"/>
          <w:b w:val="1"/>
          <w:bCs w:val="1"/>
          <w:color w:val="auto"/>
        </w:rPr>
        <w:t>8-K Filing</w:t>
      </w:r>
      <w:r>
        <w:rPr>
          <w:rFonts w:ascii="Arial" w:cs="Arial" w:eastAsia="Arial" w:hAnsi="Arial"/>
          <w:sz w:val="17"/>
          <w:szCs w:val="17"/>
          <w:color w:val="auto"/>
        </w:rPr>
        <w:t>”).</w:t>
      </w:r>
    </w:p>
    <w:p>
      <w:pPr>
        <w:spacing w:after="0" w:line="165" w:lineRule="exact"/>
        <w:rPr>
          <w:rFonts w:ascii="Arial" w:cs="Arial" w:eastAsia="Arial" w:hAnsi="Arial"/>
          <w:sz w:val="17"/>
          <w:szCs w:val="17"/>
          <w:color w:val="auto"/>
        </w:rPr>
      </w:pPr>
    </w:p>
    <w:p>
      <w:pPr>
        <w:ind w:left="-332" w:firstLine="332"/>
        <w:spacing w:after="0" w:line="277" w:lineRule="auto"/>
        <w:tabs>
          <w:tab w:leader="none" w:pos="50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Holding Period</w:t>
      </w:r>
      <w:r>
        <w:rPr>
          <w:rFonts w:ascii="Arial" w:cs="Arial" w:eastAsia="Arial" w:hAnsi="Arial"/>
          <w:sz w:val="18"/>
          <w:szCs w:val="18"/>
          <w:color w:val="auto"/>
        </w:rPr>
        <w:t>. For the purposes of Rule 144, the Company acknowledges that the holding period of the Shares may be tacked onto the holding period of the Warrants, and the Company agrees not to take a position contrary to this Section 3(c).</w:t>
      </w:r>
    </w:p>
    <w:p>
      <w:pPr>
        <w:spacing w:after="0" w:line="170" w:lineRule="exact"/>
        <w:rPr>
          <w:rFonts w:ascii="Arial" w:cs="Arial" w:eastAsia="Arial" w:hAnsi="Arial"/>
          <w:sz w:val="18"/>
          <w:szCs w:val="18"/>
          <w:color w:val="auto"/>
        </w:rPr>
      </w:pPr>
    </w:p>
    <w:p>
      <w:pPr>
        <w:jc w:val="both"/>
        <w:ind w:left="-332" w:firstLine="332"/>
        <w:spacing w:after="0" w:line="284" w:lineRule="auto"/>
        <w:tabs>
          <w:tab w:leader="none" w:pos="557" w:val="left"/>
        </w:tabs>
        <w:numPr>
          <w:ilvl w:val="0"/>
          <w:numId w:val="72"/>
        </w:numPr>
        <w:rPr>
          <w:rFonts w:ascii="Arial" w:cs="Arial" w:eastAsia="Arial" w:hAnsi="Arial"/>
          <w:sz w:val="16"/>
          <w:szCs w:val="16"/>
          <w:color w:val="auto"/>
        </w:rPr>
      </w:pPr>
      <w:r>
        <w:rPr>
          <w:rFonts w:ascii="Arial" w:cs="Arial" w:eastAsia="Arial" w:hAnsi="Arial"/>
          <w:sz w:val="16"/>
          <w:szCs w:val="16"/>
          <w:u w:val="single" w:color="auto"/>
          <w:color w:val="auto"/>
        </w:rPr>
        <w:t>Market Standstill</w:t>
      </w:r>
      <w:r>
        <w:rPr>
          <w:rFonts w:ascii="Arial" w:cs="Arial" w:eastAsia="Arial" w:hAnsi="Arial"/>
          <w:sz w:val="16"/>
          <w:szCs w:val="16"/>
          <w:color w:val="auto"/>
        </w:rPr>
        <w:t>. Except with respect to Exempt Issuances, in the event that Shareholder Approval is not received within 90 calendar days of the date of this Agreement, neither the Company nor any subsidiary of the Company shall issue, enter into any agreement to issue or announce the issuance or proposed issuance of any shares of Common Stock or Common Stock equivalents until Shareholder Approval shall have been received. “</w:t>
      </w:r>
      <w:r>
        <w:rPr>
          <w:rFonts w:ascii="Arial" w:cs="Arial" w:eastAsia="Arial" w:hAnsi="Arial"/>
          <w:sz w:val="16"/>
          <w:szCs w:val="16"/>
          <w:b w:val="1"/>
          <w:bCs w:val="1"/>
          <w:color w:val="auto"/>
        </w:rPr>
        <w:t>Exempt</w:t>
      </w:r>
      <w:r>
        <w:rPr>
          <w:rFonts w:ascii="Arial" w:cs="Arial" w:eastAsia="Arial" w:hAnsi="Arial"/>
          <w:sz w:val="16"/>
          <w:szCs w:val="16"/>
          <w:color w:val="auto"/>
        </w:rPr>
        <w:t xml:space="preserve"> </w:t>
      </w:r>
      <w:r>
        <w:rPr>
          <w:rFonts w:ascii="Arial" w:cs="Arial" w:eastAsia="Arial" w:hAnsi="Arial"/>
          <w:sz w:val="16"/>
          <w:szCs w:val="16"/>
          <w:b w:val="1"/>
          <w:bCs w:val="1"/>
          <w:color w:val="auto"/>
        </w:rPr>
        <w:t>Issuance</w:t>
      </w:r>
      <w:r>
        <w:rPr>
          <w:rFonts w:ascii="Arial" w:cs="Arial" w:eastAsia="Arial" w:hAnsi="Arial"/>
          <w:sz w:val="16"/>
          <w:szCs w:val="16"/>
          <w:color w:val="auto"/>
        </w:rPr>
        <w:t>” means the issuance of (a) shares of Common Stock and options to officers, directors, employees or consultants of the Company after the Closing</w:t>
      </w:r>
      <w:r>
        <w:rPr>
          <w:rFonts w:ascii="Arial" w:cs="Arial" w:eastAsia="Arial" w:hAnsi="Arial"/>
          <w:sz w:val="16"/>
          <w:szCs w:val="16"/>
          <w:b w:val="1"/>
          <w:bCs w:val="1"/>
          <w:color w:val="auto"/>
        </w:rPr>
        <w:t xml:space="preserve"> </w:t>
      </w:r>
      <w:r>
        <w:rPr>
          <w:rFonts w:ascii="Arial" w:cs="Arial" w:eastAsia="Arial" w:hAnsi="Arial"/>
          <w:sz w:val="16"/>
          <w:szCs w:val="16"/>
          <w:color w:val="auto"/>
        </w:rPr>
        <w:t>Date pursuant to plans approved by the shareholders of the Company and which issuances are approved by a majority of the independent members of a committee of the board of directors (provided, if to consultants, not in excess of 100,000 shares of common stock or common stock equivalents in any 30 day period, subject to adjustment for reverse and forward stock splits and the like, provided, further that such securities are restricted for transfer for at least a period of 180 days following the Closing Date), (b) securities upon the exercise or exchange of or conversion of any Shares issued hereunder and/or other securities exercisable or exchangeable for or convertible into shares of Common Stock issued and outstanding on the date of this Agreement, provided that such securities and any term thereof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issued pursuant to acquisitions or strategic transactions approved by a majority of the disinterested directors of the Company, provided that any such issuance shall only be to a Person (or to the equity holders of a Person) which is, itself or through its subsidiaries, an operating company or an owner of an asset in a business synergistic with the business of the Company and shall be intended to provide to the Company substantial additional benefits in addition to the investment of funds, but shall not include a transaction in which the Company is issuing securities primarily for the purpose of raising capital or to an entity whose primary business is investing in securities; provided that such securities are issued as “restricted securities” (as defined in Rule 144) and carry no registration rights that require or permit the filing of any registration statement in connection therewith from the date hereof until 180 days after the Closing Date, (d) securities as payment for investment banking services provided to the Company (provided not in excess of 250,000 shares of common stock or common stock equivalents in any 12-month period, subject to adjustment for reverse and forward stock splits and the like. provided, further that such securities are restricted for transfer for at least a period of 180 days following the Closing Date), (e) shares of Common Stock issued to third party vendors as payment for goods or services (provided, if to consultants, not in excess of 250,000 shares of common stock or common stock equivalents in any 30 day period, subject to adjustment for reverse and forward stock splits and the like, provided, further that such securities are restricted for transfer for at least a period of 180 days following the Closing Date), (f) shares of Common Stock issued to the Company’s Airport Concession Disadvantaged Business Enterprise partners, (g) Common Stock issued as payment of interest pursuant to that certain Credit Agreement dated as of April 22, 2015, as subsequently amended, by and between XpresSpa Holdings, LLC and B3D, LLC and (h) securities issued as payment of interest pursuant to that certain unsecured convertible note dated as July 8, 2019 by and between the Company and Calm.com, Inc., provided that such securities are issued as “restricted securities” (as defined in Rule 144) and carry no registration rights that require or permit the filing of any registration statement in connection therewith from the date hereof until 180 days after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407035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908" w:right="339" w:bottom="1440" w:gutter="0" w:footer="0" w:header="0"/>
        </w:sectPr>
      </w:pPr>
    </w:p>
    <w:bookmarkStart w:id="78" w:name="page79"/>
    <w:bookmarkEnd w:id="78"/>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CONDITIONS TO COMPANY’S OBLIGATIONS HEREUNDER.</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The obligations of the Company to the Investor hereunder are subject to the satisfaction of each of the following conditions, provided that these conditions are for the Company’s sole benefit and may be waived by the Company at any time in its sole discretion by providing the Investor with prior written notice thereof:</w:t>
      </w:r>
    </w:p>
    <w:p>
      <w:pPr>
        <w:spacing w:after="0" w:line="184" w:lineRule="exact"/>
        <w:rPr>
          <w:sz w:val="20"/>
          <w:szCs w:val="20"/>
          <w:color w:val="auto"/>
        </w:rPr>
      </w:pPr>
    </w:p>
    <w:p>
      <w:pPr>
        <w:ind w:left="840" w:hanging="508"/>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Investor shall have duly executed this Agreement and delivered the same to the Company.</w:t>
      </w:r>
    </w:p>
    <w:p>
      <w:pPr>
        <w:spacing w:after="0" w:line="225" w:lineRule="exact"/>
        <w:rPr>
          <w:rFonts w:ascii="Arial" w:cs="Arial" w:eastAsia="Arial" w:hAnsi="Arial"/>
          <w:sz w:val="18"/>
          <w:szCs w:val="18"/>
          <w:color w:val="auto"/>
        </w:rPr>
      </w:pPr>
    </w:p>
    <w:p>
      <w:pPr>
        <w:jc w:val="both"/>
        <w:ind w:firstLine="332"/>
        <w:spacing w:after="0" w:line="279" w:lineRule="auto"/>
        <w:tabs>
          <w:tab w:leader="none" w:pos="955"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representations and warranties of the Investor shall be true and correct in all material respects as of the date when made and as of the Closing Date as though made at that time (except for representations and warranties that speak as of a specific date which shall be true and correct as of such specified date), and the Investor shall have performed, satisfied and complied in all material respects with the covenants, agreements and conditions required by this Agreement to be performed, satisfied or complied with by the Investor at or prior to the Closing Date.</w:t>
      </w:r>
    </w:p>
    <w:p>
      <w:pPr>
        <w:spacing w:after="0" w:line="171" w:lineRule="exact"/>
        <w:rPr>
          <w:rFonts w:ascii="Arial" w:cs="Arial" w:eastAsia="Arial" w:hAnsi="Arial"/>
          <w:sz w:val="17"/>
          <w:szCs w:val="17"/>
          <w:color w:val="auto"/>
        </w:rPr>
      </w:pPr>
    </w:p>
    <w:p>
      <w:pPr>
        <w:ind w:left="840" w:hanging="508"/>
        <w:spacing w:after="0"/>
        <w:tabs>
          <w:tab w:leader="none" w:pos="8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Company shall have received Shareholder Approval.</w:t>
      </w:r>
    </w:p>
    <w:p>
      <w:pPr>
        <w:spacing w:after="0" w:line="225" w:lineRule="exact"/>
        <w:rPr>
          <w:sz w:val="20"/>
          <w:szCs w:val="20"/>
          <w:color w:val="auto"/>
        </w:rPr>
      </w:pPr>
    </w:p>
    <w:p>
      <w:pPr>
        <w:ind w:left="660" w:hanging="328"/>
        <w:spacing w:after="0"/>
        <w:tabs>
          <w:tab w:leader="none" w:pos="6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CONDITIONS TO INVESTOR’S OBLIGATIONS HEREUNDER.</w:t>
      </w:r>
    </w:p>
    <w:p>
      <w:pPr>
        <w:spacing w:after="0" w:line="225" w:lineRule="exact"/>
        <w:rPr>
          <w:sz w:val="20"/>
          <w:szCs w:val="20"/>
          <w:color w:val="auto"/>
        </w:rPr>
      </w:pPr>
    </w:p>
    <w:p>
      <w:pPr>
        <w:jc w:val="both"/>
        <w:ind w:right="100" w:firstLine="648"/>
        <w:spacing w:after="0" w:line="342" w:lineRule="auto"/>
        <w:rPr>
          <w:sz w:val="20"/>
          <w:szCs w:val="20"/>
          <w:color w:val="auto"/>
        </w:rPr>
      </w:pPr>
      <w:r>
        <w:rPr>
          <w:rFonts w:ascii="Arial" w:cs="Arial" w:eastAsia="Arial" w:hAnsi="Arial"/>
          <w:sz w:val="16"/>
          <w:szCs w:val="16"/>
          <w:color w:val="auto"/>
        </w:rPr>
        <w:t>The obligations of the Investor hereunder are subject to the satisfaction of each of the following conditions, provided that these conditions are for the Investor’s sole benefit and may be waived by the Investor at any time in its sole discretion by providing the Company with prior written notice thereof:</w:t>
      </w:r>
    </w:p>
    <w:p>
      <w:pPr>
        <w:spacing w:after="0" w:line="124" w:lineRule="exact"/>
        <w:rPr>
          <w:sz w:val="20"/>
          <w:szCs w:val="20"/>
          <w:color w:val="auto"/>
        </w:rPr>
      </w:pPr>
    </w:p>
    <w:p>
      <w:pPr>
        <w:ind w:left="840" w:hanging="508"/>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have duly executed and delivered this Agreement to the Investor.</w:t>
      </w:r>
    </w:p>
    <w:p>
      <w:pPr>
        <w:spacing w:after="0" w:line="225" w:lineRule="exact"/>
        <w:rPr>
          <w:rFonts w:ascii="Arial" w:cs="Arial" w:eastAsia="Arial" w:hAnsi="Arial"/>
          <w:sz w:val="18"/>
          <w:szCs w:val="18"/>
          <w:color w:val="auto"/>
        </w:rPr>
      </w:pPr>
    </w:p>
    <w:p>
      <w:pPr>
        <w:ind w:left="840" w:hanging="508"/>
        <w:spacing w:after="0"/>
        <w:tabs>
          <w:tab w:leader="none" w:pos="84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At the Closing, the Company shall have electronically delivered to the Investor (or its designee) through DTC the Shares.</w:t>
      </w:r>
    </w:p>
    <w:p>
      <w:pPr>
        <w:spacing w:after="0" w:line="225" w:lineRule="exact"/>
        <w:rPr>
          <w:rFonts w:ascii="Arial" w:cs="Arial" w:eastAsia="Arial" w:hAnsi="Arial"/>
          <w:sz w:val="18"/>
          <w:szCs w:val="18"/>
          <w:color w:val="auto"/>
        </w:rPr>
      </w:pPr>
    </w:p>
    <w:p>
      <w:pPr>
        <w:ind w:left="840" w:hanging="508"/>
        <w:spacing w:after="0"/>
        <w:tabs>
          <w:tab w:leader="none" w:pos="840" w:val="left"/>
        </w:tabs>
        <w:numPr>
          <w:ilvl w:val="0"/>
          <w:numId w:val="76"/>
        </w:numPr>
        <w:rPr>
          <w:rFonts w:ascii="Arial" w:cs="Arial" w:eastAsia="Arial" w:hAnsi="Arial"/>
          <w:sz w:val="17"/>
          <w:szCs w:val="17"/>
          <w:color w:val="auto"/>
        </w:rPr>
      </w:pPr>
      <w:r>
        <w:rPr>
          <w:rFonts w:ascii="Arial" w:cs="Arial" w:eastAsia="Arial" w:hAnsi="Arial"/>
          <w:sz w:val="17"/>
          <w:szCs w:val="17"/>
          <w:color w:val="auto"/>
        </w:rPr>
        <w:t>If applicable, at the Closing, the Company shall have delivered to the Investor (or its designee) any applicable Pre-Funded Warrants.</w:t>
      </w:r>
    </w:p>
    <w:p>
      <w:pPr>
        <w:spacing w:after="0" w:line="236" w:lineRule="exact"/>
        <w:rPr>
          <w:rFonts w:ascii="Arial" w:cs="Arial" w:eastAsia="Arial" w:hAnsi="Arial"/>
          <w:sz w:val="17"/>
          <w:szCs w:val="17"/>
          <w:color w:val="auto"/>
        </w:rPr>
      </w:pPr>
    </w:p>
    <w:p>
      <w:pPr>
        <w:ind w:left="960" w:hanging="628"/>
        <w:spacing w:after="0"/>
        <w:tabs>
          <w:tab w:leader="none" w:pos="96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Company shall have delivered to the Investor a certificate signed by the Chief Executive Officer of the Company with the authorizing</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resolutions.</w:t>
      </w:r>
    </w:p>
    <w:p>
      <w:pPr>
        <w:spacing w:after="0" w:line="210" w:lineRule="exact"/>
        <w:rPr>
          <w:rFonts w:ascii="Arial" w:cs="Arial" w:eastAsia="Arial" w:hAnsi="Arial"/>
          <w:sz w:val="17"/>
          <w:szCs w:val="17"/>
          <w:color w:val="auto"/>
        </w:rPr>
      </w:pPr>
    </w:p>
    <w:p>
      <w:pPr>
        <w:jc w:val="both"/>
        <w:ind w:firstLine="332"/>
        <w:spacing w:after="0" w:line="279" w:lineRule="auto"/>
        <w:tabs>
          <w:tab w:leader="none" w:pos="924"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representations and warranties of the Company shall be true and correct in all material respects as of the date when made and as of the Closing Date as though originally made at that time (except for representations and warranties that speak as of a specific date, which shall be true and correct as of such date) and the Company shall have performed, satisfied and complied in all material respects with the covenants, agreements and conditions required to be performed, satisfied or complied with by the Company at or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9" w:name="page80"/>
    <w:bookmarkEnd w:id="79"/>
    <w:p>
      <w:pPr>
        <w:ind w:firstLine="332"/>
        <w:spacing w:after="0" w:line="342" w:lineRule="auto"/>
        <w:tabs>
          <w:tab w:leader="none" w:pos="829"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 statute, rule, regulation, executive order, decree, ruling or injunction shall have been enacted, entered, promulgated or endorsed by any court or governmental authority of competent jurisdiction that prohibits the consummation of any of the transactions contemplated by this Agreement.</w:t>
      </w:r>
    </w:p>
    <w:p>
      <w:pPr>
        <w:spacing w:after="0" w:line="124" w:lineRule="exact"/>
        <w:rPr>
          <w:sz w:val="20"/>
          <w:szCs w:val="20"/>
          <w:color w:val="auto"/>
        </w:rPr>
      </w:pPr>
    </w:p>
    <w:p>
      <w:pPr>
        <w:ind w:left="660" w:hanging="328"/>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TERMINATION.</w:t>
      </w:r>
    </w:p>
    <w:p>
      <w:pPr>
        <w:spacing w:after="0" w:line="225"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In the event that the Closing does not occur on or before June 30, 2020 due to the Company’s or the Investor’s failure to satisfy the conditions set forth in Sections 4 and 5 hereof (and the nonbreaching party’s failure to waive such unsatisfied conditions(s)), the nonbreaching party shall have the option to terminate this Agreement with respect to such breaching party at the close of business on such date without liability of any party to any other party. Upon such termination, the terms hereof shall be null and void.</w:t>
      </w:r>
    </w:p>
    <w:p>
      <w:pPr>
        <w:spacing w:after="0" w:line="187" w:lineRule="exact"/>
        <w:rPr>
          <w:sz w:val="20"/>
          <w:szCs w:val="20"/>
          <w:color w:val="auto"/>
        </w:rPr>
      </w:pPr>
    </w:p>
    <w:p>
      <w:pPr>
        <w:ind w:left="660" w:hanging="328"/>
        <w:spacing w:after="0"/>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MISCELLANEOUS.</w:t>
      </w:r>
    </w:p>
    <w:p>
      <w:pPr>
        <w:spacing w:after="0" w:line="225" w:lineRule="exact"/>
        <w:rPr>
          <w:sz w:val="20"/>
          <w:szCs w:val="20"/>
          <w:color w:val="auto"/>
        </w:rPr>
      </w:pPr>
    </w:p>
    <w:p>
      <w:pPr>
        <w:ind w:firstLine="332"/>
        <w:spacing w:after="0" w:line="277" w:lineRule="auto"/>
        <w:tabs>
          <w:tab w:leader="none" w:pos="987" w:val="left"/>
        </w:tabs>
        <w:numPr>
          <w:ilvl w:val="1"/>
          <w:numId w:val="80"/>
        </w:numPr>
        <w:rPr>
          <w:rFonts w:ascii="Arial" w:cs="Arial" w:eastAsia="Arial" w:hAnsi="Arial"/>
          <w:sz w:val="18"/>
          <w:szCs w:val="18"/>
          <w:color w:val="auto"/>
        </w:rPr>
      </w:pPr>
      <w:r>
        <w:rPr>
          <w:rFonts w:ascii="Arial" w:cs="Arial" w:eastAsia="Arial" w:hAnsi="Arial"/>
          <w:sz w:val="18"/>
          <w:szCs w:val="18"/>
          <w:u w:val="single" w:color="auto"/>
          <w:color w:val="auto"/>
        </w:rPr>
        <w:t>No Commissions</w:t>
      </w:r>
      <w:r>
        <w:rPr>
          <w:rFonts w:ascii="Arial" w:cs="Arial" w:eastAsia="Arial" w:hAnsi="Arial"/>
          <w:sz w:val="18"/>
          <w:szCs w:val="18"/>
          <w:color w:val="auto"/>
        </w:rPr>
        <w:t>. Neither the Company nor the Investor has paid or given, or will pay or give, to any person, any commission or other remuneration, directly or indirectly, in connection with the transactions contemplated by this Agreement.</w:t>
      </w:r>
    </w:p>
    <w:p>
      <w:pPr>
        <w:spacing w:after="0" w:line="170" w:lineRule="exact"/>
        <w:rPr>
          <w:rFonts w:ascii="Arial" w:cs="Arial" w:eastAsia="Arial" w:hAnsi="Arial"/>
          <w:sz w:val="18"/>
          <w:szCs w:val="18"/>
          <w:color w:val="auto"/>
        </w:rPr>
      </w:pPr>
    </w:p>
    <w:p>
      <w:pPr>
        <w:jc w:val="both"/>
        <w:ind w:firstLine="332"/>
        <w:spacing w:after="0" w:line="291" w:lineRule="auto"/>
        <w:tabs>
          <w:tab w:leader="none" w:pos="862" w:val="left"/>
        </w:tabs>
        <w:numPr>
          <w:ilvl w:val="1"/>
          <w:numId w:val="80"/>
        </w:numPr>
        <w:rPr>
          <w:rFonts w:ascii="Arial" w:cs="Arial" w:eastAsia="Arial" w:hAnsi="Arial"/>
          <w:sz w:val="16"/>
          <w:szCs w:val="16"/>
          <w:color w:val="auto"/>
        </w:rPr>
      </w:pPr>
      <w:r>
        <w:rPr>
          <w:rFonts w:ascii="Arial" w:cs="Arial" w:eastAsia="Arial" w:hAnsi="Arial"/>
          <w:sz w:val="16"/>
          <w:szCs w:val="16"/>
          <w:u w:val="single" w:color="auto"/>
          <w:color w:val="auto"/>
        </w:rPr>
        <w:t>Notice</w:t>
      </w:r>
      <w:r>
        <w:rPr>
          <w:rFonts w:ascii="Arial" w:cs="Arial" w:eastAsia="Arial" w:hAnsi="Arial"/>
          <w:sz w:val="16"/>
          <w:szCs w:val="16"/>
          <w:color w:val="auto"/>
        </w:rPr>
        <w:t>. All notices, demands, requests, consents, approvals, and other communications required or permitted hereunder shall be in writing and, unless otherwise specified herein, shall be (i) personally served, (ii) deposited in the mail, registered or certified, return receipt requested, postage prepaid,</w:t>
      </w:r>
    </w:p>
    <w:p>
      <w:pPr>
        <w:jc w:val="both"/>
        <w:ind w:firstLine="8"/>
        <w:spacing w:after="0" w:line="267" w:lineRule="auto"/>
        <w:tabs>
          <w:tab w:leader="none" w:pos="323" w:val="left"/>
        </w:tabs>
        <w:numPr>
          <w:ilvl w:val="0"/>
          <w:numId w:val="81"/>
        </w:numPr>
        <w:rPr>
          <w:rFonts w:ascii="Arial" w:cs="Arial" w:eastAsia="Arial" w:hAnsi="Arial"/>
          <w:sz w:val="17"/>
          <w:szCs w:val="17"/>
          <w:color w:val="auto"/>
        </w:rPr>
      </w:pPr>
      <w:r>
        <w:rPr>
          <w:rFonts w:ascii="Arial" w:cs="Arial" w:eastAsia="Arial" w:hAnsi="Arial"/>
          <w:sz w:val="17"/>
          <w:szCs w:val="17"/>
          <w:color w:val="auto"/>
        </w:rPr>
        <w:t>delivered by reputable air courier service with charges prepaid, or (iv) transmitted via electronic mail, in each case addressed as set forth below or to such other address as such party shall have specified most recently by written notice. Any notice or other communication required or permitted to be given hereunder shall be deemed effective (a) upon hand delivery at the address or number designated below (if delivered on a business day during normal business hours where such notice is to be received), or the first business day following such delivery (if delivered other than on a business day during normal business hours where such notice is to be received), (b) on the second business day following the date of mailing by express courier service, fully prepaid, addressed to such address, or upon actual receipt of such mailing, whichever shall first occur or (c) on the date sent by e-mail of a PDF document (with confirmation of transmission) if sent during normal business hours of the recipient, and on the next Business Day if sent after normal business hours of the recipient. The addresses for such communications shall be: (i) if to the Company, to: XpresSpa Group, Inc., 254 West 31st Street, 11th Floor, New York, New York 10001, Attn: Douglas Satzman, Chief Executive Officer, E-mail: dsatzman@xpresspa.com, with a copy by electronic mail only to (which shall not constitute notice): Daniel Bagliebter, Esq., 666 Third Avenue, New York, New York 10017, E-mail: dabagliebter@mintz.com, and (ii) if to the Holder, to: the addresses indicated on the signature pages hereto.</w:t>
      </w:r>
    </w:p>
    <w:p>
      <w:pPr>
        <w:spacing w:after="0" w:line="185" w:lineRule="exact"/>
        <w:rPr>
          <w:rFonts w:ascii="Arial" w:cs="Arial" w:eastAsia="Arial" w:hAnsi="Arial"/>
          <w:sz w:val="17"/>
          <w:szCs w:val="17"/>
          <w:color w:val="auto"/>
        </w:rPr>
      </w:pPr>
    </w:p>
    <w:p>
      <w:pPr>
        <w:jc w:val="both"/>
        <w:ind w:firstLine="332"/>
        <w:spacing w:after="0" w:line="255" w:lineRule="auto"/>
        <w:tabs>
          <w:tab w:leader="none" w:pos="987"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Amendments; Equal Treatment</w:t>
      </w:r>
      <w:r>
        <w:rPr>
          <w:rFonts w:ascii="Arial" w:cs="Arial" w:eastAsia="Arial" w:hAnsi="Arial"/>
          <w:sz w:val="18"/>
          <w:szCs w:val="18"/>
          <w:color w:val="auto"/>
        </w:rPr>
        <w:t>. No provision of this Agreement may be waived, modified, supplemented or amended except in a written instrument signed by the Company and the Investor. This Agreement is one of a number of substantially similar Exchange Agreements entered into on or about the date hereof (collectively, the “</w:t>
      </w:r>
      <w:r>
        <w:rPr>
          <w:rFonts w:ascii="Arial" w:cs="Arial" w:eastAsia="Arial" w:hAnsi="Arial"/>
          <w:sz w:val="18"/>
          <w:szCs w:val="18"/>
          <w:b w:val="1"/>
          <w:bCs w:val="1"/>
          <w:color w:val="auto"/>
        </w:rPr>
        <w:t>Exchange Agreements</w:t>
      </w:r>
      <w:r>
        <w:rPr>
          <w:rFonts w:ascii="Arial" w:cs="Arial" w:eastAsia="Arial" w:hAnsi="Arial"/>
          <w:sz w:val="18"/>
          <w:szCs w:val="18"/>
          <w:color w:val="auto"/>
        </w:rPr>
        <w:t>”). The Company shall not (directly or indirectly) amend, modify, supplement, or waive any provision of any other Exchange Agreement that has the effect of conferring upon the counterparty to such Exchange Agreement any rights that are more favorable than those afforded to Investor by this Agreement (“</w:t>
      </w:r>
      <w:r>
        <w:rPr>
          <w:rFonts w:ascii="Arial" w:cs="Arial" w:eastAsia="Arial" w:hAnsi="Arial"/>
          <w:sz w:val="18"/>
          <w:szCs w:val="18"/>
          <w:b w:val="1"/>
          <w:bCs w:val="1"/>
          <w:color w:val="auto"/>
        </w:rPr>
        <w:t>Additional Rights</w:t>
      </w:r>
      <w:r>
        <w:rPr>
          <w:rFonts w:ascii="Arial" w:cs="Arial" w:eastAsia="Arial" w:hAnsi="Arial"/>
          <w:sz w:val="18"/>
          <w:szCs w:val="18"/>
          <w:color w:val="auto"/>
        </w:rPr>
        <w:t>”) unless the Investor has been offered in writing the opportunity to receive the Additional Rights.</w:t>
      </w:r>
    </w:p>
    <w:p>
      <w:pPr>
        <w:spacing w:after="0" w:line="192" w:lineRule="exact"/>
        <w:rPr>
          <w:rFonts w:ascii="Arial" w:cs="Arial" w:eastAsia="Arial" w:hAnsi="Arial"/>
          <w:sz w:val="18"/>
          <w:szCs w:val="18"/>
          <w:color w:val="auto"/>
        </w:rPr>
      </w:pPr>
    </w:p>
    <w:p>
      <w:pPr>
        <w:jc w:val="both"/>
        <w:ind w:firstLine="332"/>
        <w:spacing w:after="0" w:line="268" w:lineRule="auto"/>
        <w:tabs>
          <w:tab w:leader="none" w:pos="849" w:val="left"/>
        </w:tabs>
        <w:numPr>
          <w:ilvl w:val="1"/>
          <w:numId w:val="81"/>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All questions concerning the construction, validity, enforcement and interpretation of this Agreement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this Agreement),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 of this Agreement, then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The remainder of the page is intentionally left blank</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597535</wp:posOffset>
            </wp:positionV>
            <wp:extent cx="71323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0" w:name="page81"/>
    <w:bookmarkEnd w:id="80"/>
    <w:p>
      <w:pPr>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and the Company have caused their respective signature pages to this Agreement to be duly executed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first written above.</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COMPANY: XPRESSPA GROUP, INC.</w:t>
      </w:r>
    </w:p>
    <w:p>
      <w:pPr>
        <w:spacing w:after="0" w:line="2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wp:posOffset>
            </wp:positionV>
            <wp:extent cx="33604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940"/>
        <w:spacing w:after="0"/>
        <w:tabs>
          <w:tab w:leader="none" w:pos="6500" w:val="left"/>
        </w:tabs>
        <w:rPr>
          <w:sz w:val="20"/>
          <w:szCs w:val="20"/>
          <w:color w:val="auto"/>
        </w:rPr>
      </w:pPr>
      <w:r>
        <w:rPr>
          <w:rFonts w:ascii="Arial" w:cs="Arial" w:eastAsia="Arial" w:hAnsi="Arial"/>
          <w:sz w:val="18"/>
          <w:szCs w:val="18"/>
          <w:color w:val="auto"/>
        </w:rPr>
        <w:t>Title:</w:t>
        <w:tab/>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588645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4" w:right="619" w:bottom="1440" w:gutter="0" w:footer="0" w:header="0"/>
        </w:sectPr>
      </w:pPr>
    </w:p>
    <w:bookmarkStart w:id="81" w:name="page82"/>
    <w:bookmarkEnd w:id="81"/>
    <w:p>
      <w:pPr>
        <w:ind w:firstLine="324"/>
        <w:spacing w:after="0" w:line="282"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Investor and the Company have caused their respective signature pages to this Agreement to be duly executed as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date first written above.</w:t>
      </w:r>
    </w:p>
    <w:p>
      <w:pPr>
        <w:spacing w:after="0" w:line="162" w:lineRule="exact"/>
        <w:rPr>
          <w:sz w:val="20"/>
          <w:szCs w:val="20"/>
          <w:color w:val="auto"/>
        </w:rPr>
      </w:pPr>
    </w:p>
    <w:p>
      <w:pPr>
        <w:ind w:left="5600"/>
        <w:spacing w:after="0"/>
        <w:rPr>
          <w:sz w:val="20"/>
          <w:szCs w:val="20"/>
          <w:color w:val="auto"/>
        </w:rPr>
      </w:pPr>
      <w:r>
        <w:rPr>
          <w:rFonts w:ascii="Arial" w:cs="Arial" w:eastAsia="Arial" w:hAnsi="Arial"/>
          <w:sz w:val="18"/>
          <w:szCs w:val="18"/>
          <w:b w:val="1"/>
          <w:bCs w:val="1"/>
          <w:color w:val="auto"/>
        </w:rPr>
        <w:t>INVESTOR:</w:t>
      </w:r>
    </w:p>
    <w:p>
      <w:pPr>
        <w:spacing w:after="0" w:line="27"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3776980</wp:posOffset>
            </wp:positionH>
            <wp:positionV relativeFrom="paragraph">
              <wp:posOffset>5715</wp:posOffset>
            </wp:positionV>
            <wp:extent cx="3360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ind w:left="59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Number of Warrants exchanged: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Address for Notice:</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w:t>
      </w:r>
    </w:p>
    <w:p>
      <w:pPr>
        <w:spacing w:after="0" w:line="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________________________________</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E-mail Address for Notice: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Facsimile Number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734695</wp:posOffset>
            </wp:positionV>
            <wp:extent cx="71323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20"/>
          </w:cols>
          <w:pgMar w:left="320" w:top="904" w:right="55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b w:val="1"/>
          <w:bCs w:val="1"/>
          <w:color w:val="auto"/>
        </w:rPr>
        <w:t>Exhibit 10.3</w:t>
      </w:r>
    </w:p>
    <w:p>
      <w:pPr>
        <w:spacing w:after="0" w:line="24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XPRESSPA GROUP,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STOCKHOLDER PARTY HERETO</w:t>
      </w:r>
    </w:p>
    <w:p>
      <w:pPr>
        <w:spacing w:after="0" w:line="225"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Dated as of March 19, 2020</w:t>
      </w:r>
    </w:p>
    <w:p>
      <w:pPr>
        <w:spacing w:after="0" w:line="200" w:lineRule="exact"/>
        <w:rPr>
          <w:sz w:val="20"/>
          <w:szCs w:val="20"/>
          <w:color w:val="auto"/>
        </w:rPr>
      </w:pPr>
    </w:p>
    <w:p>
      <w:pPr>
        <w:spacing w:after="0" w:line="245"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55" w:right="339" w:bottom="1440" w:gutter="0" w:footer="0" w:header="0"/>
        </w:sectPr>
      </w:pPr>
    </w:p>
    <w:bookmarkStart w:id="83" w:name="page84"/>
    <w:bookmarkEnd w:id="83"/>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This Voting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March 19, 2020, between XpresSpa Group, Inc. (the “</w:t>
      </w:r>
      <w:r>
        <w:rPr>
          <w:rFonts w:ascii="Arial" w:cs="Arial" w:eastAsia="Arial" w:hAnsi="Arial"/>
          <w:sz w:val="18"/>
          <w:szCs w:val="18"/>
          <w:u w:val="single" w:color="auto"/>
          <w:color w:val="auto"/>
        </w:rPr>
        <w:t>Company</w:t>
      </w:r>
      <w:r>
        <w:rPr>
          <w:rFonts w:ascii="Arial" w:cs="Arial" w:eastAsia="Arial" w:hAnsi="Arial"/>
          <w:sz w:val="18"/>
          <w:szCs w:val="18"/>
          <w:color w:val="auto"/>
        </w:rPr>
        <w:t>”), and the undersigned stockholder (the “</w:t>
      </w:r>
      <w:r>
        <w:rPr>
          <w:rFonts w:ascii="Arial" w:cs="Arial" w:eastAsia="Arial" w:hAnsi="Arial"/>
          <w:sz w:val="18"/>
          <w:szCs w:val="18"/>
          <w:u w:val="single" w:color="auto"/>
          <w:color w:val="auto"/>
        </w:rPr>
        <w:t>Stockholder</w:t>
      </w:r>
      <w:r>
        <w:rPr>
          <w:rFonts w:ascii="Arial" w:cs="Arial" w:eastAsia="Arial" w:hAnsi="Arial"/>
          <w:sz w:val="18"/>
          <w:szCs w:val="18"/>
          <w:color w:val="auto"/>
        </w:rPr>
        <w:t>”).</w:t>
      </w:r>
    </w:p>
    <w:p>
      <w:pPr>
        <w:spacing w:after="0" w:line="170"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as of the date hereof, the Stockholder is the sole record and beneficial owner of, and has the sole power to vote (or to direct the voting of) the number of shares of common stock, par value $0.01 per share (the “</w:t>
      </w:r>
      <w:r>
        <w:rPr>
          <w:rFonts w:ascii="Arial" w:cs="Arial" w:eastAsia="Arial" w:hAnsi="Arial"/>
          <w:sz w:val="18"/>
          <w:szCs w:val="18"/>
          <w:u w:val="single" w:color="auto"/>
          <w:color w:val="auto"/>
        </w:rPr>
        <w:t>Common Shares</w:t>
      </w:r>
      <w:r>
        <w:rPr>
          <w:rFonts w:ascii="Arial" w:cs="Arial" w:eastAsia="Arial" w:hAnsi="Arial"/>
          <w:sz w:val="18"/>
          <w:szCs w:val="18"/>
          <w:color w:val="auto"/>
        </w:rPr>
        <w:t xml:space="preserve">”), of the Company set forth opposite the Stockholder’s name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(such Common Shares, together with any other shares of the Company that are acquired by the Stockholder after the date hereof, the “</w:t>
      </w:r>
      <w:r>
        <w:rPr>
          <w:rFonts w:ascii="Arial" w:cs="Arial" w:eastAsia="Arial" w:hAnsi="Arial"/>
          <w:sz w:val="18"/>
          <w:szCs w:val="18"/>
          <w:u w:val="single" w:color="auto"/>
          <w:color w:val="auto"/>
        </w:rPr>
        <w:t>Subject Shares</w:t>
      </w:r>
      <w:r>
        <w:rPr>
          <w:rFonts w:ascii="Arial" w:cs="Arial" w:eastAsia="Arial" w:hAnsi="Arial"/>
          <w:sz w:val="18"/>
          <w:szCs w:val="18"/>
          <w:color w:val="auto"/>
        </w:rPr>
        <w:t>”);</w:t>
      </w:r>
    </w:p>
    <w:p>
      <w:pPr>
        <w:spacing w:after="0" w:line="187"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WHEREAS, the Company and certain purchasers (each, a “</w:t>
      </w:r>
      <w:r>
        <w:rPr>
          <w:rFonts w:ascii="Arial" w:cs="Arial" w:eastAsia="Arial" w:hAnsi="Arial"/>
          <w:sz w:val="17"/>
          <w:szCs w:val="17"/>
          <w:u w:val="single" w:color="auto"/>
          <w:color w:val="auto"/>
        </w:rPr>
        <w:t>Purchaser</w:t>
      </w:r>
      <w:r>
        <w:rPr>
          <w:rFonts w:ascii="Arial" w:cs="Arial" w:eastAsia="Arial" w:hAnsi="Arial"/>
          <w:sz w:val="17"/>
          <w:szCs w:val="17"/>
          <w:color w:val="auto"/>
        </w:rPr>
        <w:t>” and together, the “</w:t>
      </w:r>
      <w:r>
        <w:rPr>
          <w:rFonts w:ascii="Arial" w:cs="Arial" w:eastAsia="Arial" w:hAnsi="Arial"/>
          <w:sz w:val="17"/>
          <w:szCs w:val="17"/>
          <w:u w:val="single" w:color="auto"/>
          <w:color w:val="auto"/>
        </w:rPr>
        <w:t>Purchasers</w:t>
      </w:r>
      <w:r>
        <w:rPr>
          <w:rFonts w:ascii="Arial" w:cs="Arial" w:eastAsia="Arial" w:hAnsi="Arial"/>
          <w:sz w:val="17"/>
          <w:szCs w:val="17"/>
          <w:color w:val="auto"/>
        </w:rPr>
        <w:t>”) entered into a Securities Purchase Agreement, dated as of March 19, 2020 (as amended from time to time, the “</w:t>
      </w:r>
      <w:r>
        <w:rPr>
          <w:rFonts w:ascii="Arial" w:cs="Arial" w:eastAsia="Arial" w:hAnsi="Arial"/>
          <w:sz w:val="17"/>
          <w:szCs w:val="17"/>
          <w:u w:val="single" w:color="auto"/>
          <w:color w:val="auto"/>
        </w:rPr>
        <w:t>Purchase Agreement</w:t>
      </w:r>
      <w:r>
        <w:rPr>
          <w:rFonts w:ascii="Arial" w:cs="Arial" w:eastAsia="Arial" w:hAnsi="Arial"/>
          <w:sz w:val="17"/>
          <w:szCs w:val="17"/>
          <w:color w:val="auto"/>
        </w:rPr>
        <w:t>”), pursuant to which the Purchasers have agreed to purchase, and the Company has agreed to sell, an aggregate of $1,500,000 in Common Shares of the Company;</w:t>
      </w:r>
    </w:p>
    <w:p>
      <w:pPr>
        <w:spacing w:after="0" w:line="16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Company and certain additional investors entered into an Exchange Agreement, dated as of March 19, 2020 (as amended from time to time, the “Exchange Agreement”), pursuant to which such investors have agreed to exchange certain warrants held by such investor for shares of Common Stock pursuant to the terms of the Exchange Agreement;</w:t>
      </w:r>
    </w:p>
    <w:p>
      <w:pPr>
        <w:spacing w:after="0" w:line="18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WHEREAS, the consummation of the transactions contemplated by the Exchange Agreement requires (i) the affirmative vote of the majority of the votes cast at a duly called meeting of the holders of a majority in voting power of the Company’s voting stock entitled to vote thereon pursuant to Nasdaq Listing Rule 5635(d) and (ii) the affirmative vote of the majority of the shares of Common Stock outstanding on the record date to increase the Company’s authorized shares;</w:t>
      </w:r>
    </w:p>
    <w:p>
      <w:pPr>
        <w:spacing w:after="0" w:line="18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Company and the Stockholder have agreed that the voting power of the Subject Shares will be subject to the restrictions set forth in this Agreement from the date hereof through the date on which this Agreement is terminated in accordance with its terms (such period, the “</w:t>
      </w:r>
      <w:r>
        <w:rPr>
          <w:rFonts w:ascii="Arial" w:cs="Arial" w:eastAsia="Arial" w:hAnsi="Arial"/>
          <w:sz w:val="18"/>
          <w:szCs w:val="18"/>
          <w:u w:val="single" w:color="auto"/>
          <w:color w:val="auto"/>
        </w:rPr>
        <w:t>Voting Period</w:t>
      </w:r>
      <w:r>
        <w:rPr>
          <w:rFonts w:ascii="Arial" w:cs="Arial" w:eastAsia="Arial" w:hAnsi="Arial"/>
          <w:sz w:val="18"/>
          <w:szCs w:val="18"/>
          <w:color w:val="auto"/>
        </w:rPr>
        <w:t>”);</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the Company and the Stockholder have agreed that the Stockholder will not transfer the Subject Shares from the date hereof through the earlier of (a) the initial record date set for the matters specified in Section 2.1 hereof or (b) March 31, 2020 (such period, the “</w:t>
      </w:r>
      <w:r>
        <w:rPr>
          <w:rFonts w:ascii="Arial" w:cs="Arial" w:eastAsia="Arial" w:hAnsi="Arial"/>
          <w:sz w:val="18"/>
          <w:szCs w:val="18"/>
          <w:u w:val="single" w:color="auto"/>
          <w:color w:val="auto"/>
        </w:rPr>
        <w:t>Restricted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Period</w:t>
      </w:r>
      <w:r>
        <w:rPr>
          <w:rFonts w:ascii="Arial" w:cs="Arial" w:eastAsia="Arial" w:hAnsi="Arial"/>
          <w:sz w:val="18"/>
          <w:szCs w:val="18"/>
          <w:color w:val="auto"/>
        </w:rPr>
        <w:t>”); and</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WHEREAS, as an inducement to each Purchaser’s willingness to enter into the Purchase Agreement and the Exchange Agreement and consummate the transactions contemplated thereby, transactions from which the Stockholder believes it will each derive substantial benefits through its ownership interests in the Company, the Stockholder is entering into this Agreement.</w:t>
      </w:r>
    </w:p>
    <w:p>
      <w:pPr>
        <w:spacing w:after="0" w:line="184"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NOW, THEREFORE, in consideration of the foregoing and the respective representations, warranties, covenants and agreements set forth herein, the parties agree as follows: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Capitalized Terms</w:t>
      </w:r>
      <w:r>
        <w:rPr>
          <w:rFonts w:ascii="Arial" w:cs="Arial" w:eastAsia="Arial" w:hAnsi="Arial"/>
          <w:sz w:val="18"/>
          <w:szCs w:val="18"/>
          <w:color w:val="auto"/>
        </w:rPr>
        <w:t>. For purposes of this Agreement, capitalized terms used and not defined herein shall have the respective meanings ascribed to them in the Purchase Agreement or Exchange Agreement, as applicable.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VOTING AGREEMENT</w:t>
      </w:r>
    </w:p>
    <w:p>
      <w:pPr>
        <w:spacing w:after="0" w:line="22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2.1 </w:t>
      </w:r>
      <w:r>
        <w:rPr>
          <w:rFonts w:ascii="Arial" w:cs="Arial" w:eastAsia="Arial" w:hAnsi="Arial"/>
          <w:sz w:val="16"/>
          <w:szCs w:val="16"/>
          <w:u w:val="single" w:color="auto"/>
          <w:color w:val="auto"/>
        </w:rPr>
        <w:t>Agreement to Vote</w:t>
      </w:r>
      <w:r>
        <w:rPr>
          <w:rFonts w:ascii="Arial" w:cs="Arial" w:eastAsia="Arial" w:hAnsi="Arial"/>
          <w:sz w:val="16"/>
          <w:szCs w:val="16"/>
          <w:color w:val="auto"/>
        </w:rPr>
        <w:t>. Each Stockholder hereby agrees that, during the Voting Period, such Stockholder shall, if a meeting of stockholders of the Company is held, appear at the meeting, in person or by proxy, and vote (or cause to be voted), and if an action is to be taken by written consent in lieu of a meeting, provide a written consent, in respect of all its Subject Shares, in each case (i) in favor of (A) any proposal to adopt and approve or reapprove the Purchase Agreement, the Exchange Agreement and the transactions contemplated thereby and (B) waiving any notice requirements applicable to the Purchase Agreement, the Exchange Agreement or any of the transactions contemplated thereby pursuant to the Company’s organizational documents or applicable law, and (ii) against (X) any action or agreement that would reasonably be expected to prevent or materially delay the consummation of the transactions contemplated by the Purchase Agreement and the Exchange Agreement and (Y) any action, proposal, transaction or agreement that is intended or would result in a breach in any material respect of any covenant, representation or warranty or any other obligation or agreement of the Company under the Purchase Agreement or Exchange Agreement or the Stockholder under this Agreement.</w:t>
      </w:r>
    </w:p>
    <w:p>
      <w:pPr>
        <w:spacing w:after="0" w:line="166"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Grant of Irrevocable Proxy</w:t>
      </w:r>
      <w:r>
        <w:rPr>
          <w:rFonts w:ascii="Arial" w:cs="Arial" w:eastAsia="Arial" w:hAnsi="Arial"/>
          <w:sz w:val="16"/>
          <w:szCs w:val="16"/>
          <w:color w:val="auto"/>
        </w:rPr>
        <w:t xml:space="preserve">. If requested by the Company, each Stockholder shall appoint a designee selected by the Company, as such Stockholder’s proxy, with full power of substitution and resubstitution, to vote during the Voting Period with respect to any and all of the Subject Shares on the matters and in the manner specified in </w:t>
      </w:r>
      <w:r>
        <w:rPr>
          <w:rFonts w:ascii="Arial" w:cs="Arial" w:eastAsia="Arial" w:hAnsi="Arial"/>
          <w:sz w:val="16"/>
          <w:szCs w:val="16"/>
          <w:u w:val="single" w:color="auto"/>
          <w:color w:val="auto"/>
        </w:rPr>
        <w:t>Section 2.1</w:t>
      </w:r>
      <w:r>
        <w:rPr>
          <w:rFonts w:ascii="Arial" w:cs="Arial" w:eastAsia="Arial" w:hAnsi="Arial"/>
          <w:sz w:val="16"/>
          <w:szCs w:val="16"/>
          <w:color w:val="auto"/>
        </w:rPr>
        <w:t xml:space="preserve">. Each Stockholder shall take all further action or execute such other instruments as may be necessary to effectuate the intent of any such proxy. Each Stockholder affirms that any irrevocable proxy given by it with respect to the Purchase Agreement, the Exchange Agreement and the transactions contemplated thereby shall be given to the Company’s designee by such Stockholder to secure the performance of the obligations of such Stockholder under this Agreement. It is agreed that the Company’s designee (and its officers on behalf of the Company) will use the irrevocable proxy that may be granted by the Stockholder only in accordance with applicable law and that, to the extent the Company’s designee (and its officers on behalf of the Company) uses any such irrevocable proxy, it will only vote the Subject Shares subject to such irrevocable proxy with respect to the matters specified in, and in accordance with the provisions of, </w:t>
      </w:r>
      <w:r>
        <w:rPr>
          <w:rFonts w:ascii="Arial" w:cs="Arial" w:eastAsia="Arial" w:hAnsi="Arial"/>
          <w:sz w:val="16"/>
          <w:szCs w:val="16"/>
          <w:u w:val="single" w:color="auto"/>
          <w:color w:val="auto"/>
        </w:rPr>
        <w:t>Section 2.1</w:t>
      </w:r>
      <w:r>
        <w:rPr>
          <w:rFonts w:ascii="Arial" w:cs="Arial" w:eastAsia="Arial" w:hAnsi="Arial"/>
          <w:sz w:val="16"/>
          <w:szCs w:val="16"/>
          <w:color w:val="auto"/>
        </w:rPr>
        <w:t>.</w:t>
      </w:r>
    </w:p>
    <w:p>
      <w:pPr>
        <w:spacing w:after="0" w:line="166"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2.3 </w:t>
      </w:r>
      <w:r>
        <w:rPr>
          <w:rFonts w:ascii="Arial" w:cs="Arial" w:eastAsia="Arial" w:hAnsi="Arial"/>
          <w:sz w:val="17"/>
          <w:szCs w:val="17"/>
          <w:u w:val="single" w:color="auto"/>
          <w:color w:val="auto"/>
        </w:rPr>
        <w:t>Nature of Irrevocable Proxy</w:t>
      </w:r>
      <w:r>
        <w:rPr>
          <w:rFonts w:ascii="Arial" w:cs="Arial" w:eastAsia="Arial" w:hAnsi="Arial"/>
          <w:sz w:val="17"/>
          <w:szCs w:val="17"/>
          <w:color w:val="auto"/>
        </w:rPr>
        <w:t xml:space="preserve">. Any proxy granted pursuant to </w:t>
      </w:r>
      <w:r>
        <w:rPr>
          <w:rFonts w:ascii="Arial" w:cs="Arial" w:eastAsia="Arial" w:hAnsi="Arial"/>
          <w:sz w:val="17"/>
          <w:szCs w:val="17"/>
          <w:u w:val="single" w:color="auto"/>
          <w:color w:val="auto"/>
        </w:rPr>
        <w:t>Section 2.2</w:t>
      </w:r>
      <w:r>
        <w:rPr>
          <w:rFonts w:ascii="Arial" w:cs="Arial" w:eastAsia="Arial" w:hAnsi="Arial"/>
          <w:sz w:val="17"/>
          <w:szCs w:val="17"/>
          <w:color w:val="auto"/>
        </w:rPr>
        <w:t xml:space="preserve"> to the Company’s designee by a Stockholder shall be irrevocable during the term of this Agreement, shall be deemed to be coupled with an interest sufficient in law to support an irrevocable proxy and shall revoke any and all prior proxies or powers of attorney granted by such Stockholder and no subsequent proxy or power of attorney shall be given or written consent executed (and if given or executed, shall not be effective) by such Stockholder with respect thereto. Any proxy that may be granted hereunder shall terminate upon the termination of this Agreement, but shall survive the death or incapacity of such Stockholder and any obligation of such Stockholder under this Agreement shall be binding upon the heirs, personal representatives and successors of such Stockholder.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29"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3.1</w:t>
      </w:r>
      <w:r>
        <w:rPr>
          <w:sz w:val="20"/>
          <w:szCs w:val="20"/>
          <w:color w:val="auto"/>
        </w:rPr>
        <w:tab/>
      </w:r>
      <w:r>
        <w:rPr>
          <w:rFonts w:ascii="Arial" w:cs="Arial" w:eastAsia="Arial" w:hAnsi="Arial"/>
          <w:sz w:val="15"/>
          <w:szCs w:val="15"/>
          <w:u w:val="single" w:color="auto"/>
          <w:color w:val="auto"/>
        </w:rPr>
        <w:t>Subject Shares</w:t>
      </w:r>
      <w:r>
        <w:rPr>
          <w:rFonts w:ascii="Arial" w:cs="Arial" w:eastAsia="Arial" w:hAnsi="Arial"/>
          <w:sz w:val="15"/>
          <w:szCs w:val="15"/>
          <w:color w:val="auto"/>
        </w:rPr>
        <w:t>.</w:t>
      </w:r>
    </w:p>
    <w:p>
      <w:pPr>
        <w:spacing w:after="0" w:line="225" w:lineRule="exact"/>
        <w:rPr>
          <w:sz w:val="20"/>
          <w:szCs w:val="20"/>
          <w:color w:val="auto"/>
        </w:rPr>
      </w:pPr>
    </w:p>
    <w:p>
      <w:pPr>
        <w:jc w:val="both"/>
        <w:ind w:firstLine="1304"/>
        <w:spacing w:after="0" w:line="285" w:lineRule="auto"/>
        <w:tabs>
          <w:tab w:leader="none" w:pos="1867" w:val="left"/>
        </w:tabs>
        <w:numPr>
          <w:ilvl w:val="0"/>
          <w:numId w:val="82"/>
        </w:numPr>
        <w:rPr>
          <w:rFonts w:ascii="Arial" w:cs="Arial" w:eastAsia="Arial" w:hAnsi="Arial"/>
          <w:sz w:val="16"/>
          <w:szCs w:val="16"/>
          <w:color w:val="auto"/>
        </w:rPr>
      </w:pPr>
      <w:r>
        <w:rPr>
          <w:rFonts w:ascii="Arial" w:cs="Arial" w:eastAsia="Arial" w:hAnsi="Arial"/>
          <w:sz w:val="16"/>
          <w:szCs w:val="16"/>
          <w:color w:val="auto"/>
        </w:rPr>
        <w:t>Each Stockholder agrees that during the Restricted Period, it shall not, and shall not commit or agree to, without the Company’s prior written consent, (i) directly or indirectly, whether by merger, consolidation or otherwise, offer for sale, sell (including short sales), transfer, tender, pledge, encumber, assign or otherwise dispose of (including by gift or by operation of law) (collectively, a “</w:t>
      </w:r>
      <w:r>
        <w:rPr>
          <w:rFonts w:ascii="Arial" w:cs="Arial" w:eastAsia="Arial" w:hAnsi="Arial"/>
          <w:sz w:val="16"/>
          <w:szCs w:val="16"/>
          <w:u w:val="single" w:color="auto"/>
          <w:color w:val="auto"/>
        </w:rPr>
        <w:t>Transfer</w:t>
      </w:r>
      <w:r>
        <w:rPr>
          <w:rFonts w:ascii="Arial" w:cs="Arial" w:eastAsia="Arial" w:hAnsi="Arial"/>
          <w:sz w:val="16"/>
          <w:szCs w:val="16"/>
          <w:color w:val="auto"/>
        </w:rPr>
        <w:t xml:space="preserve">”), or enter into any contract, option, derivative, hedging or other agreement or arrangement or understanding (including any profit-sharing arrangement, through the granting of any proxies or powers of attorney, in connection with a voting trust or voting agreement or by operation of Law) with respect to, or consent to or permit, a Transfer of, any or all of the Subject Shares or any interest therein or (ii) take any action inconsistent with this Agreement, the Purchase Agreement, the Exchange Agreement or the transactions contemplated hereby or thereby (including by granting of any proxy or power of attorney with respect to the Subject Shares (other than the proxy contemplated by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or agreeing to divest itself of the voting power with respect to its Subject Shares or vote its Subject Shares on any matter in a manner that would be inconsistent with its obligations under this Agreement). Notwithstanding the foregoing, this Section 3(a) shall not prohibit a Transfer of the Subject Shares by the Stockholder to an Affiliate of the Stockholder; </w:t>
      </w:r>
      <w:r>
        <w:rPr>
          <w:rFonts w:ascii="Arial" w:cs="Arial" w:eastAsia="Arial" w:hAnsi="Arial"/>
          <w:sz w:val="16"/>
          <w:szCs w:val="16"/>
          <w:i w:val="1"/>
          <w:iCs w:val="1"/>
          <w:color w:val="auto"/>
        </w:rPr>
        <w:t>provided</w:t>
      </w:r>
      <w:r>
        <w:rPr>
          <w:rFonts w:ascii="Arial" w:cs="Arial" w:eastAsia="Arial" w:hAnsi="Arial"/>
          <w:sz w:val="16"/>
          <w:szCs w:val="16"/>
          <w:color w:val="auto"/>
        </w:rPr>
        <w:t>, that a Transfer referred to in this sentence shall be permitted only if, as a precondition to such Transfer, the transferee agrees in a writing, reasonably satisfactory in form and substance to the Company, to be bound by all of the terms of this Agreement. Each Stockholder agrees that any Transfer of Subject Shares not permitted hereby shall be null and void and that any such prohibited Transfer shall be enjoined. If any involuntary transfer of any Subject Shares covered hereby shall occur (including, but not limited to, a sale by any Stockholder’s trustee in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304"/>
        <w:spacing w:after="0" w:line="254" w:lineRule="auto"/>
        <w:tabs>
          <w:tab w:leader="none" w:pos="2032"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the event of a stock dividend or distribution, or any change in the Subject Shares by reason of any stock dividend or distribution, split-up, recapitalization, combination, conversion, exchange of shares or the like, the term “Subject Shares” shall be deemed to refer to and include the Subject Shares as well as all such stock dividends and distributions and any securities into which or for which any or all of the Subject Shares may be changed or exchanged or which are received in such transaction. Each Stockholder further agrees that, in the event such Stockholder purchases or otherwise acquires beneficial or record ownership of or an interest in, or acquires the right to vote or share in the voting of, any additional Common Shares, in each case after the execution of this Agreement, then any such additional Common Shares shall be subject to the terms of this Agreement, including all covenants, agreements, obligations, representations and warranties set forth herein as if those additional shares were owned by such Stockholder on the date of this Agreement.</w:t>
      </w:r>
    </w:p>
    <w:p>
      <w:pPr>
        <w:spacing w:after="0" w:line="192"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3.2 </w:t>
      </w:r>
      <w:r>
        <w:rPr>
          <w:rFonts w:ascii="Arial" w:cs="Arial" w:eastAsia="Arial" w:hAnsi="Arial"/>
          <w:sz w:val="17"/>
          <w:szCs w:val="17"/>
          <w:u w:val="single" w:color="auto"/>
          <w:color w:val="auto"/>
        </w:rPr>
        <w:t>Capacity</w:t>
      </w:r>
      <w:r>
        <w:rPr>
          <w:rFonts w:ascii="Arial" w:cs="Arial" w:eastAsia="Arial" w:hAnsi="Arial"/>
          <w:sz w:val="17"/>
          <w:szCs w:val="17"/>
          <w:color w:val="auto"/>
        </w:rPr>
        <w:t>. All agreements and understandings made herein shall be made solely in each Stockholder’s capacity as a holder of the Subject Shares and not in any other capacity. For the avoidance of doubt, notwithstanding anything to the contrary in this Agreement, the parties acknowledge that if a Stockholder has a nominee or Affiliate on the Company’s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the parties agree that (i) such nominee or Affiliate of such Stockholder on the Board (each, a “</w:t>
      </w:r>
      <w:r>
        <w:rPr>
          <w:rFonts w:ascii="Arial" w:cs="Arial" w:eastAsia="Arial" w:hAnsi="Arial"/>
          <w:sz w:val="17"/>
          <w:szCs w:val="17"/>
          <w:u w:val="single" w:color="auto"/>
          <w:color w:val="auto"/>
        </w:rPr>
        <w:t>Stockholder Designee</w:t>
      </w:r>
      <w:r>
        <w:rPr>
          <w:rFonts w:ascii="Arial" w:cs="Arial" w:eastAsia="Arial" w:hAnsi="Arial"/>
          <w:sz w:val="17"/>
          <w:szCs w:val="17"/>
          <w:color w:val="auto"/>
        </w:rPr>
        <w:t>”) shall be free to act in his/her capacity as a director of the Company solely in accordance with his/her duties to the Company and its stockholders, (ii) nothing herein shall prohibit or restrict any Stockholder Designee from taking any action (or omitting to take any action) in facilitation of the exercise of his/her fiduciary duties pursuant to and in accordance with the Purchase Agreement or otherwise and (iii) no action taken by a Stockholder Designee or the omission by a Stockholder Designee to take any action, acting in his or her capacity as a director of the Company, shall be deemed to be a breach by such Stockholder of this Agreement..</w:t>
      </w:r>
    </w:p>
    <w:p>
      <w:pPr>
        <w:spacing w:after="0" w:line="178" w:lineRule="exact"/>
        <w:rPr>
          <w:sz w:val="20"/>
          <w:szCs w:val="20"/>
          <w:color w:val="auto"/>
        </w:rPr>
      </w:pPr>
    </w:p>
    <w:p>
      <w:pPr>
        <w:ind w:left="1300"/>
        <w:spacing w:after="0"/>
        <w:tabs>
          <w:tab w:leader="none" w:pos="2540" w:val="left"/>
        </w:tabs>
        <w:rPr>
          <w:sz w:val="20"/>
          <w:szCs w:val="20"/>
          <w:color w:val="auto"/>
        </w:rPr>
      </w:pPr>
      <w:r>
        <w:rPr>
          <w:rFonts w:ascii="Arial" w:cs="Arial" w:eastAsia="Arial" w:hAnsi="Arial"/>
          <w:sz w:val="18"/>
          <w:szCs w:val="18"/>
          <w:color w:val="auto"/>
        </w:rPr>
        <w:t>SECTION 3.3</w:t>
      </w:r>
      <w:r>
        <w:rPr>
          <w:sz w:val="20"/>
          <w:szCs w:val="20"/>
          <w:color w:val="auto"/>
        </w:rPr>
        <w:tab/>
      </w:r>
      <w:r>
        <w:rPr>
          <w:rFonts w:ascii="Arial" w:cs="Arial" w:eastAsia="Arial" w:hAnsi="Arial"/>
          <w:sz w:val="16"/>
          <w:szCs w:val="16"/>
          <w:u w:val="single" w:color="auto"/>
          <w:color w:val="auto"/>
        </w:rPr>
        <w:t>[Reserved]</w:t>
      </w:r>
    </w:p>
    <w:p>
      <w:pPr>
        <w:spacing w:after="0" w:line="225"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Communications</w:t>
      </w:r>
      <w:r>
        <w:rPr>
          <w:rFonts w:ascii="Arial" w:cs="Arial" w:eastAsia="Arial" w:hAnsi="Arial"/>
          <w:sz w:val="17"/>
          <w:szCs w:val="17"/>
          <w:color w:val="auto"/>
        </w:rPr>
        <w:t>. During the Voting Period, each Stockholder shall not, and shall use its commercially reasonable efforts to cause its representatives, if any, not to, make any press release, public announcement or other public communication that criticizes or disparages this Agreement, the Purchase Agreement, the Exchange Agreement or any of the transactions contemplated hereby and thereby, without the prior written consent of the Company, provided that the foregoing shall not limit or affect any actions taken by such Stockholder that would be permitted to be taken by the Company pursuant to the terms of the Purchase Agreement or Exchange Agreement, or any Affiliate of such Stockholder who is a director, officer or employee of the Company from taking any action in his or her capacity as a director, officer or employee of the Company, including making any filings with the SEC in connection with the Purchase Agreement, the Exchange Agreement or any of the transactions contemplated thereby. Each Stockholder hereby consents to and authorizes the publication and disclosure by the Company in any publicly filed documents relating to the Purchase Agreement, the Exchange Agreement or the transactions contemplated thereby of: (a) such Stockholder’s identity; (b) such Stockholder’s ownership of the Subject Shares; and (c) the nature of such Stockholder’s commitments, arrangements and understandings under this Agreement, and any other information that the Company reasonably determines to be necessary in any SEC disclosure document in connection with the Purchase Agreement, the Exchange Agreement or any transactions contemplated thereby.</w:t>
      </w:r>
    </w:p>
    <w:p>
      <w:pPr>
        <w:spacing w:after="0" w:line="179"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Voting Trusts</w:t>
      </w:r>
      <w:r>
        <w:rPr>
          <w:rFonts w:ascii="Arial" w:cs="Arial" w:eastAsia="Arial" w:hAnsi="Arial"/>
          <w:sz w:val="18"/>
          <w:szCs w:val="18"/>
          <w:color w:val="auto"/>
        </w:rPr>
        <w:t>. Each Stockholder agrees that it will not, nor will it permit any entity under its control to, deposit any of its Subject Shares in a voting trust or subject any of its Subject Shares to any arrangement with respect to the voting of such Subject Shares other than as provided herein.</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5"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REPRESENTATIONS AND WARRANTIES OF STOCKHOLDER</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Stockholder hereby represents and warrants to the Company as follows:</w:t>
      </w:r>
    </w:p>
    <w:p>
      <w:pPr>
        <w:spacing w:after="0" w:line="225"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SECTION 4.1 </w:t>
      </w:r>
      <w:r>
        <w:rPr>
          <w:rFonts w:ascii="Arial" w:cs="Arial" w:eastAsia="Arial" w:hAnsi="Arial"/>
          <w:sz w:val="17"/>
          <w:szCs w:val="17"/>
          <w:u w:val="single" w:color="auto"/>
          <w:color w:val="auto"/>
        </w:rPr>
        <w:t>Due Authorization, etc</w:t>
      </w:r>
      <w:r>
        <w:rPr>
          <w:rFonts w:ascii="Arial" w:cs="Arial" w:eastAsia="Arial" w:hAnsi="Arial"/>
          <w:sz w:val="17"/>
          <w:szCs w:val="17"/>
          <w:color w:val="auto"/>
        </w:rPr>
        <w:t>. Such Stockholder is an entity duly organized, validly existing and in good standing under the laws of its State of organization. Such Stockholder has all necessary power and authority to execute and deliver this Agreement and to consummate the transactions contemplated hereby. The execution and delivery of this Agreement and the consummation of the transactions contemplated hereby by such Stockholder have been duly authorized by all necessary action on the part of such Stockholder and no other proceedings on the part of such Stockholder are necessary to authorize this Agreement, or to consummate the transactions contemplated hereby. This Agreement has been duly executed and delivered by such Stockholder and (assuming the due authorization, execution and delivery by the Company) constitutes a valid and binding obligation of such Stockholder, enforceable against such Stockholder in accordance with its terms.</w:t>
      </w:r>
    </w:p>
    <w:p>
      <w:pPr>
        <w:spacing w:after="0" w:line="17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Ownership of Shares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sets forth opposite such Stockholder’s name the Common Shares over which such Stockholder has record and beneficial ownership as of the date hereof. As of the date hereof, such Stockholder is the lawful owner of the Common Shares denoted as being owned by such Stockholder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 has the sole power to vote or cause to be voted such Common Shares and the sole power to dispose of or cause to be disposed such Common Shares. Such Stockholder has good and valid title to the Common Shares denoted as being owned by such Stockholder on </w:t>
      </w:r>
      <w:r>
        <w:rPr>
          <w:rFonts w:ascii="Arial" w:cs="Arial" w:eastAsia="Arial" w:hAnsi="Arial"/>
          <w:sz w:val="18"/>
          <w:szCs w:val="18"/>
          <w:u w:val="single" w:color="auto"/>
          <w:color w:val="auto"/>
        </w:rPr>
        <w:t>Schedule I</w:t>
      </w:r>
      <w:r>
        <w:rPr>
          <w:rFonts w:ascii="Arial" w:cs="Arial" w:eastAsia="Arial" w:hAnsi="Arial"/>
          <w:sz w:val="18"/>
          <w:szCs w:val="18"/>
          <w:color w:val="auto"/>
        </w:rPr>
        <w:t xml:space="preserve"> hereto.</w:t>
      </w:r>
    </w:p>
    <w:p>
      <w:pPr>
        <w:spacing w:after="0" w:line="188"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SECTION 4.3 </w:t>
      </w:r>
      <w:r>
        <w:rPr>
          <w:rFonts w:ascii="Arial" w:cs="Arial" w:eastAsia="Arial" w:hAnsi="Arial"/>
          <w:sz w:val="16"/>
          <w:szCs w:val="16"/>
          <w:u w:val="single" w:color="auto"/>
          <w:color w:val="auto"/>
        </w:rPr>
        <w:t>No Conflicts</w:t>
      </w:r>
      <w:r>
        <w:rPr>
          <w:rFonts w:ascii="Arial" w:cs="Arial" w:eastAsia="Arial" w:hAnsi="Arial"/>
          <w:sz w:val="16"/>
          <w:szCs w:val="16"/>
          <w:color w:val="auto"/>
        </w:rPr>
        <w:t>. Except as contemplated by the Purchase Agreement or the Exchange Agreement and for the applicable requirements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 no filing with any governmental entity is necessary for the execution of this Agreement by such Stockholder and (b) none of the execution and delivery of this Agreement by such Stockholder, the consummation by such Stockholder of the transactions contemplated hereby or compliance by such Stockholder with any of the provisions hereof shall (i) conflict with or result in any breach of any of the organizational documents of such Stockholder, (ii) result in, or give rise to, a violation or breach of or a default under any of the terms of any contract to which such Stockholder is a party or by which such Stockholder or any of the Subject Shares or its assets may be bound, or</w:t>
      </w:r>
    </w:p>
    <w:p>
      <w:pPr>
        <w:spacing w:after="0" w:line="4" w:lineRule="exact"/>
        <w:rPr>
          <w:sz w:val="20"/>
          <w:szCs w:val="20"/>
          <w:color w:val="auto"/>
        </w:rPr>
      </w:pPr>
    </w:p>
    <w:p>
      <w:pPr>
        <w:ind w:right="20" w:firstLine="8"/>
        <w:spacing w:after="0" w:line="260" w:lineRule="auto"/>
        <w:tabs>
          <w:tab w:leader="none" w:pos="341" w:val="left"/>
        </w:tabs>
        <w:numPr>
          <w:ilvl w:val="0"/>
          <w:numId w:val="84"/>
        </w:numPr>
        <w:rPr>
          <w:rFonts w:ascii="Arial" w:cs="Arial" w:eastAsia="Arial" w:hAnsi="Arial"/>
          <w:sz w:val="18"/>
          <w:szCs w:val="18"/>
          <w:color w:val="auto"/>
        </w:rPr>
      </w:pPr>
      <w:r>
        <w:rPr>
          <w:rFonts w:ascii="Arial" w:cs="Arial" w:eastAsia="Arial" w:hAnsi="Arial"/>
          <w:sz w:val="18"/>
          <w:szCs w:val="18"/>
          <w:color w:val="auto"/>
        </w:rPr>
        <w:t>violate any law, except for any of the foregoing as would not reasonably be expected to impair such Stockholder’s ability to perform any of its obligations under this Agreement.</w:t>
      </w:r>
    </w:p>
    <w:p>
      <w:pPr>
        <w:spacing w:after="0" w:line="18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Finder’s Fees</w:t>
      </w:r>
      <w:r>
        <w:rPr>
          <w:rFonts w:ascii="Arial" w:cs="Arial" w:eastAsia="Arial" w:hAnsi="Arial"/>
          <w:sz w:val="18"/>
          <w:szCs w:val="18"/>
          <w:color w:val="auto"/>
        </w:rPr>
        <w:t>. No investment banker, broker, finder or other intermediary is entitled to a fee or commission from the Company in respect of this Agreement based upon any contract made by or on behalf of such Stockholder, solely in such Stockholder’s capacity as a stockholder of the Company.</w:t>
      </w:r>
    </w:p>
    <w:p>
      <w:pPr>
        <w:spacing w:after="0" w:line="184"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No Litigation</w:t>
      </w:r>
      <w:r>
        <w:rPr>
          <w:rFonts w:ascii="Arial" w:cs="Arial" w:eastAsia="Arial" w:hAnsi="Arial"/>
          <w:sz w:val="18"/>
          <w:szCs w:val="18"/>
          <w:color w:val="auto"/>
        </w:rPr>
        <w:t>. As of the date of this Agreement, there is no Proceeding pending or, to the knowledge of such Stockholder, threatened against such Stockholder that would reasonably be expected to impair the ability of such Stockholder to perform its obligations hereunder or consummate the transactions contemplated hereby.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5"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REPRESENTATIONS AND WARRANTIES OF THE COMPANY</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Company hereby represents and warrants to the Stockholder as follows:</w:t>
      </w:r>
    </w:p>
    <w:p>
      <w:pPr>
        <w:spacing w:after="0" w:line="22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Due Organization, etc</w:t>
      </w:r>
      <w:r>
        <w:rPr>
          <w:rFonts w:ascii="Arial" w:cs="Arial" w:eastAsia="Arial" w:hAnsi="Arial"/>
          <w:sz w:val="18"/>
          <w:szCs w:val="18"/>
          <w:color w:val="auto"/>
        </w:rPr>
        <w:t>. The Company is a corporation duly organized under the laws of its State of organization. The Company has all necessary corporate power and authority to execute and deliver this Agreement and to consummate the transactions contemplated hereby. The execution and delivery of this Agreement and the consummation of the transactions contemplated hereby by the Company have been duly authorized by all necessary action on the part of the Company and no other proceedings on the part of the Company are necessary to authorize this Agreement, or to consummate the transactions contemplated hereby. This Agreement has been duly executed and delivered by the Company and (assuming the due authorization, execution and delivery by each of the Stockholder Parties) constitutes a valid and binding obligation of the Company, enforceable against the Company in accordance with its terms.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1296"/>
        <w:spacing w:after="0" w:line="291" w:lineRule="auto"/>
        <w:rPr>
          <w:sz w:val="20"/>
          <w:szCs w:val="20"/>
          <w:color w:val="auto"/>
        </w:rPr>
      </w:pPr>
      <w:r>
        <w:rPr>
          <w:rFonts w:ascii="Arial" w:cs="Arial" w:eastAsia="Arial" w:hAnsi="Arial"/>
          <w:sz w:val="16"/>
          <w:szCs w:val="16"/>
          <w:color w:val="auto"/>
        </w:rPr>
        <w:t xml:space="preserve">SECTION 5.2 </w:t>
      </w:r>
      <w:r>
        <w:rPr>
          <w:rFonts w:ascii="Arial" w:cs="Arial" w:eastAsia="Arial" w:hAnsi="Arial"/>
          <w:sz w:val="16"/>
          <w:szCs w:val="16"/>
          <w:u w:val="single" w:color="auto"/>
          <w:color w:val="auto"/>
        </w:rPr>
        <w:t>No Conflicts</w:t>
      </w:r>
      <w:r>
        <w:rPr>
          <w:rFonts w:ascii="Arial" w:cs="Arial" w:eastAsia="Arial" w:hAnsi="Arial"/>
          <w:sz w:val="16"/>
          <w:szCs w:val="16"/>
          <w:color w:val="auto"/>
        </w:rPr>
        <w:t>. Except as contemplated by the Purchase Agreement or the Exchange Agreement and for the applicable requirements of the Exchange Act, (a) no filing with any Governmental Entity, and no authorization, consent or approval of any other person is necessary for the execution of this Agreement by the Company and (b) none of the execution and delivery of this Agreement by the Company, the consummation by the Company of the transactions contemplated hereby or compliance by the Company with any of the provisions hereof shall (i) conflict with or result in any breach of the organizational documents of the Company, (ii) result in, or give rise to, a violation or breach of or a default under any of the terms of any contract to which the Company is a party or by which the Company or any of its assets may be bound or (iii) violate any law, except for any of the foregoing as would not reasonably be expected to impair the Company’s ability to perform its obligations under this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6.1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and neither the Company nor the Stockholder shall have any rights or obligations hereunder and this Agreement shall become null and void and have no effect upon the earliest to occur of: (a) the mutual written consent of the Company and the Stockholder, (b) the Closing under the Exchange Agreement, or (c) the termination of the Exchange Agreement in accordance with its terms. The parties acknowledge that upon termination of this Agreement as permitted under and in accordance with the terms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no party to this Agreement shall have the right to recover any claim with respect to any losses suffered by such party in connection with such termination, except that, subject to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the termination of this Agreement shall not relieve either party to this Agreement from liability for such party’s intentional breach of any terms of this Agreement. Notwithstanding anything to the contrary herein, the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VII</w:t>
      </w:r>
      <w:r>
        <w:rPr>
          <w:rFonts w:ascii="Arial" w:cs="Arial" w:eastAsia="Arial" w:hAnsi="Arial"/>
          <w:sz w:val="16"/>
          <w:szCs w:val="16"/>
          <w:color w:val="auto"/>
        </w:rPr>
        <w:t xml:space="preserve"> shall survive the termination of this Agreement. Notwithstanding anything contained herein to the contrary, nothing in this Agreement shall be deemed to constitute a waiver, modification or amendment to any rights or remedies any party may have under the Purchase Agreement or the Exchange Agreement.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0C0C0C"/>
        </w:rPr>
        <w:t>Further Actions</w:t>
      </w:r>
      <w:r>
        <w:rPr>
          <w:rFonts w:ascii="Arial" w:cs="Arial" w:eastAsia="Arial" w:hAnsi="Arial"/>
          <w:sz w:val="18"/>
          <w:szCs w:val="18"/>
          <w:color w:val="0C0C0C"/>
        </w:rPr>
        <w:t>.</w:t>
      </w:r>
      <w:r>
        <w:rPr>
          <w:rFonts w:ascii="Arial" w:cs="Arial" w:eastAsia="Arial" w:hAnsi="Arial"/>
          <w:sz w:val="18"/>
          <w:szCs w:val="18"/>
          <w:color w:val="auto"/>
        </w:rPr>
        <w:t xml:space="preserve"> Subject to the terms and conditions set forth in this Agreement, </w:t>
      </w:r>
      <w:r>
        <w:rPr>
          <w:rFonts w:ascii="Arial" w:cs="Arial" w:eastAsia="Arial" w:hAnsi="Arial"/>
          <w:sz w:val="18"/>
          <w:szCs w:val="18"/>
          <w:color w:val="0C0C0C"/>
        </w:rPr>
        <w:t>the Stockholder</w:t>
      </w:r>
      <w:r>
        <w:rPr>
          <w:rFonts w:ascii="Arial" w:cs="Arial" w:eastAsia="Arial" w:hAnsi="Arial"/>
          <w:sz w:val="18"/>
          <w:szCs w:val="18"/>
          <w:color w:val="auto"/>
        </w:rPr>
        <w:t xml:space="preserve"> agrees to take any and all actions and to do all things reasonably necessary or appropriate to effectuate this Agreement.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7.2 </w:t>
      </w:r>
      <w:r>
        <w:rPr>
          <w:rFonts w:ascii="Arial" w:cs="Arial" w:eastAsia="Arial" w:hAnsi="Arial"/>
          <w:sz w:val="18"/>
          <w:szCs w:val="18"/>
          <w:u w:val="single" w:color="auto"/>
          <w:color w:val="auto"/>
        </w:rPr>
        <w:t>Fees and Expenses</w:t>
      </w:r>
      <w:r>
        <w:rPr>
          <w:rFonts w:ascii="Arial" w:cs="Arial" w:eastAsia="Arial" w:hAnsi="Arial"/>
          <w:sz w:val="18"/>
          <w:szCs w:val="18"/>
          <w:color w:val="auto"/>
        </w:rPr>
        <w:t>. Except as otherwise specifically provided herein or in the Purchase Agreement or the Exchange Agreement, each party shall bear its own expenses in connection with this Agreement and the transactions contemplated hereby. Notwithstanding the foregoing, in the event that a closing occurs under the Purchase Agreement, the Company shall reimburse the Stockholder for up to $25,000 of documented expenses incurred by the Stockholder in connection with the negotiation of this Agreement, the Purchase Agreement, the Exchange Agreement and the transactions contemplated hereby and thereby.</w:t>
      </w:r>
    </w:p>
    <w:p>
      <w:pPr>
        <w:spacing w:after="0" w:line="18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SECTION 7.3 </w:t>
      </w:r>
      <w:r>
        <w:rPr>
          <w:rFonts w:ascii="Arial" w:cs="Arial" w:eastAsia="Arial" w:hAnsi="Arial"/>
          <w:sz w:val="18"/>
          <w:szCs w:val="18"/>
          <w:u w:val="single" w:color="auto"/>
          <w:color w:val="191919"/>
        </w:rPr>
        <w:t>Amendments, Waivers</w:t>
      </w:r>
      <w:r>
        <w:rPr>
          <w:rFonts w:ascii="Arial" w:cs="Arial" w:eastAsia="Arial" w:hAnsi="Arial"/>
          <w:sz w:val="18"/>
          <w:szCs w:val="18"/>
          <w:u w:val="single" w:color="auto"/>
          <w:color w:val="auto"/>
        </w:rPr>
        <w:t>, etc</w:t>
      </w:r>
      <w:r>
        <w:rPr>
          <w:rFonts w:ascii="Arial" w:cs="Arial" w:eastAsia="Arial" w:hAnsi="Arial"/>
          <w:sz w:val="18"/>
          <w:szCs w:val="18"/>
          <w:color w:val="auto"/>
        </w:rPr>
        <w:t>. This Agreement may not be amended except by an instrument in writing signed by the parties hereto and specifically referencing this Agreement. At any time during the Voting Period, any party hereto may (a) for the benefit of the other parties hereto extend the time for the performance of any of the obligations or other acts of the other parties hereto, (b) waive any inaccuracies in the representations and warranties contained herein or in any document delivered pursuant hereto, and (c) subject to the requirements of applicable law, waive compliance with any of the agreements or conditions contained herein. Any such extension or waiver shall be valid if set forth in an instrument in writing signed by the party or parties to be bound thereby and specifically referencing this Agreement. The failure of any party to assert any rights or remedies shall not constitute a waiver of such rights or remedies</w:t>
      </w:r>
      <w:r>
        <w:rPr>
          <w:rFonts w:ascii="Arial" w:cs="Arial" w:eastAsia="Arial" w:hAnsi="Arial"/>
          <w:sz w:val="18"/>
          <w:szCs w:val="18"/>
          <w:color w:val="262626"/>
        </w:rPr>
        <w:t>.</w:t>
      </w:r>
    </w:p>
    <w:p>
      <w:pPr>
        <w:spacing w:after="0" w:line="195"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7.4 </w:t>
      </w:r>
      <w:r>
        <w:rPr>
          <w:rFonts w:ascii="Arial" w:cs="Arial" w:eastAsia="Arial" w:hAnsi="Arial"/>
          <w:sz w:val="17"/>
          <w:szCs w:val="17"/>
          <w:u w:val="single" w:color="auto"/>
          <w:color w:val="auto"/>
        </w:rPr>
        <w:t>Notices</w:t>
      </w:r>
      <w:r>
        <w:rPr>
          <w:rFonts w:ascii="Arial" w:cs="Arial" w:eastAsia="Arial" w:hAnsi="Arial"/>
          <w:sz w:val="17"/>
          <w:szCs w:val="17"/>
          <w:color w:val="auto"/>
        </w:rPr>
        <w:t>. All notices and other communications hereunder shall be in writing and shall be deemed given if delivered personally, sent via electronic mail (with confirmation), mailed by registered or certified mail (return receipt requested) or delivered by an express courier (with confirmation) to the Parties at the following addresses (or at such other address for a party as may be specified by like notice):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8" w:name="page89"/>
    <w:bookmarkEnd w:id="88"/>
    <w:p>
      <w:pPr>
        <w:ind w:left="660"/>
        <w:spacing w:after="0"/>
        <w:rPr>
          <w:sz w:val="20"/>
          <w:szCs w:val="20"/>
          <w:color w:val="auto"/>
        </w:rPr>
      </w:pPr>
      <w:r>
        <w:rPr>
          <w:rFonts w:ascii="Arial" w:cs="Arial" w:eastAsia="Arial" w:hAnsi="Arial"/>
          <w:sz w:val="16"/>
          <w:szCs w:val="16"/>
          <w:u w:val="single" w:color="auto"/>
          <w:color w:val="auto"/>
        </w:rPr>
        <w:t>If to the Company</w:t>
      </w:r>
      <w:r>
        <w:rPr>
          <w:rFonts w:ascii="Arial" w:cs="Arial" w:eastAsia="Arial" w:hAnsi="Arial"/>
          <w:sz w:val="16"/>
          <w:szCs w:val="16"/>
          <w:color w:val="auto"/>
        </w:rPr>
        <w:t>: XpresSpa Group, Inc., 254 West 31st Street, 11th Floor, New York, New York 10001, Attn: Douglas Satzman, Chief Executive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Officer, E-mail: dsatzman@xpresspa.com, with a copy by electronic mail only to (which shall not constitute notice): Daniel Bagliebter, Esq., 666</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 Avenue, New York, New York 10017, E-mail: dabagliebter@mintz.com.</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If to Stockholder</w:t>
      </w:r>
      <w:r>
        <w:rPr>
          <w:rFonts w:ascii="Arial" w:cs="Arial" w:eastAsia="Arial" w:hAnsi="Arial"/>
          <w:sz w:val="18"/>
          <w:szCs w:val="18"/>
          <w:color w:val="auto"/>
        </w:rPr>
        <w:t>: At the address set forth next to the name of Stockholder on the signature pages hereto.</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Headings</w:t>
      </w:r>
      <w:r>
        <w:rPr>
          <w:rFonts w:ascii="Arial" w:cs="Arial" w:eastAsia="Arial" w:hAnsi="Arial"/>
          <w:sz w:val="18"/>
          <w:szCs w:val="18"/>
          <w:color w:val="auto"/>
        </w:rPr>
        <w:t>. The headings contained in this Agreement are for reference purposes only and shall not affect in any way the meaning or interpretation of this Agreement..</w:t>
      </w:r>
    </w:p>
    <w:p>
      <w:pPr>
        <w:spacing w:after="0" w:line="170" w:lineRule="exact"/>
        <w:rPr>
          <w:sz w:val="20"/>
          <w:szCs w:val="20"/>
          <w:color w:val="auto"/>
        </w:rPr>
      </w:pPr>
    </w:p>
    <w:p>
      <w:pPr>
        <w:jc w:val="both"/>
        <w:ind w:firstLine="1296"/>
        <w:spacing w:after="0" w:line="293"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Severability</w:t>
      </w:r>
      <w:r>
        <w:rPr>
          <w:rFonts w:ascii="Arial" w:cs="Arial" w:eastAsia="Arial" w:hAnsi="Arial"/>
          <w:sz w:val="16"/>
          <w:szCs w:val="16"/>
          <w:color w:val="auto"/>
        </w:rPr>
        <w:t>. The provisions of this Agreement shall be deemed severable and the invalidity or unenforceability of any provision shall not affect the validity or enforceability of the other provisions hereof. If any provision of this Agreement, or the application of such provision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of such provision, in any other jurisdiction.</w:t>
      </w:r>
    </w:p>
    <w:p>
      <w:pPr>
        <w:spacing w:after="0" w:line="164" w:lineRule="exact"/>
        <w:rPr>
          <w:sz w:val="20"/>
          <w:szCs w:val="20"/>
          <w:color w:val="auto"/>
        </w:rPr>
      </w:pPr>
    </w:p>
    <w:p>
      <w:pPr>
        <w:jc w:val="both"/>
        <w:ind w:firstLine="1296"/>
        <w:spacing w:after="0" w:line="288" w:lineRule="auto"/>
        <w:rPr>
          <w:sz w:val="20"/>
          <w:szCs w:val="20"/>
          <w:color w:val="auto"/>
        </w:rPr>
      </w:pPr>
      <w:r>
        <w:rPr>
          <w:rFonts w:ascii="Arial" w:cs="Arial" w:eastAsia="Arial" w:hAnsi="Arial"/>
          <w:sz w:val="16"/>
          <w:szCs w:val="16"/>
          <w:color w:val="auto"/>
        </w:rPr>
        <w:t xml:space="preserve">SECTION 7.7 </w:t>
      </w:r>
      <w:r>
        <w:rPr>
          <w:rFonts w:ascii="Arial" w:cs="Arial" w:eastAsia="Arial" w:hAnsi="Arial"/>
          <w:sz w:val="16"/>
          <w:szCs w:val="16"/>
          <w:u w:val="single" w:color="auto"/>
          <w:color w:val="auto"/>
        </w:rPr>
        <w:t>Entire Agreement; Assignment</w:t>
      </w:r>
      <w:r>
        <w:rPr>
          <w:rFonts w:ascii="Arial" w:cs="Arial" w:eastAsia="Arial" w:hAnsi="Arial"/>
          <w:sz w:val="16"/>
          <w:szCs w:val="16"/>
          <w:color w:val="auto"/>
        </w:rPr>
        <w:t xml:space="preserve">. This Agreement constitutes the entire agreement, and supersedes all other prior agreements and understandings, both written and oral, between the parties, or any of them, with respect to the subject matter hereof. Neither this Agreement nor any of the rights, interests or obligations hereunder shall be assigned by any of the parties hereto (whether by operation of law or otherwise) without the prior written consent of the other parties, except that without consent, the Company may assign all or any of its rights and obligations hereunder to any of its Subsidiaries or Affiliates that assume the rights and obligations of the Company under the Purchase Agreement and the Exchange Agreement. Subject to the preceding two sentences, this Agreement will be binding upon, inure to the benefit of and be enforceable by the parties hereto and their respective successors and permitted assigns. Notwithstanding anything to the contrary set forth herein, each Stockholder agrees that this Agreement and the obligations hereunder shall not be binding upon any Person to which record or beneficial ownership of such Stockholder’s Subject Shares shall pass, whether by operation or law or otherwise, including such Stockholder’s heirs, guardians, administrators or successors and assigns, after the end of the Restricted Period (it being understood that any proxy delivered pursuant to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shall remain in effect in accordance with </w:t>
      </w:r>
      <w:r>
        <w:rPr>
          <w:rFonts w:ascii="Arial" w:cs="Arial" w:eastAsia="Arial" w:hAnsi="Arial"/>
          <w:sz w:val="16"/>
          <w:szCs w:val="16"/>
          <w:u w:val="single" w:color="auto"/>
          <w:color w:val="auto"/>
        </w:rPr>
        <w:t>Section 2.3</w:t>
      </w:r>
      <w:r>
        <w:rPr>
          <w:rFonts w:ascii="Arial" w:cs="Arial" w:eastAsia="Arial" w:hAnsi="Arial"/>
          <w:sz w:val="16"/>
          <w:szCs w:val="16"/>
          <w:color w:val="auto"/>
        </w:rPr>
        <w:t>).</w:t>
      </w:r>
    </w:p>
    <w:p>
      <w:pPr>
        <w:spacing w:after="0" w:line="168"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SECTION 7.8 </w:t>
      </w:r>
      <w:r>
        <w:rPr>
          <w:rFonts w:ascii="Arial" w:cs="Arial" w:eastAsia="Arial" w:hAnsi="Arial"/>
          <w:sz w:val="17"/>
          <w:szCs w:val="17"/>
          <w:u w:val="single" w:color="auto"/>
          <w:color w:val="auto"/>
        </w:rPr>
        <w:t>Parties in Interest</w:t>
      </w:r>
      <w:r>
        <w:rPr>
          <w:rFonts w:ascii="Arial" w:cs="Arial" w:eastAsia="Arial" w:hAnsi="Arial"/>
          <w:sz w:val="17"/>
          <w:szCs w:val="17"/>
          <w:color w:val="auto"/>
        </w:rPr>
        <w:t xml:space="preserve">. This Agreement shall be binding upon and inure solely to the benefit of each party hereto, and nothing in this Agreement, express or implied, is intended to or shall confer upon any other Person any rights, benefits or remedies of any nature whatsoever under or by reason of this Agreement, including the right to rely upon the representations and warranties set forth herein. The representations and warranties in this Agreement are the product of negotiations among the parties hereto and are for the sole benefit of the parties hereto. Any inaccuracies in such representations and warranties are subject to waiver by the parties hereto in accordance with </w:t>
      </w:r>
      <w:r>
        <w:rPr>
          <w:rFonts w:ascii="Arial" w:cs="Arial" w:eastAsia="Arial" w:hAnsi="Arial"/>
          <w:sz w:val="17"/>
          <w:szCs w:val="17"/>
          <w:u w:val="single" w:color="auto"/>
          <w:color w:val="auto"/>
        </w:rPr>
        <w:t>Section 7.3</w:t>
      </w:r>
      <w:r>
        <w:rPr>
          <w:rFonts w:ascii="Arial" w:cs="Arial" w:eastAsia="Arial" w:hAnsi="Arial"/>
          <w:sz w:val="17"/>
          <w:szCs w:val="17"/>
          <w:color w:val="auto"/>
        </w:rPr>
        <w:t xml:space="preserve"> without notice or liability to any other person. In some instances, the representations and warranties in this Agreement may represent an allocation among the parties hereto of risks associated with particular matters regardless of the knowledge of any of the parties hereto. Consequently, Persons other than the parties hereto may not rely upon the representations and warranties in this Agreement as characterizations of actual facts or circumstances as of the date of this Agreement or as of any other date (except the Company solely with respect to </w:t>
      </w:r>
      <w:r>
        <w:rPr>
          <w:rFonts w:ascii="Arial" w:cs="Arial" w:eastAsia="Arial" w:hAnsi="Arial"/>
          <w:sz w:val="17"/>
          <w:szCs w:val="17"/>
          <w:u w:val="single" w:color="auto"/>
          <w:color w:val="auto"/>
        </w:rPr>
        <w:t>Section 3.4</w:t>
      </w:r>
      <w:r>
        <w:rPr>
          <w:rFonts w:ascii="Arial" w:cs="Arial" w:eastAsia="Arial" w:hAnsi="Arial"/>
          <w:sz w:val="17"/>
          <w:szCs w:val="17"/>
          <w:color w:val="auto"/>
        </w:rPr>
        <w:t xml:space="preserve"> hereof).</w:t>
      </w:r>
    </w:p>
    <w:p>
      <w:pPr>
        <w:spacing w:after="0" w:line="181"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SECTION 7.9 </w:t>
      </w:r>
      <w:r>
        <w:rPr>
          <w:rFonts w:ascii="Arial" w:cs="Arial" w:eastAsia="Arial" w:hAnsi="Arial"/>
          <w:sz w:val="16"/>
          <w:szCs w:val="16"/>
          <w:u w:val="single" w:color="auto"/>
          <w:color w:val="auto"/>
        </w:rPr>
        <w:t>Interpretation</w:t>
      </w:r>
      <w:r>
        <w:rPr>
          <w:rFonts w:ascii="Arial" w:cs="Arial" w:eastAsia="Arial" w:hAnsi="Arial"/>
          <w:sz w:val="16"/>
          <w:szCs w:val="16"/>
          <w:color w:val="auto"/>
        </w:rPr>
        <w:t>. When a reference is made in this Agreement to an Article or Section, such reference shall be to an Article or Section of this Agreement unless otherwise indicated.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All terms defined in this Agreement shall have the defined meanings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 Any agreement, instrument or statute defined or referred to herein or in any agreement or instrument that is referred to herein means such agreement, instrument or statute as from time to time amended, modified or supplemented in accordance with the terms hereof, including (in the case of agreements or instruments) by waiver or consent and (in the case of statutes) by succession of comparable successor statutes and references to all attachments thereto and instruments incorporated therein. References to a Person are also to its permitted successors and assigns. Each of the parties has participated in the drafting and negotiation of this Agreement. If an ambiguity or question of intent or interpretation arises, this Agreement must be construed as if drafted by all the parties and no presumption or burden of proof shall arise favoring or disfavoring any party by virtue of authorship of any of the provisions of this Agreement. This Agreement shall be construed without regard to any presumption or rule requiring construction or interpretation against the party drafting or causing any instrument to be drafted.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9" w:name="page90"/>
    <w:bookmarkEnd w:id="89"/>
    <w:p>
      <w:pPr>
        <w:jc w:val="both"/>
        <w:ind w:firstLine="1296"/>
        <w:spacing w:after="0" w:line="257" w:lineRule="auto"/>
        <w:rPr>
          <w:sz w:val="20"/>
          <w:szCs w:val="20"/>
          <w:color w:val="auto"/>
        </w:rPr>
      </w:pPr>
      <w:r>
        <w:rPr>
          <w:rFonts w:ascii="Arial" w:cs="Arial" w:eastAsia="Arial" w:hAnsi="Arial"/>
          <w:sz w:val="18"/>
          <w:szCs w:val="18"/>
          <w:color w:val="auto"/>
        </w:rPr>
        <w:t xml:space="preserve">SECTION 7.10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ALL QUESTIONS RELATING TO THE INTERPRETATION OR ENFORCEMENT OF THIS AGREEMENT SHALL BE DEEMED TO BE MADE IN AND IN ALL RESPECTS SHALL BE INTERPRETED, CONSTRUED AND GOVERNED BY AND IN ACCORDANCE WITH THE LAW OF THE STATE OF DELAWARE WITHOUT REGARD TO THE CONFLICTS OF LAW PRINCIPLES THEREOF TO THE EXTENT THAT SUCH PRINCIPLES WOULD DIRECT A MATTER TO ANOTHER JURISDICTION.</w:t>
      </w:r>
    </w:p>
    <w:p>
      <w:pPr>
        <w:spacing w:after="0" w:line="188"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SECTION 7.11 </w:t>
      </w:r>
      <w:r>
        <w:rPr>
          <w:rFonts w:ascii="Arial" w:cs="Arial" w:eastAsia="Arial" w:hAnsi="Arial"/>
          <w:sz w:val="17"/>
          <w:szCs w:val="17"/>
          <w:u w:val="single" w:color="auto"/>
          <w:color w:val="auto"/>
        </w:rPr>
        <w:t>Specific Performance</w:t>
      </w:r>
      <w:r>
        <w:rPr>
          <w:rFonts w:ascii="Arial" w:cs="Arial" w:eastAsia="Arial" w:hAnsi="Arial"/>
          <w:sz w:val="17"/>
          <w:szCs w:val="17"/>
          <w:color w:val="202020"/>
        </w:rPr>
        <w:t>.</w:t>
      </w:r>
      <w:r>
        <w:rPr>
          <w:rFonts w:ascii="Arial" w:cs="Arial" w:eastAsia="Arial" w:hAnsi="Arial"/>
          <w:sz w:val="17"/>
          <w:szCs w:val="17"/>
          <w:color w:val="auto"/>
        </w:rPr>
        <w:t xml:space="preserve"> Each Stockholder acknowledges that any breach of this Agreement would give rise to irreparable harm for which monetary damages would not be an adequate remedy and the Company shall be entitled to a decree of specific performance and to temporary, preliminary and permanent injunctive relief to prevent breaches or threatened breaches of any of the provisions of this Agreement, without the necessity of proving the inadequacy of monetary damages as a remedy, which shall be the sole and exclusive remedy for any such breach. Notwithstanding anything contained herein to the contrary, nothing in this Agreement shall be deemed to constitute a waiver, modification or amendment to any rights or remedies any party may have under the Purchase Agreement or the Exchange Agreement.</w:t>
      </w:r>
    </w:p>
    <w:p>
      <w:pPr>
        <w:spacing w:after="0" w:line="178" w:lineRule="exact"/>
        <w:rPr>
          <w:sz w:val="20"/>
          <w:szCs w:val="20"/>
          <w:color w:val="auto"/>
        </w:rPr>
      </w:pPr>
    </w:p>
    <w:p>
      <w:pPr>
        <w:jc w:val="both"/>
        <w:ind w:firstLine="1296"/>
        <w:spacing w:after="0" w:line="289" w:lineRule="auto"/>
        <w:rPr>
          <w:sz w:val="20"/>
          <w:szCs w:val="20"/>
          <w:color w:val="auto"/>
        </w:rPr>
      </w:pPr>
      <w:r>
        <w:rPr>
          <w:rFonts w:ascii="Arial" w:cs="Arial" w:eastAsia="Arial" w:hAnsi="Arial"/>
          <w:sz w:val="16"/>
          <w:szCs w:val="16"/>
          <w:color w:val="auto"/>
        </w:rPr>
        <w:t xml:space="preserve">SECTION 7.12 </w:t>
      </w: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xml:space="preserve">. The parties hereby irrevocably submit to the exclusive personal jurisdiction of the Court of Chancery of the State of Delaware, or, if the Chancery Court declines jurisdiction, the United States District Court for the District of Delaware or the courts of the State of Delaware solely in respect of the interpretation and enforcement of the provisions of this Agreement and hereby waive, and agree not to assert, as a defense in any action, suit or proceeding for the interpretation or enforcement hereof, that it is not subject thereto or that such action, suit or proceeding may not be brought or is not maintainable in said courts or that the venue thereof may not be appropriate or that this Agreement may not be enforced in or by such courts, and the parties hereto irrevocably agree that all claims relating to such action, suit or proceeding shall be heard and determined in such courts. The parties hereby consent to and grant any such court jurisdiction over the person of such parties and, to the extent permitted by law, over the subject matter of such dispute and agree that mailing of process or other papers in connection with any such action or proceeding in the manner provided in </w:t>
      </w:r>
      <w:r>
        <w:rPr>
          <w:rFonts w:ascii="Arial" w:cs="Arial" w:eastAsia="Arial" w:hAnsi="Arial"/>
          <w:sz w:val="16"/>
          <w:szCs w:val="16"/>
          <w:u w:val="single" w:color="auto"/>
          <w:color w:val="auto"/>
        </w:rPr>
        <w:t>Section 7.4</w:t>
      </w:r>
      <w:r>
        <w:rPr>
          <w:rFonts w:ascii="Arial" w:cs="Arial" w:eastAsia="Arial" w:hAnsi="Arial"/>
          <w:sz w:val="16"/>
          <w:szCs w:val="16"/>
          <w:color w:val="auto"/>
        </w:rPr>
        <w:t xml:space="preserve"> or in such other manner as may be permitted by Law shall be valid and sufficient service thereof.</w:t>
      </w:r>
    </w:p>
    <w:p>
      <w:pPr>
        <w:spacing w:after="0" w:line="166"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SECTION 7.13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EACH PARTY ACKNOWLEDGES AND AGREES THAT ANY CONTROVERSY WHICH MAY ARISE UNDER THIS AGREEMENT IS LIKELY TO INVOLVE COMPLICATED AND DIFFICULT ISSUES, AND THEREFORE EACH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(i) NO REPRESENTATIVE, AGENT OR ATTORNEY OF ANY OTHER PARTY HAS REPRESENTED, EXPRESSLY OR OTHERWISE, THAT SUCH OTHER PARTY WOULD NOT, IN THE EVENT OF LITIGATION, SEEK TO ENFORCE THE FOREGOING WAIVER, (ii) EACH PARTY UNDERSTANDS AND HAS CONSIDERED THE IMPLICATIONS OF THIS WAIVER, (iii) EACH PARTY MAKES THIS WAIVER VOLUNTARILY, AND (iv) EACH PARTY HAS BEEN INDUCED TO ENTER INTO THIS AGREEMENT BY, AMONG OTHER THINGS, THE MUTUAL WAIVERS AND CERTIFICATIONS IN THIS </w:t>
      </w:r>
      <w:r>
        <w:rPr>
          <w:rFonts w:ascii="Arial" w:cs="Arial" w:eastAsia="Arial" w:hAnsi="Arial"/>
          <w:sz w:val="18"/>
          <w:szCs w:val="18"/>
          <w:u w:val="single" w:color="auto"/>
          <w:color w:val="auto"/>
        </w:rPr>
        <w:t>SECTION 7.13</w:t>
      </w:r>
      <w:r>
        <w:rPr>
          <w:rFonts w:ascii="Arial" w:cs="Arial" w:eastAsia="Arial" w:hAnsi="Arial"/>
          <w:sz w:val="18"/>
          <w:szCs w:val="18"/>
          <w:color w:val="auto"/>
        </w:rPr>
        <w:t>.</w:t>
      </w:r>
    </w:p>
    <w:p>
      <w:pPr>
        <w:spacing w:after="0" w:line="194"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 xml:space="preserve">SECTION 7.14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(including by facsimile transmission or other means of electronic transmission, such as by electronic mail in “pdf” form), each of which shall be an original, with the same effect as if the signatures thereto and hereto were upon the same instrument, and shall become effective when one or more counterparts have been signed by each of the parties and delivered (by facsimile or otherwise) to the other parties.</w:t>
      </w:r>
    </w:p>
    <w:p>
      <w:pPr>
        <w:spacing w:after="0" w:line="18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7.15 </w:t>
      </w:r>
      <w:r>
        <w:rPr>
          <w:rFonts w:ascii="Arial" w:cs="Arial" w:eastAsia="Arial" w:hAnsi="Arial"/>
          <w:sz w:val="18"/>
          <w:szCs w:val="18"/>
          <w:u w:val="single" w:color="auto"/>
          <w:color w:val="auto"/>
        </w:rPr>
        <w:t>Relationship of the Parties</w:t>
      </w:r>
      <w:r>
        <w:rPr>
          <w:rFonts w:ascii="Arial" w:cs="Arial" w:eastAsia="Arial" w:hAnsi="Arial"/>
          <w:sz w:val="18"/>
          <w:szCs w:val="18"/>
          <w:color w:val="auto"/>
        </w:rPr>
        <w:t>. This Agreement has been negotiated on an arm’s length basis between the parties and is not intended to create a partnership, joint venture or agency relationship between the parties.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0" w:name="page91"/>
    <w:bookmarkEnd w:id="90"/>
    <w:p>
      <w:pPr>
        <w:ind w:firstLine="1296"/>
        <w:spacing w:after="0" w:line="277" w:lineRule="auto"/>
        <w:rPr>
          <w:sz w:val="20"/>
          <w:szCs w:val="20"/>
          <w:color w:val="auto"/>
        </w:rPr>
      </w:pPr>
      <w:r>
        <w:rPr>
          <w:rFonts w:ascii="Arial" w:cs="Arial" w:eastAsia="Arial" w:hAnsi="Arial"/>
          <w:sz w:val="18"/>
          <w:szCs w:val="18"/>
          <w:color w:val="auto"/>
        </w:rPr>
        <w:t>IN WITNESS WHEREOF, The Company and the Stockholder have caused this Agreement to be duly executed as of the day and year first above written.</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18"/>
          <w:szCs w:val="18"/>
          <w:b w:val="1"/>
          <w:bCs w:val="1"/>
          <w:color w:val="auto"/>
        </w:rPr>
        <w:t>XPRESSPA GROUP, INC.</w:t>
      </w:r>
    </w:p>
    <w:p>
      <w:pPr>
        <w:spacing w:after="0" w:line="200" w:lineRule="exact"/>
        <w:rPr>
          <w:sz w:val="20"/>
          <w:szCs w:val="20"/>
          <w:color w:val="auto"/>
        </w:rPr>
      </w:pPr>
    </w:p>
    <w:p>
      <w:pPr>
        <w:spacing w:after="0" w:line="245" w:lineRule="exact"/>
        <w:rPr>
          <w:sz w:val="20"/>
          <w:szCs w:val="20"/>
          <w:color w:val="auto"/>
        </w:rPr>
      </w:pPr>
    </w:p>
    <w:p>
      <w:pPr>
        <w:ind w:left="5580"/>
        <w:spacing w:after="0"/>
        <w:tabs>
          <w:tab w:leader="none" w:pos="6020" w:val="left"/>
        </w:tabs>
        <w:rPr>
          <w:sz w:val="20"/>
          <w:szCs w:val="20"/>
          <w:color w:val="auto"/>
        </w:rPr>
      </w:pPr>
      <w:r>
        <w:rPr>
          <w:rFonts w:ascii="Arial" w:cs="Arial" w:eastAsia="Arial" w:hAnsi="Arial"/>
          <w:sz w:val="18"/>
          <w:szCs w:val="18"/>
          <w:color w:val="auto"/>
        </w:rPr>
        <w:t>By:</w:t>
        <w:tab/>
        <w:t>/s/ 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3802380</wp:posOffset>
            </wp:positionH>
            <wp:positionV relativeFrom="paragraph">
              <wp:posOffset>14605</wp:posOffset>
            </wp:positionV>
            <wp:extent cx="333438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3438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Douglas Satzman</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8"/>
          <w:szCs w:val="18"/>
          <w:i w:val="1"/>
          <w:iCs w:val="1"/>
          <w:color w:val="auto"/>
        </w:rPr>
        <w:t>[Signature Page to Voting Agreement]</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60"/>
          </w:cols>
          <w:pgMar w:left="320" w:top="908" w:right="619" w:bottom="1440" w:gutter="0" w:footer="0" w:header="0"/>
        </w:sectPr>
      </w:pPr>
    </w:p>
    <w:bookmarkStart w:id="91" w:name="page92"/>
    <w:bookmarkEnd w:id="91"/>
    <w:p>
      <w:pPr>
        <w:ind w:left="660"/>
        <w:spacing w:after="0"/>
        <w:rPr>
          <w:sz w:val="20"/>
          <w:szCs w:val="20"/>
          <w:color w:val="auto"/>
        </w:rPr>
      </w:pPr>
      <w:r>
        <w:rPr>
          <w:rFonts w:ascii="Arial" w:cs="Arial" w:eastAsia="Arial" w:hAnsi="Arial"/>
          <w:sz w:val="16"/>
          <w:szCs w:val="16"/>
          <w:color w:val="auto"/>
        </w:rPr>
        <w:t>IN WITNESS WHEREOF, the Company and the Stockholder have caused this Agreement to be duly executed as of the day and year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b w:val="1"/>
          <w:bCs w:val="1"/>
          <w:color w:val="auto"/>
        </w:rPr>
        <w:t>MISTRAL SPA HOLDINGS, LLC</w:t>
      </w:r>
    </w:p>
    <w:p>
      <w:pPr>
        <w:spacing w:after="0" w:line="200" w:lineRule="exact"/>
        <w:rPr>
          <w:sz w:val="20"/>
          <w:szCs w:val="20"/>
          <w:color w:val="auto"/>
        </w:rPr>
      </w:pPr>
    </w:p>
    <w:p>
      <w:pPr>
        <w:spacing w:after="0" w:line="227" w:lineRule="exact"/>
        <w:rPr>
          <w:sz w:val="20"/>
          <w:szCs w:val="20"/>
          <w:color w:val="auto"/>
        </w:rPr>
      </w:pPr>
    </w:p>
    <w:tbl>
      <w:tblPr>
        <w:tblLayout w:type="fixed"/>
        <w:tblInd w:w="548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Andrew R. Heyer</w:t>
            </w:r>
          </w:p>
        </w:tc>
      </w:tr>
      <w:tr>
        <w:trPr>
          <w:trHeight w:val="224"/>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5180" w:type="dxa"/>
            <w:vAlign w:val="bottom"/>
          </w:tcPr>
          <w:p>
            <w:pPr>
              <w:spacing w:after="0"/>
              <w:rPr>
                <w:sz w:val="20"/>
                <w:szCs w:val="20"/>
                <w:color w:val="auto"/>
              </w:rPr>
            </w:pPr>
            <w:r>
              <w:rPr>
                <w:rFonts w:ascii="Arial" w:cs="Arial" w:eastAsia="Arial" w:hAnsi="Arial"/>
                <w:sz w:val="18"/>
                <w:szCs w:val="18"/>
                <w:color w:val="auto"/>
              </w:rPr>
              <w:t>Andrew R. Heyer</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Voting Agreement]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2" w:name="page93"/>
    <w:bookmarkEnd w:id="92"/>
    <w:tbl>
      <w:tblPr>
        <w:tblLayout w:type="fixed"/>
        <w:tblInd w:w="10" w:type="dxa"/>
        <w:tblCellMar>
          <w:top w:w="0" w:type="dxa"/>
          <w:left w:w="0" w:type="dxa"/>
          <w:bottom w:w="0" w:type="dxa"/>
          <w:right w:w="0" w:type="dxa"/>
        </w:tblCellMar>
      </w:tblPr>
      <w:tr>
        <w:trPr>
          <w:trHeight w:val="216"/>
        </w:trPr>
        <w:tc>
          <w:tcPr>
            <w:tcW w:w="4440" w:type="dxa"/>
            <w:vAlign w:val="bottom"/>
          </w:tcPr>
          <w:p>
            <w:pPr>
              <w:spacing w:after="0"/>
              <w:rPr>
                <w:sz w:val="18"/>
                <w:szCs w:val="18"/>
                <w:color w:val="auto"/>
              </w:rPr>
            </w:pPr>
          </w:p>
        </w:tc>
        <w:tc>
          <w:tcPr>
            <w:tcW w:w="6800" w:type="dxa"/>
            <w:vAlign w:val="bottom"/>
            <w:gridSpan w:val="3"/>
          </w:tcPr>
          <w:p>
            <w:pPr>
              <w:jc w:val="center"/>
              <w:ind w:right="4350"/>
              <w:spacing w:after="0"/>
              <w:rPr>
                <w:sz w:val="20"/>
                <w:szCs w:val="20"/>
                <w:color w:val="auto"/>
              </w:rPr>
            </w:pPr>
            <w:r>
              <w:rPr>
                <w:rFonts w:ascii="Arial" w:cs="Arial" w:eastAsia="Arial" w:hAnsi="Arial"/>
                <w:sz w:val="18"/>
                <w:szCs w:val="18"/>
                <w:b w:val="1"/>
                <w:bCs w:val="1"/>
                <w:color w:val="auto"/>
                <w:w w:val="88"/>
              </w:rPr>
              <w:t>Schedule I</w:t>
            </w:r>
          </w:p>
        </w:tc>
      </w:tr>
      <w:tr>
        <w:trPr>
          <w:trHeight w:val="194"/>
        </w:trPr>
        <w:tc>
          <w:tcPr>
            <w:tcW w:w="4440" w:type="dxa"/>
            <w:vAlign w:val="bottom"/>
          </w:tcPr>
          <w:p>
            <w:pPr>
              <w:spacing w:after="0"/>
              <w:rPr>
                <w:sz w:val="16"/>
                <w:szCs w:val="16"/>
                <w:color w:val="auto"/>
              </w:rPr>
            </w:pPr>
          </w:p>
        </w:tc>
        <w:tc>
          <w:tcPr>
            <w:tcW w:w="6800" w:type="dxa"/>
            <w:vAlign w:val="bottom"/>
            <w:gridSpan w:val="3"/>
          </w:tcPr>
          <w:p>
            <w:pPr>
              <w:jc w:val="center"/>
              <w:ind w:right="4350"/>
              <w:spacing w:after="0" w:line="194" w:lineRule="exact"/>
              <w:rPr>
                <w:sz w:val="20"/>
                <w:szCs w:val="20"/>
                <w:color w:val="auto"/>
              </w:rPr>
            </w:pPr>
            <w:r>
              <w:rPr>
                <w:rFonts w:ascii="Arial" w:cs="Arial" w:eastAsia="Arial" w:hAnsi="Arial"/>
                <w:sz w:val="18"/>
                <w:szCs w:val="18"/>
                <w:b w:val="1"/>
                <w:bCs w:val="1"/>
                <w:color w:val="auto"/>
                <w:w w:val="89"/>
              </w:rPr>
              <w:t>Ownership of Common Shares</w:t>
            </w:r>
          </w:p>
        </w:tc>
      </w:tr>
      <w:tr>
        <w:trPr>
          <w:trHeight w:val="237"/>
        </w:trPr>
        <w:tc>
          <w:tcPr>
            <w:tcW w:w="4440" w:type="dxa"/>
            <w:vAlign w:val="bottom"/>
            <w:tcBorders>
              <w:bottom w:val="single" w:sz="8" w:color="auto"/>
            </w:tcBorders>
          </w:tcPr>
          <w:p>
            <w:pPr>
              <w:spacing w:after="0"/>
              <w:rPr>
                <w:sz w:val="20"/>
                <w:szCs w:val="20"/>
                <w:color w:val="auto"/>
              </w:rPr>
            </w:pPr>
          </w:p>
        </w:tc>
        <w:tc>
          <w:tcPr>
            <w:tcW w:w="2360" w:type="dxa"/>
            <w:vAlign w:val="bottom"/>
            <w:tcBorders>
              <w:top w:val="single" w:sz="8" w:color="auto"/>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3700" w:type="dxa"/>
            <w:vAlign w:val="bottom"/>
            <w:tcBorders>
              <w:bottom w:val="single" w:sz="8" w:color="auto"/>
            </w:tcBorders>
          </w:tcPr>
          <w:p>
            <w:pPr>
              <w:spacing w:after="0"/>
              <w:rPr>
                <w:sz w:val="20"/>
                <w:szCs w:val="20"/>
                <w:color w:val="auto"/>
              </w:rPr>
            </w:pPr>
          </w:p>
        </w:tc>
      </w:tr>
      <w:tr>
        <w:trPr>
          <w:trHeight w:val="209"/>
        </w:trPr>
        <w:tc>
          <w:tcPr>
            <w:tcW w:w="4440" w:type="dxa"/>
            <w:vAlign w:val="bottom"/>
            <w:tcBorders>
              <w:left w:val="single" w:sz="8" w:color="auto"/>
              <w:bottom w:val="single" w:sz="8" w:color="auto"/>
            </w:tcBorders>
            <w:shd w:val="clear" w:color="auto" w:fill="D9D9D9"/>
          </w:tcPr>
          <w:p>
            <w:pPr>
              <w:ind w:left="20"/>
              <w:spacing w:after="0"/>
              <w:rPr>
                <w:sz w:val="20"/>
                <w:szCs w:val="20"/>
                <w:color w:val="auto"/>
              </w:rPr>
            </w:pPr>
            <w:r>
              <w:rPr>
                <w:rFonts w:ascii="Arial" w:cs="Arial" w:eastAsia="Arial" w:hAnsi="Arial"/>
                <w:sz w:val="18"/>
                <w:szCs w:val="18"/>
                <w:color w:val="auto"/>
              </w:rPr>
              <w:t>Name and Address of Stockholder</w:t>
            </w:r>
          </w:p>
        </w:tc>
        <w:tc>
          <w:tcPr>
            <w:tcW w:w="2360" w:type="dxa"/>
            <w:vAlign w:val="bottom"/>
            <w:tcBorders>
              <w:bottom w:val="single" w:sz="8" w:color="auto"/>
            </w:tcBorders>
            <w:shd w:val="clear" w:color="auto" w:fill="D9D9D9"/>
          </w:tcPr>
          <w:p>
            <w:pPr>
              <w:spacing w:after="0"/>
              <w:rPr>
                <w:sz w:val="18"/>
                <w:szCs w:val="18"/>
                <w:color w:val="auto"/>
              </w:rPr>
            </w:pPr>
          </w:p>
        </w:tc>
        <w:tc>
          <w:tcPr>
            <w:tcW w:w="740" w:type="dxa"/>
            <w:vAlign w:val="bottom"/>
            <w:tcBorders>
              <w:bottom w:val="single" w:sz="8" w:color="auto"/>
              <w:right w:val="single" w:sz="8" w:color="auto"/>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jc w:val="right"/>
              <w:ind w:right="1590"/>
              <w:spacing w:after="0"/>
              <w:rPr>
                <w:sz w:val="20"/>
                <w:szCs w:val="20"/>
                <w:color w:val="auto"/>
              </w:rPr>
            </w:pPr>
            <w:r>
              <w:rPr>
                <w:rFonts w:ascii="Arial" w:cs="Arial" w:eastAsia="Arial" w:hAnsi="Arial"/>
                <w:sz w:val="18"/>
                <w:szCs w:val="18"/>
                <w:color w:val="auto"/>
                <w:w w:val="89"/>
              </w:rPr>
              <w:t>Number of Common Shares</w:t>
            </w:r>
          </w:p>
        </w:tc>
      </w:tr>
      <w:tr>
        <w:trPr>
          <w:trHeight w:val="195"/>
        </w:trPr>
        <w:tc>
          <w:tcPr>
            <w:tcW w:w="4440" w:type="dxa"/>
            <w:vAlign w:val="bottom"/>
            <w:tcBorders>
              <w:left w:val="single" w:sz="8" w:color="auto"/>
            </w:tcBorders>
          </w:tcPr>
          <w:p>
            <w:pPr>
              <w:ind w:left="60"/>
              <w:spacing w:after="0" w:line="195" w:lineRule="exact"/>
              <w:rPr>
                <w:sz w:val="20"/>
                <w:szCs w:val="20"/>
                <w:color w:val="auto"/>
              </w:rPr>
            </w:pPr>
            <w:r>
              <w:rPr>
                <w:rFonts w:ascii="Arial" w:cs="Arial" w:eastAsia="Arial" w:hAnsi="Arial"/>
                <w:sz w:val="18"/>
                <w:szCs w:val="18"/>
                <w:color w:val="auto"/>
              </w:rPr>
              <w:t>Mistral Spa Holdings, LLC</w:t>
            </w:r>
          </w:p>
        </w:tc>
        <w:tc>
          <w:tcPr>
            <w:tcW w:w="2360" w:type="dxa"/>
            <w:vAlign w:val="bottom"/>
          </w:tcPr>
          <w:p>
            <w:pPr>
              <w:spacing w:after="0"/>
              <w:rPr>
                <w:sz w:val="16"/>
                <w:szCs w:val="16"/>
                <w:color w:val="auto"/>
              </w:rPr>
            </w:pPr>
          </w:p>
        </w:tc>
        <w:tc>
          <w:tcPr>
            <w:tcW w:w="740" w:type="dxa"/>
            <w:vAlign w:val="bottom"/>
            <w:tcBorders>
              <w:right w:val="single" w:sz="8" w:color="auto"/>
            </w:tcBorders>
          </w:tcPr>
          <w:p>
            <w:pPr>
              <w:spacing w:after="0"/>
              <w:rPr>
                <w:sz w:val="16"/>
                <w:szCs w:val="16"/>
                <w:color w:val="auto"/>
              </w:rPr>
            </w:pPr>
          </w:p>
        </w:tc>
        <w:tc>
          <w:tcPr>
            <w:tcW w:w="3700" w:type="dxa"/>
            <w:vAlign w:val="bottom"/>
            <w:tcBorders>
              <w:right w:val="single" w:sz="8" w:color="auto"/>
            </w:tcBorders>
          </w:tcPr>
          <w:p>
            <w:pPr>
              <w:jc w:val="right"/>
              <w:ind w:right="1410"/>
              <w:spacing w:after="0" w:line="195" w:lineRule="exact"/>
              <w:rPr>
                <w:sz w:val="20"/>
                <w:szCs w:val="20"/>
                <w:color w:val="auto"/>
              </w:rPr>
            </w:pPr>
            <w:r>
              <w:rPr>
                <w:rFonts w:ascii="Arial" w:cs="Arial" w:eastAsia="Arial" w:hAnsi="Arial"/>
                <w:sz w:val="18"/>
                <w:szCs w:val="18"/>
                <w:color w:val="auto"/>
              </w:rPr>
              <w:t>6,750,773</w:t>
            </w:r>
          </w:p>
        </w:tc>
      </w:tr>
      <w:tr>
        <w:trPr>
          <w:trHeight w:val="230"/>
        </w:trPr>
        <w:tc>
          <w:tcPr>
            <w:tcW w:w="4440" w:type="dxa"/>
            <w:vAlign w:val="bottom"/>
            <w:tcBorders>
              <w:left w:val="single" w:sz="8" w:color="auto"/>
            </w:tcBorders>
          </w:tcPr>
          <w:p>
            <w:pPr>
              <w:ind w:left="20"/>
              <w:spacing w:after="0"/>
              <w:rPr>
                <w:sz w:val="20"/>
                <w:szCs w:val="20"/>
                <w:color w:val="auto"/>
              </w:rPr>
            </w:pPr>
            <w:r>
              <w:rPr>
                <w:rFonts w:ascii="Arial" w:cs="Arial" w:eastAsia="Arial" w:hAnsi="Arial"/>
                <w:sz w:val="18"/>
                <w:szCs w:val="18"/>
                <w:color w:val="auto"/>
              </w:rPr>
              <w:t>650 Fifth Avenue, Floor 31, New York, NY 10019</w:t>
            </w:r>
          </w:p>
        </w:tc>
        <w:tc>
          <w:tcPr>
            <w:tcW w:w="2360" w:type="dxa"/>
            <w:vAlign w:val="bottom"/>
          </w:tcPr>
          <w:p>
            <w:pPr>
              <w:spacing w:after="0"/>
              <w:rPr>
                <w:sz w:val="20"/>
                <w:szCs w:val="20"/>
                <w:color w:val="auto"/>
              </w:rPr>
            </w:pPr>
          </w:p>
        </w:tc>
        <w:tc>
          <w:tcPr>
            <w:tcW w:w="740" w:type="dxa"/>
            <w:vAlign w:val="bottom"/>
            <w:tcBorders>
              <w:right w:val="single" w:sz="8" w:color="auto"/>
            </w:tcBorders>
          </w:tcPr>
          <w:p>
            <w:pPr>
              <w:spacing w:after="0"/>
              <w:rPr>
                <w:sz w:val="20"/>
                <w:szCs w:val="20"/>
                <w:color w:val="auto"/>
              </w:rPr>
            </w:pPr>
          </w:p>
        </w:tc>
        <w:tc>
          <w:tcPr>
            <w:tcW w:w="3700" w:type="dxa"/>
            <w:vAlign w:val="bottom"/>
            <w:tcBorders>
              <w:right w:val="single" w:sz="8" w:color="auto"/>
            </w:tcBorders>
          </w:tcPr>
          <w:p>
            <w:pPr>
              <w:spacing w:after="0"/>
              <w:rPr>
                <w:sz w:val="20"/>
                <w:szCs w:val="20"/>
                <w:color w:val="auto"/>
              </w:rPr>
            </w:pPr>
          </w:p>
        </w:tc>
      </w:tr>
      <w:tr>
        <w:trPr>
          <w:trHeight w:val="216"/>
        </w:trPr>
        <w:tc>
          <w:tcPr>
            <w:tcW w:w="4440" w:type="dxa"/>
            <w:vAlign w:val="bottom"/>
            <w:tcBorders>
              <w:left w:val="single" w:sz="8" w:color="auto"/>
              <w:bottom w:val="single" w:sz="8" w:color="auto"/>
            </w:tcBorders>
          </w:tcPr>
          <w:p>
            <w:pPr>
              <w:spacing w:after="0"/>
              <w:rPr>
                <w:sz w:val="18"/>
                <w:szCs w:val="18"/>
                <w:color w:val="auto"/>
              </w:rPr>
            </w:pPr>
          </w:p>
        </w:tc>
        <w:tc>
          <w:tcPr>
            <w:tcW w:w="23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210"/>
        </w:trPr>
        <w:tc>
          <w:tcPr>
            <w:tcW w:w="4440" w:type="dxa"/>
            <w:vAlign w:val="bottom"/>
            <w:tcBorders>
              <w:left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w:t>
            </w:r>
          </w:p>
        </w:tc>
        <w:tc>
          <w:tcPr>
            <w:tcW w:w="2360" w:type="dxa"/>
            <w:vAlign w:val="bottom"/>
            <w:tcBorders>
              <w:bottom w:val="single" w:sz="8" w:color="auto"/>
            </w:tcBorders>
          </w:tcPr>
          <w:p>
            <w:pPr>
              <w:spacing w:after="0"/>
              <w:rPr>
                <w:sz w:val="18"/>
                <w:szCs w:val="18"/>
                <w:color w:val="auto"/>
              </w:rPr>
            </w:pPr>
          </w:p>
        </w:tc>
        <w:tc>
          <w:tcPr>
            <w:tcW w:w="74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jc w:val="right"/>
              <w:ind w:right="1410"/>
              <w:spacing w:after="0"/>
              <w:rPr>
                <w:sz w:val="20"/>
                <w:szCs w:val="20"/>
                <w:color w:val="auto"/>
              </w:rPr>
            </w:pPr>
            <w:r>
              <w:rPr>
                <w:rFonts w:ascii="Arial" w:cs="Arial" w:eastAsia="Arial" w:hAnsi="Arial"/>
                <w:sz w:val="18"/>
                <w:szCs w:val="18"/>
                <w:color w:val="auto"/>
              </w:rPr>
              <w:t>6,750,773</w:t>
            </w:r>
          </w:p>
        </w:tc>
      </w:tr>
      <w:tr>
        <w:trPr>
          <w:trHeight w:val="641"/>
        </w:trPr>
        <w:tc>
          <w:tcPr>
            <w:tcW w:w="44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Announces Pricing of $1,100,000 Registered Direct Offering Priced At-The-Market</w:t>
      </w:r>
    </w:p>
    <w:p>
      <w:pPr>
        <w:spacing w:after="0" w:line="225" w:lineRule="exact"/>
        <w:rPr>
          <w:sz w:val="20"/>
          <w:szCs w:val="20"/>
          <w:color w:val="auto"/>
        </w:rPr>
      </w:pPr>
    </w:p>
    <w:p>
      <w:pPr>
        <w:ind w:right="20"/>
        <w:spacing w:after="0" w:line="266" w:lineRule="auto"/>
        <w:rPr>
          <w:sz w:val="20"/>
          <w:szCs w:val="20"/>
          <w:color w:val="auto"/>
        </w:rPr>
      </w:pPr>
      <w:r>
        <w:rPr>
          <w:rFonts w:ascii="Arial" w:cs="Arial" w:eastAsia="Arial" w:hAnsi="Arial"/>
          <w:sz w:val="18"/>
          <w:szCs w:val="18"/>
          <w:b w:val="1"/>
          <w:bCs w:val="1"/>
          <w:color w:val="auto"/>
        </w:rPr>
        <w:t xml:space="preserve">NEW YORK, March 19, 2020 </w:t>
      </w:r>
      <w:r>
        <w:rPr>
          <w:rFonts w:ascii="Arial" w:cs="Arial" w:eastAsia="Arial" w:hAnsi="Arial"/>
          <w:sz w:val="18"/>
          <w:szCs w:val="18"/>
          <w:color w:val="auto"/>
        </w:rPr>
        <w:t>– XpresSpa Group, Inc. (Nasdaq: XSPA) (“XpresSpa” or the “Company”), today announced that it has entered into a</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purchase agreement with institutional investors to purchase approximately $1.1 million of its common shares (or pre-funded warrants to purchase common shares in lieu thereof) in a registered direct offering priced at-the-market under Nasdaq rules.</w:t>
      </w:r>
    </w:p>
    <w:p>
      <w:pPr>
        <w:spacing w:after="0" w:line="1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Under the terms of the securities purchase agreement, XpresSpa has agreed to sell approximately 6,285,716 common shares (or pre-funded warrants to purchase common shares in lieu thereof). Separately, XpresSpa also has entered into an exchange agreement with certain of its warrant holders to exchange their existing warrants into shares of the Company’s common stock on a 1.5:1 basis effective upon receipt of shareholder approval. The Company has committed to seek that shareholder approval within 90 days.</w:t>
      </w:r>
    </w:p>
    <w:p>
      <w:pPr>
        <w:spacing w:after="0" w:line="18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gross proceeds to the Company from the registered direct offering is expected to be approximately $1.1 million before deducting fees and other estimated offering expenses. The registered direct offering is expected to close on or about March 19, 2020, subject to the satisfaction of customary closing conditions.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Palladium Capital Advisors, LLC acted as a finder in connection with the offering.</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common shares and pre-funded warrants are being offered pursuant to a shelf registration statement on Form S-3 (File No. 333-232764) previously filed and declared effective by the Securities and Exchange Commission (SEC).</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This press release does not constitute an offer to sell or the solicitation of an offer to buy, nor will there be any sales of these securities in any jurisdiction in which such offer, solicitation or sale would be unlawful prior to registration or qualification under the securities laws of such jurisdiction.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 xml:space="preserve">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t>
      </w:r>
      <w:r>
        <w:rPr>
          <w:rFonts w:ascii="Arial" w:cs="Arial" w:eastAsia="Arial" w:hAnsi="Arial"/>
          <w:sz w:val="18"/>
          <w:szCs w:val="18"/>
          <w:u w:val="single" w:color="auto"/>
          <w:color w:val="auto"/>
        </w:rPr>
        <w:t>www.XpresSpaGroup.com</w:t>
      </w:r>
      <w:r>
        <w:rPr>
          <w:rFonts w:ascii="Arial" w:cs="Arial" w:eastAsia="Arial" w:hAnsi="Arial"/>
          <w:sz w:val="18"/>
          <w:szCs w:val="18"/>
          <w:color w:val="auto"/>
        </w:rPr>
        <w:t xml:space="preserve">. To learn more about XpresSpa, visit </w:t>
      </w:r>
      <w:r>
        <w:rPr>
          <w:rFonts w:ascii="Arial" w:cs="Arial" w:eastAsia="Arial" w:hAnsi="Arial"/>
          <w:sz w:val="18"/>
          <w:szCs w:val="18"/>
          <w:u w:val="single" w:color="auto"/>
          <w:color w:val="auto"/>
        </w:rPr>
        <w:t>www.XpresSpa.com</w:t>
      </w:r>
      <w:r>
        <w:rPr>
          <w:rFonts w:ascii="Arial" w:cs="Arial" w:eastAsia="Arial" w:hAnsi="Arial"/>
          <w:sz w:val="18"/>
          <w:szCs w:val="18"/>
          <w:color w:val="auto"/>
        </w:rPr>
        <w: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These statements include, without limitation, statements related to our ability to close the offering and the gross proceeds from the offering.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Investor Relations: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99.2</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seeks to support COVID-19 testing in 46 locations across 23 US Airports</w:t>
      </w:r>
    </w:p>
    <w:p>
      <w:pPr>
        <w:spacing w:after="0" w:line="200" w:lineRule="exact"/>
        <w:rPr>
          <w:sz w:val="20"/>
          <w:szCs w:val="20"/>
          <w:color w:val="auto"/>
        </w:rPr>
      </w:pPr>
    </w:p>
    <w:p>
      <w:pPr>
        <w:spacing w:after="0" w:line="24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XpresSpa Group, Inc. (Nasdaq: XSPA) (“XpresSpa” or the “Company”), today announced that it has reached out to multiple government agencies, including the Centers for Disease Control and Prevention (CDC) and the U.S. Department of Health and Human Services (HHS), as well as private laboratories across the country. The Company has engaged in early high-level discussions with regards to turning all of its 46 airport locations, with many, located in point of entry cities, such as New York, Los Angeles, San Francisco, Chicago, Miami, Atlanta, and Washington DC into COVID-19 testing facilities. The Company believes that its spas offer a range of spaces that can be set up to test airport staff, flight crews, and passengers.</w:t>
      </w:r>
    </w:p>
    <w:p>
      <w:pPr>
        <w:spacing w:after="0" w:line="17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international airports across the United States are on the front lines of defense for combating entry into the US for people with the Cronavirus. Xpresspa, having locations in all of these key ports of entry is uniquely positioned to help in this fight. As a health and wellness company the majority of its employees are state licensed which includes training in disease containment. In addition, XpresSpa employees are already TSA security approved so they can be trained and deployed immediately.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Doug Satzman, XpresSpa, Chief Executive Officer, said, ”We believe we can we help alleviate some of the long waits for travelers entering the US but we can also be available to test TSA employees, pilots, Flight Attendants and other airport personnel who are on the front lines helping to keep our nation safe.”</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Doug Satzman, further stated “As the largest operator of health and wellness spas located within these US point of entry airports, we believe our facilities could be of great utility in helping our government test people as quickly as possible. We will work closely with local airport authorities on all plans. While we cannot ensure that an arrangement will ultimately be consummated, we remain optimistic, that we can play a vital role with some of these entities.”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We will continue to update our shareholders as more information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t>About XpresSpa Group, Inc.</w:t>
      </w:r>
    </w:p>
    <w:p>
      <w:pPr>
        <w:spacing w:after="0" w:line="27"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XpresSpa Group, Inc. (Nasdaq: XSPA) is a health and wellness holding company. XpresSpa Group’s core asset, XpresSpa, is a leading airport retailer of spa services and related health and wellness products, with 51 locations in 25 airports globally. XpresSpa offers services that are tailored specifically to the busy travel customer. XpresSpa is committed to providing exceptional customer experiences with its innovative premium spa services, as well as luxury travel products and accessories. XpresSpa provides almost one million services to customers per year at its locations in the United States, Netherlands, and the United Arab Emirates. To learn more about XpresSpa Group, visit: www.XpresSpaGroup.com. To learn more about XpresSpa, visit www.XpresSpa.com.</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This press release may contain "forward-looking" statements within the meaning of Section 27A of the Securities Act of 1933, and Section 21E of the Securities Exchange Act of 1934. These include statements preceded by, followed by or that otherwise include the words "believes," "expects," "anticipates," "estimates," "projects," "intends," "should," "seeks," "future," "continue," or the negative of such terms, or other comparable terminology. Forward-looking statements relating to expectations about future results or events are based upon information available to XpresSpa Group as of today's date and are not guarantees of the future performance of the company, and actual results may vary materially from the results and expectations discussed. Additional information concerning these and other risks is contained in XpresSpa Group’s most recently filed Annual Report on Form 10-K, Quarterly Report on Form 10-Q, recent Current Reports on Form 8-K and other Securities and Exchange Commission filings. All subsequent written and oral forward-looking statements concerning XpresSpa Group, or other matters and attributable to XpresSpa Group or any person acting on its behalf are expressly qualified in their entirety by the cautionary statements above. XpresSpa Group does not undertake any obligation to publicly update any of these forward-looking statements to reflect events or circumstances that may arise after the date hereof.</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ICR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Raphael Gross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(203) 682-8253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160"/>
      </w:cols>
      <w:pgMar w:left="320" w:top="90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1)"/>
      <w:numFmt w:val="lowerLetter"/>
      <w:start w:val="4"/>
    </w:lvl>
  </w:abstractNum>
  <w:abstractNum w:abstractNumId="2">
    <w:nsid w:val="1D4ED43B"/>
    <w:multiLevelType w:val="hybridMultilevel"/>
    <w:lvl w:ilvl="0">
      <w:lvlJc w:val="left"/>
      <w:lvlText w:val="%1."/>
      <w:numFmt w:val="decimal"/>
      <w:start w:val="1"/>
    </w:lvl>
    <w:lvl w:ilvl="1">
      <w:lvlJc w:val="left"/>
      <w:lvlText w:val="(%2)"/>
      <w:numFmt w:val="lowerRoman"/>
      <w:start w:val="1"/>
    </w:lvl>
  </w:abstractNum>
  <w:abstractNum w:abstractNumId="3">
    <w:nsid w:val="725A06FB"/>
    <w:multiLevelType w:val="hybridMultilevel"/>
    <w:lvl w:ilvl="0">
      <w:lvlJc w:val="left"/>
      <w:lvlText w:val="%1."/>
      <w:numFmt w:val="decimal"/>
      <w:start w:val="4"/>
    </w:lvl>
  </w:abstractNum>
  <w:abstractNum w:abstractNumId="4">
    <w:nsid w:val="2CD89A32"/>
    <w:multiLevelType w:val="hybridMultilevel"/>
    <w:lvl w:ilvl="0">
      <w:lvlJc w:val="left"/>
      <w:lvlText w:val="%1."/>
      <w:numFmt w:val="decimal"/>
      <w:start w:val="8"/>
    </w:lvl>
  </w:abstractNum>
  <w:abstractNum w:abstractNumId="5">
    <w:nsid w:val="57E4CCAF"/>
    <w:multiLevelType w:val="hybridMultilevel"/>
    <w:lvl w:ilvl="0">
      <w:lvlJc w:val="left"/>
      <w:lvlText w:val="%1."/>
      <w:numFmt w:val="decimal"/>
      <w:start w:val="13"/>
    </w:lvl>
    <w:lvl w:ilvl="1">
      <w:lvlJc w:val="left"/>
      <w:lvlText w:val="(%2)"/>
      <w:numFmt w:val="decimal"/>
      <w:start w:val="1"/>
    </w:lvl>
  </w:abstractNum>
  <w:abstractNum w:abstractNumId="6">
    <w:nsid w:val="7A6D8D3C"/>
    <w:multiLevelType w:val="hybridMultilevel"/>
    <w:lvl w:ilvl="0">
      <w:lvlJc w:val="left"/>
      <w:lvlText w:val="%1"/>
      <w:numFmt w:val="decimal"/>
      <w:start w:val="1"/>
    </w:lvl>
    <w:lvl w:ilvl="1">
      <w:lvlJc w:val="left"/>
      <w:lvlText w:val="(%2)"/>
      <w:numFmt w:val="decimal"/>
      <w:start w:val="6"/>
    </w:lvl>
  </w:abstractNum>
  <w:abstractNum w:abstractNumId="7">
    <w:nsid w:val="4B588F54"/>
    <w:multiLevelType w:val="hybridMultilevel"/>
    <w:lvl w:ilvl="0">
      <w:lvlJc w:val="left"/>
      <w:lvlText w:val="%1."/>
      <w:numFmt w:val="decimal"/>
      <w:start w:val="17"/>
    </w:lvl>
    <w:lvl w:ilvl="1">
      <w:lvlJc w:val="left"/>
      <w:lvlText w:val="%2"/>
      <w:numFmt w:val="decimal"/>
      <w:start w:val="1"/>
    </w:lvl>
  </w:abstractNum>
  <w:abstractNum w:abstractNumId="8">
    <w:nsid w:val="542289EC"/>
    <w:multiLevelType w:val="hybridMultilevel"/>
    <w:lvl w:ilvl="0">
      <w:lvlJc w:val="left"/>
      <w:lvlText w:val="%1."/>
      <w:numFmt w:val="decimal"/>
      <w:start w:val="1"/>
    </w:lvl>
  </w:abstractNum>
  <w:abstractNum w:abstractNumId="9">
    <w:nsid w:val="6DE91B18"/>
    <w:multiLevelType w:val="hybridMultilevel"/>
    <w:lvl w:ilvl="0">
      <w:lvlJc w:val="left"/>
      <w:lvlText w:val="%1."/>
      <w:numFmt w:val="decimal"/>
      <w:start w:val="5"/>
    </w:lvl>
  </w:abstractNum>
  <w:abstractNum w:abstractNumId="10">
    <w:nsid w:val="38437FDB"/>
    <w:multiLevelType w:val="hybridMultilevel"/>
    <w:lvl w:ilvl="0">
      <w:lvlJc w:val="left"/>
      <w:lvlText w:val="%1."/>
      <w:numFmt w:val="decimal"/>
      <w:start w:val="1"/>
    </w:lvl>
    <w:lvl w:ilvl="1">
      <w:lvlJc w:val="left"/>
      <w:lvlText w:val="(%2)"/>
      <w:numFmt w:val="lowerLetter"/>
      <w:start w:val="1"/>
    </w:lvl>
  </w:abstractNum>
  <w:abstractNum w:abstractNumId="11">
    <w:nsid w:val="7644A45C"/>
    <w:multiLevelType w:val="hybridMultilevel"/>
    <w:lvl w:ilvl="0">
      <w:lvlJc w:val="left"/>
      <w:lvlText w:val="(%1)"/>
      <w:numFmt w:val="lowerLetter"/>
      <w:start w:val="2"/>
    </w:lvl>
  </w:abstractNum>
  <w:abstractNum w:abstractNumId="12">
    <w:nsid w:val="32FFF902"/>
    <w:multiLevelType w:val="hybridMultilevel"/>
    <w:lvl w:ilvl="0">
      <w:lvlJc w:val="left"/>
      <w:lvlText w:val="(%1)"/>
      <w:numFmt w:val="lowerLetter"/>
      <w:start w:val="4"/>
    </w:lvl>
  </w:abstractNum>
  <w:abstractNum w:abstractNumId="13">
    <w:nsid w:val="684A481A"/>
    <w:multiLevelType w:val="hybridMultilevel"/>
    <w:lvl w:ilvl="0">
      <w:lvlJc w:val="left"/>
      <w:lvlText w:val="(%1)"/>
      <w:numFmt w:val="lowerLetter"/>
      <w:start w:val="5"/>
    </w:lvl>
  </w:abstractNum>
  <w:abstractNum w:abstractNumId="14">
    <w:nsid w:val="579478FE"/>
    <w:multiLevelType w:val="hybridMultilevel"/>
    <w:lvl w:ilvl="0">
      <w:lvlJc w:val="left"/>
      <w:lvlText w:val="%1"/>
      <w:numFmt w:val="decimal"/>
      <w:start w:val="1"/>
    </w:lvl>
    <w:lvl w:ilvl="1">
      <w:lvlJc w:val="left"/>
      <w:lvlText w:val="(%2)"/>
      <w:numFmt w:val="lowerLetter"/>
      <w:start w:val="7"/>
    </w:lvl>
  </w:abstractNum>
  <w:abstractNum w:abstractNumId="15">
    <w:nsid w:val="749ABB43"/>
    <w:multiLevelType w:val="hybridMultilevel"/>
    <w:lvl w:ilvl="0">
      <w:lvlJc w:val="left"/>
      <w:lvlText w:val="%1."/>
      <w:numFmt w:val="decimal"/>
      <w:start w:val="2"/>
    </w:lvl>
    <w:lvl w:ilvl="1">
      <w:lvlJc w:val="left"/>
      <w:lvlText w:val="(%2)"/>
      <w:numFmt w:val="lowerLetter"/>
      <w:start w:val="1"/>
    </w:lvl>
  </w:abstractNum>
  <w:abstractNum w:abstractNumId="16">
    <w:nsid w:val="3DC240FB"/>
    <w:multiLevelType w:val="hybridMultilevel"/>
    <w:lvl w:ilvl="0">
      <w:lvlJc w:val="left"/>
      <w:lvlText w:val="%1."/>
      <w:numFmt w:val="decimal"/>
      <w:start w:val="3"/>
    </w:lvl>
    <w:lvl w:ilvl="1">
      <w:lvlJc w:val="left"/>
      <w:lvlText w:val="(%2)"/>
      <w:numFmt w:val="lowerLetter"/>
      <w:start w:val="1"/>
    </w:lvl>
  </w:abstractNum>
  <w:abstractNum w:abstractNumId="17">
    <w:nsid w:val="1BA026FA"/>
    <w:multiLevelType w:val="hybridMultilevel"/>
    <w:lvl w:ilvl="0">
      <w:lvlJc w:val="left"/>
      <w:lvlText w:val="%1"/>
      <w:numFmt w:val="lowerLetter"/>
      <w:start w:val="1"/>
    </w:lvl>
    <w:lvl w:ilvl="1">
      <w:lvlJc w:val="left"/>
      <w:lvlText w:val="(%2)"/>
      <w:numFmt w:val="lowerLetter"/>
      <w:start w:val="2"/>
    </w:lvl>
  </w:abstractNum>
  <w:abstractNum w:abstractNumId="18">
    <w:nsid w:val="79A1DEAA"/>
    <w:multiLevelType w:val="hybridMultilevel"/>
    <w:lvl w:ilvl="0">
      <w:lvlJc w:val="left"/>
      <w:lvlText w:val="(%1)"/>
      <w:numFmt w:val="lowerLetter"/>
      <w:start w:val="61"/>
    </w:lvl>
    <w:lvl w:ilvl="1">
      <w:lvlJc w:val="left"/>
      <w:lvlText w:val="%2"/>
      <w:numFmt w:val="lowerLetter"/>
      <w:start w:val="1"/>
    </w:lvl>
  </w:abstractNum>
  <w:abstractNum w:abstractNumId="19">
    <w:nsid w:val="75C6C33A"/>
    <w:multiLevelType w:val="hybridMultilevel"/>
    <w:lvl w:ilvl="0">
      <w:lvlJc w:val="left"/>
      <w:lvlText w:val="%1."/>
      <w:numFmt w:val="decimal"/>
      <w:start w:val="5"/>
    </w:lvl>
    <w:lvl w:ilvl="1">
      <w:lvlJc w:val="left"/>
      <w:lvlText w:val="(%2)"/>
      <w:numFmt w:val="lowerLetter"/>
      <w:start w:val="1"/>
    </w:lvl>
  </w:abstractNum>
  <w:abstractNum w:abstractNumId="20">
    <w:nsid w:val="12E685FB"/>
    <w:multiLevelType w:val="hybridMultilevel"/>
    <w:lvl w:ilvl="0">
      <w:lvlJc w:val="left"/>
      <w:lvlText w:val="%1."/>
      <w:numFmt w:val="decimal"/>
      <w:start w:val="8"/>
    </w:lvl>
  </w:abstractNum>
  <w:abstractNum w:abstractNumId="21">
    <w:nsid w:val="70C6A529"/>
    <w:multiLevelType w:val="hybridMultilevel"/>
    <w:lvl w:ilvl="0">
      <w:lvlJc w:val="left"/>
      <w:lvlText w:val="%1."/>
      <w:numFmt w:val="decimal"/>
      <w:start w:val="9"/>
    </w:lvl>
  </w:abstractNum>
  <w:abstractNum w:abstractNumId="22">
    <w:nsid w:val="520EEDD1"/>
    <w:multiLevelType w:val="hybridMultilevel"/>
    <w:lvl w:ilvl="0">
      <w:lvlJc w:val="left"/>
      <w:lvlText w:val="%1."/>
      <w:numFmt w:val="decimal"/>
      <w:start w:val="11"/>
    </w:lvl>
  </w:abstractNum>
  <w:abstractNum w:abstractNumId="23">
    <w:nsid w:val="374A3FE6"/>
    <w:multiLevelType w:val="hybridMultilevel"/>
    <w:lvl w:ilvl="0">
      <w:lvlJc w:val="left"/>
      <w:lvlText w:val="%1."/>
      <w:numFmt w:val="decimal"/>
      <w:start w:val="14"/>
    </w:lvl>
    <w:lvl w:ilvl="1">
      <w:lvlJc w:val="left"/>
      <w:lvlText w:val="(%2)"/>
      <w:numFmt w:val="lowerLetter"/>
      <w:start w:val="1"/>
    </w:lvl>
  </w:abstractNum>
  <w:abstractNum w:abstractNumId="24">
    <w:nsid w:val="4F4EF005"/>
    <w:multiLevelType w:val="hybridMultilevel"/>
    <w:lvl w:ilvl="0">
      <w:lvlJc w:val="left"/>
      <w:lvlText w:val="(%1)"/>
      <w:numFmt w:val="lowerLetter"/>
      <w:start w:val="4"/>
    </w:lvl>
  </w:abstractNum>
  <w:abstractNum w:abstractNumId="25">
    <w:nsid w:val="23F9C13C"/>
    <w:multiLevelType w:val="hybridMultilevel"/>
    <w:lvl w:ilvl="0">
      <w:lvlJc w:val="left"/>
      <w:lvlText w:val="(%1)"/>
      <w:numFmt w:val="lowerLetter"/>
      <w:start w:val="8"/>
    </w:lvl>
  </w:abstractNum>
  <w:abstractNum w:abstractNumId="26">
    <w:nsid w:val="649BB77C"/>
    <w:multiLevelType w:val="hybridMultilevel"/>
    <w:lvl w:ilvl="0">
      <w:lvlJc w:val="left"/>
      <w:lvlText w:val="(%1)"/>
      <w:numFmt w:val="lowerLetter"/>
      <w:start w:val="20"/>
    </w:lvl>
  </w:abstractNum>
  <w:abstractNum w:abstractNumId="27">
    <w:nsid w:val="275AC794"/>
    <w:multiLevelType w:val="hybridMultilevel"/>
    <w:lvl w:ilvl="0">
      <w:lvlJc w:val="left"/>
      <w:lvlText w:val="%1."/>
      <w:numFmt w:val="decimal"/>
      <w:start w:val="2"/>
    </w:lvl>
  </w:abstractNum>
  <w:abstractNum w:abstractNumId="28">
    <w:nsid w:val="39386575"/>
    <w:multiLevelType w:val="hybridMultilevel"/>
    <w:lvl w:ilvl="0">
      <w:lvlJc w:val="left"/>
      <w:lvlText w:val="(%1)"/>
      <w:numFmt w:val="lowerRoman"/>
      <w:start w:val="1"/>
    </w:lvl>
  </w:abstractNum>
  <w:abstractNum w:abstractNumId="29">
    <w:nsid w:val="1CF10FD8"/>
    <w:multiLevelType w:val="hybridMultilevel"/>
    <w:lvl w:ilvl="0">
      <w:lvlJc w:val="left"/>
      <w:lvlText w:val="(%1)"/>
      <w:numFmt w:val="decimal"/>
      <w:start w:val="5"/>
    </w:lvl>
  </w:abstractNum>
  <w:abstractNum w:abstractNumId="30">
    <w:nsid w:val="180115BE"/>
    <w:multiLevelType w:val="hybridMultilevel"/>
    <w:lvl w:ilvl="0">
      <w:lvlJc w:val="left"/>
      <w:lvlText w:val="(%1)"/>
      <w:numFmt w:val="lowerLetter"/>
      <w:start w:val="1"/>
    </w:lvl>
    <w:lvl w:ilvl="1">
      <w:lvlJc w:val="left"/>
      <w:lvlText w:val="(%2)"/>
      <w:numFmt w:val="lowerRoman"/>
      <w:start w:val="1"/>
    </w:lvl>
  </w:abstractNum>
  <w:abstractNum w:abstractNumId="31">
    <w:nsid w:val="235BA861"/>
    <w:multiLevelType w:val="hybridMultilevel"/>
    <w:lvl w:ilvl="0">
      <w:lvlJc w:val="left"/>
      <w:lvlText w:val="%1"/>
      <w:numFmt w:val="lowerLetter"/>
      <w:start w:val="1"/>
    </w:lvl>
    <w:lvl w:ilvl="1">
      <w:lvlJc w:val="left"/>
      <w:lvlText w:val="(%2)"/>
      <w:numFmt w:val="lowerRoman"/>
      <w:start w:val="5"/>
    </w:lvl>
  </w:abstractNum>
  <w:abstractNum w:abstractNumId="32">
    <w:nsid w:val="47398C89"/>
    <w:multiLevelType w:val="hybridMultilevel"/>
    <w:lvl w:ilvl="0">
      <w:lvlJc w:val="left"/>
      <w:lvlText w:val="(%1)"/>
      <w:numFmt w:val="lowerLetter"/>
      <w:start w:val="2"/>
    </w:lvl>
    <w:lvl w:ilvl="1">
      <w:lvlJc w:val="left"/>
      <w:lvlText w:val="(%2)"/>
      <w:numFmt w:val="lowerRoman"/>
      <w:start w:val="1"/>
    </w:lvl>
  </w:abstractNum>
  <w:abstractNum w:abstractNumId="33">
    <w:nsid w:val="354FE9F9"/>
    <w:multiLevelType w:val="hybridMultilevel"/>
    <w:lvl w:ilvl="0">
      <w:lvlJc w:val="left"/>
      <w:lvlText w:val="(%1)"/>
      <w:numFmt w:val="lowerLetter"/>
      <w:start w:val="1"/>
    </w:lvl>
    <w:lvl w:ilvl="1">
      <w:lvlJc w:val="left"/>
      <w:lvlText w:val="(%2)"/>
      <w:numFmt w:val="lowerRoman"/>
      <w:start w:val="1"/>
    </w:lvl>
  </w:abstractNum>
  <w:abstractNum w:abstractNumId="34">
    <w:nsid w:val="15B5AF5C"/>
    <w:multiLevelType w:val="hybridMultilevel"/>
    <w:lvl w:ilvl="0">
      <w:lvlJc w:val="left"/>
      <w:lvlText w:val="(%1)"/>
      <w:numFmt w:val="lowerRoman"/>
      <w:start w:val="2"/>
    </w:lvl>
  </w:abstractNum>
  <w:abstractNum w:abstractNumId="35">
    <w:nsid w:val="741226BB"/>
    <w:multiLevelType w:val="hybridMultilevel"/>
    <w:lvl w:ilvl="0">
      <w:lvlJc w:val="left"/>
      <w:lvlText w:val="(%1)"/>
      <w:numFmt w:val="lowerLetter"/>
      <w:start w:val="1"/>
    </w:lvl>
  </w:abstractNum>
  <w:abstractNum w:abstractNumId="36">
    <w:nsid w:val="D34B6A8"/>
    <w:multiLevelType w:val="hybridMultilevel"/>
    <w:lvl w:ilvl="0">
      <w:lvlJc w:val="left"/>
      <w:lvlText w:val="(%1)"/>
      <w:numFmt w:val="lowerLetter"/>
      <w:start w:val="3"/>
    </w:lvl>
  </w:abstractNum>
  <w:abstractNum w:abstractNumId="37">
    <w:nsid w:val="10233C99"/>
    <w:multiLevelType w:val="hybridMultilevel"/>
    <w:lvl w:ilvl="0">
      <w:lvlJc w:val="left"/>
      <w:lvlText w:val="(%1)"/>
      <w:numFmt w:val="lowerLetter"/>
      <w:start w:val="5"/>
    </w:lvl>
  </w:abstractNum>
  <w:abstractNum w:abstractNumId="38">
    <w:nsid w:val="3F6AB60F"/>
    <w:multiLevelType w:val="hybridMultilevel"/>
    <w:lvl w:ilvl="0">
      <w:lvlJc w:val="left"/>
      <w:lvlText w:val="(%1)"/>
      <w:numFmt w:val="lowerLetter"/>
      <w:start w:val="7"/>
    </w:lvl>
  </w:abstractNum>
  <w:abstractNum w:abstractNumId="39">
    <w:nsid w:val="61574095"/>
    <w:multiLevelType w:val="hybridMultilevel"/>
    <w:lvl w:ilvl="0">
      <w:lvlJc w:val="left"/>
      <w:lvlText w:val="%1"/>
      <w:numFmt w:val="lowerLetter"/>
      <w:start w:val="1"/>
    </w:lvl>
    <w:lvl w:ilvl="1">
      <w:lvlJc w:val="left"/>
      <w:lvlText w:val="(%2)"/>
      <w:numFmt w:val="lowerLetter"/>
      <w:start w:val="9"/>
    </w:lvl>
  </w:abstractNum>
  <w:abstractNum w:abstractNumId="40">
    <w:nsid w:val="7E0C57B1"/>
    <w:multiLevelType w:val="hybridMultilevel"/>
    <w:lvl w:ilvl="0">
      <w:lvlJc w:val="left"/>
      <w:lvlText w:val="(%1)"/>
      <w:numFmt w:val="lowerLetter"/>
      <w:start w:val="61"/>
    </w:lvl>
    <w:lvl w:ilvl="1">
      <w:lvlJc w:val="left"/>
      <w:lvlText w:val="(%2)"/>
      <w:numFmt w:val="lowerLetter"/>
      <w:start w:val="10"/>
    </w:lvl>
  </w:abstractNum>
  <w:abstractNum w:abstractNumId="41">
    <w:nsid w:val="77AE35EB"/>
    <w:multiLevelType w:val="hybridMultilevel"/>
    <w:lvl w:ilvl="0">
      <w:lvlJc w:val="left"/>
      <w:lvlText w:val="(%1)"/>
      <w:numFmt w:val="lowerLetter"/>
      <w:start w:val="11"/>
    </w:lvl>
  </w:abstractNum>
  <w:abstractNum w:abstractNumId="42">
    <w:nsid w:val="579BE4F1"/>
    <w:multiLevelType w:val="hybridMultilevel"/>
    <w:lvl w:ilvl="0">
      <w:lvlJc w:val="left"/>
      <w:lvlText w:val="(%1)"/>
      <w:numFmt w:val="lowerLetter"/>
      <w:start w:val="14"/>
    </w:lvl>
  </w:abstractNum>
  <w:abstractNum w:abstractNumId="43">
    <w:nsid w:val="310C50B3"/>
    <w:multiLevelType w:val="hybridMultilevel"/>
    <w:lvl w:ilvl="0">
      <w:lvlJc w:val="left"/>
      <w:lvlText w:val="(%1)"/>
      <w:numFmt w:val="lowerLetter"/>
      <w:start w:val="17"/>
    </w:lvl>
  </w:abstractNum>
  <w:abstractNum w:abstractNumId="44">
    <w:nsid w:val="5FF87E05"/>
    <w:multiLevelType w:val="hybridMultilevel"/>
    <w:lvl w:ilvl="0">
      <w:lvlJc w:val="left"/>
      <w:lvlText w:val="(%1)"/>
      <w:numFmt w:val="lowerLetter"/>
      <w:start w:val="20"/>
    </w:lvl>
  </w:abstractNum>
  <w:abstractNum w:abstractNumId="45">
    <w:nsid w:val="2F305DEF"/>
    <w:multiLevelType w:val="hybridMultilevel"/>
    <w:lvl w:ilvl="0">
      <w:lvlJc w:val="left"/>
      <w:lvlText w:val="(%1)"/>
      <w:numFmt w:val="lowerLetter"/>
      <w:start w:val="24"/>
    </w:lvl>
  </w:abstractNum>
  <w:abstractNum w:abstractNumId="46">
    <w:nsid w:val="25A70BF7"/>
    <w:multiLevelType w:val="hybridMultilevel"/>
    <w:lvl w:ilvl="0">
      <w:lvlJc w:val="left"/>
      <w:lvlText w:val="(%1)"/>
      <w:numFmt w:val="lowerLetter"/>
      <w:start w:val="27"/>
    </w:lvl>
  </w:abstractNum>
  <w:abstractNum w:abstractNumId="47">
    <w:nsid w:val="1DBABF00"/>
    <w:multiLevelType w:val="hybridMultilevel"/>
    <w:lvl w:ilvl="0">
      <w:lvlJc w:val="left"/>
      <w:lvlText w:val="%1"/>
      <w:numFmt w:val="lowerLetter"/>
      <w:start w:val="1"/>
    </w:lvl>
    <w:lvl w:ilvl="1">
      <w:lvlJc w:val="left"/>
      <w:lvlText w:val="(%2)"/>
      <w:numFmt w:val="lowerLetter"/>
      <w:start w:val="30"/>
    </w:lvl>
  </w:abstractNum>
  <w:abstractNum w:abstractNumId="48">
    <w:nsid w:val="4AD084E9"/>
    <w:multiLevelType w:val="hybridMultilevel"/>
    <w:lvl w:ilvl="0">
      <w:lvlJc w:val="left"/>
      <w:lvlText w:val="(%1)"/>
      <w:numFmt w:val="lowerLetter"/>
      <w:start w:val="61"/>
    </w:lvl>
    <w:lvl w:ilvl="1">
      <w:lvlJc w:val="left"/>
      <w:lvlText w:val="%2"/>
      <w:numFmt w:val="lowerLetter"/>
      <w:start w:val="1"/>
    </w:lvl>
  </w:abstractNum>
  <w:abstractNum w:abstractNumId="49">
    <w:nsid w:val="1F48EAA1"/>
    <w:multiLevelType w:val="hybridMultilevel"/>
    <w:lvl w:ilvl="0">
      <w:lvlJc w:val="left"/>
      <w:lvlText w:val="(%1)"/>
      <w:numFmt w:val="lowerLetter"/>
      <w:start w:val="34"/>
    </w:lvl>
  </w:abstractNum>
  <w:abstractNum w:abstractNumId="50">
    <w:nsid w:val="1381823A"/>
    <w:multiLevelType w:val="hybridMultilevel"/>
    <w:lvl w:ilvl="0">
      <w:lvlJc w:val="left"/>
      <w:lvlText w:val="(%1)"/>
      <w:numFmt w:val="lowerLetter"/>
      <w:start w:val="40"/>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1)"/>
      <w:numFmt w:val="lowerLetter"/>
      <w:start w:val="4"/>
    </w:lvl>
  </w:abstractNum>
  <w:abstractNum w:abstractNumId="53">
    <w:nsid w:val="6590700B"/>
    <w:multiLevelType w:val="hybridMultilevel"/>
    <w:lvl w:ilvl="0">
      <w:lvlJc w:val="left"/>
      <w:lvlText w:val="(%1)"/>
      <w:numFmt w:val="lowerLetter"/>
      <w:start w:val="7"/>
    </w:lvl>
  </w:abstractNum>
  <w:abstractNum w:abstractNumId="54">
    <w:nsid w:val="15014ACB"/>
    <w:multiLevelType w:val="hybridMultilevel"/>
    <w:lvl w:ilvl="0">
      <w:lvlJc w:val="left"/>
      <w:lvlText w:val="(%1)"/>
      <w:numFmt w:val="lowerLetter"/>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
      <w:numFmt w:val="bullet"/>
      <w:start w:val="1"/>
    </w:lvl>
  </w:abstractNum>
  <w:abstractNum w:abstractNumId="57">
    <w:nsid w:val="799D0247"/>
    <w:multiLevelType w:val="hybridMultilevel"/>
    <w:lvl w:ilvl="0">
      <w:lvlJc w:val="left"/>
      <w:lvlText w:val="☒"/>
      <w:numFmt w:val="bullet"/>
      <w:start w:val="1"/>
    </w:lvl>
  </w:abstractNum>
  <w:abstractNum w:abstractNumId="58">
    <w:nsid w:val="6B94764"/>
    <w:multiLevelType w:val="hybridMultilevel"/>
    <w:lvl w:ilvl="0">
      <w:lvlJc w:val="left"/>
      <w:lvlText w:val="☒"/>
      <w:numFmt w:val="bullet"/>
      <w:start w:val="1"/>
    </w:lvl>
  </w:abstractNum>
  <w:abstractNum w:abstractNumId="59">
    <w:nsid w:val="42C296BD"/>
    <w:multiLevelType w:val="hybridMultilevel"/>
    <w:lvl w:ilvl="0">
      <w:lvlJc w:val="left"/>
      <w:lvlText w:val="☐"/>
      <w:numFmt w:val="bullet"/>
      <w:start w:val="1"/>
    </w:lvl>
  </w:abstractNum>
  <w:abstractNum w:abstractNumId="60">
    <w:nsid w:val="168E121F"/>
    <w:multiLevelType w:val="hybridMultilevel"/>
    <w:lvl w:ilvl="0">
      <w:lvlJc w:val="left"/>
      <w:lvlText w:val="☒"/>
      <w:numFmt w:val="bullet"/>
      <w:start w:val="1"/>
    </w:lvl>
  </w:abstractNum>
  <w:abstractNum w:abstractNumId="61">
    <w:nsid w:val="1EBA5D23"/>
    <w:multiLevelType w:val="hybridMultilevel"/>
    <w:lvl w:ilvl="0">
      <w:lvlJc w:val="left"/>
      <w:lvlText w:val="%1."/>
      <w:numFmt w:val="upperLetter"/>
      <w:start w:val="1"/>
    </w:lvl>
  </w:abstractNum>
  <w:abstractNum w:abstractNumId="62">
    <w:nsid w:val="661E3F1E"/>
    <w:multiLevelType w:val="hybridMultilevel"/>
    <w:lvl w:ilvl="0">
      <w:lvlJc w:val="left"/>
      <w:lvlText w:val="%1."/>
      <w:numFmt w:val="decimal"/>
      <w:start w:val="1"/>
    </w:lvl>
    <w:lvl w:ilvl="1">
      <w:lvlJc w:val="left"/>
      <w:lvlText w:val="(%2)"/>
      <w:numFmt w:val="lowerLetter"/>
      <w:start w:val="1"/>
    </w:lvl>
  </w:abstractNum>
  <w:abstractNum w:abstractNumId="63">
    <w:nsid w:val="5DC79EA8"/>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64">
    <w:nsid w:val="540A471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lvl w:ilvl="3">
      <w:lvlJc w:val="left"/>
      <w:lvlText w:val="%4"/>
      <w:numFmt w:val="lowerRoman"/>
      <w:start w:val="1"/>
    </w:lvl>
  </w:abstractNum>
  <w:abstractNum w:abstractNumId="65">
    <w:nsid w:val="7BD3EE7B"/>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66">
    <w:nsid w:val="51D9C564"/>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lvl w:ilvl="3">
      <w:lvlJc w:val="left"/>
      <w:lvlText w:val="%4."/>
      <w:numFmt w:val="lowerRoman"/>
      <w:start w:val="2"/>
    </w:lvl>
  </w:abstractNum>
  <w:abstractNum w:abstractNumId="67">
    <w:nsid w:val="613EFDC5"/>
    <w:multiLevelType w:val="hybridMultilevel"/>
    <w:lvl w:ilvl="0">
      <w:lvlJc w:val="left"/>
      <w:lvlText w:val="%1"/>
      <w:numFmt w:val="lowerLetter"/>
      <w:start w:val="1"/>
    </w:lvl>
    <w:lvl w:ilvl="1">
      <w:lvlJc w:val="left"/>
      <w:lvlText w:val="%2."/>
      <w:numFmt w:val="lowerRoman"/>
      <w:start w:val="3"/>
    </w:lvl>
  </w:abstractNum>
  <w:abstractNum w:abstractNumId="68">
    <w:nsid w:val="BF72B14"/>
    <w:multiLevelType w:val="hybridMultilevel"/>
    <w:lvl w:ilvl="0">
      <w:lvlJc w:val="left"/>
      <w:lvlText w:val="(%1)"/>
      <w:numFmt w:val="lowerLetter"/>
      <w:start w:val="2"/>
    </w:lvl>
    <w:lvl w:ilvl="1">
      <w:lvlJc w:val="left"/>
      <w:lvlText w:val="%2."/>
      <w:numFmt w:val="lowerRoman"/>
      <w:start w:val="1"/>
    </w:lvl>
  </w:abstractNum>
  <w:abstractNum w:abstractNumId="69">
    <w:nsid w:val="11447B73"/>
    <w:multiLevelType w:val="hybridMultilevel"/>
    <w:lvl w:ilvl="0">
      <w:lvlJc w:val="left"/>
      <w:lvlText w:val="%1"/>
      <w:numFmt w:val="decimal"/>
      <w:start w:val="1"/>
    </w:lvl>
    <w:lvl w:ilvl="1">
      <w:lvlJc w:val="left"/>
      <w:lvlText w:val="%2."/>
      <w:numFmt w:val="lowerRoman"/>
      <w:start w:val="4"/>
    </w:lvl>
  </w:abstractNum>
  <w:abstractNum w:abstractNumId="70">
    <w:nsid w:val="42963E5A"/>
    <w:multiLevelType w:val="hybridMultilevel"/>
    <w:lvl w:ilvl="0">
      <w:lvlJc w:val="left"/>
      <w:lvlText w:val="%1."/>
      <w:numFmt w:val="decimal"/>
      <w:start w:val="3"/>
    </w:lvl>
    <w:lvl w:ilvl="1">
      <w:lvlJc w:val="left"/>
      <w:lvlText w:val="%2"/>
      <w:numFmt w:val="lowerRoman"/>
      <w:start w:val="1"/>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decimal"/>
      <w:start w:val="4"/>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decimal"/>
      <w:start w:val="5"/>
    </w:lvl>
  </w:abstractNum>
  <w:abstractNum w:abstractNumId="75">
    <w:nsid w:val="68EB2F63"/>
    <w:multiLevelType w:val="hybridMultilevel"/>
    <w:lvl w:ilvl="0">
      <w:lvlJc w:val="left"/>
      <w:lvlText w:val="(%1)"/>
      <w:numFmt w:val="lowerLetter"/>
      <w:start w:val="1"/>
    </w:lvl>
  </w:abstractNum>
  <w:abstractNum w:abstractNumId="76">
    <w:nsid w:val="4962813B"/>
    <w:multiLevelType w:val="hybridMultilevel"/>
    <w:lvl w:ilvl="0">
      <w:lvlJc w:val="left"/>
      <w:lvlText w:val="(%1)"/>
      <w:numFmt w:val="lowerLetter"/>
      <w:start w:val="6"/>
    </w:lvl>
  </w:abstractNum>
  <w:abstractNum w:abstractNumId="77">
    <w:nsid w:val="60B6DF70"/>
    <w:multiLevelType w:val="hybridMultilevel"/>
    <w:lvl w:ilvl="0">
      <w:lvlJc w:val="left"/>
      <w:lvlText w:val="%1."/>
      <w:numFmt w:val="decimal"/>
      <w:start w:val="6"/>
    </w:lvl>
  </w:abstractNum>
  <w:abstractNum w:abstractNumId="78">
    <w:nsid w:val="6A5EE64"/>
    <w:multiLevelType w:val="hybridMultilevel"/>
    <w:lvl w:ilvl="0">
      <w:lvlJc w:val="left"/>
      <w:lvlText w:val="%1."/>
      <w:numFmt w:val="decimal"/>
      <w:start w:val="7"/>
    </w:lvl>
  </w:abstractNum>
  <w:abstractNum w:abstractNumId="79">
    <w:nsid w:val="14330624"/>
    <w:multiLevelType w:val="hybridMultilevel"/>
    <w:lvl w:ilvl="0">
      <w:lvlJc w:val="left"/>
      <w:lvlText w:val="%1"/>
      <w:numFmt w:val="lowerLetter"/>
      <w:start w:val="1"/>
    </w:lvl>
    <w:lvl w:ilvl="1">
      <w:lvlJc w:val="left"/>
      <w:lvlText w:val="(%2)"/>
      <w:numFmt w:val="lowerLetter"/>
      <w:start w:val="1"/>
    </w:lvl>
  </w:abstractNum>
  <w:abstractNum w:abstractNumId="80">
    <w:nsid w:val="7FFFCA11"/>
    <w:multiLevelType w:val="hybridMultilevel"/>
    <w:lvl w:ilvl="0">
      <w:lvlJc w:val="left"/>
      <w:lvlText w:val="(%1)"/>
      <w:numFmt w:val="lowerLetter"/>
      <w:start w:val="61"/>
    </w:lvl>
    <w:lvl w:ilvl="1">
      <w:lvlJc w:val="left"/>
      <w:lvlText w:val="(%2)"/>
      <w:numFmt w:val="lowerLetter"/>
      <w:start w:val="3"/>
    </w:lvl>
  </w:abstractNum>
  <w:abstractNum w:abstractNumId="81">
    <w:nsid w:val="1A27709E"/>
    <w:multiLevelType w:val="hybridMultilevel"/>
    <w:lvl w:ilvl="0">
      <w:lvlJc w:val="left"/>
      <w:lvlText w:val="(%1)"/>
      <w:numFmt w:val="lowerLetter"/>
      <w:start w:val="1"/>
    </w:lvl>
  </w:abstractNum>
  <w:abstractNum w:abstractNumId="82">
    <w:nsid w:val="71EA1109"/>
    <w:multiLevelType w:val="hybridMultilevel"/>
    <w:lvl w:ilvl="0">
      <w:lvlJc w:val="left"/>
      <w:lvlText w:val="(%1)"/>
      <w:numFmt w:val="lowerLetter"/>
      <w:start w:val="2"/>
    </w:lvl>
  </w:abstractNum>
  <w:abstractNum w:abstractNumId="83">
    <w:nsid w:val="100F59DC"/>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2020-03-19T16:04:50Z</dcterms:created>
  <dcterms:modified xsi:type="dcterms:W3CDTF">2020-03-19T16:04:50Z</dcterms:modified>
</cp:coreProperties>
</file>