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98420U703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August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6" w:lineRule="exact"/>
        <w:rPr>
          <w:sz w:val="24"/>
          <w:szCs w:val="24"/>
          <w:color w:val="auto"/>
        </w:rPr>
      </w:pPr>
    </w:p>
    <w:p>
      <w:pPr>
        <w:ind w:left="660" w:hanging="652"/>
        <w:spacing w:after="0" w:line="207" w:lineRule="exact"/>
        <w:tabs>
          <w:tab w:leader="none" w:pos="6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13d-1(b)</w:t>
      </w:r>
    </w:p>
    <w:p>
      <w:pPr>
        <w:spacing w:after="0" w:line="225"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spacing w:after="0" w:line="252"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5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98420U703</w:t>
            </w:r>
          </w:p>
        </w:tc>
      </w:tr>
    </w:tbl>
    <w:p>
      <w:pPr>
        <w:spacing w:after="0" w:line="198"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200"/>
        <w:spacing w:after="0"/>
        <w:tabs>
          <w:tab w:leader="none" w:pos="2580" w:val="left"/>
        </w:tabs>
        <w:rPr>
          <w:sz w:val="20"/>
          <w:szCs w:val="20"/>
          <w:color w:val="auto"/>
        </w:rPr>
      </w:pPr>
      <w:r>
        <w:rPr>
          <w:rFonts w:ascii="Times New Roman" w:cs="Times New Roman" w:eastAsia="Times New Roman" w:hAnsi="Times New Roman"/>
          <w:sz w:val="18"/>
          <w:szCs w:val="18"/>
          <w:color w:val="auto"/>
        </w:rPr>
        <w:t>5.</w:t>
        <w:tab/>
        <w:t>Sole Voting Power</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5"/>
        </w:trPr>
        <w:tc>
          <w:tcPr>
            <w:tcW w:w="1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540" w:type="dxa"/>
            <w:vAlign w:val="bottom"/>
          </w:tcPr>
          <w:p>
            <w:pPr>
              <w:spacing w:after="0"/>
              <w:rPr>
                <w:sz w:val="18"/>
                <w:szCs w:val="18"/>
                <w:color w:val="auto"/>
              </w:rPr>
            </w:pPr>
          </w:p>
        </w:tc>
        <w:tc>
          <w:tcPr>
            <w:tcW w:w="8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2,012,189</w:t>
            </w:r>
          </w:p>
        </w:tc>
        <w:tc>
          <w:tcPr>
            <w:tcW w:w="0" w:type="dxa"/>
            <w:vAlign w:val="bottom"/>
          </w:tcPr>
          <w:p>
            <w:pPr>
              <w:spacing w:after="0"/>
              <w:rPr>
                <w:sz w:val="1"/>
                <w:szCs w:val="1"/>
                <w:color w:val="auto"/>
              </w:rPr>
            </w:pPr>
          </w:p>
        </w:tc>
      </w:tr>
      <w:tr>
        <w:trPr>
          <w:trHeight w:val="120"/>
        </w:trPr>
        <w:tc>
          <w:tcPr>
            <w:tcW w:w="16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 Each</w:t>
            </w:r>
          </w:p>
        </w:tc>
        <w:tc>
          <w:tcPr>
            <w:tcW w:w="5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60" w:type="dxa"/>
            <w:vAlign w:val="bottom"/>
            <w:vMerge w:val="continue"/>
          </w:tcPr>
          <w:p>
            <w:pPr>
              <w:spacing w:after="0"/>
              <w:rPr>
                <w:sz w:val="6"/>
                <w:szCs w:val="6"/>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6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Reporting</w:t>
            </w:r>
          </w:p>
        </w:tc>
        <w:tc>
          <w:tcPr>
            <w:tcW w:w="54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0</wp:posOffset>
            </wp:positionV>
            <wp:extent cx="5915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ind w:left="2600" w:right="6780" w:hanging="405"/>
        <w:spacing w:after="0" w:line="391" w:lineRule="auto"/>
        <w:tabs>
          <w:tab w:leader="none" w:pos="2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2,012,189</w:t>
      </w:r>
    </w:p>
    <w:p>
      <w:pPr>
        <w:ind w:left="800" w:right="5640" w:hanging="461"/>
        <w:spacing w:after="0" w:line="38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2,012,189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506"/>
        <w:spacing w:after="0" w:line="207" w:lineRule="exact"/>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00" w:right="6640" w:hanging="503"/>
        <w:spacing w:after="0" w:line="391"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2.9% (see Item 4)</w:t>
      </w:r>
    </w:p>
    <w:p>
      <w:pPr>
        <w:ind w:left="800" w:right="7260" w:hanging="506"/>
        <w:spacing w:after="0" w:line="53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98420U703</w:t>
            </w:r>
          </w:p>
        </w:tc>
      </w:tr>
    </w:tbl>
    <w:p>
      <w:pPr>
        <w:spacing w:after="0" w:line="198"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200"/>
        <w:spacing w:after="0"/>
        <w:tabs>
          <w:tab w:leader="none" w:pos="2580" w:val="left"/>
        </w:tabs>
        <w:rPr>
          <w:sz w:val="20"/>
          <w:szCs w:val="20"/>
          <w:color w:val="auto"/>
        </w:rPr>
      </w:pPr>
      <w:r>
        <w:rPr>
          <w:rFonts w:ascii="Times New Roman" w:cs="Times New Roman" w:eastAsia="Times New Roman" w:hAnsi="Times New Roman"/>
          <w:sz w:val="18"/>
          <w:szCs w:val="18"/>
          <w:color w:val="auto"/>
        </w:rPr>
        <w:t>5.</w:t>
        <w:tab/>
        <w:t>Sole Voting Power</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5"/>
        </w:trPr>
        <w:tc>
          <w:tcPr>
            <w:tcW w:w="1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540" w:type="dxa"/>
            <w:vAlign w:val="bottom"/>
          </w:tcPr>
          <w:p>
            <w:pPr>
              <w:spacing w:after="0"/>
              <w:rPr>
                <w:sz w:val="18"/>
                <w:szCs w:val="18"/>
                <w:color w:val="auto"/>
              </w:rPr>
            </w:pPr>
          </w:p>
        </w:tc>
        <w:tc>
          <w:tcPr>
            <w:tcW w:w="8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2,012,189</w:t>
            </w:r>
          </w:p>
        </w:tc>
        <w:tc>
          <w:tcPr>
            <w:tcW w:w="0" w:type="dxa"/>
            <w:vAlign w:val="bottom"/>
          </w:tcPr>
          <w:p>
            <w:pPr>
              <w:spacing w:after="0"/>
              <w:rPr>
                <w:sz w:val="1"/>
                <w:szCs w:val="1"/>
                <w:color w:val="auto"/>
              </w:rPr>
            </w:pPr>
          </w:p>
        </w:tc>
      </w:tr>
      <w:tr>
        <w:trPr>
          <w:trHeight w:val="120"/>
        </w:trPr>
        <w:tc>
          <w:tcPr>
            <w:tcW w:w="16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 Each</w:t>
            </w:r>
          </w:p>
        </w:tc>
        <w:tc>
          <w:tcPr>
            <w:tcW w:w="5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60" w:type="dxa"/>
            <w:vAlign w:val="bottom"/>
            <w:vMerge w:val="continue"/>
          </w:tcPr>
          <w:p>
            <w:pPr>
              <w:spacing w:after="0"/>
              <w:rPr>
                <w:sz w:val="6"/>
                <w:szCs w:val="6"/>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6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Reporting</w:t>
            </w:r>
          </w:p>
        </w:tc>
        <w:tc>
          <w:tcPr>
            <w:tcW w:w="54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0</wp:posOffset>
            </wp:positionV>
            <wp:extent cx="59150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ind w:left="2600" w:right="6780" w:hanging="405"/>
        <w:spacing w:after="0" w:line="391" w:lineRule="auto"/>
        <w:tabs>
          <w:tab w:leader="none" w:pos="2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2,012,189</w:t>
      </w:r>
    </w:p>
    <w:p>
      <w:pPr>
        <w:ind w:left="800" w:right="5640" w:hanging="461"/>
        <w:spacing w:after="0" w:line="386"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2,012,189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506"/>
        <w:spacing w:after="0" w:line="207" w:lineRule="exact"/>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00" w:right="6640" w:hanging="503"/>
        <w:spacing w:after="0" w:line="391"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2.9% (see Item 4)</w:t>
      </w:r>
    </w:p>
    <w:p>
      <w:pPr>
        <w:ind w:left="800" w:right="7260" w:hanging="506"/>
        <w:spacing w:after="0" w:line="53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98420U703</w:t>
            </w:r>
          </w:p>
        </w:tc>
      </w:tr>
    </w:tbl>
    <w:p>
      <w:pPr>
        <w:spacing w:after="0" w:line="198"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Intracoastal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9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5"/>
        </w:trPr>
        <w:tc>
          <w:tcPr>
            <w:tcW w:w="1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540" w:type="dxa"/>
            <w:vAlign w:val="bottom"/>
          </w:tcPr>
          <w:p>
            <w:pPr>
              <w:spacing w:after="0"/>
              <w:rPr>
                <w:sz w:val="18"/>
                <w:szCs w:val="18"/>
                <w:color w:val="auto"/>
              </w:rPr>
            </w:pPr>
          </w:p>
        </w:tc>
        <w:tc>
          <w:tcPr>
            <w:tcW w:w="8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2,012,189</w:t>
            </w:r>
          </w:p>
        </w:tc>
        <w:tc>
          <w:tcPr>
            <w:tcW w:w="0" w:type="dxa"/>
            <w:vAlign w:val="bottom"/>
          </w:tcPr>
          <w:p>
            <w:pPr>
              <w:spacing w:after="0"/>
              <w:rPr>
                <w:sz w:val="1"/>
                <w:szCs w:val="1"/>
                <w:color w:val="auto"/>
              </w:rPr>
            </w:pPr>
          </w:p>
        </w:tc>
      </w:tr>
      <w:tr>
        <w:trPr>
          <w:trHeight w:val="120"/>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5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54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0</wp:posOffset>
            </wp:positionV>
            <wp:extent cx="59150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ind w:left="2600" w:right="6780" w:hanging="405"/>
        <w:spacing w:after="0" w:line="391" w:lineRule="auto"/>
        <w:tabs>
          <w:tab w:leader="none" w:pos="2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2,012,189</w:t>
      </w:r>
    </w:p>
    <w:p>
      <w:pPr>
        <w:ind w:left="800" w:right="5640" w:hanging="461"/>
        <w:spacing w:after="0" w:line="386"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2,012,189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506"/>
        <w:spacing w:after="0" w:line="207" w:lineRule="exact"/>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00" w:right="6640" w:hanging="503"/>
        <w:spacing w:after="0" w:line="391"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2.9% (see Item 4)</w:t>
      </w:r>
    </w:p>
    <w:p>
      <w:pPr>
        <w:ind w:left="800" w:hanging="506"/>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Name of Issuer</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XpresSpa Group,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3"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This Schedule 13G is being filed on behalf of (i) Mitchell P. Kopin, an individual who is a citizen of the United States of America (“</w:t>
      </w:r>
      <w:r>
        <w:rPr>
          <w:rFonts w:ascii="Times New Roman" w:cs="Times New Roman" w:eastAsia="Times New Roman" w:hAnsi="Times New Roman"/>
          <w:sz w:val="18"/>
          <w:szCs w:val="18"/>
          <w:b w:val="1"/>
          <w:bCs w:val="1"/>
          <w:color w:val="auto"/>
        </w:rPr>
        <w:t>Mr.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Kopin</w:t>
      </w:r>
      <w:r>
        <w:rPr>
          <w:rFonts w:ascii="Times New Roman" w:cs="Times New Roman" w:eastAsia="Times New Roman" w:hAnsi="Times New Roman"/>
          <w:sz w:val="18"/>
          <w:szCs w:val="18"/>
          <w:color w:val="auto"/>
        </w:rPr>
        <w:t>”), (ii) Daniel B. Asher, an individual who is a citizen of the United States of America (“</w:t>
      </w:r>
      <w:r>
        <w:rPr>
          <w:rFonts w:ascii="Times New Roman" w:cs="Times New Roman" w:eastAsia="Times New Roman" w:hAnsi="Times New Roman"/>
          <w:sz w:val="18"/>
          <w:szCs w:val="18"/>
          <w:b w:val="1"/>
          <w:bCs w:val="1"/>
          <w:color w:val="auto"/>
        </w:rPr>
        <w:t>Mr. Asher</w:t>
      </w:r>
      <w:r>
        <w:rPr>
          <w:rFonts w:ascii="Times New Roman" w:cs="Times New Roman" w:eastAsia="Times New Roman" w:hAnsi="Times New Roman"/>
          <w:sz w:val="18"/>
          <w:szCs w:val="18"/>
          <w:color w:val="auto"/>
        </w:rPr>
        <w:t>”) and (iii) Intracoastal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Delaware limited liability company (“</w:t>
      </w:r>
      <w:r>
        <w:rPr>
          <w:rFonts w:ascii="Times New Roman" w:cs="Times New Roman" w:eastAsia="Times New Roman" w:hAnsi="Times New Roman"/>
          <w:sz w:val="18"/>
          <w:szCs w:val="18"/>
          <w:b w:val="1"/>
          <w:bCs w:val="1"/>
          <w:color w:val="auto"/>
        </w:rPr>
        <w:t>Intracoastal</w:t>
      </w:r>
      <w:r>
        <w:rPr>
          <w:rFonts w:ascii="Times New Roman" w:cs="Times New Roman" w:eastAsia="Times New Roman" w:hAnsi="Times New Roman"/>
          <w:sz w:val="18"/>
          <w:szCs w:val="18"/>
          <w:color w:val="auto"/>
        </w:rPr>
        <w:t>” and together with Mr. Kopin and Mr. Asher, collectively the “</w:t>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3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Reporting Persons have entered into a Joint Filing Agreement, a copy of which is filed with this Schedule 13G as </w:t>
      </w:r>
      <w:hyperlink w:anchor="page8">
        <w:r>
          <w:rPr>
            <w:rFonts w:ascii="Times New Roman" w:cs="Times New Roman" w:eastAsia="Times New Roman" w:hAnsi="Times New Roman"/>
            <w:sz w:val="18"/>
            <w:szCs w:val="18"/>
            <w:b w:val="1"/>
            <w:bCs w:val="1"/>
            <w:u w:val="single" w:color="auto"/>
            <w:color w:val="0000EE"/>
          </w:rPr>
          <w:t>Exhibit 1</w:t>
        </w:r>
      </w:hyperlink>
      <w:r>
        <w:rPr>
          <w:rFonts w:ascii="Times New Roman" w:cs="Times New Roman" w:eastAsia="Times New Roman" w:hAnsi="Times New Roman"/>
          <w:sz w:val="18"/>
          <w:szCs w:val="18"/>
          <w:color w:val="auto"/>
        </w:rPr>
        <w:t>, pursuant to which the Reporting Persons have agreed to file this Schedule 13G jointly in accordance with the provisions of Rule 13d-1(k) of the Securities Exchange Act of 1934, as amended.</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principal business office of Mr. Kopin and Intracoastal is 245 Palm Trail, Delray Beach, Florida 33483.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principal business office of Mr. Asher is 111 W. Jackson Boulevard, Suite 2000, Chicago, Illinois 60604.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Title of Class of Securities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$0.01 par value per share, of the Issuer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CUSIP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98420U703</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900" w:hanging="24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w:t>
      </w:r>
    </w:p>
    <w:p>
      <w:pPr>
        <w:spacing w:after="0" w:line="221" w:lineRule="exact"/>
        <w:rPr>
          <w:rFonts w:ascii="Times New Roman" w:cs="Times New Roman" w:eastAsia="Times New Roman" w:hAnsi="Times New Roman"/>
          <w:sz w:val="18"/>
          <w:szCs w:val="18"/>
          <w:color w:val="auto"/>
        </w:rPr>
      </w:pPr>
    </w:p>
    <w:p>
      <w:pPr>
        <w:jc w:val="both"/>
        <w:ind w:left="660" w:firstLine="320"/>
        <w:spacing w:after="0" w:line="253" w:lineRule="auto"/>
        <w:tabs>
          <w:tab w:leader="none" w:pos="12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execution of the Securities Purchase Agreement with the Issuer on August 25, 2020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(as disclosed in the Form 8-K filed by the Issuer with the Securities and Exchange Commission on August 28, 2020), each of the Reporting Persons may have been deemed to have beneficial ownership of 3,068,240 shares of Common Stock, which consisted of (i) 1,058,201 shares of Common Stock to be issued to Intracoastal at the closing of the transaction contemplated by the SPA, (ii) 1,058,201 shares of Common Stock issuable upon exercise of a warrant to be issued to Intracoastal at the closing of the transaction contemplated by the SPA (“</w:t>
      </w:r>
      <w:r>
        <w:rPr>
          <w:rFonts w:ascii="Times New Roman" w:cs="Times New Roman" w:eastAsia="Times New Roman" w:hAnsi="Times New Roman"/>
          <w:sz w:val="18"/>
          <w:szCs w:val="18"/>
          <w:b w:val="1"/>
          <w:bCs w:val="1"/>
          <w:color w:val="auto"/>
        </w:rPr>
        <w:t>Intracoastal Warrant 1</w:t>
      </w:r>
      <w:r>
        <w:rPr>
          <w:rFonts w:ascii="Times New Roman" w:cs="Times New Roman" w:eastAsia="Times New Roman" w:hAnsi="Times New Roman"/>
          <w:sz w:val="18"/>
          <w:szCs w:val="18"/>
          <w:color w:val="auto"/>
        </w:rPr>
        <w:t>”) and (iii) 951,838 shares of Common Stock issuable upon exercise of a warrant held by Intracoastal (“</w:t>
      </w:r>
      <w:r>
        <w:rPr>
          <w:rFonts w:ascii="Times New Roman" w:cs="Times New Roman" w:eastAsia="Times New Roman" w:hAnsi="Times New Roman"/>
          <w:sz w:val="18"/>
          <w:szCs w:val="18"/>
          <w:b w:val="1"/>
          <w:bCs w:val="1"/>
          <w:color w:val="auto"/>
        </w:rPr>
        <w:t>Intracoastal Warrant 2</w:t>
      </w:r>
      <w:r>
        <w:rPr>
          <w:rFonts w:ascii="Times New Roman" w:cs="Times New Roman" w:eastAsia="Times New Roman" w:hAnsi="Times New Roman"/>
          <w:sz w:val="18"/>
          <w:szCs w:val="18"/>
          <w:color w:val="auto"/>
        </w:rPr>
        <w:t>”), and all such shares of Common Stock in the aggregate represent beneficial ownership of approximately 5.1% of the Common Stock, based on (1) 57,576,261 shares of Common Stock outstanding as of August 25, 2020 as reported by the Issuer, plus (2) 1,058,201 shares of Common Stock to be issued to Intracoastal at the closing of the transaction contemplated by the SPA, (3) 1,058,201 shares of Common Stock issuable upon exercise of Intracoastal Warrant 1 and</w:t>
      </w:r>
    </w:p>
    <w:p>
      <w:pPr>
        <w:spacing w:after="0" w:line="2"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951,838 shares of Common Stock issuable upon exercise of Intracoastal Warrant 2. The foregoing excludes 2,150 shares of Common Stock issuable upon exercise of a second warrant held by Intracoastal (“</w:t>
      </w:r>
      <w:r>
        <w:rPr>
          <w:rFonts w:ascii="Times New Roman" w:cs="Times New Roman" w:eastAsia="Times New Roman" w:hAnsi="Times New Roman"/>
          <w:sz w:val="18"/>
          <w:szCs w:val="18"/>
          <w:b w:val="1"/>
          <w:bCs w:val="1"/>
          <w:color w:val="auto"/>
        </w:rPr>
        <w:t>Intracoastal Warrant 3</w:t>
      </w:r>
      <w:r>
        <w:rPr>
          <w:rFonts w:ascii="Times New Roman" w:cs="Times New Roman" w:eastAsia="Times New Roman" w:hAnsi="Times New Roman"/>
          <w:sz w:val="18"/>
          <w:szCs w:val="18"/>
          <w:color w:val="auto"/>
        </w:rPr>
        <w:t>”)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3,070,390 shares of Common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660" w:firstLine="320"/>
        <w:spacing w:after="0" w:line="261"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September 3, 2020, each of the Reporting Persons may have been deemed to have beneficial ownership of 2,012,189 shares of Common Stock, which consisted of (i) 1,058,201 shares of Common Stock issuable upon exercise of Intracoastal Warrant 1,</w:t>
      </w:r>
    </w:p>
    <w:p>
      <w:pPr>
        <w:jc w:val="both"/>
        <w:ind w:left="660" w:hanging="4"/>
        <w:spacing w:after="0" w:line="252" w:lineRule="auto"/>
        <w:tabs>
          <w:tab w:leader="none" w:pos="9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951,838 shares of Common Stock issuable upon exercise of Intracoastal Warrant 2 and (iii) 2,150 shares of Common Stock issuable upon exercise of Intracoastal Warrant 3, and all such shares of Common Stock represented beneficial ownership of approximately 2.9% of the Common Stock, based on (1) 57,576,261 shares of Common Stock outstanding as of August 25, 2020 as reported by the Issuer, plus (2) 10,407,408 shares of Common Stock in the aggregate issued at the closing of the transaction contemplated by the SPA, (3) 1,058,201 shares of Common Stock issuable upon exercise of Intracoastal Warrant 1, (4) 951,838 shares of Common Stock issuable upon exercise of Intracoastal Warrant 2 and (5) 2,150 shares of Common Stock issuable upon exercise of Intracoastal Warrant 3.</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Number of shares as to which each Reporting Person has:</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17"/>
                <w:szCs w:val="17"/>
                <w:color w:val="auto"/>
              </w:rPr>
            </w:pPr>
          </w:p>
        </w:tc>
        <w:tc>
          <w:tcPr>
            <w:tcW w:w="2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2,012,189</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30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0"/>
        </w:trPr>
        <w:tc>
          <w:tcPr>
            <w:tcW w:w="4080" w:type="dxa"/>
            <w:vAlign w:val="bottom"/>
            <w:gridSpan w:val="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2,012,189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w:t>
      </w:r>
    </w:p>
    <w:p>
      <w:pPr>
        <w:spacing w:after="0" w:line="1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Mitchell P. Kopin, Manager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abstractNum>
  <w:abstractNum w:abstractNumId="1">
    <w:nsid w:val="7545E146"/>
    <w:multiLevelType w:val="hybridMultilevel"/>
    <w:lvl w:ilvl="0">
      <w:lvlJc w:val="left"/>
      <w:lvlText w:val="%1"/>
      <w:numFmt w:val="decimal"/>
      <w:start w:val="1"/>
    </w:lvl>
    <w:lvl w:ilvl="1">
      <w:lvlJc w:val="left"/>
      <w:lvlText w:val="%2."/>
      <w:numFmt w:val="decimal"/>
      <w:start w:val="8"/>
    </w:lvl>
  </w:abstractNum>
  <w:abstractNum w:abstractNumId="2">
    <w:nsid w:val="515F007C"/>
    <w:multiLevelType w:val="hybridMultilevel"/>
    <w:lvl w:ilvl="0">
      <w:lvlJc w:val="left"/>
      <w:lvlText w:val="%1."/>
      <w:numFmt w:val="decimal"/>
      <w:start w:val="9"/>
    </w:lvl>
    <w:lvl w:ilvl="1">
      <w:lvlJc w:val="left"/>
      <w:lvlText w:val="%2"/>
      <w:numFmt w:val="decimal"/>
      <w:start w:val="1"/>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decimal"/>
      <w:start w:val="1"/>
    </w:lvl>
    <w:lvl w:ilvl="1">
      <w:lvlJc w:val="left"/>
      <w:lvlText w:val="%2."/>
      <w:numFmt w:val="decimal"/>
      <w:start w:val="8"/>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
    </w:lvl>
    <w:lvl w:ilvl="1">
      <w:lvlJc w:val="left"/>
      <w:lvlText w:val="%2."/>
      <w:numFmt w:val="decimal"/>
      <w:start w:val="8"/>
    </w:lvl>
  </w:abstractNum>
  <w:abstractNum w:abstractNumId="8">
    <w:nsid w:val="1190CDE7"/>
    <w:multiLevelType w:val="hybridMultilevel"/>
    <w:lvl w:ilvl="0">
      <w:lvlJc w:val="left"/>
      <w:lvlText w:val="%1."/>
      <w:numFmt w:val="decimal"/>
      <w:start w:val="9"/>
    </w:lvl>
    <w:lvl w:ilvl="1">
      <w:lvlJc w:val="left"/>
      <w:lvlText w:val="%2"/>
      <w:numFmt w:val="decimal"/>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lvl w:ilvl="1">
      <w:lvlJc w:val="left"/>
      <w:lvlText w:val="(%2)"/>
      <w:numFmt w:val="lowerLetter"/>
      <w:start w:val="9"/>
    </w:lvl>
  </w:abstractNum>
  <w:abstractNum w:abstractNumId="12">
    <w:nsid w:val="109CF92E"/>
    <w:multiLevelType w:val="hybridMultilevel"/>
    <w:lvl w:ilvl="0">
      <w:lvlJc w:val="left"/>
      <w:lvlText w:val="%1"/>
      <w:numFmt w:val="lowerRoman"/>
      <w:start w:val="1"/>
    </w:lvl>
    <w:lvl w:ilvl="1">
      <w:lvlJc w:val="left"/>
      <w:lvlText w:val="(%2)"/>
      <w:numFmt w:val="lowerRoman"/>
      <w:start w:val="2"/>
    </w:lvl>
  </w:abstractNum>
  <w:abstractNum w:abstractNumId="13">
    <w:nsid w:val="DED7263"/>
    <w:multiLevelType w:val="hybridMultilevel"/>
    <w:lvl w:ilvl="0">
      <w:lvlJc w:val="left"/>
      <w:lvlText w:val="(%1)"/>
      <w:numFmt w:val="lowerRoman"/>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2020-09-03T15:10:22Z</dcterms:created>
  <dcterms:modified xsi:type="dcterms:W3CDTF">2020-09-03T15:10:22Z</dcterms:modified>
</cp:coreProperties>
</file>