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80" w:right="1620" w:hanging="3972"/>
        <w:spacing w:after="0" w:line="476" w:lineRule="auto"/>
        <w:tabs>
          <w:tab w:leader="none" w:pos="6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30" w:lineRule="exact"/>
        <w:rPr>
          <w:sz w:val="24"/>
          <w:szCs w:val="24"/>
          <w:color w:val="auto"/>
        </w:rPr>
      </w:pPr>
    </w:p>
    <w:p>
      <w:pPr>
        <w:ind w:left="4460" w:right="1600" w:hanging="4452"/>
        <w:spacing w:after="0" w:line="501" w:lineRule="auto"/>
        <w:tabs>
          <w:tab w:leader="none" w:pos="6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3"/>
              </w:rPr>
              <w:t>Delaware</w:t>
            </w:r>
          </w:p>
        </w:tc>
        <w:tc>
          <w:tcPr>
            <w:tcW w:w="352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5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4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352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309-7549</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spacing w:after="0"/>
              <w:rPr>
                <w:sz w:val="24"/>
                <w:szCs w:val="24"/>
                <w:color w:val="auto"/>
              </w:rPr>
            </w:pPr>
          </w:p>
        </w:tc>
        <w:tc>
          <w:tcPr>
            <w:tcW w:w="11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gridSpan w:val="2"/>
          </w:tcPr>
          <w:p>
            <w:pPr>
              <w:ind w:left="48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8980" w:type="dxa"/>
            <w:vAlign w:val="bottom"/>
            <w:gridSpan w:val="3"/>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1260" w:type="dxa"/>
            <w:vAlign w:val="bottom"/>
          </w:tcPr>
          <w:p>
            <w:pPr>
              <w:ind w:left="120"/>
              <w:spacing w:after="0"/>
              <w:rPr>
                <w:sz w:val="20"/>
                <w:szCs w:val="20"/>
                <w:color w:val="auto"/>
              </w:rPr>
            </w:pPr>
            <w:r>
              <w:rPr>
                <w:rFonts w:ascii="Arial" w:cs="Arial" w:eastAsia="Arial" w:hAnsi="Arial"/>
                <w:sz w:val="18"/>
                <w:szCs w:val="18"/>
                <w:color w:val="auto"/>
              </w:rPr>
              <w:t>No x</w:t>
            </w:r>
          </w:p>
        </w:tc>
        <w:tc>
          <w:tcPr>
            <w:tcW w:w="1180" w:type="dxa"/>
            <w:vAlign w:val="bottom"/>
          </w:tcPr>
          <w:p>
            <w:pPr>
              <w:spacing w:after="0"/>
              <w:rPr>
                <w:sz w:val="24"/>
                <w:szCs w:val="24"/>
                <w:color w:val="auto"/>
              </w:rPr>
            </w:pPr>
          </w:p>
        </w:tc>
      </w:tr>
      <w:tr>
        <w:trPr>
          <w:trHeight w:val="412"/>
        </w:trPr>
        <w:tc>
          <w:tcPr>
            <w:tcW w:w="7180" w:type="dxa"/>
            <w:vAlign w:val="bottom"/>
            <w:gridSpan w:val="2"/>
          </w:tcPr>
          <w:p>
            <w:pPr>
              <w:spacing w:after="0"/>
              <w:rPr>
                <w:sz w:val="20"/>
                <w:szCs w:val="20"/>
                <w:color w:val="auto"/>
              </w:rPr>
            </w:pPr>
            <w:r>
              <w:rPr>
                <w:rFonts w:ascii="Arial" w:cs="Arial" w:eastAsia="Arial" w:hAnsi="Arial"/>
                <w:sz w:val="18"/>
                <w:szCs w:val="18"/>
                <w:color w:val="auto"/>
                <w:w w:val="97"/>
              </w:rPr>
              <w:t>As of August 3, 2015, 99,377,749 shares of the registrant’s common stock were outstanding.</w:t>
            </w: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48"/>
        </w:trPr>
        <w:tc>
          <w:tcPr>
            <w:tcW w:w="20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rPr>
              <w:t>VRINGO,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3"/>
          </w:tcPr>
          <w:p>
            <w:pPr>
              <w:jc w:val="center"/>
              <w:ind w:right="288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20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4"/>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PART II. OTHER INFORMATION</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13"/>
          </w:tcPr>
          <w:p>
            <w:pPr>
              <w:ind w:left="5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540" w:type="dxa"/>
            <w:vAlign w:val="bottom"/>
            <w:shd w:val="clear" w:color="auto" w:fill="CCEEFF"/>
          </w:tcPr>
          <w:p>
            <w:pPr>
              <w:spacing w:after="0"/>
              <w:rPr>
                <w:sz w:val="15"/>
                <w:szCs w:val="15"/>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12"/>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624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Other Information</w:t>
              </w:r>
            </w:hyperlink>
          </w:p>
        </w:tc>
        <w:tc>
          <w:tcPr>
            <w:tcW w:w="724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rPr>
                <w:sz w:val="15"/>
                <w:szCs w:val="15"/>
                <w:color w:val="auto"/>
              </w:rPr>
            </w:pPr>
          </w:p>
        </w:tc>
        <w:tc>
          <w:tcPr>
            <w:tcW w:w="8560" w:type="dxa"/>
            <w:vAlign w:val="bottom"/>
            <w:gridSpan w:val="12"/>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2930"/>
              <w:spacing w:after="0"/>
              <w:rPr>
                <w:sz w:val="20"/>
                <w:szCs w:val="20"/>
                <w:color w:val="auto"/>
              </w:rPr>
            </w:pPr>
            <w:r>
              <w:rPr>
                <w:rFonts w:ascii="Arial" w:cs="Arial" w:eastAsia="Arial" w:hAnsi="Arial"/>
                <w:sz w:val="18"/>
                <w:szCs w:val="18"/>
                <w:color w:val="auto"/>
                <w:w w:val="99"/>
              </w:rPr>
              <w:t>2</w:t>
            </w:r>
          </w:p>
        </w:tc>
        <w:tc>
          <w:tcPr>
            <w:tcW w:w="2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Vringo,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jc w:val="center"/>
              <w:ind w:left="28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20,227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courts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1,186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7,223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convertible notes,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Conversion feature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Senior secured convertible notes,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0"/>
              </w:rPr>
              <w:t>Series A Convertible Preferred stock, $0.01 par value per share; 5,000,000 authorized; none issued and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$0.01 par value per share 150,000,000 authorized; 95,946,672 and 93,404,895 issued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2015 and December 31, 2014,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220,627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(201,190)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39,618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8,565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5,296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Gain (loss) on revaluation of warrants and conversion feature</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Extinguishment of debt</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loss per share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loss per share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during the period: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94,691,624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87,210,483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94,051,814</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86,337,006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94,691,624</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88,515,948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94,051,814</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86,337,006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Includes stock-based compensation expense, as follows: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Vesting of restricted stock units (“RSUs”)</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Reclassification of derivative Reload Warrants and Series 1 Warrants to</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warrants</w:t>
            </w:r>
          </w:p>
        </w:tc>
        <w:tc>
          <w:tcPr>
            <w:tcW w:w="9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(15,485)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(15,485)</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2015</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(201,190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411"/>
        </w:trPr>
        <w:tc>
          <w:tcPr>
            <w:tcW w:w="5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paid-in capital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RSUs</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12,935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12,999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(21,158)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(21,158)</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2014</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color w:val="auto"/>
                <w:w w:val="95"/>
              </w:rPr>
              <w:t>Six months ended June 30,</w:t>
            </w:r>
          </w:p>
        </w:tc>
      </w:tr>
      <w:tr>
        <w:trPr>
          <w:trHeight w:val="223"/>
        </w:trPr>
        <w:tc>
          <w:tcPr>
            <w:tcW w:w="69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(15,485)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(21,158)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5,818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Extinguishment of debt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and conversion feature</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Exchange rate loss (gain)</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Decrease in other current assets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10"/>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Increase in deposits</w:t>
            </w: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10"/>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2,160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proceeds from senior secured convertible notes and warrants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12,425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tcBorders>
              <w:bottom w:val="single" w:sz="8" w:color="CCEEFF"/>
            </w:tcBorders>
          </w:tcPr>
          <w:p>
            <w:pPr>
              <w:spacing w:after="0"/>
              <w:rPr>
                <w:sz w:val="18"/>
                <w:szCs w:val="18"/>
                <w:color w:val="auto"/>
              </w:rPr>
            </w:pPr>
          </w:p>
        </w:tc>
      </w:tr>
      <w:tr>
        <w:trPr>
          <w:trHeight w:val="210"/>
        </w:trPr>
        <w:tc>
          <w:tcPr>
            <w:tcW w:w="69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(1,932)</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16,023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33,586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3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Non-cash acquisition of cost method investment</w:t>
            </w:r>
          </w:p>
        </w:tc>
        <w:tc>
          <w:tcPr>
            <w:tcW w:w="3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787</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derivative warrants into common stock</w:t>
            </w:r>
          </w:p>
        </w:tc>
        <w:tc>
          <w:tcPr>
            <w:tcW w:w="3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Issuance of common stock to repay $1,191 of debt</w:t>
            </w:r>
          </w:p>
        </w:tc>
        <w:tc>
          <w:tcPr>
            <w:tcW w:w="3300" w:type="dxa"/>
            <w:vAlign w:val="bottom"/>
          </w:tcPr>
          <w:p>
            <w:pPr>
              <w:jc w:val="right"/>
              <w:ind w:right="430"/>
              <w:spacing w:after="0"/>
              <w:rPr>
                <w:sz w:val="20"/>
                <w:szCs w:val="20"/>
                <w:color w:val="auto"/>
              </w:rPr>
            </w:pPr>
            <w:r>
              <w:rPr>
                <w:rFonts w:ascii="Arial" w:cs="Arial" w:eastAsia="Arial" w:hAnsi="Arial"/>
                <w:sz w:val="18"/>
                <w:szCs w:val="18"/>
                <w:color w:val="auto"/>
              </w:rPr>
              <w:t>1,401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 in classification of derivative warrants to equity warrants</w:t>
            </w:r>
          </w:p>
        </w:tc>
        <w:tc>
          <w:tcPr>
            <w:tcW w:w="3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175</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Debt discount</w:t>
            </w:r>
          </w:p>
        </w:tc>
        <w:tc>
          <w:tcPr>
            <w:tcW w:w="3300" w:type="dxa"/>
            <w:vAlign w:val="bottom"/>
          </w:tcPr>
          <w:p>
            <w:pPr>
              <w:jc w:val="right"/>
              <w:ind w:right="430"/>
              <w:spacing w:after="0"/>
              <w:rPr>
                <w:sz w:val="20"/>
                <w:szCs w:val="20"/>
                <w:color w:val="auto"/>
              </w:rPr>
            </w:pPr>
            <w:r>
              <w:rPr>
                <w:rFonts w:ascii="Arial" w:cs="Arial" w:eastAsia="Arial" w:hAnsi="Arial"/>
                <w:sz w:val="18"/>
                <w:szCs w:val="18"/>
                <w:color w:val="auto"/>
              </w:rPr>
              <w:t>2,961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Vringo, Inc., together with its consolidated subsidiaries (“Vringo” or the “Company”), is engaged in the development and monetization of intellectual property worldwide. The Company's intellectual property portfolio consists of over 600 patents and patent applications covering telecom infrastructure, internet search and mobile technologies. The Company’s patents and patent applications have been developed internally or acquired from third parties. In potential acquisitions, the Company seeks to purchase all of, or interests in, technology and intellectual property in exchange for cash, the Company’s securities and/or interests in the monetization of those assets. Revenue from this aspect of Vringo’s business can be generated through licensing and litigation efforts.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the services that it developed. On February 18, 2014, the Company executed the sale of its mobile social application business to InfoMedia Services Limited (“InfoMedia”), receiving an 8.25% ownership interest in InfoMedia as consideration. As part of the transaction, the Company has the opportunity to license certain intellectual property assets and support InfoMedia to identify and protect new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Infrastructure Patents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infrastructure patents are primarily made up of a patent portfolio purchased from Nokia Corporation (“Nokia”) in 2012. This patent portfolio is comprised of 124 patent families with counterparts in certain jurisdictions world-wide and encompass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The Company also owns other acquired infrastructure patent portfolios and has filed over 60 internally developed patent applications. As one of the means of realizing the value of the patents on telecom infrastructure, the Company has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 In response, ZTE Corporation or its affiliates have filed a number of counterclaims and other responsive cases in various countries such as the United States, certain European jurisdictions, the People’s Republic of China and others.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date, in connection with the suits filed against ZTE, Vringo patents have been found to be infringed in the United Kingdom (“UK”) and Germany, and preliminary relief has been granted in India, Brazil, Romania, and the Netherlands. Separately, Vringo has entered into settlement and license agreements with ADT, Tyco, D-Link, and Belkin.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Search Patents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15, 2011, the Company’s wholly-owned subsidiary, I/P Engine, Inc. (“I/P Engine”), initiated litigation against AOL Inc., Google, Inc., IAC Search &amp; Media, Inc., Gannett Company, Inc., and Target Corporation (collectively, the “Defendants”) for infringement of claims of certain of its owned patents. Trial commenced during 2012, and,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$30,500. In January 2014, the United States District Court, Eastern District of Virginia (the “District Court”) ordered that I/P Engine recover an additional sum of $17,320 from the Defendants for supplemental damages and prejudgment interest. Further, the District Court ruled that the appropriate ongoing royalty rate for Defendants' continued infringement of the patents-in-suit is a rate of 6.5% of the 20.9% royalty base previously set by the District Court. These rulings were appealed by the Defendants and the oral argument was heard before the United States Court of Appeals for the Federal Circuit (“Federal Circuit”) on May 6, 2014.</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15, 2014, the Federal Circuit reversed the judgment of the District Court by holding that the claims of the patents-in-suit asserted by the Company against the Defendants are invalid for obviousness. The Company filed a petition with the Federal Circuit on October 15, 2014 seeking en banc review of the decision. On October 20, 2014, the Federal Circuit invited the defendants/appellants to respond to the petition. On December 15, 2014, the Federal Circuit denied I/P Engine's petition for rehearing of the case en banc and consequently, the Company announced that I/P Engine will seek review by the Supreme Court of the United States (“Supreme Court”) of the Federal Circuit’s decision. On May 14, 2015, I/P Engine filed a petition for a writ of certiorari with the Supreme Court, which requests review of the Federal Circuit’s decision.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2015, the Company had a cash balance of $20,227. The Company’s average monthly cash spent in operations for the six month periods ended June 30, 2015 and 2014 was approximately $1,285 and $2,159, respectively. In addition, the Company holds $2,117 in deposits with courts related to proceedings in Germany, Brazil, Romania, and Malaysia. As of June 30, 2015 and December 31, 2014, the Company’s total stockholders' equity was $20,396 and $31,180, respectively. The decrease in stockholders’ equity since December 31, 2014 is mainly due to the operating loss during the six month period ended June 30, 2015.</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4, 2015 (the “Closing Date”), the Company entered into a securities purchase agreement with certain institutional investors in a registered direct offering of $12,500 of Senior Secured Convertible Notes (the “Notes”) and warrants to purchase up to 5,375,000 shares of the Company’s common stock. On the Closing Date, the Company issued the Notes, which are convertible into shares of the Company’s common stock at $1.00 per share, bear 8% interest and mature in 21 months from the date of issuance, unless earlier converted. In addition, the Company issued 5,375,000 warrants to purchase shares of the Company’s common stock, which are exercisable at $1.00 per share and are exercisable for a period of five years. In connection with the issuance of the Notes and warrants, the Company received net cash proceeds of $12,425 on May 5, 2015. The Company’s obligations under the outstanding Notes are secured by a first priority perfected security interest in substantially all of the Company’s U.S. assets. In addition, stock of certain subsidiaries of the Company has been pledged. The outstanding Notes contain customary events of default, as well as covenants which include restrictions on the assumption of new debt by the Company.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amount of the outstanding Notes will be repaid monthly, and the Company may make such payments and related interest payments in cash or, subject to certain conditions, in registered shares of the Company’s common stock, at its election. If the Company chooses to repay the Notes in shares of its common stock, the shares will be issued at a 15% discount, based on the then-current market price data of the Company’s common stock. The Company may also repay the Notes in advance of the maturity schedule subject to early repayment penalties.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operating plans include efforts to increase revenue through the licensing of its intellectual property, strategic partnerships, and litigation, when required, which may be resolved through a settlement or collection. Disputes regarding the assertion of patents and other intellectual property rights are highly complex and technical. The majority of the Company’s expenditures consist of costs related to the Company’s litigation campaigns. In the cases against ZTE and ASUS, the Company incurred costs during the first half of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With respect to the Company’s litigation in such countries, the respective campaigns are currently in the later stages and therefore the Company has already incurred the large majority of the related anticipated costs. As such, based on the Company’s plans, costs in these jurisdictions are projected to be lower in the remainder of 2015 and other future periods.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Company’s plans, its legal proceedings may continue for several years and may require significant expenditures for legal fees and other expenses. Further, should the Company be deemed the losing party in certain of its litigations, it may be liable for some or all of its opponents’ legal fees. In addition, in connection with litigation, the Company has made several affirmative financial guarantees to courts around the world, and might face the need to make additional guarantees in the future.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 Company’s plans to continue to expand its planned operations through acquisitions and monetization of additional patents, other intellectual property or operating businesses may be time consuming, complex and costly to consummate. The Company may utilize many different transaction structures in its acquisitions and the terms of such acquisition agreements tend to be heavily negotiated. The Company’s future ability to raise capital, if necessary, may be limited. Even if the Company is able to acquire particular patents or other intellectual property assets, there is no guarantee that it will generate sufficient revenue related to those assets to offset the acquisition costs. Therefore, no assurance can be given at this time as to whether the Company will be able to achieve its objectives or whether it will have the sources of liquidity for follow through with its operating plans.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until the Company generates sufficient revenue, the Company may need to raise additional funds, which may be achieved through the issuance of additional equity or debt, or through loans from financial institutions. There can be no assurance, however, that any such opportunities will materialize. The Company may also be able to raise additional funds through the exercise of its outstanding warrants and options, however, substantially all of such outstanding equity instruments are currently “out of the money.”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the Company’s operating plans, which include paying the principal and interest related to the Notes in shares of the Company’s common stock, the Company believes that it currently has sufficient cash to continue its current operations for at least the next twelve months.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interim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2014. All adjustments that, in the opinion of management, are necessary for a fair presentation for the periods presented have been reflected by the SEC. Such adjustments are of a normal, recurring nature. The results of operations for the three month and six month periods ended June 30, 2015 are not necessarily indicative of the results that may be expected for the entire fiscal year or for any other interim period. All significant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non-U.S. dollar currencies are reflected as non-operating income or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its cash in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recognizes all derivative instruments as either assets or liabilities in the consolidated balance sheets at their respective fair values. The Company's derivative instruments have been recorded as liabilities at fair value, and are revalued at each reporting date, with changes in the fair value of the instruments included in the consolidated statements of operations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xml:space="preserve"> to determine if such instruments are indexed to the Company’s own stock and qualify for classification in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Intangible assets include purchased patents which are recorded based on the cost to acquire them. These assets are amortized over their remaining estimated useful lives, which are periodically evaluated for reasonableness. 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both"/>
        <w:spacing w:after="0" w:line="289" w:lineRule="auto"/>
        <w:rPr>
          <w:sz w:val="20"/>
          <w:szCs w:val="20"/>
          <w:color w:val="auto"/>
        </w:rPr>
      </w:pPr>
      <w:r>
        <w:rPr>
          <w:rFonts w:ascii="Arial" w:cs="Arial" w:eastAsia="Arial" w:hAnsi="Arial"/>
          <w:sz w:val="16"/>
          <w:szCs w:val="16"/>
          <w:color w:val="auto"/>
        </w:rPr>
        <w:t>Currently, the Company’s revenue arrangements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Operating legal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legal costs mainly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 In addition, amounts received by the Company for reimbursements of legal fees in connection with its litigation campaigns are recorded in Operating legal costs as an offset to legal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is recognized as an expense in the consolidated statements of operations and such cost is measured at the grant-date fair value of the equity-settled award. The fair value of stock options is estimated at the date of grant using the Black-Scholes-Merton option-pricing model. The expense is recognized on a straight-line basis, over the requisite service period. The Company uses the simplified method to estimate the expected term of options due to insufficient history and high turnover in the past. Since the Company lacks sufficient history, expected volatility is estimated based on a weighted average historical volatility of the Company and comparable entities with publicly traded shares. The risk-free rate for the expected term of the option is based on the U.S. Treasury yield curve at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Recently Issued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The Company is currently evaluating the impact of the adoption on its consolidated financial statements.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 (Topic 205): Going Concern</w:t>
      </w:r>
      <w:r>
        <w:rPr>
          <w:rFonts w:ascii="Arial" w:cs="Arial" w:eastAsia="Arial" w:hAnsi="Arial"/>
          <w:sz w:val="16"/>
          <w:szCs w:val="16"/>
          <w:color w:val="auto"/>
        </w:rPr>
        <w:t>. The new standard provides guidance around management's responsibility to evaluate whether there is substantial doubt about an entity's ability to continue as a going concern and to provide related footnote disclosures. This guidance is effective for fiscal years, and interim periods within those fiscal years, beginning after December 15, 2016 and early adoption is permitted. The Company is currently evaluating the impact of the adoption on its consolidated financial statements.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2014, the FASB issued ASU 2014-16, </w:t>
      </w:r>
      <w:r>
        <w:rPr>
          <w:rFonts w:ascii="Arial" w:cs="Arial" w:eastAsia="Arial" w:hAnsi="Arial"/>
          <w:sz w:val="18"/>
          <w:szCs w:val="18"/>
          <w:i w:val="1"/>
          <w:iCs w:val="1"/>
          <w:color w:val="auto"/>
        </w:rPr>
        <w:t>Derivatives and Hedging: Determining Whether the Host Contract in a Hybrid Financial Instrument</w:t>
      </w:r>
      <w:r>
        <w:rPr>
          <w:rFonts w:ascii="Arial" w:cs="Arial" w:eastAsia="Arial" w:hAnsi="Arial"/>
          <w:sz w:val="18"/>
          <w:szCs w:val="18"/>
          <w:color w:val="auto"/>
        </w:rPr>
        <w:t xml:space="preserve"> </w:t>
      </w:r>
      <w:r>
        <w:rPr>
          <w:rFonts w:ascii="Arial" w:cs="Arial" w:eastAsia="Arial" w:hAnsi="Arial"/>
          <w:sz w:val="18"/>
          <w:szCs w:val="18"/>
          <w:i w:val="1"/>
          <w:iCs w:val="1"/>
          <w:color w:val="auto"/>
        </w:rPr>
        <w:t>Issued in the Form of a Share is More Akin to Debt or to Equity</w:t>
      </w:r>
      <w:r>
        <w:rPr>
          <w:rFonts w:ascii="Arial" w:cs="Arial" w:eastAsia="Arial" w:hAnsi="Arial"/>
          <w:sz w:val="18"/>
          <w:szCs w:val="18"/>
          <w:color w:val="auto"/>
        </w:rPr>
        <w:t>. The new standard clarifies how current U.S. GAAP should be interpreted in evaluating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characteristics and risks of a host contract in a hybrid financial instrument that is issued in the form of a share. This guidance is effective for fiscal years, and interim periods within those fiscal years, beginning after December 15, 2015 and early adoption is permitted. The Company is currently evaluating the impact of the adoption on its consolidated financial statements.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which requires that debt issuance costs related to a recognized debt liability be presented in the balance sheet as a direct deduction from the corresponding debt liability, consistent with debt discounts. The new standard does not change the amortization of debt issuance costs, which are reported as interest expense in the consolidated statements of operations. This guidance is effective for financial statements issued for fiscal years beginning after December 15, 2015, and interim periods within those fiscal years and early adoption is permitted. The Company is currently evaluating the impact of the adoption on its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balances have been reclassified to conform to presentation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its patents: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June 30, 2015</w:t>
            </w:r>
          </w:p>
        </w:tc>
        <w:tc>
          <w:tcPr>
            <w:tcW w:w="3720" w:type="dxa"/>
            <w:vAlign w:val="bottom"/>
            <w:gridSpan w:val="5"/>
          </w:tcPr>
          <w:p>
            <w:pPr>
              <w:spacing w:after="0"/>
              <w:rPr>
                <w:sz w:val="20"/>
                <w:szCs w:val="20"/>
                <w:color w:val="auto"/>
              </w:rPr>
            </w:pPr>
            <w:r>
              <w:rPr>
                <w:rFonts w:ascii="Arial" w:cs="Arial" w:eastAsia="Arial" w:hAnsi="Arial"/>
                <w:sz w:val="18"/>
                <w:szCs w:val="18"/>
                <w:color w:val="auto"/>
                <w:w w:val="95"/>
              </w:rPr>
              <w:t>December 31, 2014   amortization period (years)</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4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 and impairment</w:t>
            </w: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2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80" w:type="dxa"/>
            <w:vAlign w:val="bottom"/>
            <w:vMerge w:val="restart"/>
          </w:tcPr>
          <w:p>
            <w:pPr>
              <w:jc w:val="right"/>
              <w:ind w:right="15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778"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Company’s patents consist of three major patent portfolios, which were acquired from third parties, as well as a number of internally developed patents.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costs related to internally developed patents are expensed as incurred.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2012, the Company purchased a portfolio from Nokia consisting of various patents and patent applications as described in Note 1. The total consideration paid for the portfolio was $22,000 and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reasonably estimated.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patents are amortized over their expected useful lives (i.e., through the expiration date of the patent). During the three and six month periods ended June 30, 2015, the Company recorded amortization expense of $813 and $1,617, respectively, related to its patents. During the three and six month periods ended June 30, 2014, the Company recorded amortization expense of $968 and $1,925, respectively, related to its patents.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third quarter of 2014, the Company determined that there were impairment indicators related to certain of its patents. A significant factor that was considered when making this determination included the announcement of the Federal Circuit’s decision on August 15, 2014. The Company concluded that this factor was deemed a “triggering” event requiring that the related patent assets be tested for impairment during the third quarter of 2014. In performing this impairment test, the Company determined that the patent portfolio containing the patents-in-suit in I/P Engine's litigation against AOL Inc., Google Inc. et al, which represents an asset group, was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This resulted in an impairment of $1,355 during the third quarter of 2014, related to the asset group, which represents the difference between the fair value and the carrying value of the asset group. There were no impairment charges related to the Company’s patents during the six month periods ended June 30, 2015 and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 The table below presents the computation of basic and diluted net losses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Loss from continuing operations attributable to shares of common stock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(8,509)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(10,049)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(15,485)</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from discontinued operations attributable to shares of common stock</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Denominator: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of common stock outstanding during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the period</w:t>
            </w: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94,691,624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87,210,483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94,051,814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86,337,006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94,691,624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87,210,483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94,051,814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86,337,006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Basic loss per common stock share from continuing operations</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vMerge w:val="continue"/>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stock share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Numerator: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Increase in net loss attributable to derivative warrants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Diluted net loss from continuing operations attributable to shares of</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Arial" w:cs="Arial" w:eastAsia="Arial" w:hAnsi="Arial"/>
                <w:sz w:val="18"/>
                <w:szCs w:val="18"/>
                <w:b w:val="1"/>
                <w:bCs w:val="1"/>
                <w:color w:val="auto"/>
                <w:w w:val="92"/>
              </w:rPr>
              <w:t>Diluted net loss from discontinued operations attributable to shares of</w:t>
            </w: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Denominator: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common stock shares outstanding</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94,691,624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87,210,483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94,051,814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86,337,006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number of derivative warrants outstanding during the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1,305,465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94,691,624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88,515,948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94,051,814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86,337,006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Diluted loss per common stock share from continuing operations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6"/>
              </w:rPr>
              <w:t>Diluted loss per common stock share from 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loss per share data presented excludes from the calculation of</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diluted net loss the following potentially dilutive securities, as they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had an anti-dilutive impact: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Both vested and unvested options to purchase an equal number of shares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stock of the Company</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8,880,469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10,102,094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8,880,469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10,102,094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Unvested RSUs to issue an equal number of shares of common stock of the</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609,898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1,657,890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609,898</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1,657,890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81" w:right="239" w:bottom="0" w:gutter="0" w:footer="0" w:header="0"/>
        </w:sectPr>
      </w:pPr>
    </w:p>
    <w:bookmarkStart w:id="11" w:name="page12"/>
    <w:bookmarkEnd w:id="11"/>
    <w:p>
      <w:pPr>
        <w:ind w:left="18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Warrants to purchase an equal number of shares of common stock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Conversion feature of Senior Secured Notes</w:t>
      </w:r>
    </w:p>
    <w:p>
      <w:pPr>
        <w:spacing w:after="0" w:line="9" w:lineRule="exact"/>
        <w:rPr>
          <w:sz w:val="20"/>
          <w:szCs w:val="20"/>
          <w:color w:val="auto"/>
        </w:rPr>
      </w:pPr>
    </w:p>
    <w:p>
      <w:pPr>
        <w:ind w:left="180" w:right="40" w:hanging="161"/>
        <w:spacing w:after="0" w:line="276" w:lineRule="auto"/>
        <w:rPr>
          <w:sz w:val="20"/>
          <w:szCs w:val="20"/>
          <w:color w:val="auto"/>
        </w:rPr>
      </w:pPr>
      <w:r>
        <w:rPr>
          <w:rFonts w:ascii="Arial" w:cs="Arial" w:eastAsia="Arial" w:hAnsi="Arial"/>
          <w:sz w:val="18"/>
          <w:szCs w:val="18"/>
          <w:b w:val="1"/>
          <w:bCs w:val="1"/>
          <w:color w:val="auto"/>
        </w:rPr>
        <w:t>Total number of potentially dilutive instruments, excluded from the calculation of net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9,566,795</w:t>
            </w:r>
          </w:p>
        </w:tc>
        <w:tc>
          <w:tcPr>
            <w:tcW w:w="2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15,801,923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9,566,795</w:t>
            </w:r>
          </w:p>
        </w:tc>
        <w:tc>
          <w:tcPr>
            <w:tcW w:w="1260" w:type="dxa"/>
            <w:vAlign w:val="bottom"/>
          </w:tcPr>
          <w:p>
            <w:pPr>
              <w:jc w:val="right"/>
              <w:spacing w:after="0"/>
              <w:rPr>
                <w:sz w:val="20"/>
                <w:szCs w:val="20"/>
                <w:color w:val="auto"/>
              </w:rPr>
            </w:pPr>
            <w:r>
              <w:rPr>
                <w:rFonts w:ascii="Arial" w:cs="Arial" w:eastAsia="Arial" w:hAnsi="Arial"/>
                <w:sz w:val="18"/>
                <w:szCs w:val="18"/>
                <w:color w:val="auto"/>
              </w:rPr>
              <w:t>17,423,851</w:t>
            </w:r>
          </w:p>
        </w:tc>
      </w:tr>
      <w:tr>
        <w:trPr>
          <w:trHeight w:val="23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12,500,000</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12,500,000</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426"/>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31,557,162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27,561,907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31,557,162</w:t>
            </w:r>
          </w:p>
        </w:tc>
        <w:tc>
          <w:tcPr>
            <w:tcW w:w="1260" w:type="dxa"/>
            <w:vAlign w:val="bottom"/>
          </w:tcPr>
          <w:p>
            <w:pPr>
              <w:jc w:val="right"/>
              <w:spacing w:after="0"/>
              <w:rPr>
                <w:sz w:val="20"/>
                <w:szCs w:val="20"/>
                <w:color w:val="auto"/>
              </w:rPr>
            </w:pPr>
            <w:r>
              <w:rPr>
                <w:rFonts w:ascii="Arial" w:cs="Arial" w:eastAsia="Arial" w:hAnsi="Arial"/>
                <w:sz w:val="18"/>
                <w:szCs w:val="18"/>
                <w:color w:val="auto"/>
              </w:rPr>
              <w:t>29,183,835</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-848360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-436880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220" w:space="400"/>
            <w:col w:w="5700"/>
          </w:cols>
          <w:pgMar w:left="24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18, 2014, the Company executed the sale of its mobile social application business to InfoMedia. As consideration for the assets and agreements related to the Company’s mobile social application business, the Company received 18 Class B shares of InfoMedia, which represent an 8.25% ownership interest in InfoMedia. Additionally, the Company’s Chief Executive Officer was appointed as a full voting member on InfoMedia’s board of directors and the Company received a number of customary protective rights. The InfoMedia Class B shares are accounted for as a cost-method investment at the carrying amount of $787 and are included in Other assets in the consolidated balance sheets as of June 30, 2015 and December 31, 2014. During the six month period ended June 30, 2015, there were no events or changes in circumstances that would indicate that the carrying amount of this investment may no longer be recoverable.</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its mobile social application business, the Company is required to present the results of the Company’s mobile social application business as discontinued operations in the consolidated statements of operations. The following table represents the components of operating results from discontinued operations for the six month period ended June 30, 2014, as presented in the consolidated statements of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9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4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4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450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500" w:type="dxa"/>
            <w:vAlign w:val="bottom"/>
            <w:vMerge w:val="restart"/>
          </w:tcPr>
          <w:p>
            <w:pPr>
              <w:jc w:val="right"/>
              <w:ind w:right="2670"/>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Senior Secured Convertible Notes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4, 2015 (the “Closing Date”), the Company entered into a securities purchase agreement with certain institutional investors in a registered direct offering of $12,500 of Senior Secured Convertible Notes (the “Notes”) and warrants to purchase 5,375,000 shares of the Company’s common stock. On the Closing Date, the Company issued the Notes, which are convertible into shares of the Company’s common stock at $1.00 per share, bear 8% interest and mature in 21 months from the date of issuance, unless earlier converted. In addition, the Company issued 5,375,000 warrants to purchase shares of the Company’s common stock, which are exercisable at $1.00 per share and are exercisable for a period of five years, beginning on the six month and one day anniversary of their date of issuance. In connection with the issuance of the Notes and warrants, the Company received net cash proceeds of $12,425 on May 5, 2015. The Company also incurred third party costs directly associated with the issuance of Notes of $218, which are capitalized as debt issuance costs and included in Other assets, and are amortized over the term of the Note. The Company’s obligations under the outstanding Notes are secured by a first priority perfected security interest in substantially all of the Company’s U.S. assets. In addition, stock of certain subsidiaries of the Company has been pledged. The outstanding Notes contain customary events of default, as well as covenants which include restrictions on the assumption of new debt by the Company. As of June 30, 2015, all covenants were met and there were no events of default.</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principal amount of the outstanding Notes will be repaid monthly, and the Company may make such payments and related interest payments in cash or, subject to certain conditions, in registered shares of the Company’s common stock, at its election. On each of the principal installment dates, the Company’s scheduled principal amortization payment will be an amount equal to $595. If the Company chooses to repay the Notes in shares of its common stock, the shares will be issued at a 15% discount, based on the then-current market price data of the Company’s common stock. The Company may also repay the Notes in advance of the maturity schedule subject to early repayment penalties. The holders of the Notes may accelerate up to six principal installment payments on each of the principal installment dates. The Company may choose to settle such amounts in cash or shares issued at a 15% discount, based on the then-current market price data of the Company’s common stock. Further, the Notes contain provisions that under certain events of default, as defined in the agreement, the amount owed could increase by amounts ranging from 115% to 120% of the face value depending on when the event occurred, and additionally, the interest rates would increase to 16.5% per annum upon the occurrence and continuance of an event of default. In addition, the Company may choose to repay the Notes early at a premium ranging from 115% to 120% of the face value depending on when the election is made.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8% interest will be paid quarterly, starting July 1, 2015, and the Company may make such payments in cash or registered shares of the Company’s common stock, at its election. If the Company chooses to repay the Notes in shares of its common stock, the shares for the payment of interest will be issued at the then-current market price of the Company’s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w w:val="97"/>
              </w:rPr>
              <w:t>Upon issuance of the Notes on May 4, 2015, the Company recorded the following as of June 30, 2015:</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the Notes ($12,500 less investors issuance costs of $75)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Debt Discount: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2015 Warrants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Conversion feature</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Total – May 4, 2015</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 amortization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Debt repayments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Total – June 30, 2015</w:t>
            </w: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Short-term portion</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portion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debt discount is attributable to the value of the separately accounted for Conversion feature and May 2015 Warrants issued in connection with the financing. The embedded Conversion feature derivatives relate to the conversion option, redemption in case of an event of default, and redemption in the case of a change in control features of the Notes. The embedded derivatives were evaluated under ASC topic 815-15, were bifurcated from the debt host, and were classified as liabilities in the consolidated balance sheet. The debt discount is amortized using the effective interest method over the term of the Notes. For the three and six months ended June 30, 2015, the Company recorded $289 of debt discount amortization included in interest expense on the consolidated statements of operations. In addition, the Company recorded $21 amortization of debt issuance costs included in interest expense and recorded an interest accrual of $155 included in Accounts payable and accrued expenses as of June 30, 2015.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During the three months ended June 30, 2015, the Company made principal payments in the aggregate amount of $1,191. The Company elected to make these principal payments in shares of the Company’s common stock, which are issued at a 15% discount to the market price. As such, the Company issued 2,300,000 shares in lieu of principal payments and recorded $210 as extinguishment of debt expense on the consolidated statements of operations. Subsequent to June 30, 2015, the Company made additional principal payments in the aggregate amount of $1,524 and an interest payment of $155 in shares of common stock, the latter of which had been accrued as of June 30,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7 and 8 for further detail on the fair value of the May 2015 Warrants and Conversion feature.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measures fair value in accordance with FASB Accounting Standard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liabilities measured at fair value on a recurring basis as of June 30,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2015:</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May 2015 Warrants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feature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4"/>
              </w:rPr>
              <w:t>Conversion Warrants, the derivative Reload Warrants and the derivative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Series 1 Warrants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its derivative liabilities at fair value. The Conversion Warrants, the derivative Reload Warrants and the derivative Series 1 Warrants were classified within Level 3 because they were valued using the Black-Scholes-Merton and the Monte-Carlo models, as these warrants included down-round protection clauses, which utilize significant inputs that are unobservable in the market. On January 1, 2015, the down-round protection clauses associated with all of the Company’s outstanding derivative warrants expired and, as a result, these warrants no longer meet the criteria for liability classification. As such, the related liabilities were revalued as of January 1, 2015 and the balance of $175, which was comprised of long-term derivative liability warrants of $174 and short-term derivative liability warrants of $1, was reclassified to equity.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May 2015 Warrants were classified within Level 3 because they were valued using the Black-Sholes-Merton model, which utilizes significant inputs that are unobservable in the market. They are recorded as derivative liability warrants as they are freestanding instruments and there are several features within the warrants that may require the Company to cash settle or partially cash settle. In particular, the Company may have to cash settle, partially cash settle, or make cash payments to the holders including cash settlement upon exercise when insufficient shares are authorized to be issued, and that the Company is obligated to issue registered shares when the warrants are exercised. The derivative liability is initially measured at fair value and marked to market at each balance sheet date.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Conversion feature was classified within Level 3 because it was valued using the Monte-Carlo model, which utilizes significant inputs that are unobservable in the market. The embedded Conversion feature derivatives relate to the conversion option, redemption in case of an event of default, and redemption in the case of a change in control features of the Notes. The Conversion feature was separated from the host debt contract and accounted for as a derivative instrument because the feature is not clearly and closely related to the debt host and a separate instrument with the same terms as the embedded derivative would be a derivative instrument.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ind w:right="20"/>
        <w:spacing w:after="0" w:line="264" w:lineRule="auto"/>
        <w:rPr>
          <w:sz w:val="20"/>
          <w:szCs w:val="20"/>
          <w:color w:val="auto"/>
        </w:rPr>
      </w:pPr>
      <w:r>
        <w:rPr>
          <w:rFonts w:ascii="Arial" w:cs="Arial" w:eastAsia="Arial" w:hAnsi="Arial"/>
          <w:sz w:val="18"/>
          <w:szCs w:val="18"/>
          <w:color w:val="auto"/>
        </w:rPr>
        <w:t>In addition to the above, the Company’s financial instruments as of June 30, 2015 and December 31, 2014 consisted of cash, cash equivalents, receivables, accounts payable and deposits.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six month period ended June 30,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Conversion Warrants, the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derivative Reload</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0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Warrants and the derivative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3"/>
          </w:tcPr>
          <w:p>
            <w:pPr>
              <w:jc w:val="center"/>
              <w:ind w:right="830"/>
              <w:spacing w:after="0"/>
              <w:rPr>
                <w:sz w:val="20"/>
                <w:szCs w:val="20"/>
                <w:color w:val="auto"/>
              </w:rPr>
            </w:pPr>
            <w:r>
              <w:rPr>
                <w:rFonts w:ascii="Arial" w:cs="Arial" w:eastAsia="Arial" w:hAnsi="Arial"/>
                <w:sz w:val="18"/>
                <w:szCs w:val="18"/>
                <w:color w:val="auto"/>
                <w:w w:val="93"/>
              </w:rPr>
              <w:t>May 2015</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Conversion</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Series 1 Warrants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gridSpan w:val="3"/>
          </w:tcPr>
          <w:p>
            <w:pPr>
              <w:jc w:val="center"/>
              <w:ind w:right="850"/>
              <w:spacing w:after="0"/>
              <w:rPr>
                <w:sz w:val="20"/>
                <w:szCs w:val="20"/>
                <w:color w:val="auto"/>
              </w:rPr>
            </w:pPr>
            <w:r>
              <w:rPr>
                <w:rFonts w:ascii="Arial" w:cs="Arial" w:eastAsia="Arial" w:hAnsi="Arial"/>
                <w:sz w:val="18"/>
                <w:szCs w:val="18"/>
                <w:color w:val="auto"/>
                <w:w w:val="87"/>
              </w:rPr>
              <w:t>Warrants</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feature</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w w:val="95"/>
              </w:rPr>
              <w:t>Reclassification of derivative Reload Warrants and</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Series 1 Warrants to equity warrants</w:t>
            </w:r>
          </w:p>
        </w:tc>
        <w:tc>
          <w:tcPr>
            <w:tcW w:w="20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Notes and derivative warrants on May</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4, 2015</w:t>
            </w:r>
          </w:p>
        </w:tc>
        <w:tc>
          <w:tcPr>
            <w:tcW w:w="2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1,717</w:t>
            </w:r>
          </w:p>
        </w:tc>
        <w:tc>
          <w:tcPr>
            <w:tcW w:w="3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Gain on revaluation of warrants and conversion</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3880" w:type="dxa"/>
            <w:vAlign w:val="bottom"/>
          </w:tcPr>
          <w:p>
            <w:pPr>
              <w:spacing w:after="0"/>
              <w:rPr>
                <w:sz w:val="20"/>
                <w:szCs w:val="20"/>
                <w:color w:val="auto"/>
              </w:rPr>
            </w:pPr>
            <w:r>
              <w:rPr>
                <w:rFonts w:ascii="Arial" w:cs="Arial" w:eastAsia="Arial" w:hAnsi="Arial"/>
                <w:sz w:val="18"/>
                <w:szCs w:val="18"/>
                <w:color w:val="auto"/>
              </w:rPr>
              <w:t>feature</w:t>
            </w:r>
          </w:p>
        </w:tc>
        <w:tc>
          <w:tcPr>
            <w:tcW w:w="20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2015</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ind w:left="1660"/>
              <w:spacing w:after="0"/>
              <w:rPr>
                <w:sz w:val="20"/>
                <w:szCs w:val="20"/>
                <w:color w:val="auto"/>
              </w:rPr>
            </w:pPr>
            <w:r>
              <w:rPr>
                <w:rFonts w:ascii="Arial" w:cs="Arial" w:eastAsia="Arial" w:hAnsi="Arial"/>
                <w:sz w:val="18"/>
                <w:szCs w:val="18"/>
                <w:color w:val="auto"/>
              </w:rPr>
              <w:t>Description</w:t>
            </w:r>
          </w:p>
        </w:tc>
        <w:tc>
          <w:tcPr>
            <w:tcW w:w="120" w:type="dxa"/>
            <w:vAlign w:val="bottom"/>
          </w:tcPr>
          <w:p>
            <w:pPr>
              <w:spacing w:after="0"/>
              <w:rPr>
                <w:sz w:val="24"/>
                <w:szCs w:val="24"/>
                <w:color w:val="auto"/>
              </w:rPr>
            </w:pPr>
          </w:p>
        </w:tc>
        <w:tc>
          <w:tcPr>
            <w:tcW w:w="2520" w:type="dxa"/>
            <w:vAlign w:val="bottom"/>
          </w:tcPr>
          <w:p>
            <w:pPr>
              <w:ind w:left="540"/>
              <w:spacing w:after="0"/>
              <w:rPr>
                <w:sz w:val="20"/>
                <w:szCs w:val="20"/>
                <w:color w:val="auto"/>
              </w:rPr>
            </w:pPr>
            <w:r>
              <w:rPr>
                <w:rFonts w:ascii="Arial" w:cs="Arial" w:eastAsia="Arial" w:hAnsi="Arial"/>
                <w:sz w:val="18"/>
                <w:szCs w:val="18"/>
                <w:color w:val="auto"/>
              </w:rPr>
              <w:t>Valuation technique</w:t>
            </w:r>
          </w:p>
        </w:tc>
        <w:tc>
          <w:tcPr>
            <w:tcW w:w="100" w:type="dxa"/>
            <w:vAlign w:val="bottom"/>
          </w:tcPr>
          <w:p>
            <w:pPr>
              <w:spacing w:after="0"/>
              <w:rPr>
                <w:sz w:val="24"/>
                <w:szCs w:val="24"/>
                <w:color w:val="auto"/>
              </w:rPr>
            </w:pPr>
          </w:p>
        </w:tc>
        <w:tc>
          <w:tcPr>
            <w:tcW w:w="2000" w:type="dxa"/>
            <w:vAlign w:val="bottom"/>
            <w:gridSpan w:val="2"/>
          </w:tcPr>
          <w:p>
            <w:pPr>
              <w:ind w:left="220"/>
              <w:spacing w:after="0"/>
              <w:rPr>
                <w:sz w:val="20"/>
                <w:szCs w:val="20"/>
                <w:color w:val="auto"/>
              </w:rPr>
            </w:pPr>
            <w:r>
              <w:rPr>
                <w:rFonts w:ascii="Arial" w:cs="Arial" w:eastAsia="Arial" w:hAnsi="Arial"/>
                <w:sz w:val="18"/>
                <w:szCs w:val="18"/>
                <w:color w:val="auto"/>
              </w:rPr>
              <w:t>Unobservable inputs</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Conversion Warrants, derivative Reload Warrants and</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Black-Scholes-Merton and the</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 - 77.06%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Series 1 Warrants</w:t>
            </w: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Monte-Carlo models</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 - 0.87%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0.48 - 2.55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ind w:left="1660"/>
              <w:spacing w:after="0"/>
              <w:rPr>
                <w:sz w:val="20"/>
                <w:szCs w:val="20"/>
                <w:color w:val="auto"/>
              </w:rPr>
            </w:pPr>
            <w:r>
              <w:rPr>
                <w:rFonts w:ascii="Arial" w:cs="Arial" w:eastAsia="Arial" w:hAnsi="Arial"/>
                <w:sz w:val="18"/>
                <w:szCs w:val="18"/>
                <w:color w:val="auto"/>
              </w:rPr>
              <w:t>Description</w:t>
            </w:r>
          </w:p>
        </w:tc>
        <w:tc>
          <w:tcPr>
            <w:tcW w:w="120" w:type="dxa"/>
            <w:vAlign w:val="bottom"/>
          </w:tcPr>
          <w:p>
            <w:pPr>
              <w:spacing w:after="0"/>
              <w:rPr>
                <w:sz w:val="24"/>
                <w:szCs w:val="24"/>
                <w:color w:val="auto"/>
              </w:rPr>
            </w:pPr>
          </w:p>
        </w:tc>
        <w:tc>
          <w:tcPr>
            <w:tcW w:w="2520" w:type="dxa"/>
            <w:vAlign w:val="bottom"/>
          </w:tcPr>
          <w:p>
            <w:pPr>
              <w:ind w:left="540"/>
              <w:spacing w:after="0"/>
              <w:rPr>
                <w:sz w:val="20"/>
                <w:szCs w:val="20"/>
                <w:color w:val="auto"/>
              </w:rPr>
            </w:pPr>
            <w:r>
              <w:rPr>
                <w:rFonts w:ascii="Arial" w:cs="Arial" w:eastAsia="Arial" w:hAnsi="Arial"/>
                <w:sz w:val="18"/>
                <w:szCs w:val="18"/>
                <w:color w:val="auto"/>
              </w:rPr>
              <w:t>Valuation technique</w:t>
            </w:r>
          </w:p>
        </w:tc>
        <w:tc>
          <w:tcPr>
            <w:tcW w:w="100" w:type="dxa"/>
            <w:vAlign w:val="bottom"/>
          </w:tcPr>
          <w:p>
            <w:pPr>
              <w:spacing w:after="0"/>
              <w:rPr>
                <w:sz w:val="24"/>
                <w:szCs w:val="24"/>
                <w:color w:val="auto"/>
              </w:rPr>
            </w:pPr>
          </w:p>
        </w:tc>
        <w:tc>
          <w:tcPr>
            <w:tcW w:w="2000" w:type="dxa"/>
            <w:vAlign w:val="bottom"/>
            <w:gridSpan w:val="2"/>
          </w:tcPr>
          <w:p>
            <w:pPr>
              <w:ind w:left="220"/>
              <w:spacing w:after="0"/>
              <w:rPr>
                <w:sz w:val="20"/>
                <w:szCs w:val="20"/>
                <w:color w:val="auto"/>
              </w:rPr>
            </w:pPr>
            <w:r>
              <w:rPr>
                <w:rFonts w:ascii="Arial" w:cs="Arial" w:eastAsia="Arial" w:hAnsi="Arial"/>
                <w:sz w:val="18"/>
                <w:szCs w:val="18"/>
                <w:color w:val="auto"/>
              </w:rPr>
              <w:t>Unobservable inputs</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Monte-Carlo model</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price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Black-Scholes-Merton</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inputs to estimate the fair value of the Company’s derivative warrant liabilities and Conversion feature were the current market price of the Company’s common stock, the exercise price of the warrants and Conversion feature,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warrants and Conversion feature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differential between the warrants’ and Conversion feature’s exercise prices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warrants and Conversion feature due to the dividend assumption.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Note 8. Warrants</w:t>
            </w:r>
          </w:p>
        </w:tc>
        <w:tc>
          <w:tcPr>
            <w:tcW w:w="2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60" w:type="dxa"/>
            <w:vAlign w:val="bottom"/>
            <w:gridSpan w:val="8"/>
          </w:tcPr>
          <w:p>
            <w:pPr>
              <w:spacing w:after="0"/>
              <w:rPr>
                <w:sz w:val="20"/>
                <w:szCs w:val="20"/>
                <w:color w:val="auto"/>
              </w:rPr>
            </w:pPr>
            <w:r>
              <w:rPr>
                <w:rFonts w:ascii="Arial" w:cs="Arial" w:eastAsia="Arial" w:hAnsi="Arial"/>
                <w:sz w:val="18"/>
                <w:szCs w:val="18"/>
                <w:color w:val="auto"/>
                <w:w w:val="97"/>
              </w:rPr>
              <w:t>The following table summarizes information about warrant activity during the six month period ended June 30, 2015: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Weighted average</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Exercise</w:t>
            </w:r>
          </w:p>
        </w:tc>
      </w:tr>
      <w:tr>
        <w:trPr>
          <w:trHeight w:val="230"/>
        </w:trPr>
        <w:tc>
          <w:tcPr>
            <w:tcW w:w="3820" w:type="dxa"/>
            <w:vAlign w:val="bottom"/>
          </w:tcPr>
          <w:p>
            <w:pPr>
              <w:spacing w:after="0"/>
              <w:rPr>
                <w:sz w:val="20"/>
                <w:szCs w:val="20"/>
                <w:color w:val="auto"/>
              </w:rPr>
            </w:pPr>
          </w:p>
        </w:tc>
        <w:tc>
          <w:tcPr>
            <w:tcW w:w="3640" w:type="dxa"/>
            <w:vAlign w:val="bottom"/>
            <w:gridSpan w:val="3"/>
          </w:tcPr>
          <w:p>
            <w:pPr>
              <w:jc w:val="right"/>
              <w:ind w:right="120"/>
              <w:spacing w:after="0"/>
              <w:rPr>
                <w:sz w:val="20"/>
                <w:szCs w:val="20"/>
                <w:color w:val="auto"/>
              </w:rPr>
            </w:pPr>
            <w:r>
              <w:rPr>
                <w:rFonts w:ascii="Arial" w:cs="Arial" w:eastAsia="Arial" w:hAnsi="Arial"/>
                <w:sz w:val="18"/>
                <w:szCs w:val="18"/>
                <w:color w:val="auto"/>
              </w:rPr>
              <w:t>No. of 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price range</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4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17,402,654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4.26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$0.94 - $5.06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2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ind w:left="900"/>
              <w:spacing w:after="0"/>
              <w:rPr>
                <w:sz w:val="20"/>
                <w:szCs w:val="20"/>
                <w:color w:val="auto"/>
              </w:rPr>
            </w:pPr>
            <w:r>
              <w:rPr>
                <w:rFonts w:ascii="Arial" w:cs="Arial" w:eastAsia="Arial" w:hAnsi="Arial"/>
                <w:sz w:val="18"/>
                <w:szCs w:val="18"/>
                <w:color w:val="auto"/>
                <w:w w:val="79"/>
              </w:rPr>
              <w:t>1.00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Expired</w:t>
            </w:r>
          </w:p>
        </w:tc>
        <w:tc>
          <w:tcPr>
            <w:tcW w:w="3640" w:type="dxa"/>
            <w:vAlign w:val="bottom"/>
            <w:gridSpan w:val="3"/>
          </w:tcPr>
          <w:p>
            <w:pPr>
              <w:jc w:val="right"/>
              <w:ind w:right="60"/>
              <w:spacing w:after="0"/>
              <w:rPr>
                <w:sz w:val="20"/>
                <w:szCs w:val="20"/>
                <w:color w:val="auto"/>
              </w:rPr>
            </w:pPr>
            <w:r>
              <w:rPr>
                <w:rFonts w:ascii="Arial" w:cs="Arial" w:eastAsia="Arial" w:hAnsi="Arial"/>
                <w:sz w:val="18"/>
                <w:szCs w:val="18"/>
                <w:color w:val="auto"/>
              </w:rPr>
              <w:t>(13,210,858)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5.06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$0.94 - $5.06</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2015</w:t>
            </w:r>
          </w:p>
        </w:tc>
        <w:tc>
          <w:tcPr>
            <w:tcW w:w="24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9,566,796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1.33</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 $1.76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2015, the Company issued warrants to purchase up to 5,375,000 of its shares of common stock in conjunction with the issuance of the Senior Secured Convertible Notes. The warrants are exercisable at $1.00 per share and are exercisable for a period of five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June 21, 2015, the Company had public warrants to purchase 4,784,000 shares of common stock at an exercise price of $5.06, which were listed on the NASDAQ Capital Market under the symbol “VRNGW,” and additional warrants which were privately held to purchase 8,426,858 shares of common stock, all of which expired on June 21,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outstanding warrants are classified as equity warrants and certain are classified as derivative liability. The Company’s outstanding equity warrants as of June 30, 2015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Remaining</w:t>
            </w:r>
          </w:p>
        </w:tc>
        <w:tc>
          <w:tcPr>
            <w:tcW w:w="13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3"/>
              </w:rPr>
              <w:t>No. 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contractual life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1.76</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2.05 years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July 19, 2017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Series 2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1,943,523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1.76</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2.05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July 19, 2017</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Reload Warrants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1.76</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6, 2017</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Outstanding as of June 30, 2015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4,191,796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26"/>
        </w:trPr>
        <w:tc>
          <w:tcPr>
            <w:tcW w:w="8580" w:type="dxa"/>
            <w:vAlign w:val="bottom"/>
            <w:gridSpan w:val="6"/>
          </w:tcPr>
          <w:p>
            <w:pPr>
              <w:spacing w:after="0"/>
              <w:rPr>
                <w:sz w:val="20"/>
                <w:szCs w:val="20"/>
                <w:color w:val="auto"/>
              </w:rPr>
            </w:pPr>
            <w:r>
              <w:rPr>
                <w:rFonts w:ascii="Arial" w:cs="Arial" w:eastAsia="Arial" w:hAnsi="Arial"/>
                <w:sz w:val="18"/>
                <w:szCs w:val="18"/>
                <w:color w:val="auto"/>
              </w:rPr>
              <w:t>The Company’s outstanding derivative liability warrants as of June 30, 2015 consist of the following: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Remaining</w:t>
            </w:r>
          </w:p>
        </w:tc>
        <w:tc>
          <w:tcPr>
            <w:tcW w:w="136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3"/>
              </w:rPr>
              <w:t>No. 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contractual life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1.00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4.85 years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4, 2020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15,600,000 shares of common stock may be awarded. As of June 30, 2015, 5,296,442 shares were available for future grants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stock options granted during the six month period ended June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Title</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No. of</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Exercise 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Fair market value</w:t>
            </w:r>
          </w:p>
        </w:tc>
        <w:tc>
          <w:tcPr>
            <w:tcW w:w="200" w:type="dxa"/>
            <w:vAlign w:val="bottom"/>
          </w:tcPr>
          <w:p>
            <w:pPr>
              <w:spacing w:after="0"/>
              <w:rPr>
                <w:sz w:val="14"/>
                <w:szCs w:val="14"/>
                <w:color w:val="auto"/>
              </w:rPr>
            </w:pPr>
          </w:p>
        </w:tc>
        <w:tc>
          <w:tcPr>
            <w:tcW w:w="19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Vesting terms</w:t>
            </w:r>
          </w:p>
        </w:tc>
        <w:tc>
          <w:tcPr>
            <w:tcW w:w="2160" w:type="dxa"/>
            <w:vAlign w:val="bottom"/>
          </w:tcPr>
          <w:p>
            <w:pPr>
              <w:spacing w:after="0"/>
              <w:rPr>
                <w:sz w:val="20"/>
                <w:szCs w:val="20"/>
                <w:color w:val="auto"/>
              </w:rPr>
            </w:pPr>
            <w:r>
              <w:rPr>
                <w:rFonts w:ascii="Arial" w:cs="Arial" w:eastAsia="Arial" w:hAnsi="Arial"/>
                <w:sz w:val="14"/>
                <w:szCs w:val="14"/>
                <w:b w:val="1"/>
                <w:bCs w:val="1"/>
                <w:color w:val="auto"/>
                <w:w w:val="88"/>
              </w:rPr>
              <w:t>Assumptions used in Black-Scholes</w:t>
            </w: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at grant date</w:t>
            </w:r>
          </w:p>
        </w:tc>
        <w:tc>
          <w:tcPr>
            <w:tcW w:w="2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160" w:type="dxa"/>
            <w:vAlign w:val="bottom"/>
          </w:tcPr>
          <w:p>
            <w:pPr>
              <w:ind w:left="420"/>
              <w:spacing w:after="0"/>
              <w:rPr>
                <w:sz w:val="20"/>
                <w:szCs w:val="20"/>
                <w:color w:val="auto"/>
              </w:rPr>
            </w:pPr>
            <w:r>
              <w:rPr>
                <w:rFonts w:ascii="Arial" w:cs="Arial" w:eastAsia="Arial" w:hAnsi="Arial"/>
                <w:sz w:val="14"/>
                <w:szCs w:val="14"/>
                <w:b w:val="1"/>
                <w:bCs w:val="1"/>
                <w:color w:val="auto"/>
              </w:rPr>
              <w:t>Option pricing model</w:t>
            </w:r>
          </w:p>
        </w:tc>
        <w:tc>
          <w:tcPr>
            <w:tcW w:w="0" w:type="dxa"/>
            <w:vAlign w:val="bottom"/>
          </w:tcPr>
          <w:p>
            <w:pPr>
              <w:spacing w:after="0"/>
              <w:rPr>
                <w:sz w:val="1"/>
                <w:szCs w:val="1"/>
                <w:color w:val="auto"/>
              </w:rPr>
            </w:pPr>
          </w:p>
        </w:tc>
      </w:tr>
      <w:tr>
        <w:trPr>
          <w:trHeight w:val="123"/>
        </w:trPr>
        <w:tc>
          <w:tcPr>
            <w:tcW w:w="18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Directors and employees</w:t>
            </w: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January 2015</w:t>
            </w: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1,150,000</w:t>
            </w:r>
          </w:p>
        </w:tc>
        <w:tc>
          <w:tcPr>
            <w:tcW w:w="24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rPr>
              <w:t>$0.51 - $0.59</w:t>
            </w:r>
          </w:p>
        </w:tc>
        <w:tc>
          <w:tcPr>
            <w:tcW w:w="2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$0.33 - $0.38</w:t>
            </w:r>
          </w:p>
        </w:tc>
        <w:tc>
          <w:tcPr>
            <w:tcW w:w="2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5"/>
              </w:rPr>
              <w:t>Over 1 year for Directors; Over</w:t>
            </w:r>
          </w:p>
        </w:tc>
        <w:tc>
          <w:tcPr>
            <w:tcW w:w="100" w:type="dxa"/>
            <w:vAlign w:val="bottom"/>
            <w:tcBorders>
              <w:top w:val="single" w:sz="8" w:color="CCEEFF"/>
            </w:tcBorders>
            <w:shd w:val="clear" w:color="auto" w:fill="CCEEFF"/>
          </w:tcPr>
          <w:p>
            <w:pPr>
              <w:spacing w:after="0"/>
              <w:rPr>
                <w:sz w:val="10"/>
                <w:szCs w:val="10"/>
                <w:color w:val="auto"/>
              </w:rPr>
            </w:pPr>
          </w:p>
        </w:tc>
        <w:tc>
          <w:tcPr>
            <w:tcW w:w="21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Volatility: 74.9 % - 77.1%</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3 years for Employees</w:t>
            </w: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 1.27% -</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Expected term, in years: 5.31 - 5.81</w:t>
            </w: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Dividend yield: 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options granted are subject to acceleration of vesting of 75% - 100% (according to the agreement signed with each grantee), upon a subsequent change of control.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activity related to stock options and RSUs during the six month period ended June 30, 2015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RSU</w:t>
            </w:r>
            <w:r>
              <w:rPr>
                <w:rFonts w:ascii="Arial" w:cs="Arial" w:eastAsia="Arial" w:hAnsi="Arial"/>
                <w:sz w:val="18"/>
                <w:szCs w:val="18"/>
                <w:b w:val="1"/>
                <w:bCs w:val="1"/>
                <w:color w:val="auto"/>
              </w:rPr>
              <w:t>s</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Options</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23"/>
        </w:trPr>
        <w:tc>
          <w:tcPr>
            <w:tcW w:w="3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8"/>
              <w:spacing w:after="0" w:line="123" w:lineRule="exact"/>
              <w:rPr>
                <w:sz w:val="20"/>
                <w:szCs w:val="20"/>
                <w:color w:val="auto"/>
              </w:rPr>
            </w:pPr>
            <w:r>
              <w:rPr>
                <w:rFonts w:ascii="Arial" w:cs="Arial" w:eastAsia="Arial" w:hAnsi="Arial"/>
                <w:sz w:val="14"/>
                <w:szCs w:val="14"/>
                <w:color w:val="auto"/>
                <w:w w:val="93"/>
              </w:rPr>
              <w:t>Weighted average</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100"/>
              <w:spacing w:after="0" w:line="123" w:lineRule="exact"/>
              <w:rPr>
                <w:sz w:val="20"/>
                <w:szCs w:val="20"/>
                <w:color w:val="auto"/>
              </w:rPr>
            </w:pPr>
            <w:r>
              <w:rPr>
                <w:rFonts w:ascii="Arial" w:cs="Arial" w:eastAsia="Arial" w:hAnsi="Arial"/>
                <w:sz w:val="14"/>
                <w:szCs w:val="14"/>
                <w:color w:val="auto"/>
                <w:w w:val="91"/>
              </w:rPr>
              <w:t>Weighted average</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8"/>
              <w:spacing w:after="0" w:line="123" w:lineRule="exact"/>
              <w:rPr>
                <w:sz w:val="20"/>
                <w:szCs w:val="20"/>
                <w:color w:val="auto"/>
              </w:rPr>
            </w:pPr>
            <w:r>
              <w:rPr>
                <w:rFonts w:ascii="Arial" w:cs="Arial" w:eastAsia="Arial" w:hAnsi="Arial"/>
                <w:sz w:val="14"/>
                <w:szCs w:val="14"/>
                <w:color w:val="auto"/>
                <w:w w:val="93"/>
              </w:rPr>
              <w:t>Weighted average</w:t>
            </w:r>
          </w:p>
        </w:tc>
        <w:tc>
          <w:tcPr>
            <w:tcW w:w="100" w:type="dxa"/>
            <w:vAlign w:val="bottom"/>
          </w:tcPr>
          <w:p>
            <w:pPr>
              <w:spacing w:after="0"/>
              <w:rPr>
                <w:sz w:val="10"/>
                <w:szCs w:val="10"/>
                <w:color w:val="auto"/>
              </w:rPr>
            </w:pPr>
          </w:p>
        </w:tc>
      </w:tr>
      <w:tr>
        <w:trPr>
          <w:trHeight w:val="167"/>
        </w:trPr>
        <w:tc>
          <w:tcPr>
            <w:tcW w:w="370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Arial" w:cs="Arial" w:eastAsia="Arial" w:hAnsi="Arial"/>
                <w:sz w:val="14"/>
                <w:szCs w:val="14"/>
                <w:color w:val="auto"/>
              </w:rPr>
              <w:t>No. of RSUs</w:t>
            </w:r>
          </w:p>
        </w:tc>
        <w:tc>
          <w:tcPr>
            <w:tcW w:w="1360" w:type="dxa"/>
            <w:vAlign w:val="bottom"/>
            <w:gridSpan w:val="3"/>
          </w:tcPr>
          <w:p>
            <w:pPr>
              <w:spacing w:after="0"/>
              <w:rPr>
                <w:sz w:val="20"/>
                <w:szCs w:val="20"/>
                <w:color w:val="auto"/>
              </w:rPr>
            </w:pPr>
            <w:r>
              <w:rPr>
                <w:rFonts w:ascii="Arial" w:cs="Arial" w:eastAsia="Arial" w:hAnsi="Arial"/>
                <w:sz w:val="14"/>
                <w:szCs w:val="14"/>
                <w:color w:val="auto"/>
              </w:rPr>
              <w:t>grant date fair value</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No. of 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exercise price</w:t>
            </w:r>
          </w:p>
        </w:tc>
        <w:tc>
          <w:tcPr>
            <w:tcW w:w="1480" w:type="dxa"/>
            <w:vAlign w:val="bottom"/>
            <w:gridSpan w:val="3"/>
          </w:tcPr>
          <w:p>
            <w:pPr>
              <w:jc w:val="right"/>
              <w:ind w:right="200"/>
              <w:spacing w:after="0"/>
              <w:rPr>
                <w:sz w:val="20"/>
                <w:szCs w:val="20"/>
                <w:color w:val="auto"/>
              </w:rPr>
            </w:pPr>
            <w:r>
              <w:rPr>
                <w:rFonts w:ascii="Arial" w:cs="Arial" w:eastAsia="Arial" w:hAnsi="Arial"/>
                <w:sz w:val="14"/>
                <w:szCs w:val="14"/>
                <w:color w:val="auto"/>
                <w:w w:val="98"/>
              </w:rPr>
              <w:t>Exercise price range</w:t>
            </w:r>
          </w:p>
        </w:tc>
        <w:tc>
          <w:tcPr>
            <w:tcW w:w="1260" w:type="dxa"/>
            <w:vAlign w:val="bottom"/>
            <w:gridSpan w:val="3"/>
          </w:tcPr>
          <w:p>
            <w:pPr>
              <w:spacing w:after="0"/>
              <w:rPr>
                <w:sz w:val="20"/>
                <w:szCs w:val="20"/>
                <w:color w:val="auto"/>
              </w:rPr>
            </w:pPr>
            <w:r>
              <w:rPr>
                <w:rFonts w:ascii="Arial" w:cs="Arial" w:eastAsia="Arial" w:hAnsi="Arial"/>
                <w:sz w:val="14"/>
                <w:szCs w:val="14"/>
                <w:color w:val="auto"/>
              </w:rPr>
              <w:t>grant date fair value</w:t>
            </w: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at December 31, 2014</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1,196,357</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3.64</w:t>
            </w: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8,052,345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$0.96 - $5.50</w:t>
            </w: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0.54</w:t>
            </w:r>
          </w:p>
        </w:tc>
        <w:tc>
          <w:tcPr>
            <w:tcW w:w="14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$0.51 - $0.59</w:t>
            </w:r>
          </w:p>
        </w:tc>
        <w:tc>
          <w:tcPr>
            <w:tcW w:w="4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0.35</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Vested/Exercised</w:t>
            </w:r>
          </w:p>
        </w:tc>
        <w:tc>
          <w:tcPr>
            <w:tcW w:w="12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(232,813)</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3.64</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(353,646)</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3.63</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(321,876)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14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$0.51 - $3.76</w:t>
            </w:r>
          </w:p>
        </w:tc>
        <w:tc>
          <w:tcPr>
            <w:tcW w:w="4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0.85</w:t>
            </w:r>
          </w:p>
        </w:tc>
      </w:tr>
      <w:tr>
        <w:trPr>
          <w:trHeight w:val="162"/>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Expired</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37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Outstanding at June 30, 2015</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609,898</w:t>
            </w:r>
          </w:p>
        </w:tc>
        <w:tc>
          <w:tcPr>
            <w:tcW w:w="22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w:t>
            </w:r>
          </w:p>
        </w:tc>
        <w:tc>
          <w:tcPr>
            <w:tcW w:w="2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8,880,469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$0.51 - $5.50</w:t>
            </w:r>
          </w:p>
        </w:tc>
        <w:tc>
          <w:tcPr>
            <w:tcW w:w="2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17"/>
                <w:szCs w:val="17"/>
                <w:color w:val="auto"/>
              </w:rPr>
            </w:pPr>
          </w:p>
        </w:tc>
      </w:tr>
      <w:tr>
        <w:trPr>
          <w:trHeight w:val="156"/>
        </w:trPr>
        <w:tc>
          <w:tcPr>
            <w:tcW w:w="37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Exercisable at June 30, 2015</w:t>
            </w:r>
          </w:p>
        </w:tc>
        <w:tc>
          <w:tcPr>
            <w:tcW w:w="1220" w:type="dxa"/>
            <w:vAlign w:val="bottom"/>
            <w:gridSpan w:val="2"/>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7,535,329</w:t>
            </w:r>
          </w:p>
        </w:tc>
        <w:tc>
          <w:tcPr>
            <w:tcW w:w="1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3.25</w:t>
            </w:r>
          </w:p>
        </w:tc>
        <w:tc>
          <w:tcPr>
            <w:tcW w:w="1480" w:type="dxa"/>
            <w:vAlign w:val="bottom"/>
            <w:gridSpan w:val="3"/>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$0.51 - $5.50</w:t>
            </w: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subsidiaries have filed patent infringement lawsuits against ZTE and its subsidiaries in the </w:t>
      </w:r>
      <w:r>
        <w:rPr>
          <w:rFonts w:ascii="Arial" w:cs="Arial" w:eastAsia="Arial" w:hAnsi="Arial"/>
          <w:sz w:val="17"/>
          <w:szCs w:val="17"/>
          <w:color w:val="181818"/>
        </w:rPr>
        <w:t>UK</w:t>
      </w:r>
      <w:r>
        <w:rPr>
          <w:rFonts w:ascii="Arial" w:cs="Arial" w:eastAsia="Arial" w:hAnsi="Arial"/>
          <w:sz w:val="17"/>
          <w:szCs w:val="17"/>
          <w:color w:val="auto"/>
        </w:rPr>
        <w:t>, France, Germany, Netherlands, Australia, India, Brazil, Malaysia, and Romania, and against ASUS and its subsidiaries in Germany, Spain and India. In such jurisdictions, an unsuccessful plaintiff may be required to pay a portion of the other party’s legal fees. In addition, the Company may be required to grant additional written commitments, as necessary, in connection with its commenced proceedings against ZTE and its subsidiaries in various countries. However, if the Company were successful on any court applications or the entirety of any litigation, the defendants may be responsible for a substantial portion of the Company’s legal fees. In response, ZTE Corporation or its affiliates have filed a number of counterclaims and other responsive cases in various countries such as the United States, certain European jurisdictions, the People’s Republic of China, and others.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negotiation with ZTE’s UK subsidiary, the Company made two written commitments, in November 2012 and May 2013, representing payment should a liability by Vringo Infrastructure arise as a result of the two cases it has filed. Each of the cases filed include three patents which the Company has alleged are infringed by ZTE. The defendants estimated the total possible liability to be no more than approximately $2,900 for each case. The Company recorded its best estimate of its liability in respect of ZTE’s legal fees, which is presented in Other liabilities included in the consolidated balance sheets as of June 30, 2015 and December 31, 2014, but believes that the ultimate liability will be significantly less.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 March 2014, the Company withdrew one of the patents included in the first case against ZTE’s UK subsidiary. ZTE withdrew its invalidity counterclaims.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2014, with respect to another patent included in the first case, the Court found that Vringo’s patent is valid as amended and infringed by ZTE.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ZTE did not appeal the decision, and the decision is final.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in which the parties will withdraw their respective claims and counterclaims.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13, 2013 and January 28, 2014, Vringo Germany filed two suits in the Regional Court of Düsseldorf, alleging infringement of two European patents by ZTE’s German subsidiary.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5, 2014, the Company deposited a bond of €1,000 (approximately $1,109 as of June 30, 2015) to enforce an injunction against ZTE in Germany. On May 20, 2015, the Company paid an additional €50 (approximately $57 as of June 30, 2015) to enforce review of accounting records. Should the injunction be successfully overturned on appeal, the Company may be obligated to compensate ZTE for any damages allegedly suffered as a result of the enforcement of the injunction, which would be ascertained through separate damages proceedings. Should the judgment which granted the injunction be affirmed on appeal, however, the amount paid as security would be returnable to the Company in full. The Company has assessed the likelihood of the injunction being successfully overturned on appeal as remote.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In Brazil, as a condition of the relief requested, the Company deposited R$2,020 on April 17, 2014 (approximately $640 as of June 30, 2015), as a surety against the truth of allegations contained in the complaint. This deposit is returnable at the end of the litigation unless ZTE is the prevailing party and proves that actual material damages were suffered while the requested relief was in place. The Company has assessed the likelihood of ZTE doing so as remote.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Romania, Vringo Infrastructure filed a patent infringement lawsuit against ZTE in the Bucharest Tribunal Civil Section on June 23, 2014 and the Court granted an ex-parte preliminary injunction, ordering ZTE to cease any importation, exportation, introduction on the market, offer for sale, storage, sale, trade, distribution, promotion, or any other business activity regarding the infringing product. The Company deposited a bond of €243 on February 11, 2015 (approximately $270 as of June 30, 2015) with the Court in order to continue to enforce the injunction.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bond deposits in Germany and Romania and the surety deposit in Brazil are included in Deposits with courts in the consolidated balance sheets as of June 30, 2015 and December 31, 2014.</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People’s Republic of China, ZTE has filed 33 reexamination requests of Vringo’s Chinese patents with the Patent Re-Examination Board (“PRB”) of the State Intellectual Property Office of the People’s Republic of China. To date, the PRB has upheld the validity of 17 of the Company’s patents, partially upheld the validity of two of the Company’s patents, and has held that 12 of the Company’s patents are invalid. The Company has filed appeals on the PRB’s decision on the patents that have been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81818"/>
        </w:rPr>
        <w:t>On February 21, 2014, ZTE filed a civil complaint against the Company and certain of its subsidiaries in the Shenzhen Intermediate Court alleging that the Company violated China’s antimonopoly laws. The Company received notice of the action on June 26, 2014. The Company intends to vigorously contest all aspects of this action in the appropriate manner. On July 28, 2014, the Company filed a motion to have this complaint dismissed due to lack of jurisdiction. On August 6, 2014, the Court dismissed this motion. The Company filed an appeal of the dismissal, which was denied by the Court. The Court conducted a hearing on May 29, 2015 for the parties to submit any evidence on which they intended to rely. During this hearing, ZTE amended its complaint to increase its damages demand. As a result, the Company filed a motion contesting the jurisdiction of the Court, which was denied. The Company’s appeal of the jurisdictional question is pending. Trial on the merits, which had been scheduled to begin on June 9, 2015 has been postponed pending Vringo’s appeal. The appellate process is expected to take several months. The Company has not made a determination of what the potential liability may be should it lose the case in China.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2012, the Company signed a rental agreement for its corporate executive office in New York for an annual rental fee of approximately $137 (subject to certain adjustments) which was to expire in September 2015. In January 2014, the Company entered into an amended lease agreement with the landlord for a different office space within the same building. The initial annual rental fee for this new office is approximately $403 (subject to certain future escalations and adjustments) beginning on August 1, 2014, which was the date when the new office space was available. This lease will expire in October 2019. Rent expense for operating leases for the three and six month periods ended June 30, 2015 were $91 and $183, respectively. Rent expense for operating leases for the three and six month periods ended June 30, 2014 were $70 and $182,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Risks and Uncertainties</w:t>
      </w:r>
    </w:p>
    <w:p>
      <w:pPr>
        <w:spacing w:after="0" w:line="229" w:lineRule="exact"/>
        <w:rPr>
          <w:sz w:val="20"/>
          <w:szCs w:val="20"/>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patents owned by the Company are presumed to be valid and enforceable. As part of the Company’s ongoing legal proceedings, the validity and/or enforceability of its patents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Additionally, during the second half of 2014, the Patent Re-Examination Board of the State Intellectual Property Office of the People’s Republic of China held that twelve of the Company's Chinese patents, and partial claims on two of the Company’s other Chinese patents, are invalid. The Company is appealing these decisions. The Company’s other patents have not been declared to be invalid or unenforceable to date.</w:t>
      </w:r>
    </w:p>
    <w:p>
      <w:pPr>
        <w:spacing w:after="0" w:line="18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the Company’s policy is designed to limit exposure to any one institution.</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foreign currencies.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8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are repaid on a monthly basis in cash or shares at the Company’s election. If the Company is unable to satisfy certain equity conditions, it will be required to pay all amounts due on any installment date in cash. The Company’s ability to timely repay the Notes, to redeem the Notes, and to fund working capital needs and planned capital expenditures depends on its ability to generate cash flow in the future. If the Company is unable to generate sufficient cash flow or otherwise obtain funds necessary to make required payments, or if the Company fails to comply with the various requirements of the Notes, the Company would be in default, which would permit the holders of the Notes to accelerate the maturity of the Notes and cause a default under the Notes. Any default under the Notes could have a material adverse effect on the Company’s business, results of operations and financial condition.</w:t>
      </w:r>
    </w:p>
    <w:p>
      <w:pPr>
        <w:spacing w:after="0" w:line="189"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choose to raise additional funds in connection with any potential acquisition of patent portfolios or other intellectual property assets or operating businesses. In addition, the Company may also need additional funds to respond to business opportunities and challenges, including its ongoing operating expenses, protection of its assets, development of new lines of business and enhancement of its operating infrastructure. While the Company may need to seek additional funding, it may not be able to obtain financing on acceptable terms, or at all. If the Company is unable to obtain additional funding on a timely basis, it may be required to curtail or terminate some of its business plans.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16, 2015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18, 2014, we closed a transaction with InfoMedia Services Limited (“InfoMedia”) for the sale of certain assets and the assignment of certain agreements related to our mobile social application business. As consideration, we received 18 Class B shares of InfoMedia, which represent an 8.25% ownership interest in InfoMedia. InfoMedia is a privately owned, United Kingdom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interim consolidated financial statements are presented in accordance with generally accepted accounting principles in the United States of America (“U.S. GAAP”).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81818"/>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Notes Financing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181818"/>
        </w:rPr>
        <w:t>On May 4, 2015 (the “Closing Date”) we entered into a securities purchase agreement with certain institutional investors in a registered direct offering of $12,500,000 of Senior Secured Convertible Notes (the “Notes”) and warrants to purchase up to 5,375,000 shares of our common stock. On the Closing Date, we issued the Notes, which are convertible into shares of our common stock at $1.00 per share, bear 8% interest and mature in 21 months from the date of issuance, unless earlier converted. In addition, we issued 5,375,000 warrants to purchase shares of our common stock, which are exercisable at $1.00 per share and are exercisable for a period of five years beginning on the six month and one day anniversary of their date of issuance.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our common stock, the shares will be issued at a 15% discount, based on the then-current market price data of our common stock. We may also repay the Notes in advance of the maturity schedule subject to early repayment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NASDAQ</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81818"/>
        </w:rPr>
        <w:t>On December 18, 2014, we received a notification letter from NASDAQ informing us that for the last 30 consecutive business days, the bid price of our securities had closed below $1.00 per share. This notice has no immediate effect on our NASDAQ listing and we had 180 calendar days, or until June 16, 2015, to regain compliance. We did not regain compliance during such period since the closing bid price of our securities was not at least $1.00 per share for a minimum of ten consecutive business days.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We intend to cure the deficiency during this extended period by implementing a reverse stock split of our common stock. If we are unable to implement a reverse stock split and regain compliance with the minimum bid price requirement, we could be delisted.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p>
    <w:p>
      <w:pPr>
        <w:sectPr>
          <w:pgSz w:w="11900" w:h="16838" w:orient="portrait"/>
          <w:cols w:equalWidth="0" w:num="1">
            <w:col w:w="11420"/>
          </w:cols>
          <w:pgMar w:left="240" w:top="877" w:right="239" w:bottom="63"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Vringo, Inc. and our wholly-owned subsidiaries, Vringo Infrastructure, Inc. (“Vringo Infrastructure”) and Vringo Germany GmbH (“Vringo Germany”) have filed a number of suits against ZTE Corporation (“ZTE”), and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European patents. Subsequently, ZTE responded to the complaint with a counterclaim for invalidity of the patents-in-suit. Vringo Infrastructure filed a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UK suit on December 3, 2012, alleging infringement of three additional European patents.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181818"/>
        </w:rPr>
        <w:t>The remedy for ZTE’s infringement of the patent, which was adjudged valid and infringed by the Court on November 28, 2014, will be decided in a hearing during the first quarter of 2016. The remaining legal fees in the litigation between the parties in the UK will be decided by the Court after that hearing.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$1,109,000 as of June 30, 2015) to the Court in order to enforce the injunction against ZTE and on May 20, 2015, we paid an additional bond of €50,000 (approximately $57,000 as of June 30, 2015) to enforce review of accounting records.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On July 3, 2015, the Court decided that certain claims that read on handover between radio network controllers, a key part of 3G infrastructure technology of the first European patent are valid as amended. Trial in the nullity suit with respect to the second European patent has been scheduled for the fourth quarter of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In addition, ZTE filed a nullity suit with respect to the fourth European patent in the Federal Patents Court in Munich, Germany, in the second quarter of 2014. Trials in the nullity suits are expected to occur in the first half of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2015, ZTE filed nullity suits in the Federal Patents Court in Munich, Germany, with respect to three European patents not currently being asserted against ZTE.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patents that have been held invalid. The appeal process is expected to take at least one year. The remaining reexamination requests remain pending, with decisions expected to be rendered on a rolling basis.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a hearing on May 29, 2015 for the parties to submit any evidence on which they intended to rely. During this hearing, ZTE amended its complaint to increase its damages demand. As a result, Vringo filed a motion contesting the jurisdiction of the Court, which was denied. Vringo’s appeal of the jurisdictional question is pending. Trial on the merits, which had been scheduled to begin on June 9, 2015 has been postponed pending Vringo’s appeal. The appellate process is expected to take several months. We have not made a determination of what the potential liability may be should we lose the case in China.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liability and injunctive</w:t>
      </w:r>
    </w:p>
    <w:p>
      <w:pPr>
        <w:jc w:val="both"/>
        <w:spacing w:after="0" w:line="205" w:lineRule="auto"/>
        <w:rPr>
          <w:sz w:val="20"/>
          <w:szCs w:val="20"/>
          <w:color w:val="auto"/>
        </w:rPr>
      </w:pPr>
      <w:r>
        <w:rPr>
          <w:rFonts w:ascii="Arial" w:cs="Arial" w:eastAsia="Arial" w:hAnsi="Arial"/>
          <w:sz w:val="18"/>
          <w:szCs w:val="18"/>
          <w:color w:val="auto"/>
        </w:rPr>
        <w:t>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Corporation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R$2,020,000 (approximately $640,000 as of June 30,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$270,000 as of June 30, 2015). ZTE has filed numerous appeals against the injunction since, all of which have been rejected.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is expected to take place in the third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7"/>
          <w:szCs w:val="17"/>
          <w:color w:val="181818"/>
        </w:rPr>
        <w:t>On February 10, 2015, the Court dissolved the temporary restraining order and preliminary injunction and</w:t>
      </w:r>
      <w:r>
        <w:rPr>
          <w:rFonts w:ascii="Arial" w:cs="Arial" w:eastAsia="Arial" w:hAnsi="Arial"/>
          <w:sz w:val="17"/>
          <w:szCs w:val="17"/>
          <w:color w:val="auto"/>
        </w:rPr>
        <w:t xml:space="preserve"> </w:t>
      </w:r>
      <w:r>
        <w:rPr>
          <w:rFonts w:ascii="Arial" w:cs="Arial" w:eastAsia="Arial" w:hAnsi="Arial"/>
          <w:sz w:val="17"/>
          <w:szCs w:val="17"/>
          <w:color w:val="181818"/>
        </w:rPr>
        <w:t>granted Vringo’s request to transfer the case to the United States District Court for the Southern District of New York.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181818"/>
        </w:rPr>
        <w:t xml:space="preserve">On February 5, 2015, ZTE filed </w:t>
      </w:r>
      <w:r>
        <w:rPr>
          <w:rFonts w:ascii="Arial" w:cs="Arial" w:eastAsia="Arial" w:hAnsi="Arial"/>
          <w:sz w:val="17"/>
          <w:szCs w:val="17"/>
          <w:i w:val="1"/>
          <w:iCs w:val="1"/>
          <w:color w:val="181818"/>
        </w:rPr>
        <w:t>inter partes</w:t>
      </w:r>
      <w:r>
        <w:rPr>
          <w:rFonts w:ascii="Arial" w:cs="Arial" w:eastAsia="Arial" w:hAnsi="Arial"/>
          <w:sz w:val="17"/>
          <w:szCs w:val="17"/>
          <w:color w:val="181818"/>
        </w:rPr>
        <w:t xml:space="preserve"> review (“IPR”) requests for five of Vringo’s United States Patents. The requests, filed with the Patent Trial and Appeal Board (“PTAB”) of the United States Patent and Trademark Office (“USPTO”)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Office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Vringo is actively responding to the NDRC’s concerns and working to convince NDRC that ZTE’s claims have no merit. Vringo is additionally working to ensure that the NDRC respects the various relevant treaties to which the United States and China are signatories.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are expected to occur in the first half of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$30,500,000. On November 20, 2012, the clerk entered the District Court's final judgment.</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 2014, the District Court ordered that I/P Engine recover an additional sum of $17,320,000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argues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Engine filed a petition for a writ of certiorari with the Supreme Court.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 Subsequent to the filing of I/P Engine’s petition, Google requested and was granted two extensions to the deadline for filing a response. Google filed their response on July 29, 2015.</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court dockets for the foregoing cases are publicly available on the Public Access to Court Electronic Records website, www.pacer.gov, which is operated by the Administrative Office of the U.S. Courts and the website for the Supreme Court, www.supremecourt.gov.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January 2012, we have raised approximately $123,355,000, including the May 2015 financing transaction discussed above, which has been used to finance our operations. As of now, we have not yet generated any significant revenues. As of June 30, 2015, we had a cash balance of $20,227,000. Our average monthly cash spent in operations for the six month period ended June 30, 2015 was approximately $1,285,000. This is not necessarily indicative of the future use of our working capital. In addition, we paid approximately $2,691,000 in deposits with courts beginning in the second quarter of 2014 to date, related to proceedings in Germany, Brazil, Romania, and Malaysia, which are included in Deposits with courts in the consolidated balance sheets as of June 30, 2015 and December 31, 2014. Deposits with courts paid in local currency are remeasured on the balance sheet date based on the related foreign exchange rate on that date. As of June 30, 2015, deposits with courts totaled $2,117,000.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As of June 30, 2015 and December 31, 2014, our total stockholders' equity was $20,396,000 and $31,180,000, respectively. The decrease in stockholders’ equity since December 31, 2014 is mainly due to the operating loss during the six month period ended June 30, 2015.</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litigation campaigns. In our cases against ZTE and ASUS, we incurred costs during the first half of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With respect to our litigation in these countries, the respective campaigns are currently in the later stages and therefore we have already incurred the large majority of the related anticipated costs. As such, based on our plans, costs in these jurisdictions are projected to be lower in the remainder of 2015 and other future periods.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future ability to raise capital, if necessary,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until we generate sufficient revenue, we may need to raise additional funds, which may be achieved through the issuance of additional equity or debt, or through loans from financial institutions. There can be no assurance, however, that any such opportunities will materialize. We may also be able to raise additional funds through the exercise of our outstanding warrants and options, however, substantially all of such outstanding equity instruments are currently “out of the money” due to the decline in our common stock price which began in the third quarter of 2014.</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our operating plans, which include paying the principal and interest related to the Notes in shares of our common stock, we believe that we currently have sufficient cash to continue our current operations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our revenue arrangements provide for the payment of contractually determined fees in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may be perpetual in nature, extending until the expiration of the related patents, or can be granted for a defined, relatively short period of time, with the licensee possessing the right to renew the agreement at the end of each contractual term for an additional minimum upfront payment.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minimum upfront payment for term agreement renewals. As such, the earnings process is complete and revenue is recognized upon the execution of the agreement, upon receipt of the minimum upfront fee for term agreement renewals, and when all other revenue recognition criteria have been met.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Operating legal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related internal payroll expenses and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represents the amortization expense of our acquired patents which is recognized on a straight-line basis over the remaining legal life of the patents.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include costs related to management and administrative personnel, development personnel, public and investor relations, overhead/office costs and various professional fees, as well as insurance, non-operational depreciation and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the Notes, deposits, bank charges, as well as fair value adjustments related to our derivative warrant liabilities and Conversion feature. The value of such derivative liabilities is highly influenced by assumptions used in its valuation, as well as by our stock price at the period end (revaluation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2015, deferred tax assets generated from activities were offset by a valuation allowance because realization depends on generating future taxable income, which, in our estimation, is not more likely than not to be generated before such net operating loss carryforwards expire.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 ended June 30, 2015 compared to the three month period ended June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Three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 period ended June 30, 2014, we recorded total revenue of $800,000, which was due to a one-time payment in connection with a licensing agreement for certain of our owned intellectual property. We did not record revenue for the three month period ended June 30, 2015.</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worldwide through acquisitions and monetization of additional patents, other intellectual property or operating businesses.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Acquisitions of patents or other intellectual property assets are often time consuming, complex and costly to consummate. We may utilize many different transaction structures in our acquisitions and the terms of such acquisition agreements tend to be heavily negotiated. Our ability to raise capital may be limited. Even if we are able to acquire particular patents or other intellectual property assets, there is no guarantee that we will generate sufficient revenue related to those assets to offset the acquisition costs. 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5,982,000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 period ended June 30, 2015, our operating legal costs were $5,464,000, which represents a decrease of $518,000 (or 8.7%) from operating legal costs recorded for the three months ended June 30, 2014. This decrease was partially due to the timing and nature of consulting and patent litigation costs related to legal proceedings against ZTE and Google. With respect to our legal proceedings against ZTE, costs during the three month period ended June 30, 2015 were associated with our continued worldwide litigation efforts in the UK, U.S., and other countries. We did not incur significant expenses in connection with our legal proceedings against Google during the three month period ended June 30, 2015.</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operating legal costs to decrease during the remainder of 2015 as compared to 2014 since most of our litigation campaigns are in the later stages of development. Our goal is to decrease our overall operating legal expenses by performing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Amortization of intangibles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intangible assets consist of our patent portfolios, which are amortized over their remaining useful lives (i.e., through the expiration date of the patent). During the three month period ended June 30, 2015, amortization expense related to our intangible assets totaled $813,000, which represents a decrease of $155,000 (or 16.0%) from amortization of intangibles recorded for the three month period ended June 30, 2014. This decrease is attributable to the fact that the patents-in-suit in I/P Engine's litigation against AOL Inc., Google Inc. et al were fully impaired during the third quarter of 2014. As such, there was less amortization expense during the three months ended June 30, 2015 as compared to the three months ended June 30,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4,203,000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(1,905,000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 month period ended June 30, 2015, general and administrative expenses decreased by $1,905,000 (or 45.3%), to $2,298,000, compared to $4,203,000 that was recorded during the three month period ended June 30, 2014. The overall decrease was primarily due to a decrease in stock-based compensation expense of approximately $1,563,000, as certain awards granted in July 2012 fully vested during 2015. In addition, there were also forfeitures of certain equity awards held by our former Chief Operating Officer and certain employees during the fourth quarter of 2014 and the first half of 2015. There were no equity award grants during the three month period ended June 30, 2015. Also, the awards associated with the current period expense were valued lower than the awards associated with the prior period expense, mostly due to the decrease in our stock price, which also contributed to the decrease in stock-based compensation expense. In addition, there was a decrease in payroll expense and office administration costs as compared to the prior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Change</w:t>
            </w:r>
          </w:p>
        </w:tc>
        <w:tc>
          <w:tcPr>
            <w:tcW w:w="10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20" w:type="dxa"/>
            <w:vAlign w:val="bottom"/>
            <w:vMerge w:val="restart"/>
          </w:tcPr>
          <w:p>
            <w:pPr>
              <w:jc w:val="right"/>
              <w:ind w:right="49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During the three month period ended June 30, 2015, we recorded non-operating income, net, of $66,000 compared to non-operating income, net, of $304,000 during the three month period ended June 30, 2014. The non-operating income recognized in the three month period ended June 30, 2015 was mainly driven by a gain on the revaluation of derivative liability warrants and the conversion feature related to the securities purchase agreement that we entered into on May 4, 2015 (the “Closing Date”). On the Closing Date, the net proceeds received were allocated amongst the Senior Secured Convertible Note (the “Note”), its conversion feature, and the warrants issued to the holders of the Note. The warrants and Conversion feature were then revalued and marked to market as of the balance sheet date, which resulted in a gain of $695,000. An additional gain was also recorded for the quarter and was attributed to foreign exchange gains in connection with our deposits with courts.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gains reported during the three month period ended June 30, 2015 were offset by the interest expense of $465,000, which is calculated using the effective interest rate method. In addition, for the quarter, we elected to repay the installments in registered shares, which are issued at a discount of 15% to market prices. This resulted in $210,000 recorded as a loss on the extinguishment of debt.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 period ended June 30, 2014, we recorded approximately $348,000 of income related to a decrease in the fair value of our derivative warrant liabilities. This income was partially offset by $65,000 of expense recorded in connection with the issuance of warrants in June 2014. On January 1, 2015, the down-round protection clauses associated with our remaining outstanding derivative warrants expired and, as a result, these warrants no longer meet the criteria for liability classification. As such, the related liabilities were revalued as of January 1, 2015 and the balance was reclassified to equity. There was no change in value of the derivative warrant liabilities between December 31, 2014 and January 1, 2015, and therefore no gain or loss was recorded during the three month period ended June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period ended June 30, 2015 compared to the six month period ended June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Six months ended 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1,050,000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 period ended June 30, 2015, we recorded total revenue of $150,000, which represents a decrease of $900,000 (or 85.7%) as compared to the six month period ended June 30, 2014. The current period revenue was due to a one-time payment in connection with a license and settlement agreement for certain of our owned intellectual property. Revenue during the six month period ended June 30, 2014 of $1,050,000 was due to certain one-time payments in connection with license and settlement agreements for certain of our owned intellectual property.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continue to expand our intellectual property monetization efforts worldwide.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Six months ended 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8,565,000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10,857,000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(2,292,000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 period ended June 30, 2015, our operating legal costs were $8,565,000, which represents a decrease of $2,292,000 (or 21.1%) from operating legal costs recorded for the six months ended June 30, 2014. This decrease was primarily due to the timing and nature of consulting and patent litigation costs related to legal proceedings against Google and ZTE. During the six month period ended June 30, 2014, there were costs associated with the oral argument heard in the appeals court in May 2014 in connection with our legal proceedings against Google. With respect to our legal proceedings against ZTE, costs during the six month period ended June 30, 2014 were associated with our continued worldwide litigation efforts including commencement of legal actions in Brazil, Malaysia, Spain, Netherlands, and other countries.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right="20"/>
        <w:spacing w:after="0" w:line="264" w:lineRule="auto"/>
        <w:rPr>
          <w:sz w:val="20"/>
          <w:szCs w:val="20"/>
          <w:color w:val="auto"/>
        </w:rPr>
      </w:pPr>
      <w:r>
        <w:rPr>
          <w:rFonts w:ascii="Arial" w:cs="Arial" w:eastAsia="Arial" w:hAnsi="Arial"/>
          <w:sz w:val="18"/>
          <w:szCs w:val="18"/>
          <w:color w:val="auto"/>
        </w:rPr>
        <w:t>With respect to our legal proceedings against ZTE, costs during the six month period ended June 30, 2015 were associated with our continued worldwide litigation efforts in the UK, U.S., and other countries. We did not incur significant expenses in connection with our legal proceedings against Google during the three month period ended June 30, 2015.</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uncertain whether our operating legal costs will increase over time. Though we aim to diversify our portfolio of products and increase our intellectual property monetization efforts, we have also increased the size of our in-house legal department staff as mentioned above. The goal is to decrease our overall legal expenses by bringing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Amortization of intangibles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Six months ended 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1,925,000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intangible assets consist of our patent portfolios, which are amortized over their remaining useful lives (i.e., through the expiration date of the patent). During the six month period ended June 30, 2015, amortization expense related to our intangible assets totaled $1,617,000, which represents a decrease of $308,000 (or 16.0%) from amortization of intangibles recorded for the six month period ended June 30, 2014. This decrease is attributable to the fact that the patents-in-suit in I/P Engine's litigation against AOL Inc., Google Inc. et al were fully impaired during the third quarter of 2014. As such, there was less amortization expense during the six months ended June 30, 2015 as compared to the three months ended June 30,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Six months ended 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8,446,000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(3,150,000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six month period ended June 30, 2015, general and administrative expenses decreased by $3,150,000 (or 37.3%), to $5,296,000, compared to $8,446,000 that was recorded during the six month period ended June 30, 2014. The overall decrease in general and administrative expenses was primarily due to a decrease in the stock-based compensation expense for the first six months of 2015 as compared to the same period during 2014. The reason for the decrease was attributable to several factors. Stock-based compensation awards granted during July 2012 fully vested in 2015. There were forfeitures of certain equity awards held by our former Chief Operating Officer and certain employees during the fourth quarter of 2014 and the first quarter of 2015. Also, the awards associated with the current period expense were valued lower than the awards associated with the prior period expense, mostly due to the decrease in our stock price, which also contributed to the decrease in stock-based compensation expense.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Lastly, the company completed consolidation of corporate functions in New York in 2014 and implemented cost savings strategies in 2015 that resulted in a decrease in payroll expense and office administration costs as compared to the prior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Six months ended 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six month period ended June 30, 2015, we recorded non-operating expense, net, in the amount of $157,000 compared to non-operating expense, net, in the amount of $771,000 recorded during the six month period ended June 30, 2014. The non-operating expense recognized in the six month period ended June 30, 2015 was driven by various factors. Installment payments made to holders of the Senior Secured Convertible Note (the “Note”) from the securities purchase agreement that we entered into on May 4, 2015 (the “Closing Date”) resulted in an increase in interest expense of $465,000 for the six month period ended June 30, 2015. The interest expense is calculated using the effective interest method. In addition, we elected to repay the installments in registered shares, which are issued at a discount of 15% to market prices. This resulted in $210,000 recorded as a loss on the extinguishment of debt.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current period expense also relates to foreign exchanges losses in connection with our deposits with courts.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expenses reported during the six month period ended June 30, 2015 were offset by a gain on the revaluation of derivative liability warrants and the conversion feature related to the securities purchase agreement. On the Closing Date, the net proceeds received were allocated amongst the Note, its Conversion feature, and the warrants issued to the holders of the Note. The warrants and Conversion feature were then revalued and marked to market as of the balance sheet date, which resulted in a gain of $695,000.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 period ended June 30, 2014, we recorded approximately $728,000 of expense related to an increase in the fair value of our derivative warrant liabilities and $65,000 of expense recorded in connection with the issuance of warrants in June 2014.</w:t>
      </w:r>
    </w:p>
    <w:p>
      <w:pPr>
        <w:spacing w:after="0" w:line="17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Loss from discontinued mobile social application operations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3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89"/>
              </w:rPr>
              <w:t>Six months ended 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(266,000)</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266,000</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income (expense)</w:t>
            </w: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8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shd w:val="clear" w:color="auto" w:fill="CCEEFF"/>
          </w:tcPr>
          <w:p>
            <w:pPr>
              <w:spacing w:after="0"/>
              <w:rPr>
                <w:sz w:val="18"/>
                <w:szCs w:val="18"/>
                <w:color w:val="auto"/>
              </w:rPr>
            </w:pPr>
          </w:p>
        </w:tc>
      </w:tr>
      <w:tr>
        <w:trPr>
          <w:trHeight w:val="21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executed the sale of our mobile social application business to InfoMedia, receiving eighteen (18) Class B shares of InfoMedia as consideration, which represent an 8.25% ownership interest in InfoMedia. Additionally, our Chief Executive Officer was appointed as a full voting member on InfoMedia’s board of directors and we received a number of customary protective rights. The InfoMedia Class B shares are accounted for as a cost-method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 period ended June 30, 2015, there were no results from discontinued operations since all related activities ceased when the sale was executed.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2015, we had a cash balance of $20,227,000. This represents an increase of $4,204,000 from our cash balance on December 31, 2014, which is mainly due to the net cash that was raised as part of the securities purchase agreement we entered into on May 4, 2015, offset by net cash used in operations of approximately $7,713,000 during the six-month period ended June 30, 2015. Our average monthly cash spent in operations for the six month periods ended June 30, 2015 and 2014 was approximately $1,285,000 and $2,159,000, respectively. The majority of these expenditures during the six months ended June 30, 2015 consisted of costs related to our litigation campaigns. In our cases against ZTE and ASUS, we incurred costs during the first two quarters of 2015 related to the preparation and filing of briefs and other court documents, as well as case preparation and management. A large percentage of these costs were incurred in the UK and the U.S. In civil law jurisdictions, such as Germany, France, Spain, and others, the majority of costs are incurred in the early stages of litigation and we anticipate that the costs in these jurisdictions will be lower in future periods. In addition, we paid approximately $2,691,000 in deposits with courts beginning in the second quarter of 2014 to date, related to our proceedings in Germany, Brazil, Romania and Malaysia. Deposits with courts paid in local currency are re-measured on the balance sheet date based on the related foreign exchange rate on that date. As of June 30, 2015, deposits with courts totaled $2,117,000.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7"/>
          <w:szCs w:val="17"/>
          <w:color w:val="auto"/>
        </w:rPr>
        <w:t>On May 4, 2015, we entered into a securities purchase agreement with certain institutional investors in a registered direct offering of $12,500,000 of Notes and certain warrants to purchase shares of our common stock. On the Closing Date, we issued the Notes, which are convertible into shares of our common stock at $1.00 per share, bear 8% interest and mature in 21 months from the date of issuance, unless earlier converted. In addition, we issued approximately 5,375,000 warrants to purchase shares of our common stock, which are exercisable at $1.00 per share and are exercisable for a period of five years beginning on the six month and one day anniversary of their date of issuance.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our common stock, the shares will be issued at a 15% discount, based on the then-current market price data of our common stock. We may also repay the Notes in advance of the maturity schedule subject to early repayment penalties.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plans include increasing revenue through the licensing of our intellectual property, strategic partnerships, and litigation, when required, which may be resolved through a settlement or collection. Disputes regarding the assertion of patents and other intellectual property rights are highly complex and technical. The majority of our expenditures consist of costs related to our four litigation campaigns. A large percentage of these costs were incurred in the UK, Australia, Germany, Brazil, the Netherlands, and France. In civil law jurisdictions, such as Germany, France, Spain, and others, the majority of costs are incurred in the early stages of litigation. With respect to our litigation in such countries, the respective litigation campaigns are currently in the later stages and therefore we have already incurred the large majority of the related anticipated costs. As such, based on our plans, costs in these jurisdictions are projected to be lower in remainder of 2015 and other future periods.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plans, our legal proceedings may continue for several years and may require significant expenditures for legal fees and other expenses. 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plans to continue to expand our planned operations through acquisitions and monetization of additional patents, other intellectual property or operating businesses may be time consuming, complex and costly to consummate. We may utilize many different transaction structures in our acquisitions and the terms of such acquisition agreements tend to be heavily negotiated. Our future ability to raise capital, if necessary, may be limited. Even if we are able to acquire particular patents or other intellectual property assets, there is no guarantee that we will generate sufficient revenue related to those assets to offset the acquisition costs. Therefore, no assurance can be given at this time as to whether we will be able to achieve our objectives or whether we will have the sources of liquidity for follow through with our operating plans.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we will continue to seek additional sources of liquidity, when needed, until we generate positive cash flows to support our operations. We cannot give any assurance that the necessary capital will be raised or that, if funds are raised, it will be on favorable terms. If we are unable to obtain additional funding on a timely basis, we may be required to curtail or terminate some of our business plans. Any future sales of securities to finance our operations may require stockholder approval and will dilute existing stockholders' ownership. We cannot guarantee when or if we will ever generate positive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events and circumstances described above, including the cash proceeds received in connection with the May 2015 financing transaction and our operating plans, which include paying the principal and interest related to the Notes in shares of our common stock, we believe that we currently have sufficient cash to continue our current operations for at least the next twelve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Six months ended June 30,</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5"/>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(7,713,000)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5,242,000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(287,000)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(2,449,000)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2,162,000</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12,207,000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13,452,000</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(1,245,000)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 period ended June 30, 2015, net cash used in operating activities totaled $7,713,000 compared to net cash used in operating activities of $12,955,000 during the six month period ended June 30, 2014. The decrease of $5,242,000 was mainly due to the timing and nature of litigation costs described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revenues. There is no guarantee that we will generate sufficient revenue to offset future operating expenses and our ability to raise additional capital may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 period ended June 30, 2015, net cash used in investing activities totaled $287,000, which mainly represents the deposit we made to a Romanian court to enforce an injunction against ZTE in Romania and the deposit we made in Germany to enforce review of accounting records. Net cash used in investing activities during the six month period ended June 30, 2014 is mostly comprised of the $2,304,000 deposited with courts that is described above. There was also an increase in fixed asset purchases during the six month period ended June 30, 2014.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six month period ended June 30, 2015, we received net proceeds of $12,425,000 from a securities purchase in a registered direct offering of $12,500,000 of Notes and warrants to purchase up to 5,375,000 shares of our common stock. This amount was offset by the amount of debt issuance costs that were paid in relation to the agreement. During the six month period ended June 30, 2014, cash provided by financing activities totaled $13,452,000, which relates to funds that we received from the exercises of warrants and stock options in the total amount of $11,292,000 and $2,160,000,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this portion of our issued and outstanding warrants were “in the money,” it could be used as a source of additional funding if the warrant holders choose to exercise.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also choose to raise additional funds in connection with any acquisitions of patent portfolios or other intellectual property assets that we may pursue. There can be no assurance, however, that any such opportunity will materialize. Moreover, any such financing would likely be dilutive to our current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October 2012 through the filing date of this Quarterly Report on Form 10-Q, our subsidiaries filed patent infringement lawsuits against the subsidiaries of ZTE Corporation in the UK, France, Germany, Australia, India, Brazil, Malaysia, Romania, and the Netherlands. Should we be deemed the losing party in any of its applications to the court in the UK, we may be held responsible for a portion of the defendant’s legal fees for the relevant application or for the litigation. Pursuant to negotiation with ZTE’s UK subsidiary, as part of standard legal procedures in the UK, we placed two written commitments to ensure the payment of a potential liability by Vringo Infrastructure resulting for the two cases filed in the fourth quarter of 2012 and second quarter of 2013, which the defendants estimated to be approximately $2,900,000 each. With respect to these written commitments, we believe that Vringo’s commitments will be shortly discharged since all claims in the UK cases, other than the remedies for the patent found infringed and valid as amended, have been dismissed. As such, any remaining costs where Vringo was not the “commercial victor” as defined under UK procedural law can be assessed. We believe that the amounts of the written commitments well exceed any costs, to the extent that they are assessed, and anticipate that such costs will not exceed the amount of the estimated liability recorded in our consolidated balance sheet as of June 30, 2015.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in Europe, Brazil, India and Australia. It should be noted, however, that if we were successful on any court applications or the entirety of any litigation, ZTE Corporation would be responsible for a substantial portion of our legal fees.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40" w:type="dxa"/>
            <w:vAlign w:val="bottom"/>
            <w:gridSpan w:val="7"/>
          </w:tcPr>
          <w:p>
            <w:pPr>
              <w:spacing w:after="0"/>
              <w:rPr>
                <w:sz w:val="20"/>
                <w:szCs w:val="20"/>
                <w:color w:val="auto"/>
              </w:rPr>
            </w:pPr>
            <w:r>
              <w:rPr>
                <w:rFonts w:ascii="Arial" w:cs="Arial" w:eastAsia="Arial" w:hAnsi="Arial"/>
                <w:sz w:val="18"/>
                <w:szCs w:val="18"/>
                <w:color w:val="auto"/>
                <w:w w:val="98"/>
              </w:rPr>
              <w:t>The following table summarizes our future contractual obligations beginning on July 1, 2015: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8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ind w:left="18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3"/>
          </w:tcPr>
          <w:p>
            <w:pPr>
              <w:ind w:left="18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8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1-3 Years</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3-5 Years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r>
      <w:tr>
        <w:trPr>
          <w:trHeight w:val="210"/>
        </w:trPr>
        <w:tc>
          <w:tcPr>
            <w:tcW w:w="88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$ 1,774,000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$ 1,774,000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403,000</w:t>
            </w:r>
          </w:p>
        </w:tc>
        <w:tc>
          <w:tcPr>
            <w:tcW w:w="3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816,000</w:t>
            </w:r>
          </w:p>
        </w:tc>
        <w:tc>
          <w:tcPr>
            <w:tcW w:w="3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555,000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2012, we signed a rental agreement for our corporate executive office in New York for an annual rental fee of approximately $137,000 (subject to certain adjustments) which was to expire in September 2015. However, in January 2014, we entered into an amended lease agreement with the landlord for a different office space within the same building. The initial annual rental fee for this new office is approximately $403,000 (subject to certain future escalations and adjustments) beginning on August 1, 2014, which was the date when the new office space was available. This lease will expire in October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audited consolidated financial statements included in our Annual Report on Form 10-K filed with the SEC on March 16, 2015,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maintain our cash and cash equivalents with various major financial institutions. These major financial institutions are located in the United States and our policy is designed to limit exposure to any one institution.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primary objective of our investment activities is to preserve principal while concurrently maximizing the income we receive from our investments without significantly increasing risk. To minimize risks in the future, we intend to maintain our portfolio of cash equivalents and short-term investments in securities such as commercial paper and money market funds. As of June 30, 2015 and December 31, 2014, our cash was mostly held in money market funds in the amounts of $8,090,000 and $13,085,000, respectively. In general, money market funds are not subject to market risk because the interest paid on such funds fluctuates with the prevailing interest rate. Accordingly, a 100 basis point increase in interest rates or a 10% decline in the value of the United States equity markets would not be expected to have a material impact on the value of such money market funds.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expenses are denominated in foreign currencies. If the value of the U.S. dollar weakens against the value of these currencies, there will be a negative impact on our operating costs. In addition, we are subject to the risk of exchange rate fluctuations to the extent we hold monetary assets and liabilities in these currencies.</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June 30, 2015,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Vringo, Inc. and our wholly-owned subsidiaries, Vringo Infrastructure, Inc. (“Vringo Infrastructure”) and Vringo Germany GmbH (“Vringo Germany”) have filed a number of suits against ZTE Corporation (“ZTE”), and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October 5, 2012, Vringo Infrastructure filed a suit in the UK High Court of Justice, Chancery Division, Patents Court, alleging infringement of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European patents. Subsequently, ZTE responded to the complaint with a counterclaim for invalidity of the patents-in-suit. Vringo Infrastructure filed a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UK suit on December 3, 2012, alleging infringement of three additional European patents.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181818"/>
        </w:rPr>
        <w:t>The remedy for ZTE’s infringement of the patent, which was adjudged valid and infringed by the Court on November 28, 2014, will be decided in a hearing during the first quarter of 2016. The remaining legal fees in the litigation between the parties in the UK will be decided by the Court during after that hearing.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$1,109,000 as of June 30, 2015) to the Court in order to enforce the injunction against ZTE, and on May 20, 2015, we paid an additional bond of €50,000 (approximately $57,000 as of June 30, 2015) to enforce review of accounting records.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On July 3, 2015, the Court decided that certain claims that read on handover between radio network controllers, a key part of 3G infrastructure technology of the first European patent are valid as amended. Trial in the nullity suit with respect to the second European patent has been scheduled for the fourth quarter of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In addition, ZTE filed a nullity suit with respect to the fourth European patent in the Federal Patents Court in Munich, Germany, in the second quarter of 2014. Trials in the nullity suits are expected to occur in the first half of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2015, ZTE filed nullity suits in the Federal Patents Court in Munich, Germany, with respect to three European patents not currently being asserted against ZTE.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patents that have been held invalid. The appeal process is expected to take at least one year. The remaining reexamination requests remain pending, with decisions expected to be rendered on a rolling basis.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a hearing on May 29, 2015 for the parties to submit any evidence on which they intended to rely. During this hearing, ZTE amended its complaint to increase its damages demand. As a result, Vringo filed a motion contesting the jurisdiction of the Court, which was denied. Vringo’s appeal of the jurisdictional question is pending. Trial on the merits, which had been scheduled to begin on June 9, 2015 has been postponed pending Vringo’s appeal. The appellate process is expected to take several months. We have not made a determination of what the potential liability may be should we lose the case in China.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liability and injunctive</w:t>
      </w:r>
    </w:p>
    <w:p>
      <w:pPr>
        <w:jc w:val="both"/>
        <w:spacing w:after="0" w:line="205" w:lineRule="auto"/>
        <w:rPr>
          <w:sz w:val="20"/>
          <w:szCs w:val="20"/>
          <w:color w:val="auto"/>
        </w:rPr>
      </w:pPr>
      <w:r>
        <w:rPr>
          <w:rFonts w:ascii="Arial" w:cs="Arial" w:eastAsia="Arial" w:hAnsi="Arial"/>
          <w:sz w:val="18"/>
          <w:szCs w:val="18"/>
          <w:color w:val="auto"/>
        </w:rPr>
        <w:t>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Corporation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R$2,020,000 (approximately $640,000 as of June 30,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$270,000 as of June 30, 2015). ZTE has filed numerous appeals against the injunction since, all of which have been rejected.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is expected to take place in the third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7"/>
          <w:szCs w:val="17"/>
          <w:color w:val="181818"/>
        </w:rPr>
        <w:t>On February 10, 2015, the Court dissolved the temporary restraining order and preliminary injunction and</w:t>
      </w:r>
      <w:r>
        <w:rPr>
          <w:rFonts w:ascii="Arial" w:cs="Arial" w:eastAsia="Arial" w:hAnsi="Arial"/>
          <w:sz w:val="17"/>
          <w:szCs w:val="17"/>
          <w:color w:val="auto"/>
        </w:rPr>
        <w:t xml:space="preserve"> </w:t>
      </w:r>
      <w:r>
        <w:rPr>
          <w:rFonts w:ascii="Arial" w:cs="Arial" w:eastAsia="Arial" w:hAnsi="Arial"/>
          <w:sz w:val="17"/>
          <w:szCs w:val="17"/>
          <w:color w:val="181818"/>
        </w:rPr>
        <w:t>granted Vringo’s request to transfer the case to the United States District Court for the Southern District of New York.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181818"/>
        </w:rPr>
        <w:t xml:space="preserve">On February 5, 2015, ZTE filed </w:t>
      </w:r>
      <w:r>
        <w:rPr>
          <w:rFonts w:ascii="Arial" w:cs="Arial" w:eastAsia="Arial" w:hAnsi="Arial"/>
          <w:sz w:val="17"/>
          <w:szCs w:val="17"/>
          <w:i w:val="1"/>
          <w:iCs w:val="1"/>
          <w:color w:val="181818"/>
        </w:rPr>
        <w:t>inter partes</w:t>
      </w:r>
      <w:r>
        <w:rPr>
          <w:rFonts w:ascii="Arial" w:cs="Arial" w:eastAsia="Arial" w:hAnsi="Arial"/>
          <w:sz w:val="17"/>
          <w:szCs w:val="17"/>
          <w:color w:val="181818"/>
        </w:rPr>
        <w:t xml:space="preserve"> review (“IPR”) requests for five of Vringo’s United States Patents. The requests, filed with the Patent Trial and Appeal Board (“PTAB”) of the United States Patent and Trademark Office (“USPTO”)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Office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Vringo is actively responding to the NDRC’s concerns and working to convince NDRC that ZTE’s claims have no merit. Vringo is additionally working to ensure that the NDRC respects the various relevant treaties to which the United States and China are signatories.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are expected to occur in the first half of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$30,500,000. On November 20, 2012, the clerk entered the District Court's final judgment.</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 2014, the District Court ordered that I/P Engine recover an additional sum of $17,320,000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argues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Engine filed a petition for a writ of certiorari with the Supreme Court.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 Subsequent to the filing of I/P Engine’s petition, Google requested and was granted two extensions to the deadline for filing a response. Google filed their response on July 29, 2015.</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court dockets for the foregoing cases are publicly available on the Public Access to Court Electronic Records website, www.pacer.gov, which is operated by the Administrative Office of the U.S. Courts and the website for the Supreme Court, www.supremecourt.gov.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risk factors set forth below update the risk factors in Part I, “Item 1A. Risk Factors” in our Annual Report on Form 10-K for the year ended December 31, 2014. In addition to the risk factors below and the risk factors included in our Annual Report on Form 10-K,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could be through debt (if such financing is available), which could have a material adverse effect on our consolidated balance sheet and overall financial condition.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 2015 we had 9,566,795 warrants outstanding which can be exercised for 9,566,795 shares of common stock and incentive equity instruments outstanding to purchase 8,801,303 shares of our common stock granted to our management, employees, directors and consultants. Substantially all of these aforementioned outstanding equity instruments are currently “out of the money” and therefore our ability to raise capital through the exercise of these outstanding instruments are significantly limited.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Should our warrants outstanding as of August 3, 2015 be exercised, there would be an additional 9,566,795 shares of common stock eligible for trading in the public market. The incentive equity instruments currently outstanding to purchase 8,801,303 shares of our common stock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indebtedness created by the sale of the Notes and any future indebtedness we incur exposes us to risks that could adversely affect our business, financial condition and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$12,500,000 aggregate principal amount of senior secured indebtedness represented by the Notes in May 2015. Our indebtedness could have significant negative consequences for our business, results of operation and financial condition, including:</w:t>
      </w:r>
    </w:p>
    <w:p>
      <w:pPr>
        <w:spacing w:after="0" w:line="170" w:lineRule="exact"/>
        <w:rPr>
          <w:sz w:val="20"/>
          <w:szCs w:val="20"/>
          <w:color w:val="auto"/>
        </w:rPr>
      </w:pPr>
    </w:p>
    <w:p>
      <w:pPr>
        <w:ind w:left="1420" w:hanging="64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rFonts w:ascii="Arial" w:cs="Arial" w:eastAsia="Arial" w:hAnsi="Arial"/>
          <w:sz w:val="18"/>
          <w:szCs w:val="18"/>
          <w:color w:val="auto"/>
        </w:rPr>
      </w:pPr>
    </w:p>
    <w:p>
      <w:pPr>
        <w:ind w:left="1420" w:hanging="64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25" w:lineRule="exact"/>
        <w:rPr>
          <w:rFonts w:ascii="Arial" w:cs="Arial" w:eastAsia="Arial" w:hAnsi="Arial"/>
          <w:sz w:val="18"/>
          <w:szCs w:val="18"/>
          <w:color w:val="auto"/>
        </w:rPr>
      </w:pPr>
    </w:p>
    <w:p>
      <w:pPr>
        <w:ind w:left="1420" w:right="20" w:hanging="64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170" w:lineRule="exact"/>
        <w:rPr>
          <w:rFonts w:ascii="Arial" w:cs="Arial" w:eastAsia="Arial" w:hAnsi="Arial"/>
          <w:sz w:val="18"/>
          <w:szCs w:val="18"/>
          <w:color w:val="auto"/>
        </w:rPr>
      </w:pPr>
    </w:p>
    <w:p>
      <w:pPr>
        <w:ind w:left="1420" w:hanging="64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225" w:lineRule="exact"/>
        <w:rPr>
          <w:rFonts w:ascii="Arial" w:cs="Arial" w:eastAsia="Arial" w:hAnsi="Arial"/>
          <w:sz w:val="18"/>
          <w:szCs w:val="18"/>
          <w:color w:val="auto"/>
        </w:rPr>
      </w:pPr>
    </w:p>
    <w:p>
      <w:pPr>
        <w:ind w:left="1420" w:right="200" w:hanging="64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and competitors that may have better access to capital resources.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cannot provide assurance that we will continue to maintain sufficient cash reserves or that our business will generate cash flow from operations at levels sufficient to permit us to pay principal, premium, if any, and interest on our indebtedness, or that our cash needs will not increase. If we are unable to generate sufficient cash flow or otherwise obtain funds necessary to make required payments, or if we fail to comply with the various requirements of our existing indebtedness, the Notes or any indebtedness which we may incur in the future, we would be in default, which would permit the holders of the Notes and such other indebtedness to accelerate the maturity of the Notes and such other indebtedness and could cause defaults under the Notes and such other indebtedness. Any default under the Notes or such other indebtedness could have a material adverse effect on our business, results of operations and financial condition.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We may not have the ability to pay interest on the Notes or to redeem the Notes.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bear interest at a rate of 8.0% per year, and payments with respect to the principal amount of the Notes is payable monthly; the interest is payable quarterly starting July 1, 2015. If we are unable to satisfy certain equity conditions, we will be required to pay all amounts due on any payment date in cash. If a change of control occurs, holders of the Notes may require us to repurchase, for cash, all or a portion of their Notes. Our ability to make payments of principal and interest on the Notes, to redeem the Notes and to fund working capital needs and planned capital expenditures depends on our ability to generate cash flow in the future. To some extent, this is subject to general economic, financial, competitive, legislative and regulatory factors and other factors that are beyond our control. We cannot provide assurance that we will continue to maintain sufficient cash reserves or that our business will continue to generate cash flow from operations at levels sufficient to permit us to pay the interest on the Notes or to repurchase or redeem the Notes, or that our cash needs will not increase.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failure to make required payments under the Notes would permit holders of the Notes to accelerate our obligations under the Notes. If the repayment of the related indebtedness were to be accelerated after any applicable notice or grace periods, we may not have sufficient funds to repay such indebtedness.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generate sufficient cash flow from operations in the future to service our indebtedness and meet our other needs, we may have to refinance all or a portion of our indebtedness, obtain additional financing, or reduce expenditures. We cannot provide assurance that any of these measures would be possible or that any additional financing could be obtained on favorable terms, or at all. The inability to obtain additional financing on commercially reasonable terms could have a material adverse effect on our financial condition and on our ability to meet our obligations under the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substantial doubt concerning our ability to continue as a going concern.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have been prepared assuming that we will continue as a going concern which contemplates the realization of assets and satisfaction of liabilities in the normal course of business. We expect to incur further losses in the operations of our business and have been dependent on funding our operations through the issuance and sale of equity and debt securities. These circumstances raise substantial doubt about our ability to continue as a going concern. As a result of this uncertainty and the substantial doubt about our ability to continue as a going concern as of December 31, 2014, KPMG LLP, our independent registered public accounting firm, issued a report dated March 16, 2015, stating its opinion that our recurring losses from operations, negative cash flows from operating activities, and potential insufficiency of cash or available sources of liquidity to support our current operating requirements raise substantial doubt as to our ability to continue as a going concern. Investors in our securities should review carefully the report of KPMG LLP, which is included in our Annual Report on Form 10-K for the year ended December 31, 2014. Management’s plans include increasing revenue through the licensing of our intellectual property,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However, no assurance can be given at this time as to whether we will be able to achieve these objectives or whether we will have the sources of liquidity for follow through with these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business is focused on the assertion of our patent portfolio of which the earliest patent was acquired by us in June 2011. Therefore, we not only have a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both"/>
        <w:ind w:right="20"/>
        <w:spacing w:after="0" w:line="282" w:lineRule="auto"/>
        <w:rPr>
          <w:sz w:val="20"/>
          <w:szCs w:val="20"/>
          <w:color w:val="auto"/>
        </w:rPr>
      </w:pPr>
      <w:r>
        <w:rPr>
          <w:rFonts w:ascii="Arial" w:cs="Arial" w:eastAsia="Arial" w:hAnsi="Arial"/>
          <w:sz w:val="18"/>
          <w:szCs w:val="18"/>
          <w:b w:val="1"/>
          <w:bCs w:val="1"/>
          <w:color w:val="auto"/>
        </w:rPr>
        <w:t>We commenced legal proceedings against security and communications companies, and we expect such proceedings to be time-consuming and costly, which may adversely affect our financial condition and our ability to operate our business.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should we be deemed the losing party in certain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for example, in the UK, Australia, France, or Germany or the entire litigation and/or litigations, our adversary may be responsible for a substantial percentage of our legal fees.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certain companies infringe certain of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part of our ongoing legal proceedings, the validity and/or enforceability of our patents-in-suit is often challenged in a court or an administrative proceeding. On August 15, 2014, the Federal Circuit reversed a judgment of the United States District Court for the Eastern District of Virginia by holding that the asserted claims of the patents-in-suit in I/P Engine's litigation against AOL Inc., Google Inc. et al. are invalid for obviousness. During the second half of 2014, we experienced a decline in our common stock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assurance that we will be able to successfully monetize the patent portfolio that we acquired from Nokia, nor any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right="200" w:hanging="652"/>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23" w:lineRule="exact"/>
        <w:rPr>
          <w:rFonts w:ascii="Arial" w:cs="Arial" w:eastAsia="Arial" w:hAnsi="Arial"/>
          <w:sz w:val="16"/>
          <w:szCs w:val="16"/>
          <w:color w:val="auto"/>
        </w:rPr>
      </w:pPr>
    </w:p>
    <w:p>
      <w:pPr>
        <w:ind w:left="660" w:right="120" w:hanging="652"/>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8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obtained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 the leadership changes in the European Commission (“EC”) make it challenging to predict whether and how the EC will shift its focus from its prior stances regarding the enforcement of intellectual property rights and the relationship between such rights and European competition law.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there are numerous initiatives being pursued in multiple countries including India and Brazil, regarding when and how intellectual property rights should be enforced as well as the relationship between enforcement and other laws, including relevant anti-trust or competition law. It is too early to state with any degree of certainty the impact that such initiatives may have on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Additionally, the political and legal climate in China appears to have changed and is causing significant challenges for foreign companies that attempt to enforce their intellectual property rights against Chinese business whether such rights are enforced in China or elsewhere in the world. At this time, it is unclear what if any impact this change in climate will have on our business.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common stock is listed for trading on the NASDAQ Capital Market (“NASDAQ”).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 Thereafter, if such a company does not regain compliance with the bid price requirement, a second 180-day compliance period may be available.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18, 2014, we received a notification letter from NASDAQ informing us that for the last 30 consecutive business days, the bid price of our securities had closed below $1.00 per share. This notice has no immediate effect on our NASDAQ listing and we had 180 calendar days, or until June 16, 2015, to regain compliance. We did not regain compliance during such period since the closing bid price of our securities was not at least $1.00 per share for a minimum of ten consecutive business days.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We intend to cure the deficiency during this extended period by implementing a reverse stock split of our common stock. If we are unable to implement a reverse stock split and regain compliance with the minimum bid price requirement, we could be delisted.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Our confidential information may be disclosed by other parties.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 2015, we had 99,377,749 shares of common stock issued and outstanding, excluding shares of common stock issuable upon exercise of warrants, options or restricted stock units.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24" w:lineRule="exact"/>
        <w:rPr>
          <w:sz w:val="20"/>
          <w:szCs w:val="20"/>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3"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620" w:hanging="640"/>
        <w:spacing w:after="0" w:line="250"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9" w:lineRule="exact"/>
        <w:rPr>
          <w:rFonts w:ascii="Arial" w:cs="Arial" w:eastAsia="Arial" w:hAnsi="Arial"/>
          <w:sz w:val="18"/>
          <w:szCs w:val="18"/>
          <w:color w:val="auto"/>
        </w:rPr>
      </w:pPr>
    </w:p>
    <w:p>
      <w:pPr>
        <w:ind w:left="1620" w:hanging="64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both"/>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3"/>
              </w:rPr>
              <w:t>Securities Purchase Agreement, dated May 4, 2015, between Vringo, Inc. and the Investors named therein (incorporated by reference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Exhibit 10.1 to our Current Report on Form 8-K filed with the SEC on May 4, 2015)</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Form of Notes (incorporated by reference to Exhibit 10.2 to our Current Report on Form 8-K filed with the SEC on May 4, 2015)</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7"/>
              </w:rPr>
              <w:t>Form of Warrants (incorporated by reference to Exhibit 10.3 to our Current Report on Form 8-K filed with the SEC on 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Form of Base Indenture between Vringo, Inc. and Computershare Trust Company, N.A (incorporated by reference to Exhibit 10.4 to our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Form of First Supplemental Indenture (incorporated by reference to Exhibit 10.5 to our Current Report on Form 8-K filed with the SEC 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10.6</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5"/>
              </w:rPr>
              <w:t>Form of Security Agreement in favor of Iroquois Master Fund Ltd. as collateral agent (incorporated by reference to Exhibit 10.6 to our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filed with the SEC on May 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10.7</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7"/>
              </w:rPr>
              <w:t>Amendment No. 3 to Employment Agreement, dated as of June 22, 2015, by and between Vringo, Inc. and Andrew Kennedy Lang</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10.1 to our Current Report on Form 8-K filed with the SEC on June 24, 2015)</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Executive Officer pursuant to Exchange Act, Rules 13a - 14(a) and 15d - 14(a), as adopted pursuant to Section 302</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Financial and Accounting Officer pursuant to Exchange Act Rules 13a - 14(a) and 15d - 14(a), as adopted pursuant</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to Section 302 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Certifications of Principal Executive Officer and Principal Financial and Accounting Officer Pursuant to 18 U.S.C. Section 1350, as adopted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4th day of August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540" w:type="dxa"/>
            <w:vAlign w:val="bottom"/>
          </w:tcPr>
          <w:p>
            <w:pPr>
              <w:spacing w:after="0"/>
              <w:rPr>
                <w:sz w:val="20"/>
                <w:szCs w:val="20"/>
                <w:color w:val="auto"/>
              </w:rPr>
            </w:pP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By:</w:t>
            </w:r>
          </w:p>
        </w:tc>
        <w:tc>
          <w:tcPr>
            <w:tcW w:w="8540" w:type="dxa"/>
            <w:vAlign w:val="bottom"/>
          </w:tcPr>
          <w:p>
            <w:pPr>
              <w:jc w:val="center"/>
              <w:ind w:right="1630"/>
              <w:spacing w:after="0"/>
              <w:rPr>
                <w:sz w:val="20"/>
                <w:szCs w:val="20"/>
                <w:color w:val="auto"/>
              </w:rPr>
            </w:pPr>
            <w:r>
              <w:rPr>
                <w:rFonts w:ascii="Arial" w:cs="Arial" w:eastAsia="Arial" w:hAnsi="Arial"/>
                <w:sz w:val="18"/>
                <w:szCs w:val="18"/>
                <w:color w:val="auto"/>
              </w:rPr>
              <w:t>/s/  ANASTASIA NYRKOVSKAYA</w:t>
            </w:r>
          </w:p>
        </w:tc>
      </w:tr>
      <w:tr>
        <w:trPr>
          <w:trHeight w:val="191"/>
        </w:trPr>
        <w:tc>
          <w:tcPr>
            <w:tcW w:w="116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8540" w:type="dxa"/>
            <w:vAlign w:val="bottom"/>
            <w:tcBorders>
              <w:top w:val="single" w:sz="8" w:color="auto"/>
            </w:tcBorders>
          </w:tcPr>
          <w:p>
            <w:pPr>
              <w:jc w:val="center"/>
              <w:ind w:right="1630"/>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54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540" w:type="dxa"/>
            <w:vAlign w:val="bottom"/>
          </w:tcPr>
          <w:p>
            <w:pPr>
              <w:jc w:val="center"/>
              <w:ind w:right="1630"/>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648"/>
        </w:trPr>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87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2015</w:t>
      </w:r>
    </w:p>
    <w:p>
      <w:pPr>
        <w:spacing w:after="0" w:line="225" w:lineRule="exact"/>
        <w:rPr>
          <w:sz w:val="20"/>
          <w:szCs w:val="20"/>
          <w:color w:val="auto"/>
        </w:rPr>
      </w:pPr>
    </w:p>
    <w:p>
      <w:pPr>
        <w:ind w:left="4400"/>
        <w:spacing w:after="0"/>
        <w:tabs>
          <w:tab w:leader="none" w:pos="4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2015</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Quarterly Report for the quarter ended June 30, 2015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25" w:lineRule="exact"/>
        <w:rPr>
          <w:sz w:val="20"/>
          <w:szCs w:val="20"/>
          <w:color w:val="auto"/>
        </w:rPr>
      </w:pPr>
    </w:p>
    <w:p>
      <w:pPr>
        <w:ind w:left="4400"/>
        <w:spacing w:after="0"/>
        <w:tabs>
          <w:tab w:leader="none" w:pos="4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2019-12-29T15:41:42Z</dcterms:created>
  <dcterms:modified xsi:type="dcterms:W3CDTF">2019-12-29T15:41:42Z</dcterms:modified>
</cp:coreProperties>
</file>